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85E" w:rsidRDefault="0048485E" w:rsidP="0048485E">
      <w:pPr>
        <w:pStyle w:val="paragraph"/>
        <w:spacing w:before="0" w:beforeAutospacing="0" w:after="0" w:afterAutospacing="0"/>
        <w:jc w:val="center"/>
        <w:textAlignment w:val="baseline"/>
        <w:rPr>
          <w:rStyle w:val="normaltextrun"/>
          <w:rFonts w:ascii="Arial" w:hAnsi="Arial" w:cs="Arial"/>
          <w:b/>
          <w:bCs/>
          <w:color w:val="000000"/>
          <w:sz w:val="48"/>
          <w:szCs w:val="48"/>
        </w:rPr>
      </w:pPr>
    </w:p>
    <w:p w:rsidR="0048485E" w:rsidRDefault="0048485E" w:rsidP="0048485E">
      <w:pPr>
        <w:pStyle w:val="paragraph"/>
        <w:spacing w:before="0" w:beforeAutospacing="0" w:after="0" w:afterAutospacing="0"/>
        <w:jc w:val="center"/>
        <w:textAlignment w:val="baseline"/>
        <w:rPr>
          <w:rStyle w:val="normaltextrun"/>
          <w:rFonts w:ascii="Arial" w:hAnsi="Arial" w:cs="Arial"/>
          <w:b/>
          <w:bCs/>
          <w:color w:val="000000"/>
          <w:sz w:val="48"/>
          <w:szCs w:val="48"/>
        </w:rPr>
      </w:pPr>
    </w:p>
    <w:p w:rsidR="0048485E" w:rsidRDefault="0048485E" w:rsidP="0048485E">
      <w:pPr>
        <w:pStyle w:val="paragraph"/>
        <w:spacing w:before="0" w:beforeAutospacing="0" w:after="0" w:afterAutospacing="0"/>
        <w:jc w:val="center"/>
        <w:textAlignment w:val="baseline"/>
        <w:rPr>
          <w:rStyle w:val="normaltextrun"/>
          <w:rFonts w:ascii="Arial" w:hAnsi="Arial" w:cs="Arial"/>
          <w:b/>
          <w:bCs/>
          <w:color w:val="000000"/>
          <w:sz w:val="48"/>
          <w:szCs w:val="48"/>
        </w:rPr>
      </w:pPr>
    </w:p>
    <w:p w:rsidR="0048485E" w:rsidRDefault="0048485E" w:rsidP="0048485E">
      <w:pPr>
        <w:pStyle w:val="paragraph"/>
        <w:spacing w:before="0" w:beforeAutospacing="0" w:after="0" w:afterAutospacing="0"/>
        <w:jc w:val="center"/>
        <w:textAlignment w:val="baseline"/>
        <w:rPr>
          <w:rStyle w:val="normaltextrun"/>
          <w:rFonts w:ascii="Arial" w:hAnsi="Arial" w:cs="Arial"/>
          <w:b/>
          <w:bCs/>
          <w:color w:val="000000"/>
          <w:sz w:val="48"/>
          <w:szCs w:val="48"/>
        </w:rPr>
      </w:pP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48"/>
          <w:szCs w:val="48"/>
        </w:rPr>
        <w:t>Module Title: </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48"/>
          <w:szCs w:val="48"/>
        </w:rPr>
        <w:t>Organisational Culture</w:t>
      </w: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r>
        <w:rPr>
          <w:rStyle w:val="normaltextrun"/>
          <w:rFonts w:ascii="Arial" w:hAnsi="Arial" w:cs="Arial"/>
          <w:b/>
          <w:bCs/>
          <w:color w:val="000000"/>
          <w:sz w:val="48"/>
          <w:szCs w:val="48"/>
        </w:rPr>
        <w:t>Module Code: - LCLM 5005 C1</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48"/>
          <w:szCs w:val="48"/>
        </w:rPr>
        <w:t>Assignment: Individual Report on Primark</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48"/>
          <w:szCs w:val="48"/>
        </w:rPr>
        <w:t>Student Name: - Mihaela Amisculesei</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48"/>
          <w:szCs w:val="48"/>
        </w:rPr>
        <w:t>Student Number: - 2411946</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r>
        <w:rPr>
          <w:rStyle w:val="normaltextrun"/>
          <w:rFonts w:ascii="Arial" w:hAnsi="Arial" w:cs="Arial"/>
          <w:b/>
          <w:bCs/>
          <w:color w:val="000000"/>
          <w:sz w:val="48"/>
          <w:szCs w:val="48"/>
        </w:rPr>
        <w:t>Lecturer’s Name: - Eric Osei</w:t>
      </w:r>
      <w:r>
        <w:rPr>
          <w:rStyle w:val="eop"/>
          <w:rFonts w:ascii="Arial" w:hAnsi="Arial" w:cs="Arial"/>
          <w:color w:val="000000"/>
          <w:sz w:val="48"/>
          <w:szCs w:val="48"/>
        </w:rPr>
        <w:t> </w:t>
      </w: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p>
    <w:p w:rsidR="0048485E" w:rsidRDefault="0048485E" w:rsidP="0048485E">
      <w:pPr>
        <w:pStyle w:val="paragraph"/>
        <w:spacing w:before="0" w:beforeAutospacing="0" w:after="0" w:afterAutospacing="0"/>
        <w:jc w:val="center"/>
        <w:textAlignment w:val="baseline"/>
        <w:rPr>
          <w:rStyle w:val="eop"/>
          <w:rFonts w:ascii="Arial" w:hAnsi="Arial" w:cs="Arial"/>
          <w:color w:val="000000"/>
          <w:sz w:val="48"/>
          <w:szCs w:val="48"/>
        </w:rPr>
      </w:pPr>
    </w:p>
    <w:p w:rsidR="0048485E" w:rsidRDefault="0048485E" w:rsidP="0048485E">
      <w:pPr>
        <w:pStyle w:val="paragraph"/>
        <w:spacing w:before="0" w:beforeAutospacing="0" w:after="0" w:afterAutospacing="0"/>
        <w:jc w:val="center"/>
        <w:textAlignment w:val="baseline"/>
        <w:rPr>
          <w:rFonts w:ascii="Segoe UI" w:hAnsi="Segoe UI" w:cs="Segoe UI"/>
          <w:sz w:val="18"/>
          <w:szCs w:val="18"/>
        </w:rPr>
      </w:pPr>
    </w:p>
    <w:p w:rsidR="00106EFE" w:rsidRDefault="00106EFE">
      <w:pPr>
        <w:jc w:val="both"/>
      </w:pPr>
    </w:p>
    <w:sdt>
      <w:sdtPr>
        <w:rPr>
          <w:rFonts w:ascii="Times New Roman" w:eastAsia="Times New Roman" w:hAnsi="Times New Roman" w:cstheme="minorBidi"/>
          <w:b w:val="0"/>
          <w:bCs w:val="0"/>
          <w:color w:val="auto"/>
          <w:sz w:val="22"/>
          <w:szCs w:val="22"/>
        </w:rPr>
        <w:id w:val="7762672"/>
        <w:docPartObj>
          <w:docPartGallery w:val="Table of Contents"/>
          <w:docPartUnique/>
        </w:docPartObj>
      </w:sdtPr>
      <w:sdtContent>
        <w:bookmarkStart w:id="0" w:name="_Toc242779413" w:displacedByCustomXml="prev"/>
        <w:p w:rsidR="00106EFE" w:rsidRDefault="00106EFE" w:rsidP="00106EFE">
          <w:pPr>
            <w:pStyle w:val="Heading1"/>
          </w:pPr>
          <w:r w:rsidRPr="0048485E">
            <w:rPr>
              <w:sz w:val="36"/>
              <w:szCs w:val="36"/>
            </w:rPr>
            <w:t>Table of Contents</w:t>
          </w:r>
          <w:bookmarkEnd w:id="0"/>
        </w:p>
        <w:p w:rsidR="00106EFE" w:rsidRPr="0048485E" w:rsidRDefault="00C45962">
          <w:pPr>
            <w:pStyle w:val="TOC1"/>
            <w:tabs>
              <w:tab w:val="right" w:leader="dot" w:pos="8630"/>
            </w:tabs>
            <w:rPr>
              <w:rFonts w:ascii="Arial" w:eastAsiaTheme="minorEastAsia" w:hAnsi="Arial" w:cs="Arial"/>
              <w:noProof/>
              <w:sz w:val="24"/>
              <w:szCs w:val="24"/>
            </w:rPr>
          </w:pPr>
          <w:r>
            <w:fldChar w:fldCharType="begin"/>
          </w:r>
          <w:r w:rsidR="00106EFE">
            <w:instrText xml:space="preserve"> TOC \o "1-3" \h \z \u </w:instrText>
          </w:r>
          <w:r>
            <w:fldChar w:fldCharType="separate"/>
          </w:r>
        </w:p>
        <w:p w:rsidR="00106EFE" w:rsidRPr="0048485E" w:rsidRDefault="00C45962">
          <w:pPr>
            <w:pStyle w:val="TOC1"/>
            <w:tabs>
              <w:tab w:val="right" w:leader="dot" w:pos="8630"/>
            </w:tabs>
            <w:rPr>
              <w:rFonts w:ascii="Arial" w:eastAsiaTheme="minorEastAsia" w:hAnsi="Arial" w:cs="Arial"/>
              <w:noProof/>
              <w:sz w:val="24"/>
              <w:szCs w:val="24"/>
            </w:rPr>
          </w:pPr>
          <w:hyperlink w:anchor="_Toc242779414" w:history="1">
            <w:r w:rsidR="00106EFE" w:rsidRPr="0048485E">
              <w:rPr>
                <w:rStyle w:val="Hyperlink"/>
                <w:rFonts w:ascii="Arial" w:eastAsiaTheme="majorEastAsia" w:hAnsi="Arial" w:cs="Arial"/>
                <w:noProof/>
                <w:sz w:val="24"/>
                <w:szCs w:val="24"/>
              </w:rPr>
              <w:t>1. Introduction</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_Toc242779414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3</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15" w:history="1">
            <w:r w:rsidR="00106EFE" w:rsidRPr="0048485E">
              <w:rPr>
                <w:rStyle w:val="Hyperlink"/>
                <w:rFonts w:ascii="Arial" w:eastAsiaTheme="majorEastAsia" w:hAnsi="Arial" w:cs="Arial"/>
                <w:noProof/>
                <w:sz w:val="24"/>
                <w:szCs w:val="24"/>
              </w:rPr>
              <w:t>2. Organisational Culture of Primark</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_Toc242779415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4</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16" w:history="1">
            <w:r w:rsidR="00106EFE" w:rsidRPr="0048485E">
              <w:rPr>
                <w:rStyle w:val="Hyperlink"/>
                <w:rFonts w:ascii="Arial" w:eastAsiaTheme="majorEastAsia" w:hAnsi="Arial" w:cs="Arial"/>
                <w:noProof/>
                <w:sz w:val="24"/>
                <w:szCs w:val="24"/>
              </w:rPr>
              <w:t>3. Influence of Culture on Structure and Decision-Making</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_Toc242779416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4</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17" w:history="1">
            <w:r w:rsidR="00106EFE" w:rsidRPr="0048485E">
              <w:rPr>
                <w:rStyle w:val="Hyperlink"/>
                <w:rFonts w:ascii="Arial" w:eastAsiaTheme="majorEastAsia" w:hAnsi="Arial" w:cs="Arial"/>
                <w:noProof/>
                <w:sz w:val="24"/>
                <w:szCs w:val="24"/>
              </w:rPr>
              <w:t>4. Identifying Cultural Types: Models and Frameworks</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_Toc242779417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6</w:t>
            </w:r>
            <w:r w:rsidRPr="0048485E">
              <w:rPr>
                <w:rFonts w:ascii="Arial" w:hAnsi="Arial" w:cs="Arial"/>
                <w:noProof/>
                <w:webHidden/>
                <w:sz w:val="24"/>
                <w:szCs w:val="24"/>
              </w:rPr>
              <w:fldChar w:fldCharType="end"/>
            </w:r>
          </w:hyperlink>
        </w:p>
        <w:p w:rsidR="00106EFE" w:rsidRPr="0048485E" w:rsidRDefault="00C45962">
          <w:pPr>
            <w:pStyle w:val="TOC2"/>
            <w:tabs>
              <w:tab w:val="right" w:leader="dot" w:pos="8630"/>
            </w:tabs>
            <w:rPr>
              <w:rFonts w:ascii="Arial" w:eastAsiaTheme="minorEastAsia" w:hAnsi="Arial" w:cs="Arial"/>
              <w:noProof/>
              <w:sz w:val="24"/>
              <w:szCs w:val="24"/>
            </w:rPr>
          </w:pPr>
          <w:hyperlink w:anchor="_Toc242779418" w:history="1">
            <w:r w:rsidR="00106EFE" w:rsidRPr="0048485E">
              <w:rPr>
                <w:rStyle w:val="Hyperlink"/>
                <w:rFonts w:ascii="Arial" w:eastAsiaTheme="majorEastAsia" w:hAnsi="Arial" w:cs="Arial"/>
                <w:noProof/>
                <w:sz w:val="24"/>
                <w:szCs w:val="24"/>
              </w:rPr>
              <w:t>4.1 Schein’s three levels of culture</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_Toc242779418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6</w:t>
            </w:r>
            <w:r w:rsidRPr="0048485E">
              <w:rPr>
                <w:rFonts w:ascii="Arial" w:hAnsi="Arial" w:cs="Arial"/>
                <w:noProof/>
                <w:webHidden/>
                <w:sz w:val="24"/>
                <w:szCs w:val="24"/>
              </w:rPr>
              <w:fldChar w:fldCharType="end"/>
            </w:r>
          </w:hyperlink>
        </w:p>
        <w:p w:rsidR="00106EFE" w:rsidRPr="0048485E" w:rsidRDefault="00C45962">
          <w:pPr>
            <w:pStyle w:val="TOC2"/>
            <w:tabs>
              <w:tab w:val="right" w:leader="dot" w:pos="8630"/>
            </w:tabs>
            <w:rPr>
              <w:rFonts w:ascii="Arial" w:eastAsiaTheme="minorEastAsia" w:hAnsi="Arial" w:cs="Arial"/>
              <w:noProof/>
              <w:sz w:val="24"/>
              <w:szCs w:val="24"/>
            </w:rPr>
          </w:pPr>
          <w:hyperlink w:anchor="_Toc242779419" w:history="1">
            <w:r w:rsidR="00106EFE" w:rsidRPr="0048485E">
              <w:rPr>
                <w:rStyle w:val="Hyperlink"/>
                <w:rFonts w:ascii="Arial" w:eastAsiaTheme="majorEastAsia" w:hAnsi="Arial" w:cs="Arial"/>
                <w:noProof/>
                <w:sz w:val="24"/>
                <w:szCs w:val="24"/>
              </w:rPr>
              <w:t>4.2 Handy’s cultural types</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_Toc242779419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6</w:t>
            </w:r>
            <w:r w:rsidRPr="0048485E">
              <w:rPr>
                <w:rFonts w:ascii="Arial" w:hAnsi="Arial" w:cs="Arial"/>
                <w:noProof/>
                <w:webHidden/>
                <w:sz w:val="24"/>
                <w:szCs w:val="24"/>
              </w:rPr>
              <w:fldChar w:fldCharType="end"/>
            </w:r>
          </w:hyperlink>
        </w:p>
        <w:p w:rsidR="00106EFE" w:rsidRPr="0048485E" w:rsidRDefault="00C45962">
          <w:pPr>
            <w:pStyle w:val="TOC2"/>
            <w:tabs>
              <w:tab w:val="right" w:leader="dot" w:pos="8630"/>
            </w:tabs>
            <w:rPr>
              <w:rFonts w:ascii="Arial" w:eastAsiaTheme="minorEastAsia" w:hAnsi="Arial" w:cs="Arial"/>
              <w:noProof/>
              <w:sz w:val="24"/>
              <w:szCs w:val="24"/>
            </w:rPr>
          </w:pPr>
          <w:hyperlink w:anchor="_Toc242779420" w:history="1">
            <w:r w:rsidR="00106EFE" w:rsidRPr="0048485E">
              <w:rPr>
                <w:rStyle w:val="Hyperlink"/>
                <w:rFonts w:ascii="Arial" w:eastAsiaTheme="majorEastAsia" w:hAnsi="Arial" w:cs="Arial"/>
                <w:noProof/>
                <w:sz w:val="24"/>
                <w:szCs w:val="24"/>
              </w:rPr>
              <w:t>4.3 Denison’s organisational culture model</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_Toc242779420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7</w:t>
            </w:r>
            <w:r w:rsidRPr="0048485E">
              <w:rPr>
                <w:rFonts w:ascii="Arial" w:hAnsi="Arial" w:cs="Arial"/>
                <w:noProof/>
                <w:webHidden/>
                <w:sz w:val="24"/>
                <w:szCs w:val="24"/>
              </w:rPr>
              <w:fldChar w:fldCharType="end"/>
            </w:r>
          </w:hyperlink>
        </w:p>
        <w:p w:rsidR="00106EFE" w:rsidRPr="0048485E" w:rsidRDefault="00C45962">
          <w:pPr>
            <w:pStyle w:val="TOC2"/>
            <w:tabs>
              <w:tab w:val="right" w:leader="dot" w:pos="8630"/>
            </w:tabs>
            <w:rPr>
              <w:rFonts w:ascii="Arial" w:eastAsiaTheme="minorEastAsia" w:hAnsi="Arial" w:cs="Arial"/>
              <w:noProof/>
              <w:sz w:val="24"/>
              <w:szCs w:val="24"/>
            </w:rPr>
          </w:pPr>
          <w:hyperlink w:anchor="_Toc242779421" w:history="1">
            <w:r w:rsidR="00106EFE" w:rsidRPr="0048485E">
              <w:rPr>
                <w:rStyle w:val="Hyperlink"/>
                <w:rFonts w:ascii="Arial" w:eastAsiaTheme="majorEastAsia" w:hAnsi="Arial" w:cs="Arial"/>
                <w:noProof/>
                <w:sz w:val="24"/>
                <w:szCs w:val="24"/>
              </w:rPr>
              <w:t>4.4 Hofstede and international cultural complexity</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_Toc242779421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8</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22" w:history="1">
            <w:r w:rsidR="00106EFE" w:rsidRPr="0048485E">
              <w:rPr>
                <w:rStyle w:val="Hyperlink"/>
                <w:rFonts w:ascii="Arial" w:eastAsiaTheme="majorEastAsia" w:hAnsi="Arial" w:cs="Arial"/>
                <w:noProof/>
                <w:sz w:val="24"/>
                <w:szCs w:val="24"/>
              </w:rPr>
              <w:t>5. Culture and the External Environment</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_Toc242779422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8</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23" w:history="1">
            <w:r w:rsidR="00106EFE" w:rsidRPr="0048485E">
              <w:rPr>
                <w:rStyle w:val="Hyperlink"/>
                <w:rFonts w:ascii="Arial" w:eastAsiaTheme="majorEastAsia" w:hAnsi="Arial" w:cs="Arial"/>
                <w:noProof/>
                <w:sz w:val="24"/>
                <w:szCs w:val="24"/>
              </w:rPr>
              <w:t>6. Organisational Culture as a Barrier or Enabler</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_Toc242779423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10</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24" w:history="1">
            <w:r w:rsidR="00106EFE" w:rsidRPr="0048485E">
              <w:rPr>
                <w:rStyle w:val="Hyperlink"/>
                <w:rFonts w:ascii="Arial" w:eastAsiaTheme="majorEastAsia" w:hAnsi="Arial" w:cs="Arial"/>
                <w:noProof/>
                <w:sz w:val="24"/>
                <w:szCs w:val="24"/>
              </w:rPr>
              <w:t>7. Impact of Culture on Organisational Performance and Recommendations</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_Toc242779424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11</w:t>
            </w:r>
            <w:r w:rsidRPr="0048485E">
              <w:rPr>
                <w:rFonts w:ascii="Arial" w:hAnsi="Arial" w:cs="Arial"/>
                <w:noProof/>
                <w:webHidden/>
                <w:sz w:val="24"/>
                <w:szCs w:val="24"/>
              </w:rPr>
              <w:fldChar w:fldCharType="end"/>
            </w:r>
          </w:hyperlink>
        </w:p>
        <w:p w:rsidR="00106EFE" w:rsidRPr="0048485E" w:rsidRDefault="00C45962">
          <w:pPr>
            <w:pStyle w:val="TOC2"/>
            <w:tabs>
              <w:tab w:val="right" w:leader="dot" w:pos="8630"/>
            </w:tabs>
            <w:rPr>
              <w:rFonts w:ascii="Arial" w:eastAsiaTheme="minorEastAsia" w:hAnsi="Arial" w:cs="Arial"/>
              <w:noProof/>
              <w:sz w:val="24"/>
              <w:szCs w:val="24"/>
            </w:rPr>
          </w:pPr>
          <w:hyperlink w:anchor="_Toc242779425" w:history="1">
            <w:r w:rsidR="00106EFE" w:rsidRPr="0048485E">
              <w:rPr>
                <w:rStyle w:val="Hyperlink"/>
                <w:rFonts w:ascii="Arial" w:eastAsiaTheme="majorEastAsia" w:hAnsi="Arial" w:cs="Arial"/>
                <w:noProof/>
                <w:sz w:val="24"/>
                <w:szCs w:val="24"/>
              </w:rPr>
              <w:t>Recommendations</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_Toc242779425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12</w:t>
            </w:r>
            <w:r w:rsidRPr="0048485E">
              <w:rPr>
                <w:rFonts w:ascii="Arial" w:hAnsi="Arial" w:cs="Arial"/>
                <w:noProof/>
                <w:webHidden/>
                <w:sz w:val="24"/>
                <w:szCs w:val="24"/>
              </w:rPr>
              <w:fldChar w:fldCharType="end"/>
            </w:r>
          </w:hyperlink>
        </w:p>
        <w:p w:rsidR="00106EFE" w:rsidRPr="0048485E" w:rsidRDefault="00C45962">
          <w:pPr>
            <w:pStyle w:val="TOC1"/>
            <w:tabs>
              <w:tab w:val="right" w:leader="dot" w:pos="8630"/>
            </w:tabs>
            <w:rPr>
              <w:rFonts w:ascii="Arial" w:eastAsiaTheme="minorEastAsia" w:hAnsi="Arial" w:cs="Arial"/>
              <w:noProof/>
              <w:sz w:val="24"/>
              <w:szCs w:val="24"/>
            </w:rPr>
          </w:pPr>
          <w:hyperlink w:anchor="_Toc242779426" w:history="1">
            <w:r w:rsidR="00106EFE" w:rsidRPr="0048485E">
              <w:rPr>
                <w:rStyle w:val="Hyperlink"/>
                <w:rFonts w:ascii="Arial" w:eastAsiaTheme="majorEastAsia" w:hAnsi="Arial" w:cs="Arial"/>
                <w:noProof/>
                <w:sz w:val="24"/>
                <w:szCs w:val="24"/>
              </w:rPr>
              <w:t>8. Conclusion</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_Toc242779426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14</w:t>
            </w:r>
            <w:r w:rsidRPr="0048485E">
              <w:rPr>
                <w:rFonts w:ascii="Arial" w:hAnsi="Arial" w:cs="Arial"/>
                <w:noProof/>
                <w:webHidden/>
                <w:sz w:val="24"/>
                <w:szCs w:val="24"/>
              </w:rPr>
              <w:fldChar w:fldCharType="end"/>
            </w:r>
          </w:hyperlink>
        </w:p>
        <w:p w:rsidR="00106EFE" w:rsidRDefault="00C45962">
          <w:pPr>
            <w:pStyle w:val="TOC1"/>
            <w:tabs>
              <w:tab w:val="right" w:leader="dot" w:pos="8630"/>
            </w:tabs>
            <w:rPr>
              <w:rFonts w:asciiTheme="minorHAnsi" w:eastAsiaTheme="minorEastAsia" w:hAnsiTheme="minorHAnsi"/>
              <w:noProof/>
            </w:rPr>
          </w:pPr>
          <w:hyperlink w:anchor="_Toc242779427" w:history="1">
            <w:r w:rsidR="00106EFE" w:rsidRPr="0048485E">
              <w:rPr>
                <w:rStyle w:val="Hyperlink"/>
                <w:rFonts w:ascii="Arial" w:eastAsiaTheme="majorEastAsia" w:hAnsi="Arial" w:cs="Arial"/>
                <w:noProof/>
                <w:sz w:val="24"/>
                <w:szCs w:val="24"/>
              </w:rPr>
              <w:t>References</w:t>
            </w:r>
            <w:r w:rsidR="00106EFE" w:rsidRPr="0048485E">
              <w:rPr>
                <w:rFonts w:ascii="Arial" w:hAnsi="Arial" w:cs="Arial"/>
                <w:noProof/>
                <w:webHidden/>
                <w:sz w:val="24"/>
                <w:szCs w:val="24"/>
              </w:rPr>
              <w:tab/>
            </w:r>
            <w:r w:rsidRPr="0048485E">
              <w:rPr>
                <w:rFonts w:ascii="Arial" w:hAnsi="Arial" w:cs="Arial"/>
                <w:noProof/>
                <w:webHidden/>
                <w:sz w:val="24"/>
                <w:szCs w:val="24"/>
              </w:rPr>
              <w:fldChar w:fldCharType="begin"/>
            </w:r>
            <w:r w:rsidR="00106EFE" w:rsidRPr="0048485E">
              <w:rPr>
                <w:rFonts w:ascii="Arial" w:hAnsi="Arial" w:cs="Arial"/>
                <w:noProof/>
                <w:webHidden/>
                <w:sz w:val="24"/>
                <w:szCs w:val="24"/>
              </w:rPr>
              <w:instrText xml:space="preserve"> PAGEREF _Toc242779427 \h </w:instrText>
            </w:r>
            <w:r w:rsidRPr="0048485E">
              <w:rPr>
                <w:rFonts w:ascii="Arial" w:hAnsi="Arial" w:cs="Arial"/>
                <w:noProof/>
                <w:webHidden/>
                <w:sz w:val="24"/>
                <w:szCs w:val="24"/>
              </w:rPr>
            </w:r>
            <w:r w:rsidRPr="0048485E">
              <w:rPr>
                <w:rFonts w:ascii="Arial" w:hAnsi="Arial" w:cs="Arial"/>
                <w:noProof/>
                <w:webHidden/>
                <w:sz w:val="24"/>
                <w:szCs w:val="24"/>
              </w:rPr>
              <w:fldChar w:fldCharType="separate"/>
            </w:r>
            <w:r w:rsidR="00247255" w:rsidRPr="0048485E">
              <w:rPr>
                <w:rFonts w:ascii="Arial" w:hAnsi="Arial" w:cs="Arial"/>
                <w:noProof/>
                <w:webHidden/>
                <w:sz w:val="24"/>
                <w:szCs w:val="24"/>
              </w:rPr>
              <w:t>15</w:t>
            </w:r>
            <w:r w:rsidRPr="0048485E">
              <w:rPr>
                <w:rFonts w:ascii="Arial" w:hAnsi="Arial" w:cs="Arial"/>
                <w:noProof/>
                <w:webHidden/>
                <w:sz w:val="24"/>
                <w:szCs w:val="24"/>
              </w:rPr>
              <w:fldChar w:fldCharType="end"/>
            </w:r>
          </w:hyperlink>
        </w:p>
        <w:p w:rsidR="00106EFE" w:rsidRDefault="00C45962">
          <w:pPr>
            <w:pStyle w:val="TOC1"/>
            <w:tabs>
              <w:tab w:val="right" w:leader="dot" w:pos="8630"/>
            </w:tabs>
            <w:rPr>
              <w:rFonts w:asciiTheme="minorHAnsi" w:eastAsiaTheme="minorEastAsia" w:hAnsiTheme="minorHAnsi"/>
              <w:noProof/>
            </w:rPr>
          </w:pPr>
          <w:hyperlink w:anchor="_Toc242779428" w:history="1">
            <w:r w:rsidR="00106EFE" w:rsidRPr="00E2630B">
              <w:rPr>
                <w:rStyle w:val="Hyperlink"/>
                <w:rFonts w:eastAsiaTheme="majorEastAsia"/>
                <w:noProof/>
              </w:rPr>
              <w:t>Before submission: checklist</w:t>
            </w:r>
            <w:r w:rsidR="00106EFE">
              <w:rPr>
                <w:noProof/>
                <w:webHidden/>
              </w:rPr>
              <w:tab/>
            </w:r>
            <w:r>
              <w:rPr>
                <w:noProof/>
                <w:webHidden/>
              </w:rPr>
              <w:fldChar w:fldCharType="begin"/>
            </w:r>
            <w:r w:rsidR="00106EFE">
              <w:rPr>
                <w:noProof/>
                <w:webHidden/>
              </w:rPr>
              <w:instrText xml:space="preserve"> PAGEREF _Toc242779428 \h </w:instrText>
            </w:r>
            <w:r>
              <w:rPr>
                <w:noProof/>
                <w:webHidden/>
              </w:rPr>
            </w:r>
            <w:r>
              <w:rPr>
                <w:noProof/>
                <w:webHidden/>
              </w:rPr>
              <w:fldChar w:fldCharType="separate"/>
            </w:r>
            <w:r w:rsidR="00247255">
              <w:rPr>
                <w:noProof/>
                <w:webHidden/>
              </w:rPr>
              <w:t>17</w:t>
            </w:r>
            <w:r>
              <w:rPr>
                <w:noProof/>
                <w:webHidden/>
              </w:rPr>
              <w:fldChar w:fldCharType="end"/>
            </w:r>
          </w:hyperlink>
        </w:p>
        <w:p w:rsidR="00106EFE" w:rsidRDefault="00C45962">
          <w:r>
            <w:fldChar w:fldCharType="end"/>
          </w:r>
        </w:p>
      </w:sdtContent>
    </w:sdt>
    <w:p w:rsidR="003906A1" w:rsidRDefault="00591980">
      <w:r>
        <w:br w:type="page"/>
      </w:r>
    </w:p>
    <w:p w:rsidR="003906A1" w:rsidRPr="0048485E" w:rsidRDefault="00591980">
      <w:pPr>
        <w:pStyle w:val="Heading1"/>
        <w:rPr>
          <w:sz w:val="32"/>
          <w:szCs w:val="32"/>
        </w:rPr>
      </w:pPr>
      <w:bookmarkStart w:id="1" w:name="_Toc242779414"/>
      <w:r w:rsidRPr="0048485E">
        <w:rPr>
          <w:sz w:val="32"/>
          <w:szCs w:val="32"/>
        </w:rPr>
        <w:lastRenderedPageBreak/>
        <w:t>1. Introduction</w:t>
      </w:r>
      <w:bookmarkEnd w:id="1"/>
    </w:p>
    <w:p w:rsidR="003906A1" w:rsidRPr="009E64CC" w:rsidRDefault="00591980">
      <w:pPr>
        <w:jc w:val="both"/>
        <w:rPr>
          <w:rFonts w:ascii="Arial" w:hAnsi="Arial" w:cs="Arial"/>
          <w:sz w:val="24"/>
          <w:szCs w:val="24"/>
        </w:rPr>
      </w:pPr>
      <w:r w:rsidRPr="009E64CC">
        <w:rPr>
          <w:rFonts w:ascii="Arial" w:hAnsi="Arial" w:cs="Arial"/>
          <w:sz w:val="24"/>
          <w:szCs w:val="24"/>
        </w:rPr>
        <w:t>Organisational culture refers to the shared assumptions, values and norms that influence how members interpret situations and behave at work. It affects not only employee relationships but also organisational design, communication, motivation, control and decision-making. Mullins and Christy (2016) argue that culture has a pervasive influence on organisational processes and becomes more complex as organisations operate across national boundaries and bring together people with different backgrounds. This is particularly relevant to Primark, an international fashion retailer whose low-price proposition depends on coordinated buying, sourcing, logistics and store operations across multiple markets.</w:t>
      </w:r>
    </w:p>
    <w:p w:rsidR="003906A1" w:rsidRPr="009E64CC" w:rsidRDefault="00591980">
      <w:pPr>
        <w:jc w:val="both"/>
        <w:rPr>
          <w:rFonts w:ascii="Arial" w:hAnsi="Arial" w:cs="Arial"/>
          <w:sz w:val="24"/>
          <w:szCs w:val="24"/>
        </w:rPr>
      </w:pPr>
      <w:r w:rsidRPr="009E64CC">
        <w:rPr>
          <w:rFonts w:ascii="Arial" w:hAnsi="Arial" w:cs="Arial"/>
          <w:sz w:val="24"/>
          <w:szCs w:val="24"/>
        </w:rPr>
        <w:t>Primark is part of Associated British Foods plc (ABF). ABF’s 2025 Annual Report describes Primark as a value retailer operating 473 stores in 17 countries during the reporting year, with more than 83,000 colleagues and revenue of £9.489 billion (ABF, 2025a). These figures illustrate the scale at which shared expectations and coordinated processes matter. At the same time, Primark operates in a sector facing intense price competition, changing fashion demand, scrutiny of labour conditions and growing expectations concerning environmental responsibility.</w:t>
      </w:r>
    </w:p>
    <w:p w:rsidR="003906A1" w:rsidRPr="009E64CC" w:rsidRDefault="00591980">
      <w:pPr>
        <w:jc w:val="both"/>
        <w:rPr>
          <w:rFonts w:ascii="Arial" w:hAnsi="Arial" w:cs="Arial"/>
          <w:sz w:val="24"/>
          <w:szCs w:val="24"/>
        </w:rPr>
      </w:pPr>
      <w:r w:rsidRPr="009E64CC">
        <w:rPr>
          <w:rFonts w:ascii="Arial" w:hAnsi="Arial" w:cs="Arial"/>
          <w:sz w:val="24"/>
          <w:szCs w:val="24"/>
        </w:rPr>
        <w:t>This report critically evaluates how Primark’s organisational culture influences structure and decision-making, applies Schein’s, Handy’s and Denison’s frameworks to identify its likely cultural characteristics, and considers how culture helps the company respond to external pressures. It then assesses whether culture enables or constrains effective functioning, evaluates performance implications and proposes evidence-informed recommendations. The analysis uses public corporate reporting alongside academic literature. As internal employee interviews and independent culture-survey data are not available here, conclusions about Primark’s lived culture are reasoned interpretations of observable practices and public disclosures rather than definitive claims about every workplace.</w:t>
      </w:r>
    </w:p>
    <w:p w:rsidR="003906A1" w:rsidRPr="0048485E" w:rsidRDefault="00591980">
      <w:pPr>
        <w:pStyle w:val="Heading1"/>
        <w:rPr>
          <w:sz w:val="32"/>
          <w:szCs w:val="32"/>
        </w:rPr>
      </w:pPr>
      <w:bookmarkStart w:id="2" w:name="_Toc242779415"/>
      <w:r w:rsidRPr="0048485E">
        <w:rPr>
          <w:sz w:val="32"/>
          <w:szCs w:val="32"/>
        </w:rPr>
        <w:lastRenderedPageBreak/>
        <w:t>2. Organisational Culture of Primark</w:t>
      </w:r>
      <w:bookmarkEnd w:id="2"/>
    </w:p>
    <w:tbl>
      <w:tblPr>
        <w:tblStyle w:val="TableGrid"/>
        <w:tblW w:w="0" w:type="auto"/>
        <w:jc w:val="center"/>
        <w:tblLook w:val="04A0"/>
      </w:tblPr>
      <w:tblGrid>
        <w:gridCol w:w="2880"/>
        <w:gridCol w:w="2880"/>
        <w:gridCol w:w="2880"/>
      </w:tblGrid>
      <w:tr w:rsidR="00C45962">
        <w:trPr>
          <w:jc w:val="center"/>
        </w:trPr>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Cultural dimension</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Observable indicator</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Critical interpretation</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Value and performance</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Low-price positioning and operational execution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Supports cost discipline, but short-term targets could create pressure.</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 xml:space="preserve">Role and </w:t>
            </w:r>
            <w:r w:rsidRPr="0048485E">
              <w:rPr>
                <w:rFonts w:ascii="Arial" w:hAnsi="Arial" w:cs="Arial"/>
                <w:sz w:val="24"/>
                <w:szCs w:val="24"/>
              </w:rPr>
              <w:t>consistency</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Store routines, brand presentation and supplier requirements</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Improves reliability but may limit flexibility if rigid.</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People and inclusion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Public commitments to colleagues and ethical practice</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Commitments should be tested against employee expe</w:t>
            </w:r>
            <w:r w:rsidRPr="0048485E">
              <w:rPr>
                <w:rFonts w:ascii="Arial" w:hAnsi="Arial" w:cs="Arial"/>
                <w:sz w:val="24"/>
                <w:szCs w:val="24"/>
              </w:rPr>
              <w:t>rience and voice.</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Adaptability and responsibility</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International operations and sustainability initiatives</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Shows response to stakeholder pressure; outcomes need measurement.</w:t>
            </w:r>
          </w:p>
        </w:tc>
      </w:tr>
    </w:tbl>
    <w:p w:rsidR="0048485E" w:rsidRDefault="0048485E">
      <w:pPr>
        <w:jc w:val="both"/>
        <w:rPr>
          <w:rFonts w:ascii="Arial" w:hAnsi="Arial" w:cs="Arial"/>
          <w:sz w:val="24"/>
          <w:szCs w:val="24"/>
        </w:rPr>
      </w:pPr>
    </w:p>
    <w:p w:rsidR="003906A1" w:rsidRPr="009E64CC" w:rsidRDefault="00591980">
      <w:pPr>
        <w:jc w:val="both"/>
        <w:rPr>
          <w:rFonts w:ascii="Arial" w:hAnsi="Arial" w:cs="Arial"/>
          <w:sz w:val="24"/>
          <w:szCs w:val="24"/>
        </w:rPr>
      </w:pPr>
      <w:r w:rsidRPr="009E64CC">
        <w:rPr>
          <w:rFonts w:ascii="Arial" w:hAnsi="Arial" w:cs="Arial"/>
          <w:sz w:val="24"/>
          <w:szCs w:val="24"/>
        </w:rPr>
        <w:t>Culture should not, however, be equated with a company’s public brand message. Schein (2010) distinguishes between visible artefacts, stated values and deeper assumptions that guide behaviour. Primark’s stores, uniforms, product displays, communication channels and operating procedures are observable artefacts. Its public commitments to value, inclusion, ethical trade and sustainability are espoused values. The underlying assumptions are harder to observe: for example, whether employees believe that speed and cost control take precedence over local initiative, or whether speaking up about a problem is genuinely welcomed. Corporate reports are useful evidence of declared priorities, but they cannot by themselves establish the lived experience of employees or suppliers.</w:t>
      </w:r>
    </w:p>
    <w:p w:rsidR="003906A1" w:rsidRPr="009E64CC" w:rsidRDefault="00591980">
      <w:pPr>
        <w:jc w:val="both"/>
        <w:rPr>
          <w:rFonts w:ascii="Arial" w:hAnsi="Arial" w:cs="Arial"/>
          <w:sz w:val="24"/>
          <w:szCs w:val="24"/>
        </w:rPr>
      </w:pPr>
      <w:r w:rsidRPr="009E64CC">
        <w:rPr>
          <w:rFonts w:ascii="Arial" w:hAnsi="Arial" w:cs="Arial"/>
          <w:sz w:val="24"/>
          <w:szCs w:val="24"/>
        </w:rPr>
        <w:t xml:space="preserve">A plausible interpretation is that Primark combines a strong performance-oriented culture with formal operational routines and elements of a people-oriented culture. The performance orientation supports fast-moving retail and price </w:t>
      </w:r>
      <w:r w:rsidRPr="009E64CC">
        <w:rPr>
          <w:rFonts w:ascii="Arial" w:hAnsi="Arial" w:cs="Arial"/>
          <w:sz w:val="24"/>
          <w:szCs w:val="24"/>
        </w:rPr>
        <w:lastRenderedPageBreak/>
        <w:t>competitiveness. Consistent routines help maintain a recognisable customer offer across a large store estate. The people-oriented dimension is reflected in corporate reporting on colleagues and in the need to coordinate diverse teams. Yet there may be tension between cost discipline and employee wellbeing: in a labour-intensive retail environment, staffing, workload and time pressure can affect whether declared people values are experienced in practice. This tension is central to assessing whether culture is effective rather than merely distinctive.</w:t>
      </w:r>
    </w:p>
    <w:p w:rsidR="003906A1" w:rsidRPr="0048485E" w:rsidRDefault="00591980">
      <w:pPr>
        <w:pStyle w:val="Heading1"/>
        <w:rPr>
          <w:sz w:val="32"/>
          <w:szCs w:val="32"/>
        </w:rPr>
      </w:pPr>
      <w:bookmarkStart w:id="3" w:name="_Toc242779416"/>
      <w:r w:rsidRPr="0048485E">
        <w:rPr>
          <w:sz w:val="32"/>
          <w:szCs w:val="32"/>
        </w:rPr>
        <w:t>3. Influence of Culture on Structure and Decision-Making</w:t>
      </w:r>
      <w:bookmarkEnd w:id="3"/>
    </w:p>
    <w:tbl>
      <w:tblPr>
        <w:tblStyle w:val="TableGrid"/>
        <w:tblW w:w="0" w:type="auto"/>
        <w:jc w:val="center"/>
        <w:tblLook w:val="04A0"/>
      </w:tblPr>
      <w:tblGrid>
        <w:gridCol w:w="2432"/>
        <w:gridCol w:w="2130"/>
        <w:gridCol w:w="2142"/>
        <w:gridCol w:w="2152"/>
      </w:tblGrid>
      <w:tr w:rsidR="00C45962">
        <w:trPr>
          <w:jc w:val="center"/>
        </w:trPr>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Decision area</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Likely approach</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Benefit</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Potential risk</w:t>
            </w:r>
          </w:p>
        </w:tc>
      </w:tr>
      <w:tr w:rsidR="00C45962">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Brand and supplier standards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More centralised</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Consistency and scale</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May limit local responsiveness.</w:t>
            </w:r>
          </w:p>
        </w:tc>
      </w:tr>
      <w:tr w:rsidR="00C45962">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Store execution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Local delivery within standards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Frontline knowledge and speed</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 xml:space="preserve">Autonomy may </w:t>
            </w:r>
            <w:r w:rsidRPr="0048485E">
              <w:rPr>
                <w:rFonts w:ascii="Arial" w:hAnsi="Arial" w:cs="Arial"/>
                <w:sz w:val="24"/>
                <w:szCs w:val="24"/>
              </w:rPr>
              <w:t>vary.</w:t>
            </w:r>
          </w:p>
        </w:tc>
      </w:tr>
      <w:tr w:rsidR="00C45962">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Financial/operational control</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Formal targets and reporting</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Accountability and cost awareness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Narrow metrics may distort priorities.</w:t>
            </w:r>
          </w:p>
        </w:tc>
      </w:tr>
      <w:tr w:rsidR="00C45962">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Market response</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Central guidance plus local feedback</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Balances brand and local needs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 xml:space="preserve">Feedback may be filtered or </w:t>
            </w:r>
            <w:r w:rsidRPr="0048485E">
              <w:rPr>
                <w:rFonts w:ascii="Arial" w:hAnsi="Arial" w:cs="Arial"/>
                <w:sz w:val="24"/>
                <w:szCs w:val="24"/>
              </w:rPr>
              <w:t>delayed.</w:t>
            </w:r>
          </w:p>
        </w:tc>
      </w:tr>
    </w:tbl>
    <w:p w:rsidR="0048485E" w:rsidRDefault="0048485E">
      <w:pPr>
        <w:jc w:val="both"/>
        <w:rPr>
          <w:rFonts w:ascii="Arial" w:hAnsi="Arial" w:cs="Arial"/>
          <w:sz w:val="24"/>
          <w:szCs w:val="24"/>
        </w:rPr>
      </w:pPr>
    </w:p>
    <w:p w:rsidR="003906A1" w:rsidRPr="009E64CC" w:rsidRDefault="00591980">
      <w:pPr>
        <w:jc w:val="both"/>
        <w:rPr>
          <w:rFonts w:ascii="Arial" w:hAnsi="Arial" w:cs="Arial"/>
          <w:sz w:val="24"/>
          <w:szCs w:val="24"/>
        </w:rPr>
      </w:pPr>
      <w:r w:rsidRPr="009E64CC">
        <w:rPr>
          <w:rFonts w:ascii="Arial" w:hAnsi="Arial" w:cs="Arial"/>
          <w:sz w:val="24"/>
          <w:szCs w:val="24"/>
        </w:rPr>
        <w:t xml:space="preserve">Culture and structure influence one another. Structure defines reporting lines, responsibilities and formal authority, while culture shapes how employees use those arrangements in practice. Burns and Stalker (1961) distinguish mechanistic structures, characterised by formalisation and hierarchy, from organic structures, which rely more on flexibility and lateral communication. Primark’s operating model appears to require both. Standardised store procedures, buying controls, supplier requirements and brand standards support a relatively mechanistic </w:t>
      </w:r>
      <w:r w:rsidRPr="009E64CC">
        <w:rPr>
          <w:rFonts w:ascii="Arial" w:hAnsi="Arial" w:cs="Arial"/>
          <w:sz w:val="24"/>
          <w:szCs w:val="24"/>
        </w:rPr>
        <w:lastRenderedPageBreak/>
        <w:t>approach. However, product selection, local customer preferences and responses to competitors require some adaptation at market and store level.</w:t>
      </w:r>
    </w:p>
    <w:p w:rsidR="003906A1" w:rsidRPr="009E64CC" w:rsidRDefault="00591980">
      <w:pPr>
        <w:jc w:val="both"/>
        <w:rPr>
          <w:rFonts w:ascii="Arial" w:hAnsi="Arial" w:cs="Arial"/>
          <w:sz w:val="24"/>
          <w:szCs w:val="24"/>
        </w:rPr>
      </w:pPr>
      <w:r w:rsidRPr="009E64CC">
        <w:rPr>
          <w:rFonts w:ascii="Arial" w:hAnsi="Arial" w:cs="Arial"/>
          <w:sz w:val="24"/>
          <w:szCs w:val="24"/>
        </w:rPr>
        <w:t>The centralised elements of Primark’s model can create economies of scale. Coordinated buying and sourcing can support volume purchasing, cost control and consistent product standards. Shared procedures also help the business expand internationally without reinventing core processes in every market. This is especially important for a value retailer, because unnecessary variation or operational waste may undermine low prices. Culture reinforces these structural arrangements when managers and employees understand that availability, value and execution are shared priorities.</w:t>
      </w:r>
    </w:p>
    <w:p w:rsidR="003906A1" w:rsidRPr="009E64CC" w:rsidRDefault="00591980">
      <w:pPr>
        <w:jc w:val="both"/>
        <w:rPr>
          <w:rFonts w:ascii="Arial" w:hAnsi="Arial" w:cs="Arial"/>
          <w:sz w:val="24"/>
          <w:szCs w:val="24"/>
        </w:rPr>
      </w:pPr>
      <w:r w:rsidRPr="009E64CC">
        <w:rPr>
          <w:rFonts w:ascii="Arial" w:hAnsi="Arial" w:cs="Arial"/>
          <w:sz w:val="24"/>
          <w:szCs w:val="24"/>
        </w:rPr>
        <w:t>Nevertheless, centralisation can slow decisions when local teams must wait for approval or when headquarters lacks immediate knowledge of a market. Retail demand can change quickly in response to weather, social media, local events and competitor promotions. A culture that rewards compliance without encouraging upward feedback may prevent useful local knowledge from influencing decisions. Mintzberg (1983) notes that organisations use different coordination mechanisms depending on their work and scale; standardisation is valuable, but it is not a substitute for communication when conditions are uncertain.</w:t>
      </w:r>
    </w:p>
    <w:p w:rsidR="003906A1" w:rsidRPr="009E64CC" w:rsidRDefault="00591980">
      <w:pPr>
        <w:jc w:val="both"/>
        <w:rPr>
          <w:rFonts w:ascii="Arial" w:hAnsi="Arial" w:cs="Arial"/>
          <w:sz w:val="24"/>
          <w:szCs w:val="24"/>
        </w:rPr>
      </w:pPr>
      <w:r w:rsidRPr="009E64CC">
        <w:rPr>
          <w:rFonts w:ascii="Arial" w:hAnsi="Arial" w:cs="Arial"/>
          <w:sz w:val="24"/>
          <w:szCs w:val="24"/>
        </w:rPr>
        <w:t>ABF’s wider reporting states that operational decisions are taken locally by people closest to customers and markets, while strategic and financial objectives are developed through a bottom-up process (ABF, 2025a). This indicates that local decision-making is part of the group’s stated approach, although the degree of autonomy available to Primark teams may vary by decision type. A reasonable model is therefore a hybrid: central direction for brand, sourcing, financial control and ethical standards, combined with local execution and market responsiveness. The cultural challenge is to make this balance real rather than symbolic.</w:t>
      </w:r>
    </w:p>
    <w:p w:rsidR="003906A1" w:rsidRPr="0048485E" w:rsidRDefault="00591980">
      <w:pPr>
        <w:pStyle w:val="Heading1"/>
        <w:rPr>
          <w:sz w:val="32"/>
          <w:szCs w:val="32"/>
        </w:rPr>
      </w:pPr>
      <w:bookmarkStart w:id="4" w:name="_Toc242779417"/>
      <w:r w:rsidRPr="0048485E">
        <w:rPr>
          <w:sz w:val="32"/>
          <w:szCs w:val="32"/>
        </w:rPr>
        <w:lastRenderedPageBreak/>
        <w:t>4. Identifying Cultural Types: Models and Frameworks</w:t>
      </w:r>
      <w:bookmarkEnd w:id="4"/>
    </w:p>
    <w:tbl>
      <w:tblPr>
        <w:tblStyle w:val="TableGrid"/>
        <w:tblW w:w="0" w:type="auto"/>
        <w:jc w:val="center"/>
        <w:tblLook w:val="04A0"/>
      </w:tblPr>
      <w:tblGrid>
        <w:gridCol w:w="2160"/>
        <w:gridCol w:w="2160"/>
        <w:gridCol w:w="2160"/>
        <w:gridCol w:w="2160"/>
      </w:tblGrid>
      <w:tr w:rsidR="00C45962" w:rsidRPr="0048485E">
        <w:trPr>
          <w:jc w:val="center"/>
        </w:trPr>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Framework</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Focus</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Indicative interpretation for Primark</w:t>
            </w:r>
          </w:p>
        </w:tc>
        <w:tc>
          <w:tcPr>
            <w:tcW w:w="216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Limitation</w:t>
            </w:r>
          </w:p>
        </w:tc>
      </w:tr>
      <w:tr w:rsidR="00C45962" w:rsidRPr="0048485E">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Schein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Artefacts, values, assumptions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Visible value and operational focus; deeper assumptions require employee evidence.</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Public statements do not prove lived</w:t>
            </w:r>
            <w:r w:rsidRPr="0048485E">
              <w:rPr>
                <w:rFonts w:ascii="Arial" w:hAnsi="Arial" w:cs="Arial"/>
                <w:sz w:val="24"/>
                <w:szCs w:val="24"/>
              </w:rPr>
              <w:t xml:space="preserve"> culture.</w:t>
            </w:r>
          </w:p>
        </w:tc>
      </w:tr>
      <w:tr w:rsidR="00C45962" w:rsidRPr="0048485E">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Handy</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Power, role, task, person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Likely role-oriented with task-based collaboration.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Large organisations contain subcultures.</w:t>
            </w:r>
          </w:p>
        </w:tc>
      </w:tr>
      <w:tr w:rsidR="00C45962" w:rsidRPr="0048485E">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Denison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Involvement, consistency, adaptability, mission</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 xml:space="preserve">Consistency and mission appear prominent; involvement needs </w:t>
            </w:r>
            <w:r w:rsidRPr="0048485E">
              <w:rPr>
                <w:rFonts w:ascii="Arial" w:hAnsi="Arial" w:cs="Arial"/>
                <w:sz w:val="24"/>
                <w:szCs w:val="24"/>
              </w:rPr>
              <w:t>testing.</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Not a formal diagnostic without survey data.</w:t>
            </w:r>
          </w:p>
        </w:tc>
      </w:tr>
      <w:tr w:rsidR="00C45962" w:rsidRPr="0048485E">
        <w:trPr>
          <w:jc w:val="center"/>
        </w:trPr>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Hofstede</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National cultural dimensions</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Can prompt questions for cross-market leadership.</w:t>
            </w:r>
          </w:p>
        </w:tc>
        <w:tc>
          <w:tcPr>
            <w:tcW w:w="216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Avoid stereotyping individuals by nationality.</w:t>
            </w:r>
          </w:p>
        </w:tc>
      </w:tr>
    </w:tbl>
    <w:p w:rsidR="003906A1" w:rsidRDefault="00591980">
      <w:pPr>
        <w:pStyle w:val="Heading2"/>
      </w:pPr>
      <w:bookmarkStart w:id="5" w:name="_Toc242779418"/>
      <w:r>
        <w:lastRenderedPageBreak/>
        <w:t>4.1 Schein’s three levels of culture</w:t>
      </w:r>
      <w:bookmarkEnd w:id="5"/>
    </w:p>
    <w:p w:rsidR="00C45962" w:rsidRDefault="0057106E">
      <w:pPr>
        <w:jc w:val="center"/>
      </w:pPr>
      <w:r>
        <w:rPr>
          <w:noProof/>
        </w:rPr>
        <w:drawing>
          <wp:inline distT="0" distB="0" distL="0" distR="0">
            <wp:extent cx="5303520" cy="30227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k_denison_traits.png"/>
                    <pic:cNvPicPr/>
                  </pic:nvPicPr>
                  <pic:blipFill>
                    <a:blip r:embed="rId8"/>
                    <a:stretch>
                      <a:fillRect/>
                    </a:stretch>
                  </pic:blipFill>
                  <pic:spPr>
                    <a:xfrm>
                      <a:off x="0" y="0"/>
                      <a:ext cx="5303520" cy="3022753"/>
                    </a:xfrm>
                    <a:prstGeom prst="rect">
                      <a:avLst/>
                    </a:prstGeom>
                  </pic:spPr>
                </pic:pic>
              </a:graphicData>
            </a:graphic>
          </wp:inline>
        </w:drawing>
      </w:r>
    </w:p>
    <w:p w:rsidR="00C45962" w:rsidRDefault="0057106E">
      <w:pPr>
        <w:jc w:val="center"/>
      </w:pPr>
      <w:r>
        <w:rPr>
          <w:i/>
          <w:sz w:val="18"/>
        </w:rPr>
        <w:t>Figure 1. Indicative appli</w:t>
      </w:r>
      <w:r>
        <w:rPr>
          <w:i/>
          <w:sz w:val="18"/>
        </w:rPr>
        <w:t>cation of Denison’s traits to Primark (author’s analysis; not measured data).</w:t>
      </w:r>
    </w:p>
    <w:p w:rsidR="003906A1" w:rsidRPr="009E64CC" w:rsidRDefault="00591980">
      <w:pPr>
        <w:jc w:val="both"/>
        <w:rPr>
          <w:rFonts w:ascii="Arial" w:hAnsi="Arial" w:cs="Arial"/>
          <w:sz w:val="24"/>
          <w:szCs w:val="24"/>
        </w:rPr>
      </w:pPr>
      <w:r w:rsidRPr="009E64CC">
        <w:rPr>
          <w:rFonts w:ascii="Arial" w:hAnsi="Arial" w:cs="Arial"/>
          <w:sz w:val="24"/>
          <w:szCs w:val="24"/>
        </w:rPr>
        <w:t>Schein’s model provides a useful starting point because it distinguishes visible manifestations of culture from the deeper beliefs that sustain them. At the artefact level, Primark’s large-format stores, consistent brand presentation, product displays, store routines and supply-chain processes communicate a focus on value, availability and execution. These features are relatively easy to observe, but they can be interpreted in different ways. A busy store may indicate operational energy, for example, or excessive workload; observation alone cannot decide between these explanations.</w:t>
      </w:r>
    </w:p>
    <w:p w:rsidR="003906A1" w:rsidRPr="009E64CC" w:rsidRDefault="00591980">
      <w:pPr>
        <w:jc w:val="both"/>
        <w:rPr>
          <w:rFonts w:ascii="Arial" w:hAnsi="Arial" w:cs="Arial"/>
          <w:sz w:val="24"/>
          <w:szCs w:val="24"/>
        </w:rPr>
      </w:pPr>
      <w:r w:rsidRPr="009E64CC">
        <w:rPr>
          <w:rFonts w:ascii="Arial" w:hAnsi="Arial" w:cs="Arial"/>
          <w:sz w:val="24"/>
          <w:szCs w:val="24"/>
        </w:rPr>
        <w:t>At the espoused-values level, Primark and ABF communicate commitments around value for customers, responsible sourcing, colleague engagement and reducing environmental impact. Primark’s Sustainability and Ethics Progress Report 2024/25 describes initiatives covering preferred materials, circular product design, emissions and supply-chain traceability (Primark, 2025). Such commitments indicate that sustainability and ethical trade have become part of the organisation’s formal narrative, alongside affordability.</w:t>
      </w:r>
    </w:p>
    <w:p w:rsidR="003906A1" w:rsidRPr="009E64CC" w:rsidRDefault="00591980">
      <w:pPr>
        <w:jc w:val="both"/>
        <w:rPr>
          <w:rFonts w:ascii="Arial" w:hAnsi="Arial" w:cs="Arial"/>
          <w:sz w:val="24"/>
          <w:szCs w:val="24"/>
        </w:rPr>
      </w:pPr>
      <w:r w:rsidRPr="009E64CC">
        <w:rPr>
          <w:rFonts w:ascii="Arial" w:hAnsi="Arial" w:cs="Arial"/>
          <w:sz w:val="24"/>
          <w:szCs w:val="24"/>
        </w:rPr>
        <w:lastRenderedPageBreak/>
        <w:t>The third level—basic underlying assumptions—is the most difficult to establish from public evidence. The business model may rest on assumptions that customers value fashion and choice at low prices, that scale and efficient operations can protect margins, and that consistent standards make international expansion manageable. These assumptions are plausible inferences from Primark’s strategy, not confirmed statements about employees’ unconscious beliefs. Schein’s framework is valuable because it warns analysts not to confuse public values with actual behaviour. A full assessment would require interviews, observation, employee surveys and comparison between policy and practice.</w:t>
      </w:r>
    </w:p>
    <w:p w:rsidR="003906A1" w:rsidRDefault="00591980">
      <w:pPr>
        <w:pStyle w:val="Heading2"/>
      </w:pPr>
      <w:bookmarkStart w:id="6" w:name="_Toc242779419"/>
      <w:r>
        <w:t>4.2 Handy’s cultural types</w:t>
      </w:r>
      <w:bookmarkEnd w:id="6"/>
    </w:p>
    <w:p w:rsidR="003906A1" w:rsidRPr="009E64CC" w:rsidRDefault="00591980">
      <w:pPr>
        <w:jc w:val="both"/>
        <w:rPr>
          <w:rFonts w:ascii="Arial" w:hAnsi="Arial" w:cs="Arial"/>
          <w:sz w:val="24"/>
          <w:szCs w:val="24"/>
        </w:rPr>
      </w:pPr>
      <w:r w:rsidRPr="009E64CC">
        <w:rPr>
          <w:rFonts w:ascii="Arial" w:hAnsi="Arial" w:cs="Arial"/>
          <w:sz w:val="24"/>
          <w:szCs w:val="24"/>
        </w:rPr>
        <w:t>Handy (1993) identifies power, role, task and person cultures. Primark is unlikely to fit one type perfectly; large international retailers commonly contain several cultural patterns. A role-culture element is suggested by formal job responsibilities, operating procedures, reporting relationships and compliance requirements. Role culture can create reliability and fairness because employees know what is expected. Its weakness is that strict adherence to procedures can reduce initiative when unusual customer or operational problems arise.</w:t>
      </w:r>
    </w:p>
    <w:p w:rsidR="003906A1" w:rsidRPr="009E64CC" w:rsidRDefault="00591980">
      <w:pPr>
        <w:jc w:val="both"/>
        <w:rPr>
          <w:rFonts w:ascii="Arial" w:hAnsi="Arial" w:cs="Arial"/>
          <w:sz w:val="24"/>
          <w:szCs w:val="24"/>
        </w:rPr>
      </w:pPr>
      <w:r w:rsidRPr="009E64CC">
        <w:rPr>
          <w:rFonts w:ascii="Arial" w:hAnsi="Arial" w:cs="Arial"/>
          <w:sz w:val="24"/>
          <w:szCs w:val="24"/>
        </w:rPr>
        <w:t>Task-culture elements are likely in cross-functional work such as product launches, store openings, digital improvements and sustainability projects, where buying, merchandising, logistics, technology and local teams need to solve shared problems. Task culture encourages expertise and collaboration, but can create conflict where functional priorities differ. Person culture is less likely to dominate a large commercial retailer because individual autonomy must be balanced with common standards, although professional expertise and employee development still matter.</w:t>
      </w:r>
    </w:p>
    <w:p w:rsidR="003906A1" w:rsidRPr="009E64CC" w:rsidRDefault="00591980">
      <w:pPr>
        <w:jc w:val="both"/>
        <w:rPr>
          <w:rFonts w:ascii="Arial" w:hAnsi="Arial" w:cs="Arial"/>
          <w:sz w:val="24"/>
          <w:szCs w:val="24"/>
        </w:rPr>
      </w:pPr>
      <w:r w:rsidRPr="009E64CC">
        <w:rPr>
          <w:rFonts w:ascii="Arial" w:hAnsi="Arial" w:cs="Arial"/>
          <w:sz w:val="24"/>
          <w:szCs w:val="24"/>
        </w:rPr>
        <w:t xml:space="preserve">Overall, the most defensible interpretation is a hybrid with strong role-culture characteristics and a performance-focused, task-oriented dimension. This classification is an analytical judgement based on the retailer’s scale and operating model, not a verified internal culture audit. Handy’s typology is useful </w:t>
      </w:r>
      <w:r w:rsidRPr="009E64CC">
        <w:rPr>
          <w:rFonts w:ascii="Arial" w:hAnsi="Arial" w:cs="Arial"/>
          <w:sz w:val="24"/>
          <w:szCs w:val="24"/>
        </w:rPr>
        <w:lastRenderedPageBreak/>
        <w:t>for identifying tensions, but it can oversimplify organisations whose departments, countries and occupational groups develop different subcultures.</w:t>
      </w:r>
    </w:p>
    <w:p w:rsidR="003906A1" w:rsidRDefault="00591980">
      <w:pPr>
        <w:pStyle w:val="Heading2"/>
      </w:pPr>
      <w:bookmarkStart w:id="7" w:name="_Toc242779420"/>
      <w:r>
        <w:t>4.3 Denison’s organisational culture model</w:t>
      </w:r>
      <w:bookmarkEnd w:id="7"/>
    </w:p>
    <w:p w:rsidR="003906A1" w:rsidRPr="009E64CC" w:rsidRDefault="00591980">
      <w:pPr>
        <w:jc w:val="both"/>
        <w:rPr>
          <w:rFonts w:ascii="Arial" w:hAnsi="Arial" w:cs="Arial"/>
          <w:sz w:val="24"/>
          <w:szCs w:val="24"/>
        </w:rPr>
      </w:pPr>
      <w:r w:rsidRPr="009E64CC">
        <w:rPr>
          <w:rFonts w:ascii="Arial" w:hAnsi="Arial" w:cs="Arial"/>
          <w:sz w:val="24"/>
          <w:szCs w:val="24"/>
        </w:rPr>
        <w:t>Denison and Mishra (1995) propose four traits associated with organisational effectiveness: involvement, consistency, adaptability and mission. Involvement concerns empowerment, teamwork and capability development. Primark’s international scale means teamwork and employee capability are operational necessities; however, public evidence of training or engagement does not prove that employees have meaningful influence over decisions. The organisation should assess involvement through staff feedback, retention, internal progression and whether suggestions lead to visible changes.</w:t>
      </w:r>
    </w:p>
    <w:p w:rsidR="003906A1" w:rsidRPr="009E64CC" w:rsidRDefault="00591980">
      <w:pPr>
        <w:jc w:val="both"/>
        <w:rPr>
          <w:rFonts w:ascii="Arial" w:hAnsi="Arial" w:cs="Arial"/>
          <w:sz w:val="24"/>
          <w:szCs w:val="24"/>
        </w:rPr>
      </w:pPr>
      <w:r w:rsidRPr="009E64CC">
        <w:rPr>
          <w:rFonts w:ascii="Arial" w:hAnsi="Arial" w:cs="Arial"/>
          <w:sz w:val="24"/>
          <w:szCs w:val="24"/>
        </w:rPr>
        <w:t>Consistency concerns shared values, coordination and agreement. Standard store processes, supplier standards and a consistent value proposition suggest this is a relative strength for Primark. Consistency can reduce errors and protect customer expectations, but becomes counterproductive if rules are not updated or staff cannot question unsafe or ineffective practices. Adaptability refers to responding to customers and the external environment. Primark’s international expansion and development of sustainability initiatives suggest an effort to respond to changing markets and stakeholder expectations. Yet adaptability should be measured by the speed and effectiveness of changes, not simply the existence of initiatives.</w:t>
      </w:r>
    </w:p>
    <w:p w:rsidR="003906A1" w:rsidRPr="009E64CC" w:rsidRDefault="00591980">
      <w:pPr>
        <w:jc w:val="both"/>
        <w:rPr>
          <w:rFonts w:ascii="Arial" w:hAnsi="Arial" w:cs="Arial"/>
          <w:sz w:val="24"/>
          <w:szCs w:val="24"/>
        </w:rPr>
      </w:pPr>
      <w:r w:rsidRPr="009E64CC">
        <w:rPr>
          <w:rFonts w:ascii="Arial" w:hAnsi="Arial" w:cs="Arial"/>
          <w:sz w:val="24"/>
          <w:szCs w:val="24"/>
        </w:rPr>
        <w:t>Mission concerns strategic direction and clear goals. Primark’s value proposition and expansion strategy provide a clear commercial mission. A potential weakness is that a strong focus on affordable fashion may make it difficult to balance price, product quality, employee conditions and environmental responsibility. Denison’s model therefore suggests that Primark’s effectiveness depends on balancing consistency and mission with involvement and adaptability, rather than maximising one trait. The model was developed using research linking cultural traits to effectiveness, but applying it to Primark from public information remains indicative, not a formal measurement.</w:t>
      </w:r>
    </w:p>
    <w:p w:rsidR="003906A1" w:rsidRDefault="00591980">
      <w:pPr>
        <w:pStyle w:val="Heading2"/>
      </w:pPr>
      <w:bookmarkStart w:id="8" w:name="_Toc242779421"/>
      <w:r>
        <w:lastRenderedPageBreak/>
        <w:t>4.4 Hofstede and international cultural complexity</w:t>
      </w:r>
      <w:bookmarkEnd w:id="8"/>
    </w:p>
    <w:p w:rsidR="003906A1" w:rsidRPr="009E64CC" w:rsidRDefault="00591980">
      <w:pPr>
        <w:jc w:val="both"/>
        <w:rPr>
          <w:rFonts w:ascii="Arial" w:hAnsi="Arial" w:cs="Arial"/>
          <w:sz w:val="24"/>
          <w:szCs w:val="24"/>
        </w:rPr>
      </w:pPr>
      <w:r w:rsidRPr="009E64CC">
        <w:rPr>
          <w:rFonts w:ascii="Arial" w:hAnsi="Arial" w:cs="Arial"/>
          <w:sz w:val="24"/>
          <w:szCs w:val="24"/>
        </w:rPr>
        <w:t>Hofstede’s cultural dimensions can prompt questions about how employees in different national contexts may experience hierarchy, uncertainty, teamwork and individual responsibility (Hofstede, Hofstede and Minkov, 2010). For Primark, the practical implication is not to label a national workforce as having a fixed personality, but to ensure that communication, leadership and employee voice work across markets. Managers should check how local teams interpret feedback, escalation and authority rather than assume that a single communication style will work everywhere.</w:t>
      </w:r>
    </w:p>
    <w:p w:rsidR="003906A1" w:rsidRPr="0048485E" w:rsidRDefault="00591980">
      <w:pPr>
        <w:pStyle w:val="Heading1"/>
        <w:rPr>
          <w:sz w:val="32"/>
          <w:szCs w:val="32"/>
        </w:rPr>
      </w:pPr>
      <w:bookmarkStart w:id="9" w:name="_Toc242779422"/>
      <w:r w:rsidRPr="0048485E">
        <w:rPr>
          <w:sz w:val="32"/>
          <w:szCs w:val="32"/>
        </w:rPr>
        <w:t>5. Culture and the External Environment</w:t>
      </w:r>
      <w:bookmarkEnd w:id="9"/>
    </w:p>
    <w:tbl>
      <w:tblPr>
        <w:tblStyle w:val="TableGrid"/>
        <w:tblW w:w="0" w:type="auto"/>
        <w:jc w:val="center"/>
        <w:tblLook w:val="04A0"/>
      </w:tblPr>
      <w:tblGrid>
        <w:gridCol w:w="2880"/>
        <w:gridCol w:w="2880"/>
        <w:gridCol w:w="2880"/>
      </w:tblGrid>
      <w:tr w:rsidR="00C45962">
        <w:trPr>
          <w:jc w:val="center"/>
        </w:trPr>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External pressure</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Cultural response</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Risk / critical issue</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Price competition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Value orientation, efficient operations and scale</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Cost control must not undermine service or colleague wellbeing.</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Globalisation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 xml:space="preserve">Common standards with local </w:t>
            </w:r>
            <w:r w:rsidRPr="0048485E">
              <w:rPr>
                <w:rFonts w:ascii="Arial" w:hAnsi="Arial" w:cs="Arial"/>
                <w:sz w:val="24"/>
                <w:szCs w:val="24"/>
              </w:rPr>
              <w:t>execution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Over-standardisation can ignore local differences.</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Ethical sourcing</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Supplier codes, audits and monitoring</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Audits alone cannot guarantee worker voice or remediation.</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Sustainability</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Materials, circular design and emissions initiatives</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Assess abso</w:t>
            </w:r>
            <w:r w:rsidRPr="0048485E">
              <w:rPr>
                <w:rFonts w:ascii="Arial" w:hAnsi="Arial" w:cs="Arial"/>
                <w:sz w:val="24"/>
                <w:szCs w:val="24"/>
              </w:rPr>
              <w:t>lute impacts and product durability too.</w:t>
            </w:r>
          </w:p>
        </w:tc>
      </w:tr>
    </w:tbl>
    <w:p w:rsidR="0048485E" w:rsidRDefault="0048485E">
      <w:pPr>
        <w:jc w:val="both"/>
        <w:rPr>
          <w:rFonts w:ascii="Arial" w:hAnsi="Arial" w:cs="Arial"/>
          <w:sz w:val="24"/>
          <w:szCs w:val="24"/>
        </w:rPr>
      </w:pPr>
    </w:p>
    <w:p w:rsidR="003906A1" w:rsidRPr="009E64CC" w:rsidRDefault="00591980">
      <w:pPr>
        <w:jc w:val="both"/>
        <w:rPr>
          <w:rFonts w:ascii="Arial" w:hAnsi="Arial" w:cs="Arial"/>
          <w:sz w:val="24"/>
          <w:szCs w:val="24"/>
        </w:rPr>
      </w:pPr>
      <w:r w:rsidRPr="009E64CC">
        <w:rPr>
          <w:rFonts w:ascii="Arial" w:hAnsi="Arial" w:cs="Arial"/>
          <w:sz w:val="24"/>
          <w:szCs w:val="24"/>
        </w:rPr>
        <w:t xml:space="preserve">Primark operates in an environment shaped by price-sensitive consumers, fast-changing fashion trends, competition from online and physical retailers, supply-chain complexity and increasing scrutiny of environmental and labour practices. A clear value culture helps the company respond to economic pressure: </w:t>
      </w:r>
      <w:r w:rsidRPr="009E64CC">
        <w:rPr>
          <w:rFonts w:ascii="Arial" w:hAnsi="Arial" w:cs="Arial"/>
          <w:sz w:val="24"/>
          <w:szCs w:val="24"/>
        </w:rPr>
        <w:lastRenderedPageBreak/>
        <w:t>customers seeking affordable clothing may be attracted to a proposition combining low prices with fashion variety. Operational discipline can help control costs and protect availability. However, low prices also increase the importance of managing productivity without allowing cost reduction to undermine service, quality or working conditions.</w:t>
      </w:r>
    </w:p>
    <w:p w:rsidR="003906A1" w:rsidRPr="009E64CC" w:rsidRDefault="00591980">
      <w:pPr>
        <w:jc w:val="both"/>
        <w:rPr>
          <w:rFonts w:ascii="Arial" w:hAnsi="Arial" w:cs="Arial"/>
          <w:sz w:val="24"/>
          <w:szCs w:val="24"/>
        </w:rPr>
      </w:pPr>
      <w:r w:rsidRPr="009E64CC">
        <w:rPr>
          <w:rFonts w:ascii="Arial" w:hAnsi="Arial" w:cs="Arial"/>
          <w:sz w:val="24"/>
          <w:szCs w:val="24"/>
        </w:rPr>
        <w:t>Globalisation creates both scale opportunities and coordination risks. Primark’s presence across multiple countries requires common brand and supplier expectations, while local teams need to respond to different customer preferences, employment rules and shopping habits. A culture that combines shared principles with local learning is more likely to sustain expansion than one that treats every market as identical. ABF reports 473 Primark stores across 17 countries for 2025, illustrating the complexity of maintaining standards across a geographically dispersed estate (ABF, 2025a).</w:t>
      </w:r>
    </w:p>
    <w:p w:rsidR="003906A1" w:rsidRPr="009E64CC" w:rsidRDefault="00591980">
      <w:pPr>
        <w:jc w:val="both"/>
        <w:rPr>
          <w:rFonts w:ascii="Arial" w:hAnsi="Arial" w:cs="Arial"/>
          <w:sz w:val="24"/>
          <w:szCs w:val="24"/>
        </w:rPr>
      </w:pPr>
      <w:r w:rsidRPr="009E64CC">
        <w:rPr>
          <w:rFonts w:ascii="Arial" w:hAnsi="Arial" w:cs="Arial"/>
          <w:sz w:val="24"/>
          <w:szCs w:val="24"/>
        </w:rPr>
        <w:t>Ethical sourcing is a particularly important external pressure because a retailer’s reputation depends partly on conditions in supply chains beyond its direct control. ABF reported that Primark conducted more than 2,400 social audits in supplier factories during calendar year 2024, with most audits unannounced, supported by a team of more than 130 people across ten key sourcing markets (ABF, 2025a). These measures indicate a formal control system. Nevertheless, audits are snapshots and do not automatically demonstrate that worker concerns are resolved or that conditions remain acceptable between visits. An effective culture should encourage suppliers and workers to report problems without fear and should reward remediation, not simply completion of audit procedures.</w:t>
      </w:r>
    </w:p>
    <w:p w:rsidR="003906A1" w:rsidRPr="009E64CC" w:rsidRDefault="00591980">
      <w:pPr>
        <w:jc w:val="both"/>
        <w:rPr>
          <w:rFonts w:ascii="Arial" w:hAnsi="Arial" w:cs="Arial"/>
          <w:sz w:val="24"/>
          <w:szCs w:val="24"/>
        </w:rPr>
      </w:pPr>
      <w:r w:rsidRPr="009E64CC">
        <w:rPr>
          <w:rFonts w:ascii="Arial" w:hAnsi="Arial" w:cs="Arial"/>
          <w:sz w:val="24"/>
          <w:szCs w:val="24"/>
        </w:rPr>
        <w:t xml:space="preserve">Environmental expectations also challenge the traditional economics of inexpensive fashion. Primark’s 2024/25 reporting states that 74% of clothing units sold contained recycled or more sustainably sourced materials, compared with 66% in 2023/24, and describes progress in circular design and emissions reduction (Primark, 2025; ABF, 2025a). These are meaningful indicators of activity, but they should be interpreted alongside absolute impacts, product volumes, durability and the pace of improvement required. A sustainability culture </w:t>
      </w:r>
      <w:r w:rsidRPr="009E64CC">
        <w:rPr>
          <w:rFonts w:ascii="Arial" w:hAnsi="Arial" w:cs="Arial"/>
          <w:sz w:val="24"/>
          <w:szCs w:val="24"/>
        </w:rPr>
        <w:lastRenderedPageBreak/>
        <w:t>becomes credible when it influences product design, purchasing decisions, supplier relationships and employee incentives, rather than existing only as a communications programme.</w:t>
      </w:r>
    </w:p>
    <w:p w:rsidR="003906A1" w:rsidRPr="0048485E" w:rsidRDefault="00591980">
      <w:pPr>
        <w:pStyle w:val="Heading1"/>
        <w:rPr>
          <w:sz w:val="32"/>
          <w:szCs w:val="32"/>
        </w:rPr>
      </w:pPr>
      <w:bookmarkStart w:id="10" w:name="_Toc242779423"/>
      <w:r w:rsidRPr="0048485E">
        <w:rPr>
          <w:sz w:val="32"/>
          <w:szCs w:val="32"/>
        </w:rPr>
        <w:t>6. Organisational Culture as a Barrier or Enabler</w:t>
      </w:r>
      <w:bookmarkEnd w:id="10"/>
    </w:p>
    <w:p w:rsidR="003906A1" w:rsidRPr="009E64CC" w:rsidRDefault="00591980">
      <w:pPr>
        <w:jc w:val="both"/>
        <w:rPr>
          <w:rFonts w:ascii="Arial" w:hAnsi="Arial" w:cs="Arial"/>
          <w:sz w:val="24"/>
          <w:szCs w:val="24"/>
        </w:rPr>
      </w:pPr>
      <w:r w:rsidRPr="009E64CC">
        <w:rPr>
          <w:rFonts w:ascii="Arial" w:hAnsi="Arial" w:cs="Arial"/>
          <w:sz w:val="24"/>
          <w:szCs w:val="24"/>
        </w:rPr>
        <w:t>Primark’s culture can be an enabler when shared priorities reduce ambiguity and help thousands of employees coordinate activity. Clear expectations about customer value, stock availability, presentation and operating standards can support reliable execution. A strong culture may also help employees understand how their work contributes to the wider proposition, while common ethical and sustainability principles can guide decisions across functions and countries. Barney (1986) argues that culture can contribute to sustained competitive advantage when it is valuable, distinctive and difficult for competitors to imitate. Primark’s combination of brand recognition, sourcing scale and operational routines may be harder to replicate than any single procedure.</w:t>
      </w:r>
    </w:p>
    <w:p w:rsidR="003906A1" w:rsidRPr="009E64CC" w:rsidRDefault="00591980">
      <w:pPr>
        <w:jc w:val="both"/>
        <w:rPr>
          <w:rFonts w:ascii="Arial" w:hAnsi="Arial" w:cs="Arial"/>
          <w:sz w:val="24"/>
          <w:szCs w:val="24"/>
        </w:rPr>
      </w:pPr>
      <w:r w:rsidRPr="009E64CC">
        <w:rPr>
          <w:rFonts w:ascii="Arial" w:hAnsi="Arial" w:cs="Arial"/>
          <w:sz w:val="24"/>
          <w:szCs w:val="24"/>
        </w:rPr>
        <w:t>However, culture becomes a barrier when it is too uniform, punitive or narrowly focused. If employees believe that raising concerns will be seen as disloyal or that sales targets always outrank other considerations, important information may be withheld. If local managers are expected to deliver results but lack authority to adjust staffing or respond to local conditions, responsibility and control become misaligned. A strong culture can also preserve outdated assumptions: what once supported low-cost growth may be less effective when customers and regulators demand greater transparency and environmental responsibility.</w:t>
      </w:r>
    </w:p>
    <w:p w:rsidR="003906A1" w:rsidRPr="009E64CC" w:rsidRDefault="00591980">
      <w:pPr>
        <w:jc w:val="both"/>
        <w:rPr>
          <w:rFonts w:ascii="Arial" w:hAnsi="Arial" w:cs="Arial"/>
          <w:sz w:val="24"/>
          <w:szCs w:val="24"/>
        </w:rPr>
      </w:pPr>
      <w:r w:rsidRPr="009E64CC">
        <w:rPr>
          <w:rFonts w:ascii="Arial" w:hAnsi="Arial" w:cs="Arial"/>
          <w:sz w:val="24"/>
          <w:szCs w:val="24"/>
        </w:rPr>
        <w:t xml:space="preserve">The distinction between strong and healthy culture is therefore important. A strong culture creates consistent expectations; a healthy culture also permits constructive disagreement, learning and adaptation. Martin (2002) cautions that organisational culture is not necessarily unified: different groups may interpret organisational values differently or experience competing cultural messages. Primark’s store colleagues, head-office teams and supply-chain partners may </w:t>
      </w:r>
      <w:r w:rsidRPr="009E64CC">
        <w:rPr>
          <w:rFonts w:ascii="Arial" w:hAnsi="Arial" w:cs="Arial"/>
          <w:sz w:val="24"/>
          <w:szCs w:val="24"/>
        </w:rPr>
        <w:lastRenderedPageBreak/>
        <w:t>face different pressures, so a single corporate narrative should not be assumed to describe all experiences.</w:t>
      </w:r>
    </w:p>
    <w:p w:rsidR="003906A1" w:rsidRPr="009E64CC" w:rsidRDefault="00591980">
      <w:pPr>
        <w:jc w:val="both"/>
        <w:rPr>
          <w:rFonts w:ascii="Arial" w:hAnsi="Arial" w:cs="Arial"/>
          <w:sz w:val="24"/>
          <w:szCs w:val="24"/>
        </w:rPr>
      </w:pPr>
      <w:r w:rsidRPr="009E64CC">
        <w:rPr>
          <w:rFonts w:ascii="Arial" w:hAnsi="Arial" w:cs="Arial"/>
          <w:sz w:val="24"/>
          <w:szCs w:val="24"/>
        </w:rPr>
        <w:t>The overall judgement is that culture is currently more likely to be an enabler of operational coordination and cost competitiveness, but it can become a barrier if performance pressure weakens employee voice or if formal commitments are not reflected in daily decisions. Public reporting provides evidence of systems and stated commitments, but insufficient evidence to conclude that every cultural risk has been resolved. The appropriate response is not to weaken operational discipline; it is to broaden the definition of good performance so that customer value, employee wellbeing, ethical practice and environmental progress are treated as mutually reinforcing responsibilities.</w:t>
      </w:r>
    </w:p>
    <w:p w:rsidR="003906A1" w:rsidRPr="0048485E" w:rsidRDefault="00591980">
      <w:pPr>
        <w:pStyle w:val="Heading1"/>
        <w:rPr>
          <w:sz w:val="32"/>
          <w:szCs w:val="32"/>
        </w:rPr>
      </w:pPr>
      <w:bookmarkStart w:id="11" w:name="_Toc242779424"/>
      <w:r w:rsidRPr="0048485E">
        <w:rPr>
          <w:sz w:val="32"/>
          <w:szCs w:val="32"/>
        </w:rPr>
        <w:t>7. Impact of Culture on Organisational Performance and Recommendations</w:t>
      </w:r>
      <w:bookmarkEnd w:id="11"/>
    </w:p>
    <w:tbl>
      <w:tblPr>
        <w:tblStyle w:val="TableGrid"/>
        <w:tblW w:w="0" w:type="auto"/>
        <w:jc w:val="center"/>
        <w:tblLook w:val="04A0"/>
      </w:tblPr>
      <w:tblGrid>
        <w:gridCol w:w="2880"/>
        <w:gridCol w:w="2880"/>
        <w:gridCol w:w="2880"/>
      </w:tblGrid>
      <w:tr w:rsidR="00C45962">
        <w:trPr>
          <w:jc w:val="center"/>
        </w:trPr>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FY2025 indicator</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Reported figure</w:t>
            </w:r>
          </w:p>
        </w:tc>
        <w:tc>
          <w:tcPr>
            <w:tcW w:w="2880" w:type="dxa"/>
            <w:shd w:val="clear" w:color="auto" w:fill="D9E6F2"/>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Interpretation / caution</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Revenue</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£9.489bn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Shows scale; culture alone cannot explain results.</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Adjusted operating profit</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£1.126bn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Indicates profitability within a wider</w:t>
            </w:r>
            <w:r w:rsidRPr="0048485E">
              <w:rPr>
                <w:rFonts w:ascii="Arial" w:hAnsi="Arial" w:cs="Arial"/>
                <w:sz w:val="24"/>
                <w:szCs w:val="24"/>
              </w:rPr>
              <w:t xml:space="preserve"> business context.</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Adjusted operating profit margin</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11.9%</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Compare with prior years and relevant sector peers.</w:t>
            </w:r>
          </w:p>
        </w:tc>
      </w:tr>
      <w:tr w:rsidR="00C45962">
        <w:trPr>
          <w:jc w:val="center"/>
        </w:trPr>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Like-for-like sales change</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−2.3%</w:t>
            </w:r>
          </w:p>
        </w:tc>
        <w:tc>
          <w:tcPr>
            <w:tcW w:w="2880" w:type="dxa"/>
            <w:vAlign w:val="center"/>
          </w:tcPr>
          <w:p w:rsidR="00C45962" w:rsidRPr="0048485E" w:rsidRDefault="0057106E">
            <w:pPr>
              <w:spacing w:after="40"/>
              <w:rPr>
                <w:rFonts w:ascii="Arial" w:hAnsi="Arial" w:cs="Arial"/>
                <w:sz w:val="24"/>
                <w:szCs w:val="24"/>
              </w:rPr>
            </w:pPr>
            <w:r w:rsidRPr="0048485E">
              <w:rPr>
                <w:rFonts w:ascii="Arial" w:hAnsi="Arial" w:cs="Arial"/>
                <w:sz w:val="24"/>
                <w:szCs w:val="24"/>
              </w:rPr>
              <w:t>Existing-store sales were weaker despite overall revenue growth.</w:t>
            </w:r>
          </w:p>
        </w:tc>
      </w:tr>
    </w:tbl>
    <w:p w:rsidR="0048485E" w:rsidRDefault="0048485E">
      <w:pPr>
        <w:jc w:val="both"/>
        <w:rPr>
          <w:rFonts w:ascii="Arial" w:hAnsi="Arial" w:cs="Arial"/>
          <w:sz w:val="24"/>
          <w:szCs w:val="24"/>
        </w:rPr>
      </w:pPr>
    </w:p>
    <w:p w:rsidR="003906A1" w:rsidRPr="009E64CC" w:rsidRDefault="00591980">
      <w:pPr>
        <w:jc w:val="both"/>
        <w:rPr>
          <w:rFonts w:ascii="Arial" w:hAnsi="Arial" w:cs="Arial"/>
          <w:sz w:val="24"/>
          <w:szCs w:val="24"/>
        </w:rPr>
      </w:pPr>
      <w:r w:rsidRPr="009E64CC">
        <w:rPr>
          <w:rFonts w:ascii="Arial" w:hAnsi="Arial" w:cs="Arial"/>
          <w:sz w:val="24"/>
          <w:szCs w:val="24"/>
        </w:rPr>
        <w:lastRenderedPageBreak/>
        <w:t>Culture may affect financial results through employee behaviour, execution quality, customer experience, innovation, risk management and reputation. Hartnell, Ou and Kinicki (2011) found in a meta-analysis that cultural types were differentially associated with employee attitudes, operational performance and financial performance. Liu, Tsui and Kianto (2021) similarly found a positive relationship between knowledge-friendly culture and overall, financial and non-financial performance. These studies support a relationship between culture and outcomes, but they do not establish that culture alone causes performance: strategy, market conditions, investment, leadership and operating systems also matter.</w:t>
      </w:r>
    </w:p>
    <w:p w:rsidR="003906A1" w:rsidRPr="009E64CC" w:rsidRDefault="00591980">
      <w:pPr>
        <w:jc w:val="both"/>
        <w:rPr>
          <w:rFonts w:ascii="Arial" w:hAnsi="Arial" w:cs="Arial"/>
          <w:sz w:val="24"/>
          <w:szCs w:val="24"/>
        </w:rPr>
      </w:pPr>
      <w:r w:rsidRPr="009E64CC">
        <w:rPr>
          <w:rFonts w:ascii="Arial" w:hAnsi="Arial" w:cs="Arial"/>
          <w:sz w:val="24"/>
          <w:szCs w:val="24"/>
        </w:rPr>
        <w:t>Primark’s 2025 results show revenue of £9.489 billion and adjusted operating profit of £1.126 billion, with a reported adjusted operating profit margin of 11.9%. Revenue increased by 1% in the year, while like-for-like sales declined by 2.3%; store rollout contributed to growth (ABF, 2025a). These results suggest that the scale and operating model continue to generate substantial sales and profit, but also that growth is not uniform across existing stores. It would be inaccurate to attribute these outcomes solely to culture. They reflect the interaction of store expansion, pricing, customer demand, product mix, costs and broader economic conditions.</w:t>
      </w:r>
    </w:p>
    <w:p w:rsidR="003906A1" w:rsidRPr="0048485E" w:rsidRDefault="0048485E">
      <w:pPr>
        <w:pStyle w:val="Heading2"/>
        <w:rPr>
          <w:sz w:val="32"/>
          <w:szCs w:val="32"/>
        </w:rPr>
      </w:pPr>
      <w:bookmarkStart w:id="12" w:name="_Toc242779425"/>
      <w:r w:rsidRPr="0048485E">
        <w:rPr>
          <w:sz w:val="32"/>
          <w:szCs w:val="32"/>
        </w:rPr>
        <w:lastRenderedPageBreak/>
        <w:t xml:space="preserve">8. </w:t>
      </w:r>
      <w:r w:rsidR="00591980" w:rsidRPr="0048485E">
        <w:rPr>
          <w:sz w:val="32"/>
          <w:szCs w:val="32"/>
        </w:rPr>
        <w:t>Recommendations</w:t>
      </w:r>
      <w:bookmarkEnd w:id="12"/>
    </w:p>
    <w:p w:rsidR="00C45962" w:rsidRDefault="0057106E">
      <w:pPr>
        <w:jc w:val="center"/>
      </w:pPr>
      <w:r>
        <w:rPr>
          <w:noProof/>
        </w:rPr>
        <w:drawing>
          <wp:inline distT="0" distB="0" distL="0" distR="0">
            <wp:extent cx="5303520" cy="30227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k_performance.png"/>
                    <pic:cNvPicPr/>
                  </pic:nvPicPr>
                  <pic:blipFill>
                    <a:blip r:embed="rId9"/>
                    <a:stretch>
                      <a:fillRect/>
                    </a:stretch>
                  </pic:blipFill>
                  <pic:spPr>
                    <a:xfrm>
                      <a:off x="0" y="0"/>
                      <a:ext cx="5303520" cy="3022753"/>
                    </a:xfrm>
                    <a:prstGeom prst="rect">
                      <a:avLst/>
                    </a:prstGeom>
                  </pic:spPr>
                </pic:pic>
              </a:graphicData>
            </a:graphic>
          </wp:inline>
        </w:drawing>
      </w:r>
    </w:p>
    <w:p w:rsidR="00C45962" w:rsidRDefault="0057106E">
      <w:pPr>
        <w:jc w:val="center"/>
      </w:pPr>
      <w:r>
        <w:rPr>
          <w:i/>
          <w:sz w:val="18"/>
        </w:rPr>
        <w:t>Figure 2. Selected Primark FY2025 indicators (source: ABF, 2025a). Units differ, so bar heights are not directly comparable.</w:t>
      </w:r>
    </w:p>
    <w:p w:rsidR="003906A1" w:rsidRPr="00247255" w:rsidRDefault="00591980">
      <w:pPr>
        <w:jc w:val="both"/>
        <w:rPr>
          <w:rFonts w:ascii="Arial" w:hAnsi="Arial" w:cs="Arial"/>
          <w:sz w:val="24"/>
          <w:szCs w:val="24"/>
        </w:rPr>
      </w:pPr>
      <w:r w:rsidRPr="00247255">
        <w:rPr>
          <w:rFonts w:ascii="Arial" w:hAnsi="Arial" w:cs="Arial"/>
          <w:sz w:val="24"/>
          <w:szCs w:val="24"/>
        </w:rPr>
        <w:t>1. Measure lived culture, not only stated values. Primark should conduct regular, anonymous employee pulse surveys and structured listening sessions across stores, head office and key sourcing markets. Questions should assess workload, psychological safety, manager support, fairness, inclusion and confidence in speaking up. Results should be segmented carefully by role and market, with privacy protections, and managers should publish actions taken in response. This recommendation follows Schein’s distinction between espoused values and underlying assumptions (Schein, 2010).</w:t>
      </w:r>
    </w:p>
    <w:p w:rsidR="003906A1" w:rsidRPr="00247255" w:rsidRDefault="00591980">
      <w:pPr>
        <w:jc w:val="both"/>
        <w:rPr>
          <w:rFonts w:ascii="Arial" w:hAnsi="Arial" w:cs="Arial"/>
          <w:sz w:val="24"/>
          <w:szCs w:val="24"/>
        </w:rPr>
      </w:pPr>
      <w:r w:rsidRPr="00247255">
        <w:rPr>
          <w:rFonts w:ascii="Arial" w:hAnsi="Arial" w:cs="Arial"/>
          <w:sz w:val="24"/>
          <w:szCs w:val="24"/>
        </w:rPr>
        <w:t>2. Balance performance targets with people and responsible-business outcomes. Store and regional scorecards should combine sales, availability and productivity with staff retention, training completion, customer feedback, safety, grievance resolution and relevant sustainability indicators. Measures should be designed to avoid rewarding superficial compliance or encouraging under-reporting. Denison’s model supports a balanced approach in which mission and consistency are complemented by involvement and adaptability (Denison and Mishra, 1995).</w:t>
      </w:r>
    </w:p>
    <w:p w:rsidR="003906A1" w:rsidRPr="00247255" w:rsidRDefault="00591980">
      <w:pPr>
        <w:jc w:val="both"/>
        <w:rPr>
          <w:rFonts w:ascii="Arial" w:hAnsi="Arial" w:cs="Arial"/>
          <w:sz w:val="24"/>
          <w:szCs w:val="24"/>
        </w:rPr>
      </w:pPr>
      <w:r w:rsidRPr="00247255">
        <w:rPr>
          <w:rFonts w:ascii="Arial" w:hAnsi="Arial" w:cs="Arial"/>
          <w:sz w:val="24"/>
          <w:szCs w:val="24"/>
        </w:rPr>
        <w:lastRenderedPageBreak/>
        <w:t>3. Strengthen local decision rights within clear boundaries. Primark should specify which decisions are centralised—such as brand standards, supplier codes and financial controls—and which can be made locally, such as selected customer-service adjustments and local communication. A formal route for store teams to propose changes would help the organisation benefit from frontline knowledge without fragmenting the brand. Pilot schemes should be evaluated against customer outcomes, cost, colleague experience and implementation risk.</w:t>
      </w:r>
    </w:p>
    <w:p w:rsidR="003906A1" w:rsidRPr="00247255" w:rsidRDefault="00591980">
      <w:pPr>
        <w:jc w:val="both"/>
        <w:rPr>
          <w:rFonts w:ascii="Arial" w:hAnsi="Arial" w:cs="Arial"/>
          <w:sz w:val="24"/>
          <w:szCs w:val="24"/>
        </w:rPr>
      </w:pPr>
      <w:r w:rsidRPr="00247255">
        <w:rPr>
          <w:rFonts w:ascii="Arial" w:hAnsi="Arial" w:cs="Arial"/>
          <w:sz w:val="24"/>
          <w:szCs w:val="24"/>
        </w:rPr>
        <w:t>4. Deepen supply-chain worker voice and remediation. Social audits should be complemented by accessible grievance channels, worker interviews, transparent remediation tracking and follow-up checks. Suppliers should be assessed on sustained improvement, not simply passing an audit. Primark should publish progress and limitations in clear language and work with suppliers on root causes such as purchasing practices, lead times and production planning. This would connect ethical commitments to everyday commercial decisions.</w:t>
      </w:r>
    </w:p>
    <w:p w:rsidR="003906A1" w:rsidRPr="00247255" w:rsidRDefault="00591980">
      <w:pPr>
        <w:jc w:val="both"/>
        <w:rPr>
          <w:rFonts w:ascii="Arial" w:hAnsi="Arial" w:cs="Arial"/>
          <w:sz w:val="24"/>
          <w:szCs w:val="24"/>
        </w:rPr>
      </w:pPr>
      <w:r w:rsidRPr="00247255">
        <w:rPr>
          <w:rFonts w:ascii="Arial" w:hAnsi="Arial" w:cs="Arial"/>
          <w:sz w:val="24"/>
          <w:szCs w:val="24"/>
        </w:rPr>
        <w:t>5. Embed sustainability into product and buying decisions. Product teams should use clear circularity, durability and materials criteria from the design stage, supported by training for buyers, designers and suppliers. Progress should be assessed through comparable year-on-year indicators and, where possible, absolute as well as percentage-based measures. This would reduce the risk that sustainability remains separate from the value proposition. Primark’s published progress on preferred materials and circular design provides a foundation, but continued transparent measurement is necessary (Primark, 2025).</w:t>
      </w:r>
    </w:p>
    <w:p w:rsidR="003906A1" w:rsidRPr="00247255" w:rsidRDefault="00591980">
      <w:pPr>
        <w:jc w:val="both"/>
        <w:rPr>
          <w:rFonts w:ascii="Arial" w:hAnsi="Arial" w:cs="Arial"/>
          <w:sz w:val="24"/>
          <w:szCs w:val="24"/>
        </w:rPr>
      </w:pPr>
      <w:r w:rsidRPr="00247255">
        <w:rPr>
          <w:rFonts w:ascii="Arial" w:hAnsi="Arial" w:cs="Arial"/>
          <w:sz w:val="24"/>
          <w:szCs w:val="24"/>
        </w:rPr>
        <w:t>6. Develop inclusive cross-cultural leadership. Managers should be trained to adapt communication, give constructive feedback and handle disagreement across culturally diverse teams. The aim should be shared organisational principles with flexible local practice, not assumptions based on nationality. Hofstede’s framework can prompt questions, but its limitations mean managers should use direct feedback and local evidence rather than stereotypes (Gerlach and Eriksson, 2021).</w:t>
      </w:r>
    </w:p>
    <w:p w:rsidR="003906A1" w:rsidRPr="00247255" w:rsidRDefault="00591980">
      <w:pPr>
        <w:jc w:val="both"/>
        <w:rPr>
          <w:rFonts w:ascii="Arial" w:hAnsi="Arial" w:cs="Arial"/>
          <w:sz w:val="24"/>
          <w:szCs w:val="24"/>
        </w:rPr>
      </w:pPr>
      <w:r w:rsidRPr="00247255">
        <w:rPr>
          <w:rFonts w:ascii="Arial" w:hAnsi="Arial" w:cs="Arial"/>
          <w:sz w:val="24"/>
          <w:szCs w:val="24"/>
        </w:rPr>
        <w:lastRenderedPageBreak/>
        <w:t>Implementation should be phased over 12–18 months. Primark could pilot the combined scorecard and employee listening approach in a representative group of stores, establish baseline measures, evaluate results after six months and scale what works. Responsibility should be shared between retail operations, HR, sustainability and ethical-trade teams. Senior leaders should review progress quarterly and report both improvements and unresolved issues. This makes culture management an ongoing operational process rather than a one-off initiative.</w:t>
      </w:r>
    </w:p>
    <w:p w:rsidR="003906A1" w:rsidRPr="0048485E" w:rsidRDefault="0048485E">
      <w:pPr>
        <w:pStyle w:val="Heading1"/>
        <w:rPr>
          <w:sz w:val="32"/>
          <w:szCs w:val="32"/>
        </w:rPr>
      </w:pPr>
      <w:bookmarkStart w:id="13" w:name="_Toc242779426"/>
      <w:r>
        <w:rPr>
          <w:sz w:val="32"/>
          <w:szCs w:val="32"/>
        </w:rPr>
        <w:t>9</w:t>
      </w:r>
      <w:r w:rsidR="00591980" w:rsidRPr="0048485E">
        <w:rPr>
          <w:sz w:val="32"/>
          <w:szCs w:val="32"/>
        </w:rPr>
        <w:t>. Conclusion</w:t>
      </w:r>
      <w:bookmarkEnd w:id="13"/>
    </w:p>
    <w:tbl>
      <w:tblPr>
        <w:tblStyle w:val="TableGrid"/>
        <w:tblW w:w="0" w:type="auto"/>
        <w:jc w:val="center"/>
        <w:tblLook w:val="04A0"/>
      </w:tblPr>
      <w:tblGrid>
        <w:gridCol w:w="2381"/>
        <w:gridCol w:w="2158"/>
        <w:gridCol w:w="2159"/>
        <w:gridCol w:w="2158"/>
      </w:tblGrid>
      <w:tr w:rsidR="00C45962">
        <w:trPr>
          <w:jc w:val="center"/>
        </w:trPr>
        <w:tc>
          <w:tcPr>
            <w:tcW w:w="2160" w:type="dxa"/>
            <w:shd w:val="clear" w:color="auto" w:fill="D9E6F2"/>
            <w:vAlign w:val="center"/>
          </w:tcPr>
          <w:p w:rsidR="00C45962" w:rsidRPr="0048485E" w:rsidRDefault="0057106E">
            <w:pPr>
              <w:spacing w:after="40"/>
              <w:rPr>
                <w:rFonts w:ascii="Arial" w:hAnsi="Arial" w:cs="Arial"/>
              </w:rPr>
            </w:pPr>
            <w:r w:rsidRPr="0048485E">
              <w:rPr>
                <w:rFonts w:ascii="Arial" w:hAnsi="Arial" w:cs="Arial"/>
              </w:rPr>
              <w:t>Recommendation</w:t>
            </w:r>
          </w:p>
        </w:tc>
        <w:tc>
          <w:tcPr>
            <w:tcW w:w="2160" w:type="dxa"/>
            <w:shd w:val="clear" w:color="auto" w:fill="D9E6F2"/>
            <w:vAlign w:val="center"/>
          </w:tcPr>
          <w:p w:rsidR="00C45962" w:rsidRPr="0048485E" w:rsidRDefault="0057106E">
            <w:pPr>
              <w:spacing w:after="40"/>
              <w:rPr>
                <w:rFonts w:ascii="Arial" w:hAnsi="Arial" w:cs="Arial"/>
              </w:rPr>
            </w:pPr>
            <w:r w:rsidRPr="0048485E">
              <w:rPr>
                <w:rFonts w:ascii="Arial" w:hAnsi="Arial" w:cs="Arial"/>
              </w:rPr>
              <w:t>Lead responsibility</w:t>
            </w:r>
          </w:p>
        </w:tc>
        <w:tc>
          <w:tcPr>
            <w:tcW w:w="2160" w:type="dxa"/>
            <w:shd w:val="clear" w:color="auto" w:fill="D9E6F2"/>
            <w:vAlign w:val="center"/>
          </w:tcPr>
          <w:p w:rsidR="00C45962" w:rsidRPr="0048485E" w:rsidRDefault="0057106E">
            <w:pPr>
              <w:spacing w:after="40"/>
              <w:rPr>
                <w:rFonts w:ascii="Arial" w:hAnsi="Arial" w:cs="Arial"/>
              </w:rPr>
            </w:pPr>
            <w:r w:rsidRPr="0048485E">
              <w:rPr>
                <w:rFonts w:ascii="Arial" w:hAnsi="Arial" w:cs="Arial"/>
              </w:rPr>
              <w:t>Suggested measure</w:t>
            </w:r>
          </w:p>
        </w:tc>
        <w:tc>
          <w:tcPr>
            <w:tcW w:w="2160" w:type="dxa"/>
            <w:shd w:val="clear" w:color="auto" w:fill="D9E6F2"/>
            <w:vAlign w:val="center"/>
          </w:tcPr>
          <w:p w:rsidR="00C45962" w:rsidRPr="0048485E" w:rsidRDefault="0057106E">
            <w:pPr>
              <w:spacing w:after="40"/>
              <w:rPr>
                <w:rFonts w:ascii="Arial" w:hAnsi="Arial" w:cs="Arial"/>
              </w:rPr>
            </w:pPr>
            <w:r w:rsidRPr="0048485E">
              <w:rPr>
                <w:rFonts w:ascii="Arial" w:hAnsi="Arial" w:cs="Arial"/>
              </w:rPr>
              <w:t>Timing</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Employee voice survey</w:t>
            </w:r>
          </w:p>
        </w:tc>
        <w:tc>
          <w:tcPr>
            <w:tcW w:w="2160" w:type="dxa"/>
            <w:vAlign w:val="center"/>
          </w:tcPr>
          <w:p w:rsidR="00C45962" w:rsidRPr="0048485E" w:rsidRDefault="0057106E">
            <w:pPr>
              <w:spacing w:after="40"/>
              <w:rPr>
                <w:rFonts w:ascii="Arial" w:hAnsi="Arial" w:cs="Arial"/>
              </w:rPr>
            </w:pPr>
            <w:r w:rsidRPr="0048485E">
              <w:rPr>
                <w:rFonts w:ascii="Arial" w:hAnsi="Arial" w:cs="Arial"/>
              </w:rPr>
              <w:t>HR and store leadership</w:t>
            </w:r>
          </w:p>
        </w:tc>
        <w:tc>
          <w:tcPr>
            <w:tcW w:w="2160" w:type="dxa"/>
            <w:vAlign w:val="center"/>
          </w:tcPr>
          <w:p w:rsidR="00C45962" w:rsidRPr="0048485E" w:rsidRDefault="0057106E">
            <w:pPr>
              <w:spacing w:after="40"/>
              <w:rPr>
                <w:rFonts w:ascii="Arial" w:hAnsi="Arial" w:cs="Arial"/>
              </w:rPr>
            </w:pPr>
            <w:r w:rsidRPr="0048485E">
              <w:rPr>
                <w:rFonts w:ascii="Arial" w:hAnsi="Arial" w:cs="Arial"/>
              </w:rPr>
              <w:t>Psychological safety; action closure</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1–6</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Balanced scorecard</w:t>
            </w:r>
          </w:p>
        </w:tc>
        <w:tc>
          <w:tcPr>
            <w:tcW w:w="2160" w:type="dxa"/>
            <w:vAlign w:val="center"/>
          </w:tcPr>
          <w:p w:rsidR="00C45962" w:rsidRPr="0048485E" w:rsidRDefault="0057106E">
            <w:pPr>
              <w:spacing w:after="40"/>
              <w:rPr>
                <w:rFonts w:ascii="Arial" w:hAnsi="Arial" w:cs="Arial"/>
              </w:rPr>
            </w:pPr>
            <w:r w:rsidRPr="0048485E">
              <w:rPr>
                <w:rFonts w:ascii="Arial" w:hAnsi="Arial" w:cs="Arial"/>
              </w:rPr>
              <w:t>Retail operations and finance</w:t>
            </w:r>
          </w:p>
        </w:tc>
        <w:tc>
          <w:tcPr>
            <w:tcW w:w="2160" w:type="dxa"/>
            <w:vAlign w:val="center"/>
          </w:tcPr>
          <w:p w:rsidR="00C45962" w:rsidRPr="0048485E" w:rsidRDefault="0057106E">
            <w:pPr>
              <w:spacing w:after="40"/>
              <w:rPr>
                <w:rFonts w:ascii="Arial" w:hAnsi="Arial" w:cs="Arial"/>
              </w:rPr>
            </w:pPr>
            <w:r w:rsidRPr="0048485E">
              <w:rPr>
                <w:rFonts w:ascii="Arial" w:hAnsi="Arial" w:cs="Arial"/>
              </w:rPr>
              <w:t>Sales plus retention, safety, customer and sustainability metrics</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3–9</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Local decision rights</w:t>
            </w:r>
          </w:p>
        </w:tc>
        <w:tc>
          <w:tcPr>
            <w:tcW w:w="2160" w:type="dxa"/>
            <w:vAlign w:val="center"/>
          </w:tcPr>
          <w:p w:rsidR="00C45962" w:rsidRPr="0048485E" w:rsidRDefault="0057106E">
            <w:pPr>
              <w:spacing w:after="40"/>
              <w:rPr>
                <w:rFonts w:ascii="Arial" w:hAnsi="Arial" w:cs="Arial"/>
              </w:rPr>
            </w:pPr>
            <w:r w:rsidRPr="0048485E">
              <w:rPr>
                <w:rFonts w:ascii="Arial" w:hAnsi="Arial" w:cs="Arial"/>
              </w:rPr>
              <w:t xml:space="preserve">Retail </w:t>
            </w:r>
            <w:r w:rsidRPr="0048485E">
              <w:rPr>
                <w:rFonts w:ascii="Arial" w:hAnsi="Arial" w:cs="Arial"/>
              </w:rPr>
              <w:t>leadership</w:t>
            </w:r>
          </w:p>
        </w:tc>
        <w:tc>
          <w:tcPr>
            <w:tcW w:w="2160" w:type="dxa"/>
            <w:vAlign w:val="center"/>
          </w:tcPr>
          <w:p w:rsidR="00C45962" w:rsidRPr="0048485E" w:rsidRDefault="0057106E">
            <w:pPr>
              <w:spacing w:after="40"/>
              <w:rPr>
                <w:rFonts w:ascii="Arial" w:hAnsi="Arial" w:cs="Arial"/>
              </w:rPr>
            </w:pPr>
            <w:r w:rsidRPr="0048485E">
              <w:rPr>
                <w:rFonts w:ascii="Arial" w:hAnsi="Arial" w:cs="Arial"/>
              </w:rPr>
              <w:t>Decision cycle time and pilot outcomes</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3–12</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Supplier grievance/remediation</w:t>
            </w:r>
          </w:p>
        </w:tc>
        <w:tc>
          <w:tcPr>
            <w:tcW w:w="2160" w:type="dxa"/>
            <w:vAlign w:val="center"/>
          </w:tcPr>
          <w:p w:rsidR="00C45962" w:rsidRPr="0048485E" w:rsidRDefault="0057106E">
            <w:pPr>
              <w:spacing w:after="40"/>
              <w:rPr>
                <w:rFonts w:ascii="Arial" w:hAnsi="Arial" w:cs="Arial"/>
              </w:rPr>
            </w:pPr>
            <w:r w:rsidRPr="0048485E">
              <w:rPr>
                <w:rFonts w:ascii="Arial" w:hAnsi="Arial" w:cs="Arial"/>
              </w:rPr>
              <w:t>Ethical trade and sourcing</w:t>
            </w:r>
          </w:p>
        </w:tc>
        <w:tc>
          <w:tcPr>
            <w:tcW w:w="2160" w:type="dxa"/>
            <w:vAlign w:val="center"/>
          </w:tcPr>
          <w:p w:rsidR="00C45962" w:rsidRPr="0048485E" w:rsidRDefault="0057106E">
            <w:pPr>
              <w:spacing w:after="40"/>
              <w:rPr>
                <w:rFonts w:ascii="Arial" w:hAnsi="Arial" w:cs="Arial"/>
              </w:rPr>
            </w:pPr>
            <w:r w:rsidRPr="0048485E">
              <w:rPr>
                <w:rFonts w:ascii="Arial" w:hAnsi="Arial" w:cs="Arial"/>
              </w:rPr>
              <w:t>Resolution time; repeat issues; worker feedback</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1–12</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Sustainability in buying</w:t>
            </w:r>
          </w:p>
        </w:tc>
        <w:tc>
          <w:tcPr>
            <w:tcW w:w="2160" w:type="dxa"/>
            <w:vAlign w:val="center"/>
          </w:tcPr>
          <w:p w:rsidR="00C45962" w:rsidRPr="0048485E" w:rsidRDefault="0057106E">
            <w:pPr>
              <w:spacing w:after="40"/>
              <w:rPr>
                <w:rFonts w:ascii="Arial" w:hAnsi="Arial" w:cs="Arial"/>
              </w:rPr>
            </w:pPr>
            <w:r w:rsidRPr="0048485E">
              <w:rPr>
                <w:rFonts w:ascii="Arial" w:hAnsi="Arial" w:cs="Arial"/>
              </w:rPr>
              <w:t>Buying, design and sustainability</w:t>
            </w:r>
          </w:p>
        </w:tc>
        <w:tc>
          <w:tcPr>
            <w:tcW w:w="2160" w:type="dxa"/>
            <w:vAlign w:val="center"/>
          </w:tcPr>
          <w:p w:rsidR="00C45962" w:rsidRPr="0048485E" w:rsidRDefault="0057106E">
            <w:pPr>
              <w:spacing w:after="40"/>
              <w:rPr>
                <w:rFonts w:ascii="Arial" w:hAnsi="Arial" w:cs="Arial"/>
              </w:rPr>
            </w:pPr>
            <w:r w:rsidRPr="0048485E">
              <w:rPr>
                <w:rFonts w:ascii="Arial" w:hAnsi="Arial" w:cs="Arial"/>
              </w:rPr>
              <w:t>Materials, dura</w:t>
            </w:r>
            <w:r w:rsidRPr="0048485E">
              <w:rPr>
                <w:rFonts w:ascii="Arial" w:hAnsi="Arial" w:cs="Arial"/>
              </w:rPr>
              <w:t>bility and absolute-impact measures</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6–18</w:t>
            </w:r>
          </w:p>
        </w:tc>
      </w:tr>
      <w:tr w:rsidR="00C45962">
        <w:trPr>
          <w:jc w:val="center"/>
        </w:trPr>
        <w:tc>
          <w:tcPr>
            <w:tcW w:w="2160" w:type="dxa"/>
            <w:vAlign w:val="center"/>
          </w:tcPr>
          <w:p w:rsidR="00C45962" w:rsidRPr="0048485E" w:rsidRDefault="0057106E">
            <w:pPr>
              <w:spacing w:after="40"/>
              <w:rPr>
                <w:rFonts w:ascii="Arial" w:hAnsi="Arial" w:cs="Arial"/>
              </w:rPr>
            </w:pPr>
            <w:r w:rsidRPr="0048485E">
              <w:rPr>
                <w:rFonts w:ascii="Arial" w:hAnsi="Arial" w:cs="Arial"/>
              </w:rPr>
              <w:t>Cross-cultural leadership</w:t>
            </w:r>
          </w:p>
        </w:tc>
        <w:tc>
          <w:tcPr>
            <w:tcW w:w="2160" w:type="dxa"/>
            <w:vAlign w:val="center"/>
          </w:tcPr>
          <w:p w:rsidR="00C45962" w:rsidRPr="0048485E" w:rsidRDefault="0057106E">
            <w:pPr>
              <w:spacing w:after="40"/>
              <w:rPr>
                <w:rFonts w:ascii="Arial" w:hAnsi="Arial" w:cs="Arial"/>
              </w:rPr>
            </w:pPr>
            <w:r w:rsidRPr="0048485E">
              <w:rPr>
                <w:rFonts w:ascii="Arial" w:hAnsi="Arial" w:cs="Arial"/>
              </w:rPr>
              <w:t>HR and market leaders</w:t>
            </w:r>
          </w:p>
        </w:tc>
        <w:tc>
          <w:tcPr>
            <w:tcW w:w="2160" w:type="dxa"/>
            <w:vAlign w:val="center"/>
          </w:tcPr>
          <w:p w:rsidR="00C45962" w:rsidRPr="0048485E" w:rsidRDefault="0057106E">
            <w:pPr>
              <w:spacing w:after="40"/>
              <w:rPr>
                <w:rFonts w:ascii="Arial" w:hAnsi="Arial" w:cs="Arial"/>
              </w:rPr>
            </w:pPr>
            <w:r w:rsidRPr="0048485E">
              <w:rPr>
                <w:rFonts w:ascii="Arial" w:hAnsi="Arial" w:cs="Arial"/>
              </w:rPr>
              <w:t>Training completion and employee feedback</w:t>
            </w:r>
          </w:p>
        </w:tc>
        <w:tc>
          <w:tcPr>
            <w:tcW w:w="2160" w:type="dxa"/>
            <w:vAlign w:val="center"/>
          </w:tcPr>
          <w:p w:rsidR="00C45962" w:rsidRPr="0048485E" w:rsidRDefault="0057106E">
            <w:pPr>
              <w:spacing w:after="40"/>
              <w:rPr>
                <w:rFonts w:ascii="Arial" w:hAnsi="Arial" w:cs="Arial"/>
              </w:rPr>
            </w:pPr>
            <w:r w:rsidRPr="0048485E">
              <w:rPr>
                <w:rFonts w:ascii="Arial" w:hAnsi="Arial" w:cs="Arial"/>
              </w:rPr>
              <w:t>Months 6–18</w:t>
            </w:r>
          </w:p>
        </w:tc>
      </w:tr>
    </w:tbl>
    <w:p w:rsidR="003906A1" w:rsidRPr="00247255" w:rsidRDefault="00591980">
      <w:pPr>
        <w:jc w:val="both"/>
        <w:rPr>
          <w:rFonts w:ascii="Arial" w:hAnsi="Arial" w:cs="Arial"/>
          <w:sz w:val="24"/>
          <w:szCs w:val="24"/>
        </w:rPr>
      </w:pPr>
      <w:r w:rsidRPr="00247255">
        <w:rPr>
          <w:rFonts w:ascii="Arial" w:hAnsi="Arial" w:cs="Arial"/>
          <w:sz w:val="24"/>
          <w:szCs w:val="24"/>
        </w:rPr>
        <w:lastRenderedPageBreak/>
        <w:t>Mullins and Christy’s (2016) argument that culture shapes organisational processes is strongly relevant to Primark. The retailer’s value proposition and international scale require coordinated routines, clear priorities and disciplined execution. Schein’s model highlights the difference between visible operating practices, declared values and deeper assumptions; Handy’s typology suggests a hybrid culture with strong role-oriented and task-based elements; and Denison’s framework indicates the importance of balancing consistency and mission with involvement and adaptability.</w:t>
      </w:r>
    </w:p>
    <w:p w:rsidR="003906A1" w:rsidRPr="00247255" w:rsidRDefault="00591980">
      <w:pPr>
        <w:jc w:val="both"/>
        <w:rPr>
          <w:rFonts w:ascii="Arial" w:hAnsi="Arial" w:cs="Arial"/>
          <w:sz w:val="24"/>
          <w:szCs w:val="24"/>
        </w:rPr>
      </w:pPr>
      <w:r w:rsidRPr="00247255">
        <w:rPr>
          <w:rFonts w:ascii="Arial" w:hAnsi="Arial" w:cs="Arial"/>
          <w:sz w:val="24"/>
          <w:szCs w:val="24"/>
        </w:rPr>
        <w:t>Culture appears to enable Primark’s operational coordination and value positioning, but it may constrain effectiveness if short-term targets discourage employee voice, local learning or attention to ethical and environmental risks. Public performance data show substantial revenue and profit, alongside weaker like-for-like sales, but these outcomes cannot be explained by culture alone. The report therefore recommends measuring lived culture, balancing scorecards, clarifying local decision rights, strengthening supply-chain worker voice, embedding sustainability into buying decisions and developing inclusive leadership. These actions would help Primark preserve the benefits of consistency and cost discipline while building a more adaptive and responsible culture.</w:t>
      </w:r>
    </w:p>
    <w:p w:rsidR="009E6CBD" w:rsidRDefault="009E6CBD">
      <w:pPr>
        <w:jc w:val="both"/>
      </w:pPr>
    </w:p>
    <w:p w:rsidR="009E6CBD" w:rsidRDefault="009E6CBD">
      <w:pPr>
        <w:jc w:val="both"/>
      </w:pPr>
    </w:p>
    <w:p w:rsidR="009E6CBD" w:rsidRDefault="009E6CBD">
      <w:pPr>
        <w:jc w:val="both"/>
      </w:pPr>
    </w:p>
    <w:p w:rsidR="009E6CBD" w:rsidRDefault="009E6CBD">
      <w:pPr>
        <w:jc w:val="both"/>
      </w:pPr>
    </w:p>
    <w:p w:rsidR="009E6CBD" w:rsidRDefault="009E6CBD">
      <w:pPr>
        <w:jc w:val="both"/>
      </w:pPr>
    </w:p>
    <w:p w:rsidR="009E6CBD" w:rsidRDefault="009E6CBD">
      <w:pPr>
        <w:jc w:val="both"/>
      </w:pPr>
    </w:p>
    <w:p w:rsidR="009E6CBD" w:rsidRDefault="009E6CBD">
      <w:pPr>
        <w:jc w:val="both"/>
      </w:pPr>
    </w:p>
    <w:p w:rsidR="003906A1" w:rsidRDefault="00591980">
      <w:pPr>
        <w:pStyle w:val="Heading1"/>
      </w:pPr>
      <w:bookmarkStart w:id="14" w:name="_Toc242779427"/>
      <w:r>
        <w:lastRenderedPageBreak/>
        <w:t>References</w:t>
      </w:r>
      <w:bookmarkEnd w:id="14"/>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Associated British Foods plc (ABF) (2025a) Annual Report 2025. Available at: https://www.abf.co.uk/investors/annual-report-2025 (Accessed: 13 October 2026).</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Barney, J.B. (1986) ‘Organizational culture: can it be a source of sustained competitive advantage?’, Academy of Management Review, 11(3), pp. 656–665. doi: 10.5465/amr.1986.4306261.</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Burns, T. and Stalker, G.M. (1961) The Management of Innovation. 2nd edn. London: Tavistock Publications.</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Denison, D.R. and Mishra, A.K. (1995) ‘Toward a theory of organizational culture and effectiveness’, Organization Science, 6(2), pp. 204–223. doi: 10.1287/orsc.6.2.204.</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Handy, C. (1993) Understanding Organizations. 4th edn. London: Penguin Books.</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Hartnell, C.A., Ou, A.Y. and Kinicki, A. (2011) ‘Organizational culture and organizational effectiveness: a meta-analytic investigation of the competing values framework’s theoretical suppositions’, Journal of Applied Psychology, 96(4), pp. 677–694. doi: 10.1037/a0021987.</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Hofstede, G., Hofstede, G.J. and Minkov, M. (2010) Cultures and Organizations: Software of the Mind. 3rd edn. New York: McGraw-Hill.</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Liu, G., Tsui, E. and Kianto, A. (2021) ‘Knowledge-friendly organisational culture and performance: a meta-analysis’, Journal of Business Research, 134, pp. 738–753. doi: 10.1016/j.jbusres.2021.05.048.</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Martin, J. (2002) Organizational Culture: Mapping the Terrain. Thousand Oaks, CA: Sage Publications.</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Mintzberg, H. (1983) Structure in Fives: Designing Effective Organizations. Englewood Cliffs, NJ: Prentice-Hall.</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Gerlach, P. and Eriksson, K. (2021) ‘Measuring cultural dimensions: external validity and internal consistency of Hofstede’s VSM 2013 scales’, Frontiers in Psychology, 12, article 662604. doi: 10.3389/fpsyg.2021.662604.</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Mullins, L. and Christy, G. (2016) Management and Organisational Behaviour. 11th edn. Harlow: Pearson Education Limited.</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Primark (2025) Sustainability and Ethics Progress Report 2024/25. Available at: https://corporate.primark.com/en-gb/policies-and-reports/reports (Accessed: 13 October 2026).</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lastRenderedPageBreak/>
        <w:t>Schein, E.H. (2010) Organizational Culture and Leadership. 4th edn. San Francisco: Jossey-Bass.</w:t>
      </w:r>
    </w:p>
    <w:p w:rsidR="003906A1" w:rsidRPr="00247255" w:rsidRDefault="00591980">
      <w:pPr>
        <w:spacing w:line="276" w:lineRule="auto"/>
        <w:ind w:left="432" w:hanging="432"/>
        <w:rPr>
          <w:rFonts w:ascii="Arial" w:hAnsi="Arial" w:cs="Arial"/>
          <w:sz w:val="24"/>
          <w:szCs w:val="24"/>
        </w:rPr>
      </w:pPr>
      <w:r w:rsidRPr="00247255">
        <w:rPr>
          <w:rFonts w:ascii="Arial" w:hAnsi="Arial" w:cs="Arial"/>
          <w:sz w:val="24"/>
          <w:szCs w:val="24"/>
        </w:rPr>
        <w:t>Associated British Foods plc (ABF) (2025b) ‘Retail’. Available at: https://www.abf.co.uk/our-businesses/retail (Accessed: 13 October 2026).</w:t>
      </w:r>
    </w:p>
    <w:p w:rsidR="003906A1" w:rsidRDefault="003906A1" w:rsidP="0048485E">
      <w:pPr>
        <w:pStyle w:val="Heading1"/>
      </w:pPr>
    </w:p>
    <w:sectPr w:rsidR="003906A1" w:rsidSect="00034616">
      <w:footerReference w:type="default" r:id="rId10"/>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106E" w:rsidRDefault="0057106E" w:rsidP="003906A1">
      <w:pPr>
        <w:spacing w:after="0" w:line="240" w:lineRule="auto"/>
      </w:pPr>
      <w:r>
        <w:separator/>
      </w:r>
    </w:p>
  </w:endnote>
  <w:endnote w:type="continuationSeparator" w:id="0">
    <w:p w:rsidR="0057106E" w:rsidRDefault="0057106E" w:rsidP="003906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06A1" w:rsidRDefault="00C45962">
    <w:pPr>
      <w:pStyle w:val="Footer"/>
      <w:jc w:val="center"/>
    </w:pPr>
    <w:r>
      <w:fldChar w:fldCharType="begin"/>
    </w:r>
    <w:r w:rsidR="00591980">
      <w:instrText xml:space="preserve"> PAGE </w:instrText>
    </w:r>
    <w:r>
      <w:fldChar w:fldCharType="separate"/>
    </w:r>
    <w:r w:rsidR="004E7B99">
      <w:rPr>
        <w:noProof/>
      </w:rPr>
      <w:t>16</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106E" w:rsidRDefault="0057106E" w:rsidP="003906A1">
      <w:pPr>
        <w:spacing w:after="0" w:line="240" w:lineRule="auto"/>
      </w:pPr>
      <w:r>
        <w:separator/>
      </w:r>
    </w:p>
  </w:footnote>
  <w:footnote w:type="continuationSeparator" w:id="0">
    <w:p w:rsidR="0057106E" w:rsidRDefault="0057106E" w:rsidP="003906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nsid w:val="34F60028"/>
    <w:multiLevelType w:val="hybridMultilevel"/>
    <w:tmpl w:val="43882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32F5188"/>
    <w:multiLevelType w:val="hybridMultilevel"/>
    <w:tmpl w:val="5C9429A0"/>
    <w:lvl w:ilvl="0" w:tplc="1EDADC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2"/>
  </w:num>
  <w:num w:numId="12">
    <w:abstractNumId w:val="11"/>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FELayout/>
  </w:compat>
  <w:rsids>
    <w:rsidRoot w:val="00B47730"/>
    <w:rsid w:val="00034616"/>
    <w:rsid w:val="0006063C"/>
    <w:rsid w:val="00106EFE"/>
    <w:rsid w:val="0015074B"/>
    <w:rsid w:val="00181308"/>
    <w:rsid w:val="001C78F2"/>
    <w:rsid w:val="001D4623"/>
    <w:rsid w:val="001E4DC8"/>
    <w:rsid w:val="00247255"/>
    <w:rsid w:val="0029639D"/>
    <w:rsid w:val="002F5ED1"/>
    <w:rsid w:val="00326F90"/>
    <w:rsid w:val="00376D76"/>
    <w:rsid w:val="003906A1"/>
    <w:rsid w:val="004424B8"/>
    <w:rsid w:val="0048485E"/>
    <w:rsid w:val="004E7B99"/>
    <w:rsid w:val="0057106E"/>
    <w:rsid w:val="0057191B"/>
    <w:rsid w:val="00591980"/>
    <w:rsid w:val="005A3305"/>
    <w:rsid w:val="005D2B11"/>
    <w:rsid w:val="005D44EA"/>
    <w:rsid w:val="008901D2"/>
    <w:rsid w:val="008C311C"/>
    <w:rsid w:val="008E3F5F"/>
    <w:rsid w:val="009A214C"/>
    <w:rsid w:val="009E64CC"/>
    <w:rsid w:val="009E6CBD"/>
    <w:rsid w:val="00A6490D"/>
    <w:rsid w:val="00A976B5"/>
    <w:rsid w:val="00AA1D8D"/>
    <w:rsid w:val="00AB345F"/>
    <w:rsid w:val="00B47730"/>
    <w:rsid w:val="00BA0F32"/>
    <w:rsid w:val="00BA6A61"/>
    <w:rsid w:val="00C45962"/>
    <w:rsid w:val="00CB0664"/>
    <w:rsid w:val="00CC2928"/>
    <w:rsid w:val="00CD6DF9"/>
    <w:rsid w:val="00D24423"/>
    <w:rsid w:val="00D53181"/>
    <w:rsid w:val="00D87F62"/>
    <w:rsid w:val="00EA0218"/>
    <w:rsid w:val="00EB17D7"/>
    <w:rsid w:val="00EC2A14"/>
    <w:rsid w:val="00EF7819"/>
    <w:rsid w:val="00F915C1"/>
    <w:rsid w:val="00FC693F"/>
    <w:rsid w:val="00FE532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360" w:lineRule="auto"/>
    </w:pPr>
    <w:rPr>
      <w:rFonts w:ascii="Times New Roman" w:eastAsia="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TOC1">
    <w:name w:val="toc 1"/>
    <w:basedOn w:val="Normal"/>
    <w:next w:val="Normal"/>
    <w:autoRedefine/>
    <w:uiPriority w:val="39"/>
    <w:unhideWhenUsed/>
    <w:rsid w:val="00106EFE"/>
    <w:pPr>
      <w:spacing w:after="100"/>
    </w:pPr>
  </w:style>
  <w:style w:type="paragraph" w:styleId="TOC2">
    <w:name w:val="toc 2"/>
    <w:basedOn w:val="Normal"/>
    <w:next w:val="Normal"/>
    <w:autoRedefine/>
    <w:uiPriority w:val="39"/>
    <w:unhideWhenUsed/>
    <w:rsid w:val="00106EFE"/>
    <w:pPr>
      <w:spacing w:after="100"/>
      <w:ind w:left="220"/>
    </w:pPr>
  </w:style>
  <w:style w:type="character" w:styleId="Hyperlink">
    <w:name w:val="Hyperlink"/>
    <w:basedOn w:val="DefaultParagraphFont"/>
    <w:uiPriority w:val="99"/>
    <w:unhideWhenUsed/>
    <w:rsid w:val="00106EFE"/>
    <w:rPr>
      <w:color w:val="0000FF" w:themeColor="hyperlink"/>
      <w:u w:val="single"/>
    </w:rPr>
  </w:style>
  <w:style w:type="paragraph" w:styleId="BalloonText">
    <w:name w:val="Balloon Text"/>
    <w:basedOn w:val="Normal"/>
    <w:link w:val="BalloonTextChar"/>
    <w:uiPriority w:val="99"/>
    <w:semiHidden/>
    <w:unhideWhenUsed/>
    <w:rsid w:val="00106E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EFE"/>
    <w:rPr>
      <w:rFonts w:ascii="Tahoma" w:eastAsia="Times New Roman" w:hAnsi="Tahoma" w:cs="Tahoma"/>
      <w:sz w:val="16"/>
      <w:szCs w:val="16"/>
    </w:rPr>
  </w:style>
  <w:style w:type="paragraph" w:customStyle="1" w:styleId="paragraph">
    <w:name w:val="paragraph"/>
    <w:basedOn w:val="Normal"/>
    <w:rsid w:val="009E64CC"/>
    <w:pPr>
      <w:spacing w:before="100" w:beforeAutospacing="1" w:after="100" w:afterAutospacing="1" w:line="240" w:lineRule="auto"/>
    </w:pPr>
    <w:rPr>
      <w:rFonts w:cs="Times New Roman"/>
      <w:sz w:val="24"/>
      <w:szCs w:val="24"/>
    </w:rPr>
  </w:style>
  <w:style w:type="character" w:customStyle="1" w:styleId="normaltextrun">
    <w:name w:val="normaltextrun"/>
    <w:basedOn w:val="DefaultParagraphFont"/>
    <w:rsid w:val="009E64CC"/>
  </w:style>
  <w:style w:type="character" w:customStyle="1" w:styleId="eop">
    <w:name w:val="eop"/>
    <w:basedOn w:val="DefaultParagraphFont"/>
    <w:rsid w:val="009E64CC"/>
  </w:style>
  <w:style w:type="character" w:customStyle="1" w:styleId="NoSpacingChar">
    <w:name w:val="No Spacing Char"/>
    <w:basedOn w:val="DefaultParagraphFont"/>
    <w:link w:val="NoSpacing"/>
    <w:uiPriority w:val="1"/>
    <w:rsid w:val="009E64CC"/>
  </w:style>
</w:styles>
</file>

<file path=word/webSettings.xml><?xml version="1.0" encoding="utf-8"?>
<w:webSettings xmlns:r="http://schemas.openxmlformats.org/officeDocument/2006/relationships" xmlns:w="http://schemas.openxmlformats.org/wordprocessingml/2006/main">
  <w:divs>
    <w:div w:id="2077589458">
      <w:bodyDiv w:val="1"/>
      <w:marLeft w:val="0"/>
      <w:marRight w:val="0"/>
      <w:marTop w:val="0"/>
      <w:marBottom w:val="0"/>
      <w:divBdr>
        <w:top w:val="none" w:sz="0" w:space="0" w:color="auto"/>
        <w:left w:val="none" w:sz="0" w:space="0" w:color="auto"/>
        <w:bottom w:val="none" w:sz="0" w:space="0" w:color="auto"/>
        <w:right w:val="none" w:sz="0" w:space="0" w:color="auto"/>
      </w:divBdr>
      <w:divsChild>
        <w:div w:id="324624028">
          <w:marLeft w:val="0"/>
          <w:marRight w:val="0"/>
          <w:marTop w:val="0"/>
          <w:marBottom w:val="0"/>
          <w:divBdr>
            <w:top w:val="none" w:sz="0" w:space="0" w:color="auto"/>
            <w:left w:val="none" w:sz="0" w:space="0" w:color="auto"/>
            <w:bottom w:val="none" w:sz="0" w:space="0" w:color="auto"/>
            <w:right w:val="none" w:sz="0" w:space="0" w:color="auto"/>
          </w:divBdr>
        </w:div>
        <w:div w:id="452480995">
          <w:marLeft w:val="0"/>
          <w:marRight w:val="0"/>
          <w:marTop w:val="0"/>
          <w:marBottom w:val="0"/>
          <w:divBdr>
            <w:top w:val="none" w:sz="0" w:space="0" w:color="auto"/>
            <w:left w:val="none" w:sz="0" w:space="0" w:color="auto"/>
            <w:bottom w:val="none" w:sz="0" w:space="0" w:color="auto"/>
            <w:right w:val="none" w:sz="0" w:space="0" w:color="auto"/>
          </w:divBdr>
        </w:div>
        <w:div w:id="1622805326">
          <w:marLeft w:val="0"/>
          <w:marRight w:val="0"/>
          <w:marTop w:val="0"/>
          <w:marBottom w:val="0"/>
          <w:divBdr>
            <w:top w:val="none" w:sz="0" w:space="0" w:color="auto"/>
            <w:left w:val="none" w:sz="0" w:space="0" w:color="auto"/>
            <w:bottom w:val="none" w:sz="0" w:space="0" w:color="auto"/>
            <w:right w:val="none" w:sz="0" w:space="0" w:color="auto"/>
          </w:divBdr>
        </w:div>
        <w:div w:id="1007707867">
          <w:marLeft w:val="0"/>
          <w:marRight w:val="0"/>
          <w:marTop w:val="0"/>
          <w:marBottom w:val="0"/>
          <w:divBdr>
            <w:top w:val="none" w:sz="0" w:space="0" w:color="auto"/>
            <w:left w:val="none" w:sz="0" w:space="0" w:color="auto"/>
            <w:bottom w:val="none" w:sz="0" w:space="0" w:color="auto"/>
            <w:right w:val="none" w:sz="0" w:space="0" w:color="auto"/>
          </w:divBdr>
        </w:div>
        <w:div w:id="420029692">
          <w:marLeft w:val="0"/>
          <w:marRight w:val="0"/>
          <w:marTop w:val="0"/>
          <w:marBottom w:val="0"/>
          <w:divBdr>
            <w:top w:val="none" w:sz="0" w:space="0" w:color="auto"/>
            <w:left w:val="none" w:sz="0" w:space="0" w:color="auto"/>
            <w:bottom w:val="none" w:sz="0" w:space="0" w:color="auto"/>
            <w:right w:val="none" w:sz="0" w:space="0" w:color="auto"/>
          </w:divBdr>
        </w:div>
        <w:div w:id="1578782270">
          <w:marLeft w:val="0"/>
          <w:marRight w:val="0"/>
          <w:marTop w:val="0"/>
          <w:marBottom w:val="0"/>
          <w:divBdr>
            <w:top w:val="none" w:sz="0" w:space="0" w:color="auto"/>
            <w:left w:val="none" w:sz="0" w:space="0" w:color="auto"/>
            <w:bottom w:val="none" w:sz="0" w:space="0" w:color="auto"/>
            <w:right w:val="none" w:sz="0" w:space="0" w:color="auto"/>
          </w:divBdr>
        </w:div>
        <w:div w:id="836727203">
          <w:marLeft w:val="0"/>
          <w:marRight w:val="0"/>
          <w:marTop w:val="0"/>
          <w:marBottom w:val="0"/>
          <w:divBdr>
            <w:top w:val="none" w:sz="0" w:space="0" w:color="auto"/>
            <w:left w:val="none" w:sz="0" w:space="0" w:color="auto"/>
            <w:bottom w:val="none" w:sz="0" w:space="0" w:color="auto"/>
            <w:right w:val="none" w:sz="0" w:space="0" w:color="auto"/>
          </w:divBdr>
        </w:div>
        <w:div w:id="346909079">
          <w:marLeft w:val="0"/>
          <w:marRight w:val="0"/>
          <w:marTop w:val="0"/>
          <w:marBottom w:val="0"/>
          <w:divBdr>
            <w:top w:val="none" w:sz="0" w:space="0" w:color="auto"/>
            <w:left w:val="none" w:sz="0" w:space="0" w:color="auto"/>
            <w:bottom w:val="none" w:sz="0" w:space="0" w:color="auto"/>
            <w:right w:val="none" w:sz="0" w:space="0" w:color="auto"/>
          </w:divBdr>
        </w:div>
        <w:div w:id="1643731301">
          <w:marLeft w:val="0"/>
          <w:marRight w:val="0"/>
          <w:marTop w:val="0"/>
          <w:marBottom w:val="0"/>
          <w:divBdr>
            <w:top w:val="none" w:sz="0" w:space="0" w:color="auto"/>
            <w:left w:val="none" w:sz="0" w:space="0" w:color="auto"/>
            <w:bottom w:val="none" w:sz="0" w:space="0" w:color="auto"/>
            <w:right w:val="none" w:sz="0" w:space="0" w:color="auto"/>
          </w:divBdr>
        </w:div>
        <w:div w:id="212547083">
          <w:marLeft w:val="0"/>
          <w:marRight w:val="0"/>
          <w:marTop w:val="0"/>
          <w:marBottom w:val="0"/>
          <w:divBdr>
            <w:top w:val="none" w:sz="0" w:space="0" w:color="auto"/>
            <w:left w:val="none" w:sz="0" w:space="0" w:color="auto"/>
            <w:bottom w:val="none" w:sz="0" w:space="0" w:color="auto"/>
            <w:right w:val="none" w:sz="0" w:space="0" w:color="auto"/>
          </w:divBdr>
        </w:div>
        <w:div w:id="1286740306">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B2805E-A74D-4631-927D-A81553470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4821</Words>
  <Characters>27482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32239</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Mihaela</cp:lastModifiedBy>
  <cp:revision>3</cp:revision>
  <dcterms:created xsi:type="dcterms:W3CDTF">2026-10-21T21:24:00Z</dcterms:created>
  <dcterms:modified xsi:type="dcterms:W3CDTF">2026-10-21T21:27:00Z</dcterms:modified>
</cp:coreProperties>
</file>