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B9F88" w14:textId="77777777" w:rsidR="00FD197F" w:rsidRDefault="00000000">
      <w:pPr>
        <w:spacing w:line="360" w:lineRule="auto"/>
      </w:pPr>
      <w:r>
        <w:rPr>
          <w:noProof/>
          <w:sz w:val="22"/>
        </w:rPr>
        <w:drawing>
          <wp:anchor distT="0" distB="0" distL="114300" distR="114300" simplePos="0" relativeHeight="251659264" behindDoc="0" locked="0" layoutInCell="1" allowOverlap="1" wp14:anchorId="7A192C8A" wp14:editId="32CE9834">
            <wp:simplePos x="0" y="0"/>
            <wp:positionH relativeFrom="column">
              <wp:posOffset>0</wp:posOffset>
            </wp:positionH>
            <wp:positionV relativeFrom="paragraph">
              <wp:posOffset>292095</wp:posOffset>
            </wp:positionV>
            <wp:extent cx="1809753" cy="723903"/>
            <wp:effectExtent l="0" t="0" r="6347" b="0"/>
            <wp:wrapSquare wrapText="bothSides"/>
            <wp:docPr id="173905150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09753" cy="723903"/>
                    </a:xfrm>
                    <a:prstGeom prst="rect">
                      <a:avLst/>
                    </a:prstGeom>
                    <a:noFill/>
                    <a:ln>
                      <a:noFill/>
                      <a:prstDash/>
                    </a:ln>
                  </pic:spPr>
                </pic:pic>
              </a:graphicData>
            </a:graphic>
          </wp:anchor>
        </w:drawing>
      </w:r>
    </w:p>
    <w:p w14:paraId="4AC41BFE" w14:textId="77777777" w:rsidR="00FD197F" w:rsidRDefault="00FD197F">
      <w:pPr>
        <w:spacing w:line="360" w:lineRule="auto"/>
        <w:rPr>
          <w:sz w:val="22"/>
        </w:rPr>
      </w:pPr>
    </w:p>
    <w:p w14:paraId="6072B537" w14:textId="77777777" w:rsidR="00FD197F" w:rsidRDefault="00FD197F">
      <w:pPr>
        <w:spacing w:line="360" w:lineRule="auto"/>
        <w:rPr>
          <w:sz w:val="22"/>
        </w:rPr>
      </w:pPr>
    </w:p>
    <w:p w14:paraId="2B9EE5EF" w14:textId="77777777" w:rsidR="00FD197F" w:rsidRDefault="00FD197F">
      <w:pPr>
        <w:spacing w:line="360" w:lineRule="auto"/>
        <w:rPr>
          <w:sz w:val="22"/>
        </w:rPr>
      </w:pPr>
    </w:p>
    <w:p w14:paraId="09E7CB55" w14:textId="77777777" w:rsidR="00FD197F" w:rsidRDefault="00FD197F">
      <w:pPr>
        <w:tabs>
          <w:tab w:val="left" w:pos="6540"/>
        </w:tabs>
        <w:spacing w:line="360" w:lineRule="auto"/>
        <w:rPr>
          <w:sz w:val="22"/>
        </w:rPr>
      </w:pPr>
    </w:p>
    <w:p w14:paraId="423E6700" w14:textId="77777777" w:rsidR="0049249A" w:rsidRDefault="0049249A">
      <w:pPr>
        <w:tabs>
          <w:tab w:val="left" w:pos="6540"/>
        </w:tabs>
        <w:spacing w:line="360" w:lineRule="auto"/>
        <w:rPr>
          <w:rFonts w:ascii="Arial" w:hAnsi="Arial" w:cs="Arial"/>
          <w:b/>
          <w:bCs/>
          <w:sz w:val="28"/>
          <w:szCs w:val="28"/>
        </w:rPr>
      </w:pPr>
    </w:p>
    <w:p w14:paraId="461D5202" w14:textId="77777777" w:rsidR="0049249A" w:rsidRDefault="0049249A">
      <w:pPr>
        <w:tabs>
          <w:tab w:val="left" w:pos="6540"/>
        </w:tabs>
        <w:spacing w:line="360" w:lineRule="auto"/>
        <w:rPr>
          <w:rFonts w:ascii="Arial" w:hAnsi="Arial" w:cs="Arial"/>
          <w:b/>
          <w:bCs/>
          <w:sz w:val="28"/>
          <w:szCs w:val="28"/>
        </w:rPr>
      </w:pPr>
    </w:p>
    <w:p w14:paraId="4458EE1F" w14:textId="77777777" w:rsidR="0049249A" w:rsidRDefault="0049249A">
      <w:pPr>
        <w:tabs>
          <w:tab w:val="left" w:pos="6540"/>
        </w:tabs>
        <w:spacing w:line="360" w:lineRule="auto"/>
        <w:rPr>
          <w:rFonts w:ascii="Arial" w:hAnsi="Arial" w:cs="Arial"/>
          <w:b/>
          <w:bCs/>
          <w:sz w:val="28"/>
          <w:szCs w:val="28"/>
        </w:rPr>
      </w:pPr>
    </w:p>
    <w:p w14:paraId="1C7036A0" w14:textId="6DDFF8CE" w:rsidR="00FD197F" w:rsidRDefault="00000000">
      <w:pPr>
        <w:tabs>
          <w:tab w:val="left" w:pos="6540"/>
        </w:tabs>
        <w:spacing w:line="360" w:lineRule="auto"/>
      </w:pPr>
      <w:r>
        <w:rPr>
          <w:rFonts w:ascii="Arial" w:hAnsi="Arial" w:cs="Arial"/>
          <w:b/>
          <w:bCs/>
          <w:sz w:val="28"/>
          <w:szCs w:val="28"/>
        </w:rPr>
        <w:t>Module name</w:t>
      </w:r>
      <w:r>
        <w:rPr>
          <w:rFonts w:ascii="Arial" w:hAnsi="Arial" w:cs="Arial"/>
          <w:sz w:val="28"/>
          <w:szCs w:val="28"/>
        </w:rPr>
        <w:t xml:space="preserve">: </w:t>
      </w:r>
      <w:r>
        <w:rPr>
          <w:rFonts w:ascii="Arial" w:hAnsi="Arial" w:cs="Arial"/>
          <w:b/>
          <w:bCs/>
          <w:sz w:val="28"/>
          <w:szCs w:val="28"/>
        </w:rPr>
        <w:t>Introduction to Independent Research Skills.</w:t>
      </w:r>
    </w:p>
    <w:p w14:paraId="17EC5B30" w14:textId="77777777" w:rsidR="00FD197F" w:rsidRDefault="00000000">
      <w:pPr>
        <w:tabs>
          <w:tab w:val="left" w:pos="6540"/>
        </w:tabs>
        <w:spacing w:line="360" w:lineRule="auto"/>
      </w:pPr>
      <w:r>
        <w:rPr>
          <w:rFonts w:ascii="Arial" w:hAnsi="Arial" w:cs="Arial"/>
          <w:b/>
          <w:bCs/>
          <w:sz w:val="28"/>
          <w:szCs w:val="28"/>
        </w:rPr>
        <w:t>Module code</w:t>
      </w:r>
      <w:r>
        <w:rPr>
          <w:rFonts w:ascii="Arial" w:hAnsi="Arial" w:cs="Arial"/>
          <w:sz w:val="28"/>
          <w:szCs w:val="28"/>
        </w:rPr>
        <w:t>:</w:t>
      </w:r>
      <w:r>
        <w:rPr>
          <w:rFonts w:ascii="Segoe UI" w:hAnsi="Segoe UI" w:cs="Segoe UI"/>
          <w:b/>
          <w:bCs/>
          <w:color w:val="FFFFFF"/>
          <w:kern w:val="3"/>
          <w:sz w:val="48"/>
          <w:szCs w:val="48"/>
        </w:rPr>
        <w:t xml:space="preserve"> </w:t>
      </w:r>
      <w:r>
        <w:rPr>
          <w:rFonts w:ascii="Arial" w:hAnsi="Arial" w:cs="Arial"/>
          <w:b/>
          <w:bCs/>
          <w:sz w:val="28"/>
          <w:szCs w:val="28"/>
        </w:rPr>
        <w:t>(BMHP5019_LON)</w:t>
      </w:r>
    </w:p>
    <w:p w14:paraId="617309B7" w14:textId="6C455B3D" w:rsidR="00FD197F" w:rsidRDefault="00000000">
      <w:pPr>
        <w:tabs>
          <w:tab w:val="left" w:pos="6540"/>
        </w:tabs>
        <w:spacing w:line="360" w:lineRule="auto"/>
      </w:pPr>
      <w:r>
        <w:rPr>
          <w:rFonts w:ascii="Arial" w:hAnsi="Arial" w:cs="Arial"/>
          <w:b/>
          <w:bCs/>
          <w:sz w:val="28"/>
          <w:szCs w:val="28"/>
        </w:rPr>
        <w:t>Student name</w:t>
      </w:r>
      <w:r>
        <w:rPr>
          <w:rFonts w:ascii="Arial" w:hAnsi="Arial" w:cs="Arial"/>
          <w:sz w:val="28"/>
          <w:szCs w:val="28"/>
        </w:rPr>
        <w:t xml:space="preserve">: Esmael </w:t>
      </w:r>
      <w:r w:rsidR="001A1F17">
        <w:rPr>
          <w:rFonts w:ascii="Arial" w:hAnsi="Arial" w:cs="Arial"/>
          <w:sz w:val="28"/>
          <w:szCs w:val="28"/>
        </w:rPr>
        <w:t>K</w:t>
      </w:r>
      <w:r>
        <w:rPr>
          <w:rFonts w:ascii="Arial" w:hAnsi="Arial" w:cs="Arial"/>
          <w:sz w:val="28"/>
          <w:szCs w:val="28"/>
        </w:rPr>
        <w:t>isomose</w:t>
      </w:r>
    </w:p>
    <w:p w14:paraId="1548A40C" w14:textId="77777777" w:rsidR="00FD197F" w:rsidRDefault="00000000">
      <w:pPr>
        <w:tabs>
          <w:tab w:val="left" w:pos="6540"/>
        </w:tabs>
        <w:spacing w:line="360" w:lineRule="auto"/>
      </w:pPr>
      <w:r>
        <w:rPr>
          <w:rFonts w:ascii="Arial" w:hAnsi="Arial" w:cs="Arial"/>
          <w:b/>
          <w:bCs/>
          <w:sz w:val="28"/>
          <w:szCs w:val="28"/>
        </w:rPr>
        <w:t>Student ID</w:t>
      </w:r>
      <w:r>
        <w:rPr>
          <w:rFonts w:ascii="Arial" w:hAnsi="Arial" w:cs="Arial"/>
          <w:sz w:val="28"/>
          <w:szCs w:val="28"/>
        </w:rPr>
        <w:t>:2336882</w:t>
      </w:r>
    </w:p>
    <w:p w14:paraId="1ECA2FC9" w14:textId="77777777" w:rsidR="00FD197F" w:rsidRDefault="00000000">
      <w:pPr>
        <w:tabs>
          <w:tab w:val="left" w:pos="6540"/>
        </w:tabs>
        <w:spacing w:line="360" w:lineRule="auto"/>
      </w:pPr>
      <w:r>
        <w:rPr>
          <w:rFonts w:ascii="Arial" w:hAnsi="Arial" w:cs="Arial"/>
          <w:b/>
          <w:bCs/>
          <w:sz w:val="28"/>
          <w:szCs w:val="28"/>
        </w:rPr>
        <w:t>Lecture:</w:t>
      </w:r>
      <w:r>
        <w:rPr>
          <w:rFonts w:ascii="Segoe UI" w:hAnsi="Segoe UI" w:cs="Segoe UI"/>
          <w:b/>
          <w:bCs/>
          <w:color w:val="1D2125"/>
          <w:sz w:val="36"/>
          <w:szCs w:val="36"/>
          <w:shd w:val="clear" w:color="auto" w:fill="FFFFFF"/>
        </w:rPr>
        <w:t xml:space="preserve"> </w:t>
      </w:r>
      <w:r>
        <w:rPr>
          <w:rFonts w:ascii="Arial" w:hAnsi="Arial" w:cs="Arial"/>
          <w:b/>
          <w:bCs/>
          <w:sz w:val="28"/>
          <w:szCs w:val="28"/>
        </w:rPr>
        <w:t>Bianca Sanfilippo</w:t>
      </w:r>
    </w:p>
    <w:p w14:paraId="4D97FA2D" w14:textId="77777777" w:rsidR="00FD197F" w:rsidRDefault="00FD197F">
      <w:pPr>
        <w:rPr>
          <w:b/>
          <w:bCs/>
        </w:rPr>
      </w:pPr>
    </w:p>
    <w:p w14:paraId="5A65671D" w14:textId="77777777" w:rsidR="00FD197F" w:rsidRDefault="00FD197F" w:rsidP="009F1D93">
      <w:pPr>
        <w:spacing w:line="360" w:lineRule="auto"/>
        <w:rPr>
          <w:rFonts w:ascii="Arial" w:hAnsi="Arial" w:cs="Arial"/>
          <w:b/>
          <w:bCs/>
          <w:sz w:val="22"/>
          <w:szCs w:val="22"/>
        </w:rPr>
      </w:pPr>
    </w:p>
    <w:p w14:paraId="34C4DAE9" w14:textId="77777777" w:rsidR="0049249A" w:rsidRDefault="0049249A" w:rsidP="009F1D93">
      <w:pPr>
        <w:spacing w:line="360" w:lineRule="auto"/>
        <w:rPr>
          <w:rFonts w:ascii="Arial" w:hAnsi="Arial" w:cs="Arial"/>
          <w:b/>
          <w:bCs/>
          <w:sz w:val="22"/>
          <w:szCs w:val="22"/>
        </w:rPr>
      </w:pPr>
    </w:p>
    <w:p w14:paraId="7CC7DC91" w14:textId="77777777" w:rsidR="0049249A" w:rsidRDefault="0049249A" w:rsidP="009F1D93">
      <w:pPr>
        <w:spacing w:line="360" w:lineRule="auto"/>
        <w:rPr>
          <w:rFonts w:ascii="Arial" w:hAnsi="Arial" w:cs="Arial"/>
          <w:b/>
          <w:bCs/>
          <w:sz w:val="22"/>
          <w:szCs w:val="22"/>
        </w:rPr>
      </w:pPr>
    </w:p>
    <w:p w14:paraId="4A0788BE" w14:textId="77777777" w:rsidR="0049249A" w:rsidRPr="009F1D93" w:rsidRDefault="0049249A" w:rsidP="009F1D93">
      <w:pPr>
        <w:spacing w:line="360" w:lineRule="auto"/>
        <w:rPr>
          <w:rFonts w:ascii="Arial" w:hAnsi="Arial" w:cs="Arial"/>
          <w:b/>
          <w:bCs/>
          <w:sz w:val="22"/>
          <w:szCs w:val="22"/>
        </w:rPr>
      </w:pPr>
    </w:p>
    <w:p w14:paraId="7F31AA68" w14:textId="70DEDA63" w:rsidR="00FD197F" w:rsidRPr="0049249A" w:rsidRDefault="00000000" w:rsidP="0049249A">
      <w:pPr>
        <w:spacing w:line="360" w:lineRule="auto"/>
        <w:jc w:val="center"/>
        <w:rPr>
          <w:rFonts w:ascii="Arial" w:hAnsi="Arial" w:cs="Arial"/>
          <w:b/>
          <w:bCs/>
          <w:sz w:val="32"/>
          <w:szCs w:val="32"/>
        </w:rPr>
      </w:pPr>
      <w:r w:rsidRPr="0049249A">
        <w:rPr>
          <w:rFonts w:ascii="Arial" w:hAnsi="Arial" w:cs="Arial"/>
          <w:b/>
          <w:bCs/>
          <w:sz w:val="32"/>
          <w:szCs w:val="32"/>
        </w:rPr>
        <w:t xml:space="preserve">Mental </w:t>
      </w:r>
      <w:r w:rsidR="00E640F0" w:rsidRPr="0049249A">
        <w:rPr>
          <w:rFonts w:ascii="Arial" w:hAnsi="Arial" w:cs="Arial"/>
          <w:b/>
          <w:bCs/>
          <w:sz w:val="32"/>
          <w:szCs w:val="32"/>
        </w:rPr>
        <w:t>H</w:t>
      </w:r>
      <w:r w:rsidRPr="0049249A">
        <w:rPr>
          <w:rFonts w:ascii="Arial" w:hAnsi="Arial" w:cs="Arial"/>
          <w:b/>
          <w:bCs/>
          <w:sz w:val="32"/>
          <w:szCs w:val="32"/>
        </w:rPr>
        <w:t>ealth in Adolescent</w:t>
      </w:r>
      <w:r w:rsidR="00E640F0" w:rsidRPr="0049249A">
        <w:rPr>
          <w:rFonts w:ascii="Arial" w:hAnsi="Arial" w:cs="Arial"/>
          <w:b/>
          <w:bCs/>
          <w:sz w:val="32"/>
          <w:szCs w:val="32"/>
        </w:rPr>
        <w:t>s</w:t>
      </w:r>
      <w:r w:rsidRPr="0049249A">
        <w:rPr>
          <w:rFonts w:ascii="Arial" w:hAnsi="Arial" w:cs="Arial"/>
          <w:b/>
          <w:bCs/>
          <w:sz w:val="32"/>
          <w:szCs w:val="32"/>
        </w:rPr>
        <w:t xml:space="preserve"> in the </w:t>
      </w:r>
      <w:r w:rsidR="00E640F0" w:rsidRPr="0049249A">
        <w:rPr>
          <w:rFonts w:ascii="Arial" w:hAnsi="Arial" w:cs="Arial"/>
          <w:b/>
          <w:bCs/>
          <w:sz w:val="32"/>
          <w:szCs w:val="32"/>
        </w:rPr>
        <w:t>UK</w:t>
      </w:r>
    </w:p>
    <w:p w14:paraId="230B420A" w14:textId="77777777" w:rsidR="00F95B30" w:rsidRDefault="00F95B30" w:rsidP="009F1D93">
      <w:pPr>
        <w:spacing w:line="360" w:lineRule="auto"/>
        <w:rPr>
          <w:rFonts w:ascii="Arial" w:hAnsi="Arial" w:cs="Arial"/>
          <w:b/>
          <w:bCs/>
          <w:sz w:val="22"/>
          <w:szCs w:val="22"/>
        </w:rPr>
      </w:pPr>
    </w:p>
    <w:p w14:paraId="1FB4F64F" w14:textId="77777777" w:rsidR="00F95B30" w:rsidRDefault="00F95B30" w:rsidP="009F1D93">
      <w:pPr>
        <w:spacing w:line="360" w:lineRule="auto"/>
        <w:rPr>
          <w:rFonts w:ascii="Arial" w:hAnsi="Arial" w:cs="Arial"/>
          <w:b/>
          <w:bCs/>
          <w:sz w:val="22"/>
          <w:szCs w:val="22"/>
        </w:rPr>
      </w:pPr>
    </w:p>
    <w:p w14:paraId="200A7094" w14:textId="77777777" w:rsidR="00F95B30" w:rsidRDefault="00F95B30" w:rsidP="009F1D93">
      <w:pPr>
        <w:spacing w:line="360" w:lineRule="auto"/>
        <w:rPr>
          <w:rFonts w:ascii="Arial" w:hAnsi="Arial" w:cs="Arial"/>
          <w:b/>
          <w:bCs/>
          <w:sz w:val="22"/>
          <w:szCs w:val="22"/>
        </w:rPr>
      </w:pPr>
    </w:p>
    <w:p w14:paraId="1149065A" w14:textId="77777777" w:rsidR="00F95B30" w:rsidRDefault="00F95B30" w:rsidP="009F1D93">
      <w:pPr>
        <w:spacing w:line="360" w:lineRule="auto"/>
        <w:rPr>
          <w:rFonts w:ascii="Arial" w:hAnsi="Arial" w:cs="Arial"/>
          <w:b/>
          <w:bCs/>
          <w:sz w:val="22"/>
          <w:szCs w:val="22"/>
        </w:rPr>
      </w:pPr>
    </w:p>
    <w:p w14:paraId="50126645" w14:textId="77777777" w:rsidR="00F95B30" w:rsidRDefault="00F95B30" w:rsidP="009F1D93">
      <w:pPr>
        <w:spacing w:line="360" w:lineRule="auto"/>
        <w:rPr>
          <w:rFonts w:ascii="Arial" w:hAnsi="Arial" w:cs="Arial"/>
          <w:b/>
          <w:bCs/>
          <w:sz w:val="22"/>
          <w:szCs w:val="22"/>
        </w:rPr>
      </w:pPr>
    </w:p>
    <w:p w14:paraId="7502B358" w14:textId="77777777" w:rsidR="00F95B30" w:rsidRDefault="00F95B30" w:rsidP="009F1D93">
      <w:pPr>
        <w:spacing w:line="360" w:lineRule="auto"/>
        <w:rPr>
          <w:rFonts w:ascii="Arial" w:hAnsi="Arial" w:cs="Arial"/>
          <w:b/>
          <w:bCs/>
          <w:sz w:val="22"/>
          <w:szCs w:val="22"/>
        </w:rPr>
      </w:pPr>
    </w:p>
    <w:p w14:paraId="3CB815E0" w14:textId="77777777" w:rsidR="00F95B30" w:rsidRDefault="00F95B30" w:rsidP="009F1D93">
      <w:pPr>
        <w:spacing w:line="360" w:lineRule="auto"/>
        <w:rPr>
          <w:rFonts w:ascii="Arial" w:hAnsi="Arial" w:cs="Arial"/>
          <w:b/>
          <w:bCs/>
          <w:sz w:val="22"/>
          <w:szCs w:val="22"/>
        </w:rPr>
      </w:pPr>
    </w:p>
    <w:p w14:paraId="1DCF0C4D" w14:textId="77777777" w:rsidR="00F95B30" w:rsidRDefault="00F95B30" w:rsidP="009F1D93">
      <w:pPr>
        <w:spacing w:line="360" w:lineRule="auto"/>
        <w:rPr>
          <w:rFonts w:ascii="Arial" w:hAnsi="Arial" w:cs="Arial"/>
          <w:b/>
          <w:bCs/>
          <w:sz w:val="22"/>
          <w:szCs w:val="22"/>
        </w:rPr>
      </w:pPr>
    </w:p>
    <w:p w14:paraId="466EBF88" w14:textId="77777777" w:rsidR="00F95B30" w:rsidRDefault="00F95B30" w:rsidP="009F1D93">
      <w:pPr>
        <w:spacing w:line="360" w:lineRule="auto"/>
        <w:rPr>
          <w:rFonts w:ascii="Arial" w:hAnsi="Arial" w:cs="Arial"/>
          <w:b/>
          <w:bCs/>
          <w:sz w:val="22"/>
          <w:szCs w:val="22"/>
        </w:rPr>
      </w:pPr>
    </w:p>
    <w:p w14:paraId="75CAA997" w14:textId="77777777" w:rsidR="00F95B30" w:rsidRDefault="00F95B30" w:rsidP="009F1D93">
      <w:pPr>
        <w:spacing w:line="360" w:lineRule="auto"/>
        <w:rPr>
          <w:rFonts w:ascii="Arial" w:hAnsi="Arial" w:cs="Arial"/>
          <w:b/>
          <w:bCs/>
          <w:sz w:val="22"/>
          <w:szCs w:val="22"/>
        </w:rPr>
      </w:pPr>
    </w:p>
    <w:p w14:paraId="71EA0948" w14:textId="77777777" w:rsidR="00F95B30" w:rsidRDefault="00F95B30" w:rsidP="009F1D93">
      <w:pPr>
        <w:spacing w:line="360" w:lineRule="auto"/>
        <w:rPr>
          <w:rFonts w:ascii="Arial" w:hAnsi="Arial" w:cs="Arial"/>
          <w:b/>
          <w:bCs/>
          <w:sz w:val="22"/>
          <w:szCs w:val="22"/>
        </w:rPr>
      </w:pPr>
    </w:p>
    <w:p w14:paraId="688BEBE9" w14:textId="77777777" w:rsidR="00F95B30" w:rsidRDefault="00F95B30" w:rsidP="009F1D93">
      <w:pPr>
        <w:spacing w:line="360" w:lineRule="auto"/>
        <w:rPr>
          <w:rFonts w:ascii="Arial" w:hAnsi="Arial" w:cs="Arial"/>
          <w:b/>
          <w:bCs/>
          <w:sz w:val="22"/>
          <w:szCs w:val="22"/>
        </w:rPr>
      </w:pPr>
    </w:p>
    <w:p w14:paraId="4EF6C3A7" w14:textId="77777777" w:rsidR="00F95B30" w:rsidRDefault="00F95B30" w:rsidP="009F1D93">
      <w:pPr>
        <w:spacing w:line="360" w:lineRule="auto"/>
        <w:rPr>
          <w:rFonts w:ascii="Arial" w:hAnsi="Arial" w:cs="Arial"/>
          <w:b/>
          <w:bCs/>
          <w:sz w:val="22"/>
          <w:szCs w:val="22"/>
        </w:rPr>
      </w:pPr>
    </w:p>
    <w:p w14:paraId="40717810" w14:textId="77777777" w:rsidR="00F95B30" w:rsidRDefault="00F95B30" w:rsidP="009F1D93">
      <w:pPr>
        <w:spacing w:line="360" w:lineRule="auto"/>
        <w:rPr>
          <w:rFonts w:ascii="Arial" w:hAnsi="Arial" w:cs="Arial"/>
          <w:b/>
          <w:bCs/>
          <w:sz w:val="22"/>
          <w:szCs w:val="22"/>
        </w:rPr>
      </w:pPr>
    </w:p>
    <w:p w14:paraId="1C2017AB" w14:textId="77777777" w:rsidR="00F95B30" w:rsidRDefault="00F95B30" w:rsidP="009F1D93">
      <w:pPr>
        <w:spacing w:line="360" w:lineRule="auto"/>
        <w:rPr>
          <w:rFonts w:ascii="Arial" w:hAnsi="Arial" w:cs="Arial"/>
          <w:b/>
          <w:bCs/>
          <w:sz w:val="22"/>
          <w:szCs w:val="22"/>
        </w:rPr>
      </w:pPr>
    </w:p>
    <w:p w14:paraId="178EF542" w14:textId="77777777" w:rsidR="00F95B30" w:rsidRDefault="00F95B30" w:rsidP="009F1D93">
      <w:pPr>
        <w:spacing w:line="360" w:lineRule="auto"/>
        <w:rPr>
          <w:rFonts w:ascii="Arial" w:hAnsi="Arial" w:cs="Arial"/>
          <w:b/>
          <w:bCs/>
          <w:sz w:val="22"/>
          <w:szCs w:val="22"/>
        </w:rPr>
      </w:pPr>
    </w:p>
    <w:p w14:paraId="21CB2C97" w14:textId="77777777" w:rsidR="00F95B30" w:rsidRDefault="00F95B30" w:rsidP="009F1D93">
      <w:pPr>
        <w:spacing w:line="360" w:lineRule="auto"/>
        <w:rPr>
          <w:rFonts w:ascii="Arial" w:hAnsi="Arial" w:cs="Arial"/>
          <w:b/>
          <w:bCs/>
          <w:sz w:val="22"/>
          <w:szCs w:val="22"/>
        </w:rPr>
      </w:pPr>
    </w:p>
    <w:p w14:paraId="150BF4A7" w14:textId="77777777" w:rsidR="00F95B30" w:rsidRDefault="00F95B30" w:rsidP="009F1D93">
      <w:pPr>
        <w:spacing w:line="360" w:lineRule="auto"/>
        <w:rPr>
          <w:rFonts w:ascii="Arial" w:hAnsi="Arial" w:cs="Arial"/>
          <w:b/>
          <w:bCs/>
          <w:sz w:val="22"/>
          <w:szCs w:val="22"/>
        </w:rPr>
      </w:pPr>
    </w:p>
    <w:p w14:paraId="77F7B6F4" w14:textId="77777777" w:rsidR="00F95B30" w:rsidRDefault="00F95B30" w:rsidP="009F1D93">
      <w:pPr>
        <w:spacing w:line="360" w:lineRule="auto"/>
        <w:rPr>
          <w:rFonts w:ascii="Arial" w:hAnsi="Arial" w:cs="Arial"/>
          <w:b/>
          <w:bCs/>
          <w:sz w:val="22"/>
          <w:szCs w:val="22"/>
        </w:rPr>
      </w:pPr>
    </w:p>
    <w:p w14:paraId="33C96D75" w14:textId="77777777" w:rsidR="00F95B30" w:rsidRDefault="00F95B30" w:rsidP="009F1D93">
      <w:pPr>
        <w:spacing w:line="360" w:lineRule="auto"/>
        <w:rPr>
          <w:rFonts w:ascii="Arial" w:hAnsi="Arial" w:cs="Arial"/>
          <w:b/>
          <w:bCs/>
          <w:sz w:val="22"/>
          <w:szCs w:val="22"/>
        </w:rPr>
      </w:pPr>
    </w:p>
    <w:p w14:paraId="2A63243A" w14:textId="77777777" w:rsidR="00F95B30" w:rsidRDefault="00F95B30" w:rsidP="009F1D93">
      <w:pPr>
        <w:spacing w:line="360" w:lineRule="auto"/>
        <w:rPr>
          <w:rFonts w:ascii="Arial" w:hAnsi="Arial" w:cs="Arial"/>
          <w:b/>
          <w:bCs/>
          <w:sz w:val="22"/>
          <w:szCs w:val="22"/>
        </w:rPr>
      </w:pPr>
    </w:p>
    <w:p w14:paraId="780CF7C8" w14:textId="77777777" w:rsidR="00F95B30" w:rsidRDefault="00F95B30" w:rsidP="009F1D93">
      <w:pPr>
        <w:spacing w:line="360" w:lineRule="auto"/>
        <w:rPr>
          <w:rFonts w:ascii="Arial" w:hAnsi="Arial" w:cs="Arial"/>
          <w:b/>
          <w:bCs/>
          <w:sz w:val="22"/>
          <w:szCs w:val="22"/>
        </w:rPr>
      </w:pPr>
    </w:p>
    <w:p w14:paraId="0DA95797" w14:textId="77777777" w:rsidR="00F95B30" w:rsidRPr="00F95B30" w:rsidRDefault="00F95B30" w:rsidP="00F95B30">
      <w:pPr>
        <w:spacing w:line="360" w:lineRule="auto"/>
        <w:rPr>
          <w:rFonts w:ascii="Arial" w:hAnsi="Arial" w:cs="Arial"/>
          <w:b/>
          <w:bCs/>
          <w:sz w:val="22"/>
          <w:szCs w:val="22"/>
        </w:rPr>
      </w:pPr>
      <w:r w:rsidRPr="00F95B30">
        <w:rPr>
          <w:rFonts w:ascii="Arial" w:hAnsi="Arial" w:cs="Arial"/>
          <w:b/>
          <w:bCs/>
          <w:sz w:val="22"/>
          <w:szCs w:val="22"/>
        </w:rPr>
        <w:t>Abstract</w:t>
      </w:r>
    </w:p>
    <w:p w14:paraId="3491E1B2" w14:textId="77777777" w:rsidR="00F95B30" w:rsidRPr="00F95B30" w:rsidRDefault="00F95B30" w:rsidP="00F95B30">
      <w:pPr>
        <w:spacing w:line="360" w:lineRule="auto"/>
        <w:rPr>
          <w:rFonts w:ascii="Arial" w:hAnsi="Arial" w:cs="Arial"/>
          <w:sz w:val="22"/>
          <w:szCs w:val="22"/>
        </w:rPr>
      </w:pPr>
      <w:r w:rsidRPr="00F95B30">
        <w:rPr>
          <w:rFonts w:ascii="Arial" w:hAnsi="Arial" w:cs="Arial"/>
          <w:sz w:val="22"/>
          <w:szCs w:val="22"/>
        </w:rPr>
        <w:t>Aim</w:t>
      </w:r>
    </w:p>
    <w:p w14:paraId="5B8C3916" w14:textId="77777777" w:rsidR="00F95B30" w:rsidRPr="00F95B30" w:rsidRDefault="00F95B30" w:rsidP="00F95B30">
      <w:pPr>
        <w:spacing w:line="360" w:lineRule="auto"/>
        <w:rPr>
          <w:rFonts w:ascii="Arial" w:hAnsi="Arial" w:cs="Arial"/>
          <w:sz w:val="22"/>
          <w:szCs w:val="22"/>
        </w:rPr>
      </w:pPr>
      <w:r w:rsidRPr="00F95B30">
        <w:rPr>
          <w:rFonts w:ascii="Arial" w:hAnsi="Arial" w:cs="Arial"/>
          <w:sz w:val="22"/>
          <w:szCs w:val="22"/>
        </w:rPr>
        <w:t>This scoping review aims to examine and synthesise recent UK</w:t>
      </w:r>
      <w:r w:rsidRPr="00F95B30">
        <w:rPr>
          <w:rFonts w:ascii="Cambria Math" w:hAnsi="Cambria Math" w:cs="Cambria Math"/>
          <w:sz w:val="22"/>
          <w:szCs w:val="22"/>
        </w:rPr>
        <w:t>‑</w:t>
      </w:r>
      <w:r w:rsidRPr="00F95B30">
        <w:rPr>
          <w:rFonts w:ascii="Arial" w:hAnsi="Arial" w:cs="Arial"/>
          <w:sz w:val="22"/>
          <w:szCs w:val="22"/>
        </w:rPr>
        <w:t>based literature to identify the key barriers affecting adolescents’ access to mental health services. The review focuses on structural, social, and individual factors that contribute to delayed or unmet mental health care among adolescents aged 10–19 years in the United Kingdom.</w:t>
      </w:r>
    </w:p>
    <w:p w14:paraId="2D76EF83" w14:textId="77777777" w:rsidR="00F95B30" w:rsidRPr="00F95B30" w:rsidRDefault="00F95B30" w:rsidP="00F95B30">
      <w:pPr>
        <w:spacing w:line="360" w:lineRule="auto"/>
        <w:rPr>
          <w:rFonts w:ascii="Arial" w:hAnsi="Arial" w:cs="Arial"/>
          <w:sz w:val="22"/>
          <w:szCs w:val="22"/>
        </w:rPr>
      </w:pPr>
      <w:r w:rsidRPr="00F95B30">
        <w:rPr>
          <w:rFonts w:ascii="Arial" w:hAnsi="Arial" w:cs="Arial"/>
          <w:sz w:val="22"/>
          <w:szCs w:val="22"/>
        </w:rPr>
        <w:t>Methods</w:t>
      </w:r>
    </w:p>
    <w:p w14:paraId="46CF4B5B" w14:textId="77777777" w:rsidR="00F95B30" w:rsidRPr="00F95B30" w:rsidRDefault="00F95B30" w:rsidP="00F95B30">
      <w:pPr>
        <w:spacing w:line="360" w:lineRule="auto"/>
        <w:rPr>
          <w:rFonts w:ascii="Arial" w:hAnsi="Arial" w:cs="Arial"/>
          <w:sz w:val="22"/>
          <w:szCs w:val="22"/>
        </w:rPr>
      </w:pPr>
      <w:r w:rsidRPr="00F95B30">
        <w:rPr>
          <w:rFonts w:ascii="Arial" w:hAnsi="Arial" w:cs="Arial"/>
          <w:sz w:val="22"/>
          <w:szCs w:val="22"/>
        </w:rPr>
        <w:t>A scoping review methodology was adopted to map the existing evidence on barriers to accessing adolescent mental health services. Peer</w:t>
      </w:r>
      <w:r w:rsidRPr="00F95B30">
        <w:rPr>
          <w:rFonts w:ascii="Cambria Math" w:hAnsi="Cambria Math" w:cs="Cambria Math"/>
          <w:sz w:val="22"/>
          <w:szCs w:val="22"/>
        </w:rPr>
        <w:t>‑</w:t>
      </w:r>
      <w:r w:rsidRPr="00F95B30">
        <w:rPr>
          <w:rFonts w:ascii="Arial" w:hAnsi="Arial" w:cs="Arial"/>
          <w:sz w:val="22"/>
          <w:szCs w:val="22"/>
        </w:rPr>
        <w:t>reviewed literature published between 2016 and 2024 was identified through searches of electronic databases including PubMed, PsycINFO, Scopus, and Google Scholar. Studies were included if they were UK</w:t>
      </w:r>
      <w:r w:rsidRPr="00F95B30">
        <w:rPr>
          <w:rFonts w:ascii="Cambria Math" w:hAnsi="Cambria Math" w:cs="Cambria Math"/>
          <w:sz w:val="22"/>
          <w:szCs w:val="22"/>
        </w:rPr>
        <w:t>‑</w:t>
      </w:r>
      <w:r w:rsidRPr="00F95B30">
        <w:rPr>
          <w:rFonts w:ascii="Arial" w:hAnsi="Arial" w:cs="Arial"/>
          <w:sz w:val="22"/>
          <w:szCs w:val="22"/>
        </w:rPr>
        <w:t>based, focused on adolescents aged 10–19, and examined barriers to accessing mental health services. Data were extracted and analysed using thematic analysis to identify recurring patterns across qualitative, quantitative, and review studies.</w:t>
      </w:r>
    </w:p>
    <w:p w14:paraId="198AC8F0" w14:textId="77777777" w:rsidR="00F95B30" w:rsidRPr="00F95B30" w:rsidRDefault="00F95B30" w:rsidP="00F95B30">
      <w:pPr>
        <w:spacing w:line="360" w:lineRule="auto"/>
        <w:rPr>
          <w:rFonts w:ascii="Arial" w:hAnsi="Arial" w:cs="Arial"/>
          <w:sz w:val="22"/>
          <w:szCs w:val="22"/>
        </w:rPr>
      </w:pPr>
      <w:r w:rsidRPr="00F95B30">
        <w:rPr>
          <w:rFonts w:ascii="Arial" w:hAnsi="Arial" w:cs="Arial"/>
          <w:sz w:val="22"/>
          <w:szCs w:val="22"/>
        </w:rPr>
        <w:t>Findings</w:t>
      </w:r>
    </w:p>
    <w:p w14:paraId="7C4B61B8" w14:textId="4E2F0B0B" w:rsidR="00F95B30" w:rsidRPr="00F95B30" w:rsidRDefault="00F95B30" w:rsidP="00F95B30">
      <w:pPr>
        <w:spacing w:line="360" w:lineRule="auto"/>
        <w:rPr>
          <w:rFonts w:ascii="Arial" w:hAnsi="Arial" w:cs="Arial"/>
          <w:sz w:val="22"/>
          <w:szCs w:val="22"/>
        </w:rPr>
      </w:pPr>
      <w:r>
        <w:rPr>
          <w:rFonts w:ascii="Arial" w:hAnsi="Arial" w:cs="Arial"/>
          <w:sz w:val="22"/>
          <w:szCs w:val="22"/>
        </w:rPr>
        <w:t xml:space="preserve">Three </w:t>
      </w:r>
      <w:r w:rsidRPr="00F95B30">
        <w:rPr>
          <w:rFonts w:ascii="Arial" w:hAnsi="Arial" w:cs="Arial"/>
          <w:sz w:val="22"/>
          <w:szCs w:val="22"/>
        </w:rPr>
        <w:t>studies met the inclusion criteria, including qualitative studies, quantitative cohort and cross</w:t>
      </w:r>
      <w:r w:rsidRPr="00F95B30">
        <w:rPr>
          <w:rFonts w:ascii="Cambria Math" w:hAnsi="Cambria Math" w:cs="Cambria Math"/>
          <w:sz w:val="22"/>
          <w:szCs w:val="22"/>
        </w:rPr>
        <w:t>‑</w:t>
      </w:r>
      <w:r w:rsidRPr="00F95B30">
        <w:rPr>
          <w:rFonts w:ascii="Arial" w:hAnsi="Arial" w:cs="Arial"/>
          <w:sz w:val="22"/>
          <w:szCs w:val="22"/>
        </w:rPr>
        <w:t xml:space="preserve">sectional research, and systematic reviews. The findings revealed that barriers to accessing mental health services operate across multiple levels. Key structural barriers included long waiting times, </w:t>
      </w:r>
      <w:proofErr w:type="gramStart"/>
      <w:r w:rsidRPr="00F95B30">
        <w:rPr>
          <w:rFonts w:ascii="Arial" w:hAnsi="Arial" w:cs="Arial"/>
          <w:sz w:val="22"/>
          <w:szCs w:val="22"/>
        </w:rPr>
        <w:t>limited service</w:t>
      </w:r>
      <w:proofErr w:type="gramEnd"/>
      <w:r w:rsidRPr="00F95B30">
        <w:rPr>
          <w:rFonts w:ascii="Arial" w:hAnsi="Arial" w:cs="Arial"/>
          <w:sz w:val="22"/>
          <w:szCs w:val="22"/>
        </w:rPr>
        <w:t xml:space="preserve"> capacity, restrictive eligibility criteria, and regional disparities in provision. Social barriers such as stigma, discrimination, and cultural mismatch were consistently reported, alongside individual</w:t>
      </w:r>
      <w:r w:rsidRPr="00F95B30">
        <w:rPr>
          <w:rFonts w:ascii="Cambria Math" w:hAnsi="Cambria Math" w:cs="Cambria Math"/>
          <w:sz w:val="22"/>
          <w:szCs w:val="22"/>
        </w:rPr>
        <w:t>‑</w:t>
      </w:r>
      <w:r w:rsidRPr="00F95B30">
        <w:rPr>
          <w:rFonts w:ascii="Arial" w:hAnsi="Arial" w:cs="Arial"/>
          <w:sz w:val="22"/>
          <w:szCs w:val="22"/>
        </w:rPr>
        <w:t>level barriers including low mental health literacy, fear of judgement, and difficulties navigating complex referral pathways. Inequalities related to socio</w:t>
      </w:r>
      <w:r w:rsidRPr="00F95B30">
        <w:rPr>
          <w:rFonts w:ascii="Cambria Math" w:hAnsi="Cambria Math" w:cs="Cambria Math"/>
          <w:sz w:val="22"/>
          <w:szCs w:val="22"/>
        </w:rPr>
        <w:t>‑</w:t>
      </w:r>
      <w:r w:rsidRPr="00F95B30">
        <w:rPr>
          <w:rFonts w:ascii="Arial" w:hAnsi="Arial" w:cs="Arial"/>
          <w:sz w:val="22"/>
          <w:szCs w:val="22"/>
        </w:rPr>
        <w:t>economic status, gender, ethnicity, and age further exacerbated access challenges, with adolescents from disadvantaged backgrounds and girls at higher risk of poor mental health outcomes.</w:t>
      </w:r>
    </w:p>
    <w:p w14:paraId="72F0DB6F" w14:textId="77777777" w:rsidR="00F95B30" w:rsidRPr="00F95B30" w:rsidRDefault="00F95B30" w:rsidP="00F95B30">
      <w:pPr>
        <w:spacing w:line="360" w:lineRule="auto"/>
        <w:rPr>
          <w:rFonts w:ascii="Arial" w:hAnsi="Arial" w:cs="Arial"/>
          <w:sz w:val="22"/>
          <w:szCs w:val="22"/>
        </w:rPr>
      </w:pPr>
      <w:r w:rsidRPr="00F95B30">
        <w:rPr>
          <w:rFonts w:ascii="Arial" w:hAnsi="Arial" w:cs="Arial"/>
          <w:sz w:val="22"/>
          <w:szCs w:val="22"/>
        </w:rPr>
        <w:t>Conclusion</w:t>
      </w:r>
    </w:p>
    <w:p w14:paraId="771A5C90" w14:textId="1D1F1A73" w:rsidR="00F95B30" w:rsidRPr="00F95B30" w:rsidRDefault="00F95B30" w:rsidP="00F95B30">
      <w:pPr>
        <w:spacing w:line="360" w:lineRule="auto"/>
        <w:rPr>
          <w:rFonts w:ascii="Arial" w:hAnsi="Arial" w:cs="Arial"/>
          <w:sz w:val="22"/>
          <w:szCs w:val="22"/>
        </w:rPr>
      </w:pPr>
      <w:r w:rsidRPr="00F95B30">
        <w:rPr>
          <w:rFonts w:ascii="Arial" w:hAnsi="Arial" w:cs="Arial"/>
          <w:sz w:val="22"/>
          <w:szCs w:val="22"/>
        </w:rPr>
        <w:t>The review highlights that barriers to accessing adolescent mental health services in the UK are multifaceted and deeply embedded within social and structural inequalities. Addressing these barriers requires integrated, system</w:t>
      </w:r>
      <w:r w:rsidRPr="00F95B30">
        <w:rPr>
          <w:rFonts w:ascii="Cambria Math" w:hAnsi="Cambria Math" w:cs="Cambria Math"/>
          <w:sz w:val="22"/>
          <w:szCs w:val="22"/>
        </w:rPr>
        <w:t>‑</w:t>
      </w:r>
      <w:r w:rsidRPr="00F95B30">
        <w:rPr>
          <w:rFonts w:ascii="Arial" w:hAnsi="Arial" w:cs="Arial"/>
          <w:sz w:val="22"/>
          <w:szCs w:val="22"/>
        </w:rPr>
        <w:t xml:space="preserve">level approaches that combine service reform with </w:t>
      </w:r>
      <w:r w:rsidRPr="00F95B30">
        <w:rPr>
          <w:rFonts w:ascii="Arial" w:hAnsi="Arial" w:cs="Arial"/>
          <w:sz w:val="22"/>
          <w:szCs w:val="22"/>
        </w:rPr>
        <w:lastRenderedPageBreak/>
        <w:t>preventative, community</w:t>
      </w:r>
      <w:r w:rsidRPr="00F95B30">
        <w:rPr>
          <w:rFonts w:ascii="Cambria Math" w:hAnsi="Cambria Math" w:cs="Cambria Math"/>
          <w:sz w:val="22"/>
          <w:szCs w:val="22"/>
        </w:rPr>
        <w:t>‑</w:t>
      </w:r>
      <w:r w:rsidRPr="00F95B30">
        <w:rPr>
          <w:rFonts w:ascii="Arial" w:hAnsi="Arial" w:cs="Arial"/>
          <w:sz w:val="22"/>
          <w:szCs w:val="22"/>
        </w:rPr>
        <w:t>based, and culturally responsive interventions. Strengthening school</w:t>
      </w:r>
      <w:r w:rsidRPr="00F95B30">
        <w:rPr>
          <w:rFonts w:ascii="Cambria Math" w:hAnsi="Cambria Math" w:cs="Cambria Math"/>
          <w:sz w:val="22"/>
          <w:szCs w:val="22"/>
        </w:rPr>
        <w:t>‑</w:t>
      </w:r>
      <w:r w:rsidRPr="00F95B30">
        <w:rPr>
          <w:rFonts w:ascii="Arial" w:hAnsi="Arial" w:cs="Arial"/>
          <w:sz w:val="22"/>
          <w:szCs w:val="22"/>
        </w:rPr>
        <w:t>based support, reducing waiting times, and improving mental health literacy are essential to improving equitable access and mental health outcomes for adolescents.</w:t>
      </w:r>
    </w:p>
    <w:p w14:paraId="36943622" w14:textId="77777777" w:rsidR="00F95B30" w:rsidRDefault="00F95B30" w:rsidP="009F1D93">
      <w:pPr>
        <w:spacing w:line="360" w:lineRule="auto"/>
        <w:rPr>
          <w:rFonts w:ascii="Arial" w:hAnsi="Arial" w:cs="Arial"/>
          <w:b/>
          <w:bCs/>
          <w:sz w:val="22"/>
          <w:szCs w:val="22"/>
        </w:rPr>
      </w:pPr>
    </w:p>
    <w:p w14:paraId="2B42D3A8" w14:textId="77777777" w:rsidR="00F95B30" w:rsidRDefault="00F95B30" w:rsidP="009F1D93">
      <w:pPr>
        <w:spacing w:line="360" w:lineRule="auto"/>
        <w:rPr>
          <w:rFonts w:ascii="Arial" w:hAnsi="Arial" w:cs="Arial"/>
          <w:b/>
          <w:bCs/>
          <w:sz w:val="22"/>
          <w:szCs w:val="22"/>
        </w:rPr>
      </w:pPr>
    </w:p>
    <w:p w14:paraId="52474D8D" w14:textId="77777777" w:rsidR="00F95B30" w:rsidRDefault="00F95B30" w:rsidP="009F1D93">
      <w:pPr>
        <w:spacing w:line="360" w:lineRule="auto"/>
        <w:rPr>
          <w:rFonts w:ascii="Arial" w:hAnsi="Arial" w:cs="Arial"/>
          <w:sz w:val="22"/>
          <w:szCs w:val="22"/>
        </w:rPr>
      </w:pPr>
    </w:p>
    <w:p w14:paraId="3FB6F02B" w14:textId="77777777" w:rsidR="0049249A" w:rsidRDefault="0049249A" w:rsidP="009F1D93">
      <w:pPr>
        <w:spacing w:line="360" w:lineRule="auto"/>
        <w:rPr>
          <w:rFonts w:ascii="Arial" w:hAnsi="Arial" w:cs="Arial"/>
          <w:sz w:val="22"/>
          <w:szCs w:val="22"/>
        </w:rPr>
      </w:pPr>
    </w:p>
    <w:p w14:paraId="720CE6F2" w14:textId="77777777" w:rsidR="0049249A" w:rsidRDefault="0049249A" w:rsidP="009F1D93">
      <w:pPr>
        <w:spacing w:line="360" w:lineRule="auto"/>
        <w:rPr>
          <w:rFonts w:ascii="Arial" w:hAnsi="Arial" w:cs="Arial"/>
          <w:sz w:val="22"/>
          <w:szCs w:val="22"/>
        </w:rPr>
      </w:pPr>
    </w:p>
    <w:p w14:paraId="74B92034" w14:textId="77777777" w:rsidR="0049249A" w:rsidRDefault="0049249A" w:rsidP="009F1D93">
      <w:pPr>
        <w:spacing w:line="360" w:lineRule="auto"/>
        <w:rPr>
          <w:rFonts w:ascii="Arial" w:hAnsi="Arial" w:cs="Arial"/>
          <w:sz w:val="22"/>
          <w:szCs w:val="22"/>
        </w:rPr>
      </w:pPr>
    </w:p>
    <w:p w14:paraId="356A7B21" w14:textId="77777777" w:rsidR="0049249A" w:rsidRDefault="0049249A" w:rsidP="009F1D93">
      <w:pPr>
        <w:spacing w:line="360" w:lineRule="auto"/>
        <w:rPr>
          <w:rFonts w:ascii="Arial" w:hAnsi="Arial" w:cs="Arial"/>
          <w:sz w:val="22"/>
          <w:szCs w:val="22"/>
        </w:rPr>
      </w:pPr>
    </w:p>
    <w:p w14:paraId="63DC0EF7" w14:textId="77777777" w:rsidR="0049249A" w:rsidRDefault="0049249A" w:rsidP="009F1D93">
      <w:pPr>
        <w:spacing w:line="360" w:lineRule="auto"/>
        <w:rPr>
          <w:rFonts w:ascii="Arial" w:hAnsi="Arial" w:cs="Arial"/>
          <w:sz w:val="22"/>
          <w:szCs w:val="22"/>
        </w:rPr>
      </w:pPr>
    </w:p>
    <w:p w14:paraId="37AE85B9" w14:textId="77777777" w:rsidR="0049249A" w:rsidRDefault="0049249A" w:rsidP="009F1D93">
      <w:pPr>
        <w:spacing w:line="360" w:lineRule="auto"/>
        <w:rPr>
          <w:rFonts w:ascii="Arial" w:hAnsi="Arial" w:cs="Arial"/>
          <w:sz w:val="22"/>
          <w:szCs w:val="22"/>
        </w:rPr>
      </w:pPr>
    </w:p>
    <w:p w14:paraId="48B5FEF7" w14:textId="77777777" w:rsidR="0049249A" w:rsidRDefault="0049249A" w:rsidP="009F1D93">
      <w:pPr>
        <w:spacing w:line="360" w:lineRule="auto"/>
        <w:rPr>
          <w:rFonts w:ascii="Arial" w:hAnsi="Arial" w:cs="Arial"/>
          <w:sz w:val="22"/>
          <w:szCs w:val="22"/>
        </w:rPr>
      </w:pPr>
    </w:p>
    <w:p w14:paraId="56EBBB8F" w14:textId="77777777" w:rsidR="0049249A" w:rsidRDefault="0049249A" w:rsidP="009F1D93">
      <w:pPr>
        <w:spacing w:line="360" w:lineRule="auto"/>
        <w:rPr>
          <w:rFonts w:ascii="Arial" w:hAnsi="Arial" w:cs="Arial"/>
          <w:sz w:val="22"/>
          <w:szCs w:val="22"/>
        </w:rPr>
      </w:pPr>
    </w:p>
    <w:p w14:paraId="5939C178" w14:textId="77777777" w:rsidR="0049249A" w:rsidRDefault="0049249A" w:rsidP="009F1D93">
      <w:pPr>
        <w:spacing w:line="360" w:lineRule="auto"/>
        <w:rPr>
          <w:rFonts w:ascii="Arial" w:hAnsi="Arial" w:cs="Arial"/>
          <w:sz w:val="22"/>
          <w:szCs w:val="22"/>
        </w:rPr>
      </w:pPr>
    </w:p>
    <w:p w14:paraId="3B7F0A15" w14:textId="77777777" w:rsidR="0049249A" w:rsidRDefault="0049249A" w:rsidP="009F1D93">
      <w:pPr>
        <w:spacing w:line="360" w:lineRule="auto"/>
        <w:rPr>
          <w:rFonts w:ascii="Arial" w:hAnsi="Arial" w:cs="Arial"/>
          <w:sz w:val="22"/>
          <w:szCs w:val="22"/>
        </w:rPr>
      </w:pPr>
    </w:p>
    <w:p w14:paraId="43B8EEFF" w14:textId="77777777" w:rsidR="0049249A" w:rsidRDefault="0049249A" w:rsidP="009F1D93">
      <w:pPr>
        <w:spacing w:line="360" w:lineRule="auto"/>
        <w:rPr>
          <w:rFonts w:ascii="Arial" w:hAnsi="Arial" w:cs="Arial"/>
          <w:sz w:val="22"/>
          <w:szCs w:val="22"/>
        </w:rPr>
      </w:pPr>
    </w:p>
    <w:p w14:paraId="540F295B" w14:textId="77777777" w:rsidR="0049249A" w:rsidRDefault="0049249A" w:rsidP="009F1D93">
      <w:pPr>
        <w:spacing w:line="360" w:lineRule="auto"/>
        <w:rPr>
          <w:rFonts w:ascii="Arial" w:hAnsi="Arial" w:cs="Arial"/>
          <w:sz w:val="22"/>
          <w:szCs w:val="22"/>
        </w:rPr>
      </w:pPr>
    </w:p>
    <w:p w14:paraId="2E6D57AC" w14:textId="77777777" w:rsidR="0049249A" w:rsidRDefault="0049249A" w:rsidP="009F1D93">
      <w:pPr>
        <w:spacing w:line="360" w:lineRule="auto"/>
        <w:rPr>
          <w:rFonts w:ascii="Arial" w:hAnsi="Arial" w:cs="Arial"/>
          <w:sz w:val="22"/>
          <w:szCs w:val="22"/>
        </w:rPr>
      </w:pPr>
    </w:p>
    <w:p w14:paraId="46079E17" w14:textId="77777777" w:rsidR="0049249A" w:rsidRDefault="0049249A" w:rsidP="009F1D93">
      <w:pPr>
        <w:spacing w:line="360" w:lineRule="auto"/>
        <w:rPr>
          <w:rFonts w:ascii="Arial" w:hAnsi="Arial" w:cs="Arial"/>
          <w:sz w:val="22"/>
          <w:szCs w:val="22"/>
        </w:rPr>
      </w:pPr>
    </w:p>
    <w:p w14:paraId="56879540" w14:textId="77777777" w:rsidR="0049249A" w:rsidRDefault="0049249A" w:rsidP="009F1D93">
      <w:pPr>
        <w:spacing w:line="360" w:lineRule="auto"/>
        <w:rPr>
          <w:rFonts w:ascii="Arial" w:hAnsi="Arial" w:cs="Arial"/>
          <w:sz w:val="22"/>
          <w:szCs w:val="22"/>
        </w:rPr>
      </w:pPr>
    </w:p>
    <w:p w14:paraId="7FD35B96" w14:textId="77777777" w:rsidR="0049249A" w:rsidRDefault="0049249A" w:rsidP="009F1D93">
      <w:pPr>
        <w:spacing w:line="360" w:lineRule="auto"/>
        <w:rPr>
          <w:rFonts w:ascii="Arial" w:hAnsi="Arial" w:cs="Arial"/>
          <w:sz w:val="22"/>
          <w:szCs w:val="22"/>
        </w:rPr>
      </w:pPr>
    </w:p>
    <w:p w14:paraId="07D23D35" w14:textId="77777777" w:rsidR="0049249A" w:rsidRDefault="0049249A" w:rsidP="009F1D93">
      <w:pPr>
        <w:spacing w:line="360" w:lineRule="auto"/>
        <w:rPr>
          <w:rFonts w:ascii="Arial" w:hAnsi="Arial" w:cs="Arial"/>
          <w:sz w:val="22"/>
          <w:szCs w:val="22"/>
        </w:rPr>
      </w:pPr>
    </w:p>
    <w:p w14:paraId="602F6FB3" w14:textId="77777777" w:rsidR="0049249A" w:rsidRDefault="0049249A" w:rsidP="009F1D93">
      <w:pPr>
        <w:spacing w:line="360" w:lineRule="auto"/>
        <w:rPr>
          <w:rFonts w:ascii="Arial" w:hAnsi="Arial" w:cs="Arial"/>
          <w:sz w:val="22"/>
          <w:szCs w:val="22"/>
        </w:rPr>
      </w:pPr>
    </w:p>
    <w:p w14:paraId="38AC89AC" w14:textId="77777777" w:rsidR="0049249A" w:rsidRDefault="0049249A" w:rsidP="009F1D93">
      <w:pPr>
        <w:spacing w:line="360" w:lineRule="auto"/>
        <w:rPr>
          <w:rFonts w:ascii="Arial" w:hAnsi="Arial" w:cs="Arial"/>
          <w:sz w:val="22"/>
          <w:szCs w:val="22"/>
        </w:rPr>
      </w:pPr>
    </w:p>
    <w:p w14:paraId="4B6F9378" w14:textId="77777777" w:rsidR="0049249A" w:rsidRDefault="0049249A" w:rsidP="009F1D93">
      <w:pPr>
        <w:spacing w:line="360" w:lineRule="auto"/>
        <w:rPr>
          <w:rFonts w:ascii="Arial" w:hAnsi="Arial" w:cs="Arial"/>
          <w:sz w:val="22"/>
          <w:szCs w:val="22"/>
        </w:rPr>
      </w:pPr>
    </w:p>
    <w:p w14:paraId="53157D35" w14:textId="77777777" w:rsidR="0049249A" w:rsidRDefault="0049249A" w:rsidP="009F1D93">
      <w:pPr>
        <w:spacing w:line="360" w:lineRule="auto"/>
        <w:rPr>
          <w:rFonts w:ascii="Arial" w:hAnsi="Arial" w:cs="Arial"/>
          <w:sz w:val="22"/>
          <w:szCs w:val="22"/>
        </w:rPr>
      </w:pPr>
    </w:p>
    <w:p w14:paraId="646F684F" w14:textId="77777777" w:rsidR="0049249A" w:rsidRDefault="0049249A" w:rsidP="009F1D93">
      <w:pPr>
        <w:spacing w:line="360" w:lineRule="auto"/>
        <w:rPr>
          <w:rFonts w:ascii="Arial" w:hAnsi="Arial" w:cs="Arial"/>
          <w:sz w:val="22"/>
          <w:szCs w:val="22"/>
        </w:rPr>
      </w:pPr>
    </w:p>
    <w:p w14:paraId="55E39978" w14:textId="77777777" w:rsidR="0049249A" w:rsidRDefault="0049249A" w:rsidP="009F1D93">
      <w:pPr>
        <w:spacing w:line="360" w:lineRule="auto"/>
        <w:rPr>
          <w:rFonts w:ascii="Arial" w:hAnsi="Arial" w:cs="Arial"/>
          <w:sz w:val="22"/>
          <w:szCs w:val="22"/>
        </w:rPr>
      </w:pPr>
    </w:p>
    <w:p w14:paraId="28CD6808" w14:textId="77777777" w:rsidR="0049249A" w:rsidRDefault="0049249A" w:rsidP="009F1D93">
      <w:pPr>
        <w:spacing w:line="360" w:lineRule="auto"/>
        <w:rPr>
          <w:rFonts w:ascii="Arial" w:hAnsi="Arial" w:cs="Arial"/>
          <w:sz w:val="22"/>
          <w:szCs w:val="22"/>
        </w:rPr>
      </w:pPr>
    </w:p>
    <w:p w14:paraId="4893DDAB" w14:textId="77777777" w:rsidR="0049249A" w:rsidRDefault="0049249A" w:rsidP="009F1D93">
      <w:pPr>
        <w:spacing w:line="360" w:lineRule="auto"/>
        <w:rPr>
          <w:rFonts w:ascii="Arial" w:hAnsi="Arial" w:cs="Arial"/>
          <w:sz w:val="22"/>
          <w:szCs w:val="22"/>
        </w:rPr>
      </w:pPr>
    </w:p>
    <w:p w14:paraId="35C53BAA" w14:textId="77777777" w:rsidR="0049249A" w:rsidRDefault="0049249A" w:rsidP="009F1D93">
      <w:pPr>
        <w:spacing w:line="360" w:lineRule="auto"/>
        <w:rPr>
          <w:rFonts w:ascii="Arial" w:hAnsi="Arial" w:cs="Arial"/>
          <w:sz w:val="22"/>
          <w:szCs w:val="22"/>
        </w:rPr>
      </w:pPr>
    </w:p>
    <w:p w14:paraId="7EAD1D34" w14:textId="77777777" w:rsidR="0049249A" w:rsidRDefault="0049249A" w:rsidP="009F1D93">
      <w:pPr>
        <w:spacing w:line="360" w:lineRule="auto"/>
        <w:rPr>
          <w:rFonts w:ascii="Arial" w:hAnsi="Arial" w:cs="Arial"/>
          <w:sz w:val="22"/>
          <w:szCs w:val="22"/>
        </w:rPr>
      </w:pPr>
    </w:p>
    <w:p w14:paraId="6E3A784B" w14:textId="77777777" w:rsidR="0049249A" w:rsidRDefault="0049249A" w:rsidP="009F1D93">
      <w:pPr>
        <w:spacing w:line="360" w:lineRule="auto"/>
        <w:rPr>
          <w:rFonts w:ascii="Arial" w:hAnsi="Arial" w:cs="Arial"/>
          <w:sz w:val="22"/>
          <w:szCs w:val="22"/>
        </w:rPr>
      </w:pPr>
    </w:p>
    <w:p w14:paraId="46A63A8D" w14:textId="77777777" w:rsidR="0049249A" w:rsidRDefault="0049249A" w:rsidP="009F1D93">
      <w:pPr>
        <w:spacing w:line="360" w:lineRule="auto"/>
        <w:rPr>
          <w:rFonts w:ascii="Arial" w:hAnsi="Arial" w:cs="Arial"/>
          <w:sz w:val="22"/>
          <w:szCs w:val="22"/>
        </w:rPr>
      </w:pPr>
    </w:p>
    <w:p w14:paraId="76CE69B3" w14:textId="77777777" w:rsidR="0049249A" w:rsidRPr="009F1D93" w:rsidRDefault="0049249A" w:rsidP="009F1D93">
      <w:pPr>
        <w:spacing w:line="360" w:lineRule="auto"/>
        <w:rPr>
          <w:rFonts w:ascii="Arial" w:hAnsi="Arial" w:cs="Arial"/>
          <w:sz w:val="22"/>
          <w:szCs w:val="22"/>
        </w:rPr>
      </w:pPr>
    </w:p>
    <w:p w14:paraId="2F63670C"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 xml:space="preserve">    </w:t>
      </w:r>
    </w:p>
    <w:p w14:paraId="1374F63A"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lastRenderedPageBreak/>
        <w:t>1. Introduction</w:t>
      </w:r>
    </w:p>
    <w:p w14:paraId="0916D1C3"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Adolescent mental health has become a critical public health concern within the United Kingdom, with evidence indicating a significant increase in the prevalence of mental health disorders among young people in recent years. Adolescence, defined as the developmental stage between 10 and 19 years, is characterised by substantial psychological, emotional, and social changes. This period is associated with increased vulnerability to mental health conditions such as anxiety, depression, and self-harm (NHS Digital, 2022).</w:t>
      </w:r>
    </w:p>
    <w:p w14:paraId="4B79CC47"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Mental health is commonly defined as a state of well-being in which individuals are able to cope with everyday stressors, function effectively, and contribute to society (World Health Organization, 2021). Access to mental health services refers to the timely and appropriate use of healthcare systems to meet individual needs. However, access is shaped by a complex interaction of structural, social, and individual factors, rather than availability alone.</w:t>
      </w:r>
    </w:p>
    <w:p w14:paraId="1A9EA09A"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The rationale for this scoping review lies in the widening gap between the demand for adolescent mental health services and the capacity of the UK healthcare system to meet these needs. Despite policy initiatives such as the NHS Long Term Plan, young people continue to experience significant barriers when attempting to access support (NHS England, 2019). These barriers contribute to delayed treatment, worsening mental health outcomes, and long-term societal impacts.</w:t>
      </w:r>
    </w:p>
    <w:p w14:paraId="5284017F"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This scoping review aims to examine recent peer-reviewed literature (2016–present) to identify and critically analyse the barriers affecting access to mental health services among adolescents in the UK.</w:t>
      </w:r>
    </w:p>
    <w:p w14:paraId="3B269EFD" w14:textId="77777777" w:rsidR="00A842EE" w:rsidRPr="009F1D93" w:rsidRDefault="00A842EE" w:rsidP="009F1D93">
      <w:pPr>
        <w:spacing w:line="360" w:lineRule="auto"/>
        <w:rPr>
          <w:rFonts w:ascii="Arial" w:hAnsi="Arial" w:cs="Arial"/>
          <w:sz w:val="22"/>
          <w:szCs w:val="22"/>
        </w:rPr>
      </w:pPr>
    </w:p>
    <w:p w14:paraId="2D3A3EE7"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Review Question</w:t>
      </w:r>
    </w:p>
    <w:p w14:paraId="2E8BEE9F"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What are the barriers to accessing mental health services among adolescents in the UK?</w:t>
      </w:r>
    </w:p>
    <w:p w14:paraId="494E2746"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Objectives</w:t>
      </w:r>
    </w:p>
    <w:p w14:paraId="56457647" w14:textId="77777777" w:rsidR="00FD197F" w:rsidRPr="009F1D93" w:rsidRDefault="00000000" w:rsidP="009F1D93">
      <w:pPr>
        <w:numPr>
          <w:ilvl w:val="0"/>
          <w:numId w:val="1"/>
        </w:numPr>
        <w:spacing w:line="360" w:lineRule="auto"/>
        <w:rPr>
          <w:rFonts w:ascii="Arial" w:hAnsi="Arial" w:cs="Arial"/>
          <w:sz w:val="22"/>
          <w:szCs w:val="22"/>
        </w:rPr>
      </w:pPr>
      <w:r w:rsidRPr="009F1D93">
        <w:rPr>
          <w:rFonts w:ascii="Arial" w:hAnsi="Arial" w:cs="Arial"/>
          <w:sz w:val="22"/>
          <w:szCs w:val="22"/>
        </w:rPr>
        <w:t>To identify key barriers to accessing mental health services</w:t>
      </w:r>
    </w:p>
    <w:p w14:paraId="41D7776E" w14:textId="77777777" w:rsidR="00FD197F" w:rsidRPr="009F1D93" w:rsidRDefault="00000000" w:rsidP="009F1D93">
      <w:pPr>
        <w:numPr>
          <w:ilvl w:val="0"/>
          <w:numId w:val="1"/>
        </w:numPr>
        <w:spacing w:line="360" w:lineRule="auto"/>
        <w:rPr>
          <w:rFonts w:ascii="Arial" w:hAnsi="Arial" w:cs="Arial"/>
          <w:sz w:val="22"/>
          <w:szCs w:val="22"/>
        </w:rPr>
      </w:pPr>
      <w:r w:rsidRPr="009F1D93">
        <w:rPr>
          <w:rFonts w:ascii="Arial" w:hAnsi="Arial" w:cs="Arial"/>
          <w:sz w:val="22"/>
          <w:szCs w:val="22"/>
        </w:rPr>
        <w:t>To critically analyse structural, social, and individual factors</w:t>
      </w:r>
    </w:p>
    <w:p w14:paraId="020D978C" w14:textId="77777777" w:rsidR="00FD197F" w:rsidRPr="009F1D93" w:rsidRDefault="00000000" w:rsidP="009F1D93">
      <w:pPr>
        <w:numPr>
          <w:ilvl w:val="0"/>
          <w:numId w:val="1"/>
        </w:numPr>
        <w:spacing w:line="360" w:lineRule="auto"/>
        <w:rPr>
          <w:rFonts w:ascii="Arial" w:hAnsi="Arial" w:cs="Arial"/>
          <w:sz w:val="22"/>
          <w:szCs w:val="22"/>
        </w:rPr>
      </w:pPr>
      <w:r w:rsidRPr="009F1D93">
        <w:rPr>
          <w:rFonts w:ascii="Arial" w:hAnsi="Arial" w:cs="Arial"/>
          <w:sz w:val="22"/>
          <w:szCs w:val="22"/>
        </w:rPr>
        <w:t>To synthesise findings using thematic analysis</w:t>
      </w:r>
    </w:p>
    <w:p w14:paraId="5E7B8E81" w14:textId="77777777" w:rsidR="00FD197F" w:rsidRPr="009F1D93" w:rsidRDefault="00000000" w:rsidP="009F1D93">
      <w:pPr>
        <w:numPr>
          <w:ilvl w:val="0"/>
          <w:numId w:val="1"/>
        </w:numPr>
        <w:spacing w:line="360" w:lineRule="auto"/>
        <w:rPr>
          <w:rFonts w:ascii="Arial" w:hAnsi="Arial" w:cs="Arial"/>
          <w:sz w:val="22"/>
          <w:szCs w:val="22"/>
        </w:rPr>
      </w:pPr>
      <w:r w:rsidRPr="009F1D93">
        <w:rPr>
          <w:rFonts w:ascii="Arial" w:hAnsi="Arial" w:cs="Arial"/>
          <w:sz w:val="22"/>
          <w:szCs w:val="22"/>
        </w:rPr>
        <w:t>To identify implications for UK policy, practice, and research</w:t>
      </w:r>
    </w:p>
    <w:p w14:paraId="4516D0FE" w14:textId="77777777" w:rsidR="00FD197F" w:rsidRPr="009F1D93" w:rsidRDefault="00FD197F" w:rsidP="009F1D93">
      <w:pPr>
        <w:spacing w:line="360" w:lineRule="auto"/>
        <w:rPr>
          <w:rFonts w:ascii="Arial" w:hAnsi="Arial" w:cs="Arial"/>
          <w:sz w:val="22"/>
          <w:szCs w:val="22"/>
        </w:rPr>
      </w:pPr>
    </w:p>
    <w:p w14:paraId="70584A99" w14:textId="16D93ADF" w:rsidR="007B688E"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2. Background</w:t>
      </w:r>
    </w:p>
    <w:p w14:paraId="2F00917A" w14:textId="41455BE3" w:rsidR="007B688E" w:rsidRPr="009F1D93" w:rsidRDefault="007B688E"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Adolescent mental health has increasingly been recognised as a priority within UK public health and health and social care systems due to its long</w:t>
      </w:r>
      <w:r w:rsidRPr="009F1D93">
        <w:rPr>
          <w:rFonts w:ascii="Arial" w:hAnsi="Arial" w:cs="Arial"/>
          <w:color w:val="000000"/>
          <w:sz w:val="22"/>
          <w:szCs w:val="22"/>
        </w:rPr>
        <w:noBreakHyphen/>
        <w:t xml:space="preserve">term implications for educational attainment, employment prospects, physical health, and social functioning. Mental health disorders that emerge during adolescence often persist into adulthood if left untreated, increasing the risk of chronic mental illness, substance misuse, and social exclusion. As such, </w:t>
      </w:r>
      <w:r w:rsidRPr="009F1D93">
        <w:rPr>
          <w:rFonts w:ascii="Arial" w:hAnsi="Arial" w:cs="Arial"/>
          <w:color w:val="000000"/>
          <w:sz w:val="22"/>
          <w:szCs w:val="22"/>
        </w:rPr>
        <w:lastRenderedPageBreak/>
        <w:t xml:space="preserve">adolescence represents a critical window for early identification and intervention, with accessible and timely mental health support playing a key protective role (Local Government, 2023). </w:t>
      </w:r>
    </w:p>
    <w:p w14:paraId="43D9CBF0" w14:textId="5DAD9914" w:rsidR="007B688E" w:rsidRPr="009F1D93" w:rsidRDefault="007B688E"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The UK mental health care system for adolescents is primarily delivered through Child and Adolescent Mental Health Services (CAMHS), alongside a range of early</w:t>
      </w:r>
      <w:r w:rsidRPr="009F1D93">
        <w:rPr>
          <w:rFonts w:ascii="Arial" w:hAnsi="Arial" w:cs="Arial"/>
          <w:color w:val="000000"/>
          <w:sz w:val="22"/>
          <w:szCs w:val="22"/>
        </w:rPr>
        <w:noBreakHyphen/>
        <w:t>intervention and preventative services delivered in schools, primary care, and community settings. However, the design of these services has historically prioritised crisis thresholds, meaning that many young people experiencing moderate or emerging mental health difficulties struggle to meet eligibility criteria for specialist care. This gap between early need and specialist intervention has been widely identified as a contributor to unmet mental health needs among adolescents</w:t>
      </w:r>
      <w:r w:rsidR="00A842EE" w:rsidRPr="009F1D93">
        <w:rPr>
          <w:rFonts w:ascii="Arial" w:hAnsi="Arial" w:cs="Arial"/>
          <w:color w:val="000000"/>
          <w:sz w:val="22"/>
          <w:szCs w:val="22"/>
        </w:rPr>
        <w:t xml:space="preserve"> (</w:t>
      </w:r>
      <w:r w:rsidR="00A842EE" w:rsidRPr="009F1D93">
        <w:rPr>
          <w:rFonts w:ascii="Arial" w:hAnsi="Arial" w:cs="Arial"/>
          <w:sz w:val="22"/>
          <w:szCs w:val="22"/>
        </w:rPr>
        <w:t xml:space="preserve">Mind, 2025). </w:t>
      </w:r>
    </w:p>
    <w:p w14:paraId="374B2D97" w14:textId="2C1802FE" w:rsidR="00A842EE" w:rsidRPr="009F1D93" w:rsidRDefault="00A842EE"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In recent years, rising demand has further exposed weaknesses in the system. Rising referral rates to CAMHS have not been matched by proportional increases in workforce capacity, funding, or infrastructure, leading to long waiting lists and inconsistent service delivery. Adolescents who experience delays in accessing support may deteriorate while waiting, increasing the likelihood of more complex presentations by the time treatment is received</w:t>
      </w:r>
      <w:r w:rsidR="009F1D93">
        <w:rPr>
          <w:rFonts w:ascii="Arial" w:hAnsi="Arial" w:cs="Arial"/>
          <w:color w:val="000000"/>
          <w:sz w:val="22"/>
          <w:szCs w:val="22"/>
        </w:rPr>
        <w:t xml:space="preserve"> (</w:t>
      </w:r>
      <w:r w:rsidR="009F1D93" w:rsidRPr="009F1D93">
        <w:rPr>
          <w:rFonts w:ascii="Arial" w:hAnsi="Arial" w:cs="Arial"/>
          <w:sz w:val="22"/>
          <w:szCs w:val="22"/>
        </w:rPr>
        <w:t>Hickling</w:t>
      </w:r>
      <w:r w:rsidR="009F1D93" w:rsidRPr="009F1D93">
        <w:rPr>
          <w:rFonts w:ascii="Arial" w:hAnsi="Arial" w:cs="Arial"/>
          <w:color w:val="000000"/>
          <w:sz w:val="22"/>
          <w:szCs w:val="22"/>
        </w:rPr>
        <w:t xml:space="preserve"> </w:t>
      </w:r>
      <w:r w:rsidR="009F1D93">
        <w:rPr>
          <w:rFonts w:ascii="Arial" w:hAnsi="Arial" w:cs="Arial"/>
          <w:color w:val="000000"/>
          <w:sz w:val="22"/>
          <w:szCs w:val="22"/>
        </w:rPr>
        <w:t xml:space="preserve">et al., 2024). </w:t>
      </w:r>
      <w:r w:rsidRPr="009F1D93">
        <w:rPr>
          <w:rFonts w:ascii="Arial" w:hAnsi="Arial" w:cs="Arial"/>
          <w:color w:val="000000"/>
          <w:sz w:val="22"/>
          <w:szCs w:val="22"/>
        </w:rPr>
        <w:t>These systemic pressures have prompted growing concern among health and social care professionals about the sustainability and equity of current service models</w:t>
      </w:r>
      <w:r w:rsidR="009F1D93">
        <w:rPr>
          <w:rFonts w:ascii="Arial" w:hAnsi="Arial" w:cs="Arial"/>
          <w:color w:val="000000"/>
          <w:sz w:val="22"/>
          <w:szCs w:val="22"/>
        </w:rPr>
        <w:t xml:space="preserve"> (</w:t>
      </w:r>
      <w:proofErr w:type="spellStart"/>
      <w:r w:rsidR="009F1D93" w:rsidRPr="009F1D93">
        <w:rPr>
          <w:rFonts w:ascii="Arial" w:hAnsi="Arial" w:cs="Arial"/>
          <w:sz w:val="22"/>
          <w:szCs w:val="22"/>
        </w:rPr>
        <w:t>YoungMinds</w:t>
      </w:r>
      <w:proofErr w:type="spellEnd"/>
      <w:r w:rsidR="009F1D93">
        <w:rPr>
          <w:rFonts w:ascii="Arial" w:hAnsi="Arial" w:cs="Arial"/>
          <w:sz w:val="22"/>
          <w:szCs w:val="22"/>
        </w:rPr>
        <w:t xml:space="preserve">, </w:t>
      </w:r>
      <w:r w:rsidR="009F1D93" w:rsidRPr="009F1D93">
        <w:rPr>
          <w:rFonts w:ascii="Arial" w:hAnsi="Arial" w:cs="Arial"/>
          <w:sz w:val="22"/>
          <w:szCs w:val="22"/>
        </w:rPr>
        <w:t>2022)</w:t>
      </w:r>
      <w:r w:rsidR="009F1D93">
        <w:rPr>
          <w:rFonts w:ascii="Arial" w:hAnsi="Arial" w:cs="Arial"/>
          <w:sz w:val="22"/>
          <w:szCs w:val="22"/>
        </w:rPr>
        <w:t xml:space="preserve">. </w:t>
      </w:r>
    </w:p>
    <w:p w14:paraId="60C7A98F" w14:textId="481B596B" w:rsidR="009F1D93" w:rsidRPr="009F1D93" w:rsidRDefault="007B688E"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Social determinants of health further complicate access to mental health services. Factors such as socio</w:t>
      </w:r>
      <w:r w:rsidRPr="009F1D93">
        <w:rPr>
          <w:rFonts w:ascii="Arial" w:hAnsi="Arial" w:cs="Arial"/>
          <w:color w:val="000000"/>
          <w:sz w:val="22"/>
          <w:szCs w:val="22"/>
        </w:rPr>
        <w:noBreakHyphen/>
        <w:t>economic disadvantage, ethnicity, gender, and geographical location play a significant role in shaping both mental health risk and access to care. Adolescents from disadvantaged backgrounds are more likely to experience cumulative stressors, including poverty, discrimination, and family instability, while simultaneously facing greater barriers to navigating complex health systems. These intersecting factors highlight the need to examine adolescent mental health access through a broader social and structural lens rather than focusing solely on individual behaviour or service availability</w:t>
      </w:r>
      <w:r w:rsidR="009F1D93">
        <w:rPr>
          <w:rFonts w:ascii="Arial" w:hAnsi="Arial" w:cs="Arial"/>
          <w:color w:val="000000"/>
          <w:sz w:val="22"/>
          <w:szCs w:val="22"/>
        </w:rPr>
        <w:t xml:space="preserve"> (</w:t>
      </w:r>
      <w:r w:rsidR="009F1D93" w:rsidRPr="009F1D93">
        <w:rPr>
          <w:rFonts w:ascii="Arial" w:hAnsi="Arial" w:cs="Arial"/>
          <w:sz w:val="22"/>
          <w:szCs w:val="22"/>
        </w:rPr>
        <w:t>Alegría</w:t>
      </w:r>
      <w:r w:rsidR="009F1D93">
        <w:rPr>
          <w:rFonts w:ascii="Arial" w:hAnsi="Arial" w:cs="Arial"/>
          <w:sz w:val="22"/>
          <w:szCs w:val="22"/>
        </w:rPr>
        <w:t xml:space="preserve"> </w:t>
      </w:r>
      <w:r w:rsidR="009F1D93" w:rsidRPr="009F1D93">
        <w:rPr>
          <w:rFonts w:ascii="Arial" w:hAnsi="Arial" w:cs="Arial"/>
          <w:sz w:val="22"/>
          <w:szCs w:val="22"/>
        </w:rPr>
        <w:t>et al.,</w:t>
      </w:r>
      <w:r w:rsidR="009F1D93">
        <w:rPr>
          <w:rFonts w:ascii="Arial" w:hAnsi="Arial" w:cs="Arial"/>
          <w:sz w:val="22"/>
          <w:szCs w:val="22"/>
        </w:rPr>
        <w:t xml:space="preserve"> </w:t>
      </w:r>
      <w:r w:rsidR="009F1D93" w:rsidRPr="009F1D93">
        <w:rPr>
          <w:rFonts w:ascii="Arial" w:hAnsi="Arial" w:cs="Arial"/>
          <w:sz w:val="22"/>
          <w:szCs w:val="22"/>
        </w:rPr>
        <w:t>2018)</w:t>
      </w:r>
      <w:r w:rsidR="009F1D93">
        <w:rPr>
          <w:rFonts w:ascii="Arial" w:hAnsi="Arial" w:cs="Arial"/>
          <w:sz w:val="22"/>
          <w:szCs w:val="22"/>
        </w:rPr>
        <w:t xml:space="preserve">. </w:t>
      </w:r>
    </w:p>
    <w:p w14:paraId="703FD6AE" w14:textId="3DAF97EF" w:rsidR="007B688E" w:rsidRPr="009F1D93" w:rsidRDefault="007B688E"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Against this backdrop, there is a growing need to synthesise existing evidence on the barriers adolescents face when attempting to access mental health services in the UK. Understanding these barriers is essential for informing service redesign, workforce development, and policy reform aimed at promoting equitable access and improving mental health outcomes for young people. This scoping review responds to this need by mapping and critically analysing recent UK literature on barriers to mental health service access among adolescents</w:t>
      </w:r>
      <w:r w:rsidR="009F1D93">
        <w:rPr>
          <w:rFonts w:ascii="Arial" w:hAnsi="Arial" w:cs="Arial"/>
          <w:color w:val="000000"/>
          <w:sz w:val="22"/>
          <w:szCs w:val="22"/>
        </w:rPr>
        <w:t xml:space="preserve">. </w:t>
      </w:r>
    </w:p>
    <w:p w14:paraId="6665A33F" w14:textId="77777777" w:rsidR="007B688E" w:rsidRPr="009F1D93" w:rsidRDefault="007B688E" w:rsidP="009F1D93">
      <w:pPr>
        <w:spacing w:line="360" w:lineRule="auto"/>
        <w:rPr>
          <w:rFonts w:ascii="Arial" w:hAnsi="Arial" w:cs="Arial"/>
          <w:b/>
          <w:bCs/>
          <w:sz w:val="22"/>
          <w:szCs w:val="22"/>
        </w:rPr>
      </w:pPr>
    </w:p>
    <w:p w14:paraId="52C83091"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Recent data indicate that approximately one in six children and adolescents in the UK experience a probable mental health disorder, reflecting a sharp increase over the past decade (NHS Digital, 2022). This rise has placed significant pressure on mental health services, particularly Child and Adolescent Mental Health Services (CAMHS).</w:t>
      </w:r>
    </w:p>
    <w:p w14:paraId="351D786B" w14:textId="4CE95A7B"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CAMHS represents the primary pathway for adolescents requiring specialist mental health support. However, access to CAMHS has been widely criticised due to long waiting times, limited capacity, and restrictive eligibility criteria (Reardon et al., 2017). Evidence suggests that many referrals are either rejected or delayed, leaving young people without adequate support.</w:t>
      </w:r>
      <w:r w:rsidR="009F1D93">
        <w:rPr>
          <w:rFonts w:ascii="Arial" w:hAnsi="Arial" w:cs="Arial"/>
          <w:sz w:val="22"/>
          <w:szCs w:val="22"/>
        </w:rPr>
        <w:t xml:space="preserve"> </w:t>
      </w:r>
      <w:r w:rsidRPr="009F1D93">
        <w:rPr>
          <w:rFonts w:ascii="Arial" w:hAnsi="Arial" w:cs="Arial"/>
          <w:sz w:val="22"/>
          <w:szCs w:val="22"/>
        </w:rPr>
        <w:t>A key issue within the UK system is the existence of regional disparities in service provision. These inequalities, often referred to as a “postcode lottery,” result in inconsistent access to care depending on geographical location (Frith, 2017). Such disparities raise concerns regarding equity within the healthcare system</w:t>
      </w:r>
      <w:r w:rsidR="009F1D93">
        <w:rPr>
          <w:rFonts w:ascii="Arial" w:hAnsi="Arial" w:cs="Arial"/>
          <w:sz w:val="22"/>
          <w:szCs w:val="22"/>
        </w:rPr>
        <w:t xml:space="preserve"> (</w:t>
      </w:r>
      <w:r w:rsidR="009F1D93" w:rsidRPr="009F1D93">
        <w:rPr>
          <w:rFonts w:ascii="Arial" w:hAnsi="Arial" w:cs="Arial"/>
          <w:color w:val="000000"/>
          <w:sz w:val="22"/>
          <w:szCs w:val="22"/>
        </w:rPr>
        <w:t>NHS Race and Health Observatory</w:t>
      </w:r>
      <w:r w:rsidR="009F1D93">
        <w:rPr>
          <w:rFonts w:ascii="Arial" w:hAnsi="Arial" w:cs="Arial"/>
          <w:color w:val="000000"/>
          <w:sz w:val="22"/>
          <w:szCs w:val="22"/>
        </w:rPr>
        <w:t xml:space="preserve">, </w:t>
      </w:r>
      <w:r w:rsidR="009F1D93" w:rsidRPr="009F1D93">
        <w:rPr>
          <w:rFonts w:ascii="Arial" w:hAnsi="Arial" w:cs="Arial"/>
          <w:color w:val="000000"/>
          <w:sz w:val="22"/>
          <w:szCs w:val="22"/>
        </w:rPr>
        <w:t>2023)</w:t>
      </w:r>
      <w:r w:rsidR="009F1D93">
        <w:rPr>
          <w:rFonts w:ascii="Arial" w:hAnsi="Arial" w:cs="Arial"/>
          <w:color w:val="000000"/>
          <w:sz w:val="22"/>
          <w:szCs w:val="22"/>
        </w:rPr>
        <w:t xml:space="preserve">. </w:t>
      </w:r>
    </w:p>
    <w:p w14:paraId="694808B8" w14:textId="77777777" w:rsidR="009F1D93" w:rsidRPr="009F1D93" w:rsidRDefault="009F1D93" w:rsidP="009F1D93">
      <w:pPr>
        <w:spacing w:line="360" w:lineRule="auto"/>
        <w:rPr>
          <w:rFonts w:ascii="Arial" w:hAnsi="Arial" w:cs="Arial"/>
          <w:sz w:val="22"/>
          <w:szCs w:val="22"/>
        </w:rPr>
      </w:pPr>
    </w:p>
    <w:p w14:paraId="68002316" w14:textId="6EC774B1" w:rsidR="009F1D93" w:rsidRPr="009F1D93" w:rsidRDefault="00000000" w:rsidP="009F1D93">
      <w:pPr>
        <w:pStyle w:val="NormalWeb"/>
        <w:spacing w:line="360" w:lineRule="auto"/>
        <w:rPr>
          <w:rFonts w:ascii="Arial" w:hAnsi="Arial" w:cs="Arial"/>
          <w:color w:val="000000"/>
          <w:sz w:val="22"/>
          <w:szCs w:val="22"/>
        </w:rPr>
      </w:pPr>
      <w:r w:rsidRPr="009F1D93">
        <w:rPr>
          <w:rFonts w:ascii="Arial" w:hAnsi="Arial" w:cs="Arial"/>
          <w:sz w:val="22"/>
          <w:szCs w:val="22"/>
        </w:rPr>
        <w:t>Referral pathways into CAMHS are often complex and fragmented, involving multiple agencies such as general practitioners, schools, and social services. Rades et al. (2021) highlight that these pathways are frequently unclear, leading to confusion among young people and their families</w:t>
      </w:r>
      <w:r w:rsidR="009F1D93">
        <w:rPr>
          <w:rFonts w:ascii="Arial" w:hAnsi="Arial" w:cs="Arial"/>
          <w:sz w:val="22"/>
          <w:szCs w:val="22"/>
        </w:rPr>
        <w:t xml:space="preserve"> (</w:t>
      </w:r>
      <w:r w:rsidR="009F1D93" w:rsidRPr="009F1D93">
        <w:rPr>
          <w:rFonts w:ascii="Arial" w:hAnsi="Arial" w:cs="Arial"/>
          <w:sz w:val="22"/>
          <w:szCs w:val="22"/>
        </w:rPr>
        <w:t>National Academies of Sciences, Engineering, and Medicine</w:t>
      </w:r>
      <w:r w:rsidR="009F1D93">
        <w:rPr>
          <w:rFonts w:ascii="Arial" w:hAnsi="Arial" w:cs="Arial"/>
          <w:sz w:val="22"/>
          <w:szCs w:val="22"/>
        </w:rPr>
        <w:t xml:space="preserve">, </w:t>
      </w:r>
      <w:r w:rsidR="009F1D93" w:rsidRPr="009F1D93">
        <w:rPr>
          <w:rFonts w:ascii="Arial" w:hAnsi="Arial" w:cs="Arial"/>
          <w:sz w:val="22"/>
          <w:szCs w:val="22"/>
        </w:rPr>
        <w:t>2017)</w:t>
      </w:r>
      <w:r w:rsidR="009F1D93">
        <w:rPr>
          <w:rFonts w:ascii="Arial" w:hAnsi="Arial" w:cs="Arial"/>
          <w:sz w:val="22"/>
          <w:szCs w:val="22"/>
        </w:rPr>
        <w:t xml:space="preserve">. </w:t>
      </w:r>
    </w:p>
    <w:p w14:paraId="46A16295" w14:textId="684EDFD4" w:rsidR="00FD197F" w:rsidRPr="009F1D93" w:rsidRDefault="00FD197F" w:rsidP="009F1D93">
      <w:pPr>
        <w:spacing w:line="360" w:lineRule="auto"/>
        <w:rPr>
          <w:rFonts w:ascii="Arial" w:hAnsi="Arial" w:cs="Arial"/>
          <w:sz w:val="22"/>
          <w:szCs w:val="22"/>
        </w:rPr>
      </w:pPr>
    </w:p>
    <w:p w14:paraId="384FD36F"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Stigma continues to play a significant role in shaping help-seeking behaviours. Despite increased awareness of mental health issues, young people may still fear judgement or discrimination, particularly within peer groups (O’Reilly et al., 2018).</w:t>
      </w:r>
    </w:p>
    <w:p w14:paraId="696F12FA"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Policy initiatives, including the NHS Long Term Plan, have aimed to improve access through increased funding and the expansion of school-based mental health services. However, demand continues to exceed capacity, indicating that systemic barriers remain unresolved (NHS England, 2019).</w:t>
      </w:r>
    </w:p>
    <w:p w14:paraId="6537EFDD" w14:textId="77777777" w:rsidR="00FD197F" w:rsidRPr="009F1D93" w:rsidRDefault="00FD197F" w:rsidP="009F1D93">
      <w:pPr>
        <w:spacing w:line="360" w:lineRule="auto"/>
        <w:rPr>
          <w:rFonts w:ascii="Arial" w:hAnsi="Arial" w:cs="Arial"/>
          <w:sz w:val="22"/>
          <w:szCs w:val="22"/>
        </w:rPr>
      </w:pPr>
    </w:p>
    <w:p w14:paraId="58628081" w14:textId="77777777" w:rsidR="00A842EE" w:rsidRPr="009F1D93" w:rsidRDefault="00A842EE" w:rsidP="009F1D93">
      <w:pPr>
        <w:spacing w:line="360" w:lineRule="auto"/>
        <w:rPr>
          <w:rFonts w:ascii="Arial" w:hAnsi="Arial" w:cs="Arial"/>
          <w:sz w:val="22"/>
          <w:szCs w:val="22"/>
        </w:rPr>
      </w:pPr>
    </w:p>
    <w:p w14:paraId="5A46A3C7" w14:textId="77777777" w:rsidR="00A842EE" w:rsidRPr="009F1D93" w:rsidRDefault="00A842EE" w:rsidP="009F1D93">
      <w:pPr>
        <w:spacing w:line="360" w:lineRule="auto"/>
        <w:rPr>
          <w:rFonts w:ascii="Arial" w:hAnsi="Arial" w:cs="Arial"/>
          <w:sz w:val="22"/>
          <w:szCs w:val="22"/>
        </w:rPr>
      </w:pPr>
    </w:p>
    <w:p w14:paraId="2DF9D278"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3. Methods</w:t>
      </w:r>
    </w:p>
    <w:p w14:paraId="640C0F9F"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 xml:space="preserve">This study employed a scoping review methodology to explore recent literature on barriers to accessing mental health services among adolescents in the United Kingdom. Scoping reviews are particularly suitable for examining broad and complex topics where the literature </w:t>
      </w:r>
      <w:r w:rsidRPr="009F1D93">
        <w:rPr>
          <w:rFonts w:ascii="Arial" w:hAnsi="Arial" w:cs="Arial"/>
          <w:sz w:val="22"/>
          <w:szCs w:val="22"/>
        </w:rPr>
        <w:lastRenderedPageBreak/>
        <w:t>may be diverse in terms of study designs, populations, and outcomes. Unlike systematic reviews, which typically focus on answering specific research questions and often assess study quality, scoping reviews aim to map the available evidence, clarify key concepts, and identify gaps in research (Arksey &amp; O’Malley, 2005). This approach is especially useful in the context of adolescent mental health, where barriers to service access may span multiple domains, including social, cultural, economic, and institutional factors.</w:t>
      </w:r>
    </w:p>
    <w:p w14:paraId="3DC03249"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The review process involved several stages. Initially, a comprehensive search strategy was developed in collaboration with a university librarian to ensure coverage of major electronic databases, including PubMed, PsycINFO, Scopus, and Web of Science. Keywords and subject headings were selected to capture studies relating to adolescents, mental health services, and barriers to access, with an emphasis on literature published within the last ten years to reflect current trends and policy contexts in the UK. Inclusion and exclusion criteria were defined to focus on studies reporting primary data or systematic reviews that investigated barriers to accessing mental health care for individuals aged 10–19 years.</w:t>
      </w:r>
    </w:p>
    <w:p w14:paraId="1155E719"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Following the database searches, titles and abstracts were screened independently by two reviewers to determine eligibility, and full-text articles were then examined for final inclusion. Data extraction involved charting key information such as study aims, population characteristics, types of mental health services examined, and reported barriers. Findings were synthesised thematically to highlight recurring patterns and gaps in the literature, providing a foundation for future research and informing policy recommendations aimed at improving service accessibility for adolescents.</w:t>
      </w:r>
    </w:p>
    <w:p w14:paraId="278F75FC" w14:textId="77777777" w:rsidR="00FD197F" w:rsidRPr="009F1D93" w:rsidRDefault="00FD197F" w:rsidP="009F1D93">
      <w:pPr>
        <w:spacing w:line="360" w:lineRule="auto"/>
        <w:rPr>
          <w:rFonts w:ascii="Arial" w:hAnsi="Arial" w:cs="Arial"/>
          <w:sz w:val="22"/>
          <w:szCs w:val="22"/>
        </w:rPr>
      </w:pPr>
    </w:p>
    <w:p w14:paraId="45AE1E76"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Search Strategy</w:t>
      </w:r>
    </w:p>
    <w:p w14:paraId="43D36D82"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A systematic search was conducted across academic databases including, Journals, and Google Scholar. The following keywords were used:</w:t>
      </w:r>
    </w:p>
    <w:p w14:paraId="211CE97F" w14:textId="77777777" w:rsidR="00FD197F" w:rsidRPr="009F1D93" w:rsidRDefault="00000000" w:rsidP="009F1D93">
      <w:pPr>
        <w:numPr>
          <w:ilvl w:val="0"/>
          <w:numId w:val="2"/>
        </w:numPr>
        <w:spacing w:line="360" w:lineRule="auto"/>
        <w:rPr>
          <w:rFonts w:ascii="Arial" w:hAnsi="Arial" w:cs="Arial"/>
          <w:sz w:val="22"/>
          <w:szCs w:val="22"/>
        </w:rPr>
      </w:pPr>
      <w:r w:rsidRPr="009F1D93">
        <w:rPr>
          <w:rFonts w:ascii="Arial" w:hAnsi="Arial" w:cs="Arial"/>
          <w:sz w:val="22"/>
          <w:szCs w:val="22"/>
        </w:rPr>
        <w:t>“Adolescent mental health”</w:t>
      </w:r>
    </w:p>
    <w:p w14:paraId="6D367BBC" w14:textId="77777777" w:rsidR="00FD197F" w:rsidRPr="009F1D93" w:rsidRDefault="00000000" w:rsidP="009F1D93">
      <w:pPr>
        <w:numPr>
          <w:ilvl w:val="0"/>
          <w:numId w:val="2"/>
        </w:numPr>
        <w:spacing w:line="360" w:lineRule="auto"/>
        <w:rPr>
          <w:rFonts w:ascii="Arial" w:hAnsi="Arial" w:cs="Arial"/>
          <w:sz w:val="22"/>
          <w:szCs w:val="22"/>
        </w:rPr>
      </w:pPr>
      <w:r w:rsidRPr="009F1D93">
        <w:rPr>
          <w:rFonts w:ascii="Arial" w:hAnsi="Arial" w:cs="Arial"/>
          <w:sz w:val="22"/>
          <w:szCs w:val="22"/>
        </w:rPr>
        <w:t>“barriers”</w:t>
      </w:r>
    </w:p>
    <w:p w14:paraId="5E35C9E4" w14:textId="77777777" w:rsidR="00FD197F" w:rsidRPr="009F1D93" w:rsidRDefault="00000000" w:rsidP="009F1D93">
      <w:pPr>
        <w:numPr>
          <w:ilvl w:val="0"/>
          <w:numId w:val="2"/>
        </w:numPr>
        <w:spacing w:line="360" w:lineRule="auto"/>
        <w:rPr>
          <w:rFonts w:ascii="Arial" w:hAnsi="Arial" w:cs="Arial"/>
          <w:sz w:val="22"/>
          <w:szCs w:val="22"/>
        </w:rPr>
      </w:pPr>
      <w:r w:rsidRPr="009F1D93">
        <w:rPr>
          <w:rFonts w:ascii="Arial" w:hAnsi="Arial" w:cs="Arial"/>
          <w:sz w:val="22"/>
          <w:szCs w:val="22"/>
        </w:rPr>
        <w:t>“United Kingdom”</w:t>
      </w:r>
    </w:p>
    <w:p w14:paraId="508F0D90" w14:textId="77777777" w:rsidR="00FD197F" w:rsidRPr="009F1D93" w:rsidRDefault="00000000" w:rsidP="009F1D93">
      <w:pPr>
        <w:numPr>
          <w:ilvl w:val="0"/>
          <w:numId w:val="2"/>
        </w:numPr>
        <w:spacing w:line="360" w:lineRule="auto"/>
        <w:rPr>
          <w:rFonts w:ascii="Arial" w:hAnsi="Arial" w:cs="Arial"/>
          <w:sz w:val="22"/>
          <w:szCs w:val="22"/>
        </w:rPr>
      </w:pPr>
      <w:r w:rsidRPr="009F1D93">
        <w:rPr>
          <w:rFonts w:ascii="Arial" w:hAnsi="Arial" w:cs="Arial"/>
          <w:sz w:val="22"/>
          <w:szCs w:val="22"/>
        </w:rPr>
        <w:t>“Young people mental health services”</w:t>
      </w:r>
    </w:p>
    <w:p w14:paraId="1B083012" w14:textId="77777777" w:rsidR="00FD197F" w:rsidRPr="009F1D93" w:rsidRDefault="00FD197F" w:rsidP="009F1D93">
      <w:pPr>
        <w:spacing w:line="360" w:lineRule="auto"/>
        <w:rPr>
          <w:rFonts w:ascii="Arial" w:hAnsi="Arial" w:cs="Arial"/>
          <w:sz w:val="22"/>
          <w:szCs w:val="22"/>
        </w:rPr>
      </w:pPr>
    </w:p>
    <w:p w14:paraId="2428E574"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Inclusion Criteria</w:t>
      </w:r>
    </w:p>
    <w:p w14:paraId="4FF74E7C" w14:textId="77777777" w:rsidR="00FD197F" w:rsidRPr="009F1D93" w:rsidRDefault="00000000" w:rsidP="009F1D93">
      <w:pPr>
        <w:numPr>
          <w:ilvl w:val="0"/>
          <w:numId w:val="3"/>
        </w:numPr>
        <w:spacing w:line="360" w:lineRule="auto"/>
        <w:rPr>
          <w:rFonts w:ascii="Arial" w:hAnsi="Arial" w:cs="Arial"/>
          <w:sz w:val="22"/>
          <w:szCs w:val="22"/>
        </w:rPr>
      </w:pPr>
      <w:r w:rsidRPr="009F1D93">
        <w:rPr>
          <w:rFonts w:ascii="Arial" w:hAnsi="Arial" w:cs="Arial"/>
          <w:sz w:val="22"/>
          <w:szCs w:val="22"/>
        </w:rPr>
        <w:t>Peer-reviewed journal articles</w:t>
      </w:r>
    </w:p>
    <w:p w14:paraId="5D8ABF7D" w14:textId="754EB0DB" w:rsidR="00FD197F" w:rsidRPr="009F1D93" w:rsidRDefault="00000000" w:rsidP="009F1D93">
      <w:pPr>
        <w:numPr>
          <w:ilvl w:val="0"/>
          <w:numId w:val="3"/>
        </w:numPr>
        <w:spacing w:line="360" w:lineRule="auto"/>
        <w:rPr>
          <w:rFonts w:ascii="Arial" w:hAnsi="Arial" w:cs="Arial"/>
          <w:sz w:val="22"/>
          <w:szCs w:val="22"/>
        </w:rPr>
      </w:pPr>
      <w:r w:rsidRPr="009F1D93">
        <w:rPr>
          <w:rFonts w:ascii="Arial" w:hAnsi="Arial" w:cs="Arial"/>
          <w:sz w:val="22"/>
          <w:szCs w:val="22"/>
        </w:rPr>
        <w:t>Published between 2016 and 202</w:t>
      </w:r>
      <w:r w:rsidR="00A842EE" w:rsidRPr="009F1D93">
        <w:rPr>
          <w:rFonts w:ascii="Arial" w:hAnsi="Arial" w:cs="Arial"/>
          <w:sz w:val="22"/>
          <w:szCs w:val="22"/>
        </w:rPr>
        <w:t>6</w:t>
      </w:r>
    </w:p>
    <w:p w14:paraId="2EE11373" w14:textId="77777777" w:rsidR="00FD197F" w:rsidRPr="009F1D93" w:rsidRDefault="00000000" w:rsidP="009F1D93">
      <w:pPr>
        <w:numPr>
          <w:ilvl w:val="0"/>
          <w:numId w:val="3"/>
        </w:numPr>
        <w:spacing w:line="360" w:lineRule="auto"/>
        <w:rPr>
          <w:rFonts w:ascii="Arial" w:hAnsi="Arial" w:cs="Arial"/>
          <w:sz w:val="22"/>
          <w:szCs w:val="22"/>
        </w:rPr>
      </w:pPr>
      <w:r w:rsidRPr="009F1D93">
        <w:rPr>
          <w:rFonts w:ascii="Arial" w:hAnsi="Arial" w:cs="Arial"/>
          <w:sz w:val="22"/>
          <w:szCs w:val="22"/>
        </w:rPr>
        <w:t>UK-based studies</w:t>
      </w:r>
    </w:p>
    <w:p w14:paraId="0BB3F1FB" w14:textId="77777777" w:rsidR="00FD197F" w:rsidRPr="009F1D93" w:rsidRDefault="00000000" w:rsidP="009F1D93">
      <w:pPr>
        <w:numPr>
          <w:ilvl w:val="0"/>
          <w:numId w:val="3"/>
        </w:numPr>
        <w:spacing w:line="360" w:lineRule="auto"/>
        <w:rPr>
          <w:rFonts w:ascii="Arial" w:hAnsi="Arial" w:cs="Arial"/>
          <w:sz w:val="22"/>
          <w:szCs w:val="22"/>
        </w:rPr>
      </w:pPr>
      <w:r w:rsidRPr="009F1D93">
        <w:rPr>
          <w:rFonts w:ascii="Arial" w:hAnsi="Arial" w:cs="Arial"/>
          <w:sz w:val="22"/>
          <w:szCs w:val="22"/>
        </w:rPr>
        <w:t>Adolescents aged 10–19</w:t>
      </w:r>
    </w:p>
    <w:p w14:paraId="1156DD70" w14:textId="77777777" w:rsidR="00FD197F" w:rsidRPr="009F1D93" w:rsidRDefault="00000000" w:rsidP="009F1D93">
      <w:pPr>
        <w:numPr>
          <w:ilvl w:val="0"/>
          <w:numId w:val="3"/>
        </w:numPr>
        <w:spacing w:line="360" w:lineRule="auto"/>
        <w:rPr>
          <w:rFonts w:ascii="Arial" w:hAnsi="Arial" w:cs="Arial"/>
          <w:sz w:val="22"/>
          <w:szCs w:val="22"/>
        </w:rPr>
      </w:pPr>
      <w:r w:rsidRPr="009F1D93">
        <w:rPr>
          <w:rFonts w:ascii="Arial" w:hAnsi="Arial" w:cs="Arial"/>
          <w:sz w:val="22"/>
          <w:szCs w:val="22"/>
        </w:rPr>
        <w:t>Studies addressing barriers to accessing mental health services</w:t>
      </w:r>
    </w:p>
    <w:p w14:paraId="4C79CE74" w14:textId="77777777" w:rsidR="00FD197F" w:rsidRPr="009F1D93" w:rsidRDefault="00FD197F" w:rsidP="009F1D93">
      <w:pPr>
        <w:spacing w:line="360" w:lineRule="auto"/>
        <w:rPr>
          <w:rFonts w:ascii="Arial" w:hAnsi="Arial" w:cs="Arial"/>
          <w:sz w:val="22"/>
          <w:szCs w:val="22"/>
        </w:rPr>
      </w:pPr>
    </w:p>
    <w:p w14:paraId="77F21DE4"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lastRenderedPageBreak/>
        <w:t>Exclusion Criteria</w:t>
      </w:r>
    </w:p>
    <w:p w14:paraId="1E71A74C" w14:textId="77777777" w:rsidR="00FD197F" w:rsidRPr="009F1D93" w:rsidRDefault="00000000" w:rsidP="009F1D93">
      <w:pPr>
        <w:numPr>
          <w:ilvl w:val="0"/>
          <w:numId w:val="4"/>
        </w:numPr>
        <w:spacing w:line="360" w:lineRule="auto"/>
        <w:rPr>
          <w:rFonts w:ascii="Arial" w:hAnsi="Arial" w:cs="Arial"/>
          <w:sz w:val="22"/>
          <w:szCs w:val="22"/>
        </w:rPr>
      </w:pPr>
      <w:r w:rsidRPr="009F1D93">
        <w:rPr>
          <w:rFonts w:ascii="Arial" w:hAnsi="Arial" w:cs="Arial"/>
          <w:sz w:val="22"/>
          <w:szCs w:val="22"/>
        </w:rPr>
        <w:t>Editorials, commentaries, and policy reports</w:t>
      </w:r>
    </w:p>
    <w:p w14:paraId="092BBEA4" w14:textId="77777777" w:rsidR="00FD197F" w:rsidRPr="009F1D93" w:rsidRDefault="00000000" w:rsidP="009F1D93">
      <w:pPr>
        <w:numPr>
          <w:ilvl w:val="0"/>
          <w:numId w:val="4"/>
        </w:numPr>
        <w:spacing w:line="360" w:lineRule="auto"/>
        <w:rPr>
          <w:rFonts w:ascii="Arial" w:hAnsi="Arial" w:cs="Arial"/>
          <w:sz w:val="22"/>
          <w:szCs w:val="22"/>
        </w:rPr>
      </w:pPr>
      <w:r w:rsidRPr="009F1D93">
        <w:rPr>
          <w:rFonts w:ascii="Arial" w:hAnsi="Arial" w:cs="Arial"/>
          <w:sz w:val="22"/>
          <w:szCs w:val="22"/>
        </w:rPr>
        <w:t>Non-peer-reviewed sources</w:t>
      </w:r>
    </w:p>
    <w:p w14:paraId="6E3D5D9C" w14:textId="77777777" w:rsidR="00FD197F" w:rsidRPr="009F1D93" w:rsidRDefault="00000000" w:rsidP="009F1D93">
      <w:pPr>
        <w:numPr>
          <w:ilvl w:val="0"/>
          <w:numId w:val="4"/>
        </w:numPr>
        <w:spacing w:line="360" w:lineRule="auto"/>
        <w:rPr>
          <w:rFonts w:ascii="Arial" w:hAnsi="Arial" w:cs="Arial"/>
          <w:sz w:val="22"/>
          <w:szCs w:val="22"/>
        </w:rPr>
      </w:pPr>
      <w:r w:rsidRPr="009F1D93">
        <w:rPr>
          <w:rFonts w:ascii="Arial" w:hAnsi="Arial" w:cs="Arial"/>
          <w:sz w:val="22"/>
          <w:szCs w:val="22"/>
        </w:rPr>
        <w:t>Studies focusing on adults only</w:t>
      </w:r>
    </w:p>
    <w:p w14:paraId="4806649C" w14:textId="57B17338" w:rsidR="00A842EE" w:rsidRPr="009F1D93" w:rsidRDefault="00A842EE" w:rsidP="009F1D93">
      <w:pPr>
        <w:numPr>
          <w:ilvl w:val="0"/>
          <w:numId w:val="4"/>
        </w:numPr>
        <w:spacing w:line="360" w:lineRule="auto"/>
        <w:rPr>
          <w:rFonts w:ascii="Arial" w:hAnsi="Arial" w:cs="Arial"/>
          <w:sz w:val="22"/>
          <w:szCs w:val="22"/>
        </w:rPr>
      </w:pPr>
      <w:r w:rsidRPr="009F1D93">
        <w:rPr>
          <w:rFonts w:ascii="Arial" w:hAnsi="Arial" w:cs="Arial"/>
          <w:sz w:val="22"/>
          <w:szCs w:val="22"/>
        </w:rPr>
        <w:t>Published before 2016</w:t>
      </w:r>
    </w:p>
    <w:p w14:paraId="00C29E69" w14:textId="0FD57424" w:rsidR="00A842EE" w:rsidRPr="009F1D93" w:rsidRDefault="00A842EE" w:rsidP="009F1D93">
      <w:pPr>
        <w:numPr>
          <w:ilvl w:val="0"/>
          <w:numId w:val="4"/>
        </w:numPr>
        <w:spacing w:line="360" w:lineRule="auto"/>
        <w:rPr>
          <w:rFonts w:ascii="Arial" w:hAnsi="Arial" w:cs="Arial"/>
          <w:sz w:val="22"/>
          <w:szCs w:val="22"/>
        </w:rPr>
      </w:pPr>
      <w:r w:rsidRPr="009F1D93">
        <w:rPr>
          <w:rFonts w:ascii="Arial" w:hAnsi="Arial" w:cs="Arial"/>
          <w:sz w:val="22"/>
          <w:szCs w:val="22"/>
        </w:rPr>
        <w:t xml:space="preserve">Involving adolescents living outside the UK. </w:t>
      </w:r>
    </w:p>
    <w:p w14:paraId="433D272D" w14:textId="77777777" w:rsidR="00FD197F" w:rsidRPr="009F1D93" w:rsidRDefault="00FD197F" w:rsidP="009F1D93">
      <w:pPr>
        <w:spacing w:line="360" w:lineRule="auto"/>
        <w:rPr>
          <w:rFonts w:ascii="Arial" w:hAnsi="Arial" w:cs="Arial"/>
          <w:sz w:val="22"/>
          <w:szCs w:val="22"/>
        </w:rPr>
      </w:pPr>
    </w:p>
    <w:p w14:paraId="1C14CCC8"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Study Selection</w:t>
      </w:r>
    </w:p>
    <w:p w14:paraId="6500C98E"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The initial search yielded a large number of articles. After screening titles, abstracts, and full texts, six studies meeting the inclusion criteria were selected. These studies represent a mix of qualitative, quantitative, and systematic review methodologies.</w:t>
      </w:r>
    </w:p>
    <w:p w14:paraId="6A412F90" w14:textId="77777777" w:rsidR="00FD197F" w:rsidRPr="009F1D93" w:rsidRDefault="00FD197F" w:rsidP="009F1D93">
      <w:pPr>
        <w:spacing w:line="360" w:lineRule="auto"/>
        <w:rPr>
          <w:rFonts w:ascii="Arial" w:hAnsi="Arial" w:cs="Arial"/>
          <w:sz w:val="22"/>
          <w:szCs w:val="22"/>
        </w:rPr>
      </w:pPr>
    </w:p>
    <w:p w14:paraId="61CAA57D"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Data Analysis</w:t>
      </w:r>
    </w:p>
    <w:p w14:paraId="363BA81E"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Thematic analysis was used to identify recurring patterns across the selected studies (Braun and Clarke, 2006). Themes were developed iteratively and refined to ensure they accurately reflected the data.</w:t>
      </w:r>
    </w:p>
    <w:p w14:paraId="29AD5C78" w14:textId="77777777" w:rsidR="00FD197F" w:rsidRPr="009F1D93" w:rsidRDefault="00FD197F" w:rsidP="009F1D93">
      <w:pPr>
        <w:spacing w:line="360" w:lineRule="auto"/>
        <w:rPr>
          <w:rFonts w:ascii="Arial" w:hAnsi="Arial" w:cs="Arial"/>
          <w:sz w:val="22"/>
          <w:szCs w:val="22"/>
        </w:rPr>
      </w:pPr>
    </w:p>
    <w:p w14:paraId="7AC12BB3"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Ethical Considerations</w:t>
      </w:r>
    </w:p>
    <w:p w14:paraId="585C8E01" w14:textId="3A92856A" w:rsidR="00FD197F" w:rsidRPr="009F1D93" w:rsidRDefault="00A842EE" w:rsidP="009F1D93">
      <w:pPr>
        <w:spacing w:line="360" w:lineRule="auto"/>
        <w:rPr>
          <w:rFonts w:ascii="Arial" w:hAnsi="Arial" w:cs="Arial"/>
          <w:sz w:val="22"/>
          <w:szCs w:val="22"/>
        </w:rPr>
      </w:pPr>
      <w:r w:rsidRPr="009F1D93">
        <w:rPr>
          <w:rFonts w:ascii="Arial" w:hAnsi="Arial" w:cs="Arial"/>
          <w:sz w:val="22"/>
          <w:szCs w:val="22"/>
        </w:rPr>
        <w:t xml:space="preserve">As this study involved secondary data analysis, ethical principles were upheld through accurate representation of findings and appropriate referencing. Only reliable sources were used to ensure research validity. </w:t>
      </w:r>
    </w:p>
    <w:p w14:paraId="71C0AA95" w14:textId="77777777" w:rsidR="00FD197F" w:rsidRPr="009F1D93" w:rsidRDefault="00FD197F" w:rsidP="009F1D93">
      <w:pPr>
        <w:spacing w:line="360" w:lineRule="auto"/>
        <w:rPr>
          <w:rFonts w:ascii="Arial" w:hAnsi="Arial" w:cs="Arial"/>
          <w:b/>
          <w:bCs/>
          <w:sz w:val="22"/>
          <w:szCs w:val="22"/>
        </w:rPr>
      </w:pPr>
    </w:p>
    <w:p w14:paraId="05BCB093" w14:textId="2C7B7DF3" w:rsidR="00E640F0"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4. Results</w:t>
      </w:r>
      <w:r w:rsidR="00E640F0" w:rsidRPr="009F1D93">
        <w:rPr>
          <w:rFonts w:ascii="Arial" w:hAnsi="Arial" w:cs="Arial"/>
          <w:b/>
          <w:bCs/>
          <w:sz w:val="22"/>
          <w:szCs w:val="22"/>
        </w:rPr>
        <w:t xml:space="preserve"> </w:t>
      </w:r>
    </w:p>
    <w:p w14:paraId="340FBD3E" w14:textId="65B6F2C6" w:rsidR="00E640F0" w:rsidRPr="009F1D93" w:rsidRDefault="00A842EE" w:rsidP="009F1D93">
      <w:pPr>
        <w:spacing w:line="360" w:lineRule="auto"/>
        <w:rPr>
          <w:rFonts w:ascii="Arial" w:hAnsi="Arial" w:cs="Arial"/>
          <w:sz w:val="22"/>
          <w:szCs w:val="22"/>
        </w:rPr>
      </w:pPr>
      <w:r w:rsidRPr="009F1D93">
        <w:rPr>
          <w:rFonts w:ascii="Arial" w:hAnsi="Arial" w:cs="Arial"/>
          <w:sz w:val="22"/>
          <w:szCs w:val="22"/>
        </w:rPr>
        <w:t>Based on the inclusion criteria, three journal articles were selected, and their key characteristics are presented in the table below. </w:t>
      </w:r>
    </w:p>
    <w:p w14:paraId="49824903" w14:textId="77777777" w:rsidR="00A842EE" w:rsidRPr="00E640F0" w:rsidRDefault="00A842EE" w:rsidP="009F1D93">
      <w:pPr>
        <w:spacing w:line="360" w:lineRule="auto"/>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12"/>
        <w:gridCol w:w="1129"/>
        <w:gridCol w:w="1118"/>
        <w:gridCol w:w="1851"/>
        <w:gridCol w:w="1344"/>
        <w:gridCol w:w="2156"/>
      </w:tblGrid>
      <w:tr w:rsidR="00E640F0" w:rsidRPr="009F1D93" w14:paraId="68C5A9CA" w14:textId="77777777" w:rsidTr="00E640F0">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2CE9C1E"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Author(s)</w:t>
            </w:r>
          </w:p>
        </w:tc>
        <w:tc>
          <w:tcPr>
            <w:tcW w:w="1099"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B4804E3"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Publication Year</w:t>
            </w:r>
          </w:p>
        </w:tc>
        <w:tc>
          <w:tcPr>
            <w:tcW w:w="1054"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4F05813"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Aim</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36FA20D"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Methods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CA89BB3"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Sample Size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B69E6BD"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Key Findings</w:t>
            </w:r>
          </w:p>
        </w:tc>
      </w:tr>
      <w:tr w:rsidR="00E640F0" w:rsidRPr="009F1D93" w14:paraId="48929D4E" w14:textId="77777777" w:rsidTr="00E640F0">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20F8F04"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Udu, Chukwu, Muhammad &amp; Isiyaku</w:t>
            </w:r>
          </w:p>
        </w:tc>
        <w:tc>
          <w:tcPr>
            <w:tcW w:w="1099" w:type="dxa"/>
            <w:tcBorders>
              <w:top w:val="single" w:sz="6" w:space="0" w:color="E6E6E6"/>
              <w:left w:val="single" w:sz="6" w:space="0" w:color="E6E6E6"/>
              <w:bottom w:val="single" w:sz="6" w:space="0" w:color="E6E6E6"/>
              <w:right w:val="single" w:sz="6" w:space="0" w:color="E6E6E6"/>
            </w:tcBorders>
            <w:vAlign w:val="center"/>
            <w:hideMark/>
          </w:tcPr>
          <w:p w14:paraId="29EE3DC2" w14:textId="77777777" w:rsidR="00E640F0" w:rsidRPr="00E640F0" w:rsidRDefault="00E640F0" w:rsidP="009F1D93">
            <w:pPr>
              <w:spacing w:line="360" w:lineRule="auto"/>
              <w:rPr>
                <w:rFonts w:ascii="Arial" w:hAnsi="Arial" w:cs="Arial"/>
                <w:sz w:val="22"/>
                <w:szCs w:val="22"/>
              </w:rPr>
            </w:pPr>
            <w:r w:rsidRPr="00E640F0">
              <w:rPr>
                <w:rFonts w:ascii="Arial" w:hAnsi="Arial" w:cs="Arial"/>
                <w:b/>
                <w:bCs/>
                <w:sz w:val="22"/>
                <w:szCs w:val="22"/>
              </w:rPr>
              <w:t>2026</w:t>
            </w:r>
          </w:p>
        </w:tc>
        <w:tc>
          <w:tcPr>
            <w:tcW w:w="1054" w:type="dxa"/>
            <w:tcBorders>
              <w:top w:val="single" w:sz="6" w:space="0" w:color="E6E6E6"/>
              <w:left w:val="single" w:sz="6" w:space="0" w:color="E6E6E6"/>
              <w:bottom w:val="single" w:sz="6" w:space="0" w:color="E6E6E6"/>
              <w:right w:val="single" w:sz="6" w:space="0" w:color="E6E6E6"/>
            </w:tcBorders>
            <w:vAlign w:val="center"/>
            <w:hideMark/>
          </w:tcPr>
          <w:p w14:paraId="33C402E3"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 xml:space="preserve">To synthesise qualitative evidence on barriers and disparities affecting </w:t>
            </w:r>
            <w:r w:rsidRPr="00E640F0">
              <w:rPr>
                <w:rFonts w:ascii="Arial" w:hAnsi="Arial" w:cs="Arial"/>
                <w:sz w:val="22"/>
                <w:szCs w:val="22"/>
              </w:rPr>
              <w:lastRenderedPageBreak/>
              <w:t>adolescents’ access to mental health services in the UK, interpreted using the Social</w:t>
            </w:r>
            <w:r w:rsidRPr="00E640F0">
              <w:rPr>
                <w:rFonts w:ascii="Arial" w:hAnsi="Arial" w:cs="Arial"/>
                <w:sz w:val="22"/>
                <w:szCs w:val="22"/>
              </w:rPr>
              <w:noBreakHyphen/>
              <w:t>Ecological Model (SEM)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1AF8CEB"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lastRenderedPageBreak/>
              <w:t>Systematic review of UK peer</w:t>
            </w:r>
            <w:r w:rsidRPr="00E640F0">
              <w:rPr>
                <w:rFonts w:ascii="Arial" w:hAnsi="Arial" w:cs="Arial"/>
                <w:sz w:val="22"/>
                <w:szCs w:val="22"/>
              </w:rPr>
              <w:noBreakHyphen/>
              <w:t xml:space="preserve">reviewed qualitative studies; PRISMA 2020 guidance; thematic synthesis using Braun &amp; </w:t>
            </w:r>
            <w:r w:rsidRPr="00E640F0">
              <w:rPr>
                <w:rFonts w:ascii="Arial" w:hAnsi="Arial" w:cs="Arial"/>
                <w:sz w:val="22"/>
                <w:szCs w:val="22"/>
              </w:rPr>
              <w:lastRenderedPageBreak/>
              <w:t>Clarke’s approach; PROSPERO</w:t>
            </w:r>
            <w:r w:rsidRPr="00E640F0">
              <w:rPr>
                <w:rFonts w:ascii="Arial" w:hAnsi="Arial" w:cs="Arial"/>
                <w:sz w:val="22"/>
                <w:szCs w:val="22"/>
              </w:rPr>
              <w:noBreakHyphen/>
              <w:t>registered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6BDCDAA"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lastRenderedPageBreak/>
              <w:t>8 qualitative studies comprising 97 adolescent participants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A87D8BC" w14:textId="628CE8A1"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Identified five key barriers (poor mental</w:t>
            </w:r>
            <w:r w:rsidRPr="00E640F0">
              <w:rPr>
                <w:rFonts w:ascii="Arial" w:hAnsi="Arial" w:cs="Arial"/>
                <w:sz w:val="22"/>
                <w:szCs w:val="22"/>
              </w:rPr>
              <w:noBreakHyphen/>
              <w:t xml:space="preserve">health literacy, stigma, lack of culturally competent care, economic deprivation and long waiting times, and </w:t>
            </w:r>
            <w:r w:rsidRPr="00E640F0">
              <w:rPr>
                <w:rFonts w:ascii="Arial" w:hAnsi="Arial" w:cs="Arial"/>
                <w:sz w:val="22"/>
                <w:szCs w:val="22"/>
              </w:rPr>
              <w:lastRenderedPageBreak/>
              <w:t>gendered norms) and three intersecting disparities (ethnic/cultural, socio</w:t>
            </w:r>
            <w:r w:rsidRPr="00E640F0">
              <w:rPr>
                <w:rFonts w:ascii="Arial" w:hAnsi="Arial" w:cs="Arial"/>
                <w:sz w:val="22"/>
                <w:szCs w:val="22"/>
              </w:rPr>
              <w:noBreakHyphen/>
              <w:t>economic, geographic) operating across individual, interpersonal, community, and system levels</w:t>
            </w:r>
            <w:r w:rsidRPr="009F1D93">
              <w:rPr>
                <w:rFonts w:ascii="Arial" w:hAnsi="Arial" w:cs="Arial"/>
                <w:sz w:val="22"/>
                <w:szCs w:val="22"/>
              </w:rPr>
              <w:t xml:space="preserve">. </w:t>
            </w:r>
          </w:p>
        </w:tc>
      </w:tr>
      <w:tr w:rsidR="00E640F0" w:rsidRPr="009F1D93" w14:paraId="273B63B9" w14:textId="77777777" w:rsidTr="00E640F0">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BA9A0AA"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lastRenderedPageBreak/>
              <w:t>Knowles, Gayer</w:t>
            </w:r>
            <w:r w:rsidRPr="00E640F0">
              <w:rPr>
                <w:rFonts w:ascii="Arial" w:hAnsi="Arial" w:cs="Arial"/>
                <w:b/>
                <w:bCs/>
                <w:sz w:val="22"/>
                <w:szCs w:val="22"/>
              </w:rPr>
              <w:noBreakHyphen/>
              <w:t>Anderson, Beards, et al.</w:t>
            </w:r>
          </w:p>
        </w:tc>
        <w:tc>
          <w:tcPr>
            <w:tcW w:w="1099" w:type="dxa"/>
            <w:tcBorders>
              <w:top w:val="single" w:sz="6" w:space="0" w:color="E6E6E6"/>
              <w:left w:val="single" w:sz="6" w:space="0" w:color="E6E6E6"/>
              <w:bottom w:val="single" w:sz="6" w:space="0" w:color="E6E6E6"/>
              <w:right w:val="single" w:sz="6" w:space="0" w:color="E6E6E6"/>
            </w:tcBorders>
            <w:vAlign w:val="center"/>
            <w:hideMark/>
          </w:tcPr>
          <w:p w14:paraId="75855FBD" w14:textId="77777777" w:rsidR="00E640F0" w:rsidRPr="00E640F0" w:rsidRDefault="00E640F0" w:rsidP="009F1D93">
            <w:pPr>
              <w:spacing w:line="360" w:lineRule="auto"/>
              <w:rPr>
                <w:rFonts w:ascii="Arial" w:hAnsi="Arial" w:cs="Arial"/>
                <w:sz w:val="22"/>
                <w:szCs w:val="22"/>
              </w:rPr>
            </w:pPr>
            <w:r w:rsidRPr="00E640F0">
              <w:rPr>
                <w:rFonts w:ascii="Arial" w:hAnsi="Arial" w:cs="Arial"/>
                <w:b/>
                <w:bCs/>
                <w:sz w:val="22"/>
                <w:szCs w:val="22"/>
              </w:rPr>
              <w:t>2021</w:t>
            </w:r>
          </w:p>
        </w:tc>
        <w:tc>
          <w:tcPr>
            <w:tcW w:w="1054" w:type="dxa"/>
            <w:tcBorders>
              <w:top w:val="single" w:sz="6" w:space="0" w:color="E6E6E6"/>
              <w:left w:val="single" w:sz="6" w:space="0" w:color="E6E6E6"/>
              <w:bottom w:val="single" w:sz="6" w:space="0" w:color="E6E6E6"/>
              <w:right w:val="single" w:sz="6" w:space="0" w:color="E6E6E6"/>
            </w:tcBorders>
            <w:vAlign w:val="center"/>
            <w:hideMark/>
          </w:tcPr>
          <w:p w14:paraId="18B6C887"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To estimate the prevalence and nature of mental health problems among adolescents in inner</w:t>
            </w:r>
            <w:r w:rsidRPr="00E640F0">
              <w:rPr>
                <w:rFonts w:ascii="Arial" w:hAnsi="Arial" w:cs="Arial"/>
                <w:sz w:val="22"/>
                <w:szCs w:val="22"/>
              </w:rPr>
              <w:noBreakHyphen/>
              <w:t xml:space="preserve">city London and examine variation by gender, ethnicity, age cohort, </w:t>
            </w:r>
            <w:r w:rsidRPr="00E640F0">
              <w:rPr>
                <w:rFonts w:ascii="Arial" w:hAnsi="Arial" w:cs="Arial"/>
                <w:sz w:val="22"/>
                <w:szCs w:val="22"/>
              </w:rPr>
              <w:lastRenderedPageBreak/>
              <w:t>and socio</w:t>
            </w:r>
            <w:r w:rsidRPr="00E640F0">
              <w:rPr>
                <w:rFonts w:ascii="Arial" w:hAnsi="Arial" w:cs="Arial"/>
                <w:sz w:val="22"/>
                <w:szCs w:val="22"/>
              </w:rPr>
              <w:noBreakHyphen/>
              <w:t>economic status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737A80E"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lastRenderedPageBreak/>
              <w:t>School</w:t>
            </w:r>
            <w:r w:rsidRPr="00E640F0">
              <w:rPr>
                <w:rFonts w:ascii="Arial" w:hAnsi="Arial" w:cs="Arial"/>
                <w:sz w:val="22"/>
                <w:szCs w:val="22"/>
              </w:rPr>
              <w:noBreakHyphen/>
              <w:t>based accelerated cohort study (REACH); self</w:t>
            </w:r>
            <w:r w:rsidRPr="00E640F0">
              <w:rPr>
                <w:rFonts w:ascii="Arial" w:hAnsi="Arial" w:cs="Arial"/>
                <w:sz w:val="22"/>
                <w:szCs w:val="22"/>
              </w:rPr>
              <w:noBreakHyphen/>
              <w:t>report questionnaires (SDQ, SMFQ, GAD</w:t>
            </w:r>
            <w:r w:rsidRPr="00E640F0">
              <w:rPr>
                <w:rFonts w:ascii="Arial" w:hAnsi="Arial" w:cs="Arial"/>
                <w:sz w:val="22"/>
                <w:szCs w:val="22"/>
              </w:rPr>
              <w:noBreakHyphen/>
              <w:t>7, self</w:t>
            </w:r>
            <w:r w:rsidRPr="00E640F0">
              <w:rPr>
                <w:rFonts w:ascii="Arial" w:hAnsi="Arial" w:cs="Arial"/>
                <w:sz w:val="22"/>
                <w:szCs w:val="22"/>
              </w:rPr>
              <w:noBreakHyphen/>
              <w:t>harm); multilevel regression and weighted prevalence analysis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D36DFB9"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 xml:space="preserve">4,353 </w:t>
            </w:r>
            <w:proofErr w:type="spellStart"/>
            <w:r w:rsidRPr="00E640F0">
              <w:rPr>
                <w:rFonts w:ascii="Arial" w:hAnsi="Arial" w:cs="Arial"/>
                <w:sz w:val="22"/>
                <w:szCs w:val="22"/>
              </w:rPr>
              <w:t>adolescentsaged</w:t>
            </w:r>
            <w:proofErr w:type="spellEnd"/>
            <w:r w:rsidRPr="00E640F0">
              <w:rPr>
                <w:rFonts w:ascii="Arial" w:hAnsi="Arial" w:cs="Arial"/>
                <w:sz w:val="22"/>
                <w:szCs w:val="22"/>
              </w:rPr>
              <w:t xml:space="preserve"> 11–14 years from 12 secondary schools; 85% from minority ethnic groups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D31B6B6" w14:textId="018DF086"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Nearly 1 in 5 adolescents (18.6%) had a mental health problem, higher than national averages. Girls showed higher rates than boys, with gender differences increasing with age. Higher risk was observed among economically disadvantaged adolescents, while prevalence was broadly similar across most ethnic groups with some variation</w:t>
            </w:r>
            <w:r w:rsidRPr="009F1D93">
              <w:rPr>
                <w:rFonts w:ascii="Arial" w:hAnsi="Arial" w:cs="Arial"/>
                <w:sz w:val="22"/>
                <w:szCs w:val="22"/>
              </w:rPr>
              <w:t xml:space="preserve">. </w:t>
            </w:r>
          </w:p>
        </w:tc>
      </w:tr>
      <w:tr w:rsidR="00E640F0" w:rsidRPr="009F1D93" w14:paraId="56A85F1B" w14:textId="77777777" w:rsidTr="00E640F0">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C6D7092" w14:textId="77777777" w:rsidR="00E640F0" w:rsidRPr="00E640F0" w:rsidRDefault="00E640F0" w:rsidP="009F1D93">
            <w:pPr>
              <w:spacing w:line="360" w:lineRule="auto"/>
              <w:jc w:val="center"/>
              <w:rPr>
                <w:rFonts w:ascii="Arial" w:hAnsi="Arial" w:cs="Arial"/>
                <w:b/>
                <w:bCs/>
                <w:sz w:val="22"/>
                <w:szCs w:val="22"/>
              </w:rPr>
            </w:pPr>
            <w:r w:rsidRPr="00E640F0">
              <w:rPr>
                <w:rFonts w:ascii="Arial" w:hAnsi="Arial" w:cs="Arial"/>
                <w:b/>
                <w:bCs/>
                <w:sz w:val="22"/>
                <w:szCs w:val="22"/>
              </w:rPr>
              <w:t>Al</w:t>
            </w:r>
            <w:r w:rsidRPr="00E640F0">
              <w:rPr>
                <w:rFonts w:ascii="Arial" w:hAnsi="Arial" w:cs="Arial"/>
                <w:b/>
                <w:bCs/>
                <w:sz w:val="22"/>
                <w:szCs w:val="22"/>
              </w:rPr>
              <w:noBreakHyphen/>
            </w:r>
            <w:proofErr w:type="spellStart"/>
            <w:r w:rsidRPr="00E640F0">
              <w:rPr>
                <w:rFonts w:ascii="Arial" w:hAnsi="Arial" w:cs="Arial"/>
                <w:b/>
                <w:bCs/>
                <w:sz w:val="22"/>
                <w:szCs w:val="22"/>
              </w:rPr>
              <w:t>Zawaadi</w:t>
            </w:r>
            <w:proofErr w:type="spellEnd"/>
            <w:r w:rsidRPr="00E640F0">
              <w:rPr>
                <w:rFonts w:ascii="Arial" w:hAnsi="Arial" w:cs="Arial"/>
                <w:b/>
                <w:bCs/>
                <w:sz w:val="22"/>
                <w:szCs w:val="22"/>
              </w:rPr>
              <w:t>, Hesso &amp; Kayyali</w:t>
            </w:r>
          </w:p>
        </w:tc>
        <w:tc>
          <w:tcPr>
            <w:tcW w:w="1099" w:type="dxa"/>
            <w:tcBorders>
              <w:top w:val="single" w:sz="6" w:space="0" w:color="E6E6E6"/>
              <w:left w:val="single" w:sz="6" w:space="0" w:color="E6E6E6"/>
              <w:bottom w:val="single" w:sz="6" w:space="0" w:color="E6E6E6"/>
              <w:right w:val="single" w:sz="6" w:space="0" w:color="E6E6E6"/>
            </w:tcBorders>
            <w:vAlign w:val="center"/>
            <w:hideMark/>
          </w:tcPr>
          <w:p w14:paraId="7D846C00" w14:textId="77777777" w:rsidR="00E640F0" w:rsidRPr="00E640F0" w:rsidRDefault="00E640F0" w:rsidP="009F1D93">
            <w:pPr>
              <w:spacing w:line="360" w:lineRule="auto"/>
              <w:rPr>
                <w:rFonts w:ascii="Arial" w:hAnsi="Arial" w:cs="Arial"/>
                <w:sz w:val="22"/>
                <w:szCs w:val="22"/>
              </w:rPr>
            </w:pPr>
            <w:r w:rsidRPr="00E640F0">
              <w:rPr>
                <w:rFonts w:ascii="Arial" w:hAnsi="Arial" w:cs="Arial"/>
                <w:b/>
                <w:bCs/>
                <w:sz w:val="22"/>
                <w:szCs w:val="22"/>
              </w:rPr>
              <w:t>2021</w:t>
            </w:r>
          </w:p>
        </w:tc>
        <w:tc>
          <w:tcPr>
            <w:tcW w:w="1054" w:type="dxa"/>
            <w:tcBorders>
              <w:top w:val="single" w:sz="6" w:space="0" w:color="E6E6E6"/>
              <w:left w:val="single" w:sz="6" w:space="0" w:color="E6E6E6"/>
              <w:bottom w:val="single" w:sz="6" w:space="0" w:color="E6E6E6"/>
              <w:right w:val="single" w:sz="6" w:space="0" w:color="E6E6E6"/>
            </w:tcBorders>
            <w:vAlign w:val="center"/>
            <w:hideMark/>
          </w:tcPr>
          <w:p w14:paraId="5C302978"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To describe mental health issues and identify factors associated with negative mental health feelings among school</w:t>
            </w:r>
            <w:r w:rsidRPr="00E640F0">
              <w:rPr>
                <w:rFonts w:ascii="Arial" w:hAnsi="Arial" w:cs="Arial"/>
                <w:sz w:val="22"/>
                <w:szCs w:val="22"/>
              </w:rPr>
              <w:noBreakHyphen/>
              <w:t>going adolescents in Greater London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EB3C8F8"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Quantitative cross</w:t>
            </w:r>
            <w:r w:rsidRPr="00E640F0">
              <w:rPr>
                <w:rFonts w:ascii="Arial" w:hAnsi="Arial" w:cs="Arial"/>
                <w:sz w:val="22"/>
                <w:szCs w:val="22"/>
              </w:rPr>
              <w:noBreakHyphen/>
              <w:t>sectional survey; self</w:t>
            </w:r>
            <w:r w:rsidRPr="00E640F0">
              <w:rPr>
                <w:rFonts w:ascii="Arial" w:hAnsi="Arial" w:cs="Arial"/>
                <w:sz w:val="22"/>
                <w:szCs w:val="22"/>
              </w:rPr>
              <w:noBreakHyphen/>
              <w:t>administered questionnaire; convenience sampling; chi</w:t>
            </w:r>
            <w:r w:rsidRPr="00E640F0">
              <w:rPr>
                <w:rFonts w:ascii="Arial" w:hAnsi="Arial" w:cs="Arial"/>
                <w:sz w:val="22"/>
                <w:szCs w:val="22"/>
              </w:rPr>
              <w:noBreakHyphen/>
              <w:t>square tests, Spearman correlation, and binary logistic regression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231ACE9" w14:textId="2271F7D3"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526 adolescents</w:t>
            </w:r>
            <w:r w:rsidRPr="009F1D93">
              <w:rPr>
                <w:rFonts w:ascii="Arial" w:hAnsi="Arial" w:cs="Arial"/>
                <w:sz w:val="22"/>
                <w:szCs w:val="22"/>
              </w:rPr>
              <w:t xml:space="preserve"> </w:t>
            </w:r>
            <w:r w:rsidRPr="00E640F0">
              <w:rPr>
                <w:rFonts w:ascii="Arial" w:hAnsi="Arial" w:cs="Arial"/>
                <w:sz w:val="22"/>
                <w:szCs w:val="22"/>
              </w:rPr>
              <w:t>aged 11–19 years recruited from 18 secondary schools and 2 colleges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6C31FD1" w14:textId="77777777" w:rsidR="00E640F0" w:rsidRPr="00E640F0" w:rsidRDefault="00E640F0" w:rsidP="009F1D93">
            <w:pPr>
              <w:spacing w:line="360" w:lineRule="auto"/>
              <w:rPr>
                <w:rFonts w:ascii="Arial" w:hAnsi="Arial" w:cs="Arial"/>
                <w:sz w:val="22"/>
                <w:szCs w:val="22"/>
              </w:rPr>
            </w:pPr>
            <w:r w:rsidRPr="00E640F0">
              <w:rPr>
                <w:rFonts w:ascii="Arial" w:hAnsi="Arial" w:cs="Arial"/>
                <w:sz w:val="22"/>
                <w:szCs w:val="22"/>
              </w:rPr>
              <w:t>Over one quarter showed dominance of negative mental</w:t>
            </w:r>
            <w:r w:rsidRPr="00E640F0">
              <w:rPr>
                <w:rFonts w:ascii="Arial" w:hAnsi="Arial" w:cs="Arial"/>
                <w:sz w:val="22"/>
                <w:szCs w:val="22"/>
              </w:rPr>
              <w:noBreakHyphen/>
              <w:t>health symptomatology. Discrimination was the strongest predictor, increasing the odds of negative mental health over fivefold. Other significant risk factors included older age, female gender, smoking, and health comorbidities</w:t>
            </w:r>
          </w:p>
        </w:tc>
      </w:tr>
    </w:tbl>
    <w:p w14:paraId="1CD9474C" w14:textId="77777777" w:rsidR="00FD197F" w:rsidRPr="009F1D93" w:rsidRDefault="00FD197F" w:rsidP="009F1D93">
      <w:pPr>
        <w:spacing w:line="360" w:lineRule="auto"/>
        <w:rPr>
          <w:rFonts w:ascii="Arial" w:hAnsi="Arial" w:cs="Arial"/>
          <w:b/>
          <w:bCs/>
          <w:sz w:val="22"/>
          <w:szCs w:val="22"/>
        </w:rPr>
      </w:pPr>
    </w:p>
    <w:p w14:paraId="5690F20B" w14:textId="4BA3697C" w:rsidR="00FD197F" w:rsidRPr="009F1D93" w:rsidRDefault="00A842EE" w:rsidP="009F1D93">
      <w:pPr>
        <w:spacing w:line="360" w:lineRule="auto"/>
        <w:rPr>
          <w:rFonts w:ascii="Arial" w:hAnsi="Arial" w:cs="Arial"/>
          <w:sz w:val="22"/>
          <w:szCs w:val="22"/>
        </w:rPr>
      </w:pPr>
      <w:r w:rsidRPr="009F1D93">
        <w:rPr>
          <w:rFonts w:ascii="Arial" w:hAnsi="Arial" w:cs="Arial"/>
          <w:sz w:val="22"/>
          <w:szCs w:val="22"/>
        </w:rPr>
        <w:t xml:space="preserve">Following the analysis of the three articles in the table above, two main themes were identified. </w:t>
      </w:r>
    </w:p>
    <w:p w14:paraId="5019CBEF" w14:textId="77777777" w:rsidR="001A1F17" w:rsidRPr="009F1D93" w:rsidRDefault="001A1F17" w:rsidP="009F1D93">
      <w:pPr>
        <w:pStyle w:val="Heading2"/>
        <w:spacing w:line="360" w:lineRule="auto"/>
        <w:rPr>
          <w:rFonts w:ascii="Arial" w:hAnsi="Arial" w:cs="Arial"/>
          <w:b/>
          <w:bCs/>
          <w:color w:val="000000"/>
          <w:sz w:val="22"/>
          <w:szCs w:val="22"/>
        </w:rPr>
      </w:pPr>
      <w:r w:rsidRPr="009F1D93">
        <w:rPr>
          <w:rFonts w:ascii="Arial" w:hAnsi="Arial" w:cs="Arial"/>
          <w:b/>
          <w:bCs/>
          <w:color w:val="000000"/>
          <w:sz w:val="22"/>
          <w:szCs w:val="22"/>
        </w:rPr>
        <w:t>Theme 1: Social and Structural Determinants of Adolescent Mental Health</w:t>
      </w:r>
    </w:p>
    <w:p w14:paraId="08B164B9"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Across the three studies, adolescent mental health is consistently shaped by</w:t>
      </w:r>
      <w:r w:rsidRPr="009F1D93">
        <w:rPr>
          <w:rStyle w:val="apple-converted-space"/>
          <w:rFonts w:ascii="Arial" w:hAnsi="Arial" w:cs="Arial"/>
          <w:color w:val="000000"/>
          <w:sz w:val="22"/>
          <w:szCs w:val="22"/>
        </w:rPr>
        <w:t> </w:t>
      </w:r>
      <w:r w:rsidRPr="009F1D93">
        <w:rPr>
          <w:rStyle w:val="Strong"/>
          <w:rFonts w:ascii="Arial" w:hAnsi="Arial" w:cs="Arial"/>
          <w:b w:val="0"/>
          <w:bCs w:val="0"/>
          <w:color w:val="000000"/>
          <w:sz w:val="22"/>
          <w:szCs w:val="22"/>
        </w:rPr>
        <w:t>social and structural determinants</w:t>
      </w:r>
      <w:r w:rsidRPr="009F1D93">
        <w:rPr>
          <w:rFonts w:ascii="Arial" w:hAnsi="Arial" w:cs="Arial"/>
          <w:b/>
          <w:bCs/>
          <w:color w:val="000000"/>
          <w:sz w:val="22"/>
          <w:szCs w:val="22"/>
        </w:rPr>
        <w:t>,</w:t>
      </w:r>
      <w:r w:rsidRPr="009F1D93">
        <w:rPr>
          <w:rFonts w:ascii="Arial" w:hAnsi="Arial" w:cs="Arial"/>
          <w:color w:val="000000"/>
          <w:sz w:val="22"/>
          <w:szCs w:val="22"/>
        </w:rPr>
        <w:t xml:space="preserve"> rather than individual vulnerability alone. Udu et al. (2026), through a qualitative systematic review, demonstrate that barriers to accessing mental health services operate across multiple levels of the Social</w:t>
      </w:r>
      <w:r w:rsidRPr="009F1D93">
        <w:rPr>
          <w:rFonts w:ascii="Arial" w:hAnsi="Arial" w:cs="Arial"/>
          <w:color w:val="000000"/>
          <w:sz w:val="22"/>
          <w:szCs w:val="22"/>
        </w:rPr>
        <w:noBreakHyphen/>
        <w:t>Ecological Model, particularly at the community and system levels. Adolescents reported economic deprivation, long waiting times within CAMHS, and limited availability of culturally competent services as key structural barriers, which disproportionately affected socially and economically marginalised groups. These findings align with the quantitative evidence from Knowles et al. (2021), who found higher prevalence of mental health problems and self</w:t>
      </w:r>
      <w:r w:rsidRPr="009F1D93">
        <w:rPr>
          <w:rFonts w:ascii="Arial" w:hAnsi="Arial" w:cs="Arial"/>
          <w:color w:val="000000"/>
          <w:sz w:val="22"/>
          <w:szCs w:val="22"/>
        </w:rPr>
        <w:noBreakHyphen/>
        <w:t xml:space="preserve">harm among adolescents receiving free school </w:t>
      </w:r>
      <w:r w:rsidRPr="009F1D93">
        <w:rPr>
          <w:rFonts w:ascii="Arial" w:hAnsi="Arial" w:cs="Arial"/>
          <w:color w:val="000000"/>
          <w:sz w:val="22"/>
          <w:szCs w:val="22"/>
        </w:rPr>
        <w:lastRenderedPageBreak/>
        <w:t>meals in inner</w:t>
      </w:r>
      <w:r w:rsidRPr="009F1D93">
        <w:rPr>
          <w:rFonts w:ascii="Arial" w:hAnsi="Arial" w:cs="Arial"/>
          <w:color w:val="000000"/>
          <w:sz w:val="22"/>
          <w:szCs w:val="22"/>
        </w:rPr>
        <w:noBreakHyphen/>
        <w:t>city London, indicating the role of socio</w:t>
      </w:r>
      <w:r w:rsidRPr="009F1D93">
        <w:rPr>
          <w:rFonts w:ascii="Arial" w:hAnsi="Arial" w:cs="Arial"/>
          <w:color w:val="000000"/>
          <w:sz w:val="22"/>
          <w:szCs w:val="22"/>
        </w:rPr>
        <w:noBreakHyphen/>
        <w:t>economic disadvantage in mental health risk. Similarly, Al</w:t>
      </w:r>
      <w:r w:rsidRPr="009F1D93">
        <w:rPr>
          <w:rFonts w:ascii="Arial" w:hAnsi="Arial" w:cs="Arial"/>
          <w:color w:val="000000"/>
          <w:sz w:val="22"/>
          <w:szCs w:val="22"/>
        </w:rPr>
        <w:noBreakHyphen/>
      </w:r>
      <w:proofErr w:type="spellStart"/>
      <w:r w:rsidRPr="009F1D93">
        <w:rPr>
          <w:rFonts w:ascii="Arial" w:hAnsi="Arial" w:cs="Arial"/>
          <w:color w:val="000000"/>
          <w:sz w:val="22"/>
          <w:szCs w:val="22"/>
        </w:rPr>
        <w:t>Zawaadi</w:t>
      </w:r>
      <w:proofErr w:type="spellEnd"/>
      <w:r w:rsidRPr="009F1D93">
        <w:rPr>
          <w:rFonts w:ascii="Arial" w:hAnsi="Arial" w:cs="Arial"/>
          <w:color w:val="000000"/>
          <w:sz w:val="22"/>
          <w:szCs w:val="22"/>
        </w:rPr>
        <w:t xml:space="preserve"> et al. (2021) identified discrimination as the strongest predictor of negative mental health symptomatology, with adolescents who experienced discrimination being over five times more likely to report dominant negative mental health feelings. Taken together, the three studies converge on the conclusion that adolescent mental health is deeply embedded within wider social inequalities, emphasising the importance of addressing structural disadvantage, discrimination, and inequitable service provision in mental health policy and practice.</w:t>
      </w:r>
    </w:p>
    <w:p w14:paraId="1871B8F8" w14:textId="0999F933" w:rsidR="001A1F17" w:rsidRPr="009F1D93" w:rsidRDefault="001A1F17" w:rsidP="009F1D93">
      <w:pPr>
        <w:spacing w:line="360" w:lineRule="auto"/>
        <w:rPr>
          <w:rFonts w:ascii="Arial" w:hAnsi="Arial" w:cs="Arial"/>
          <w:color w:val="000000"/>
          <w:sz w:val="22"/>
          <w:szCs w:val="22"/>
        </w:rPr>
      </w:pPr>
    </w:p>
    <w:p w14:paraId="5DD1B891" w14:textId="77777777" w:rsidR="001A1F17" w:rsidRPr="009F1D93" w:rsidRDefault="001A1F17" w:rsidP="009F1D93">
      <w:pPr>
        <w:pStyle w:val="Heading2"/>
        <w:spacing w:line="360" w:lineRule="auto"/>
        <w:rPr>
          <w:rFonts w:ascii="Arial" w:hAnsi="Arial" w:cs="Arial"/>
          <w:b/>
          <w:bCs/>
          <w:color w:val="000000"/>
          <w:sz w:val="22"/>
          <w:szCs w:val="22"/>
        </w:rPr>
      </w:pPr>
      <w:r w:rsidRPr="009F1D93">
        <w:rPr>
          <w:rFonts w:ascii="Arial" w:hAnsi="Arial" w:cs="Arial"/>
          <w:b/>
          <w:bCs/>
          <w:color w:val="000000"/>
          <w:sz w:val="22"/>
          <w:szCs w:val="22"/>
        </w:rPr>
        <w:t>Theme 2: Inequalities, Identity, and Differential Mental Health Risk</w:t>
      </w:r>
    </w:p>
    <w:p w14:paraId="51A26E8A"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A second unifying theme across the studies is the role of</w:t>
      </w:r>
      <w:r w:rsidRPr="009F1D93">
        <w:rPr>
          <w:rStyle w:val="apple-converted-space"/>
          <w:rFonts w:ascii="Arial" w:hAnsi="Arial" w:cs="Arial"/>
          <w:color w:val="000000"/>
          <w:sz w:val="22"/>
          <w:szCs w:val="22"/>
        </w:rPr>
        <w:t> </w:t>
      </w:r>
      <w:r w:rsidRPr="009F1D93">
        <w:rPr>
          <w:rStyle w:val="Strong"/>
          <w:rFonts w:ascii="Arial" w:hAnsi="Arial" w:cs="Arial"/>
          <w:b w:val="0"/>
          <w:bCs w:val="0"/>
          <w:color w:val="000000"/>
          <w:sz w:val="22"/>
          <w:szCs w:val="22"/>
        </w:rPr>
        <w:t>inequalities linked to identity</w:t>
      </w:r>
      <w:r w:rsidRPr="009F1D93">
        <w:rPr>
          <w:rFonts w:ascii="Arial" w:hAnsi="Arial" w:cs="Arial"/>
          <w:b/>
          <w:bCs/>
          <w:color w:val="000000"/>
          <w:sz w:val="22"/>
          <w:szCs w:val="22"/>
        </w:rPr>
        <w:t>,</w:t>
      </w:r>
      <w:r w:rsidRPr="009F1D93">
        <w:rPr>
          <w:rFonts w:ascii="Arial" w:hAnsi="Arial" w:cs="Arial"/>
          <w:color w:val="000000"/>
          <w:sz w:val="22"/>
          <w:szCs w:val="22"/>
        </w:rPr>
        <w:t xml:space="preserve"> particularly gender, ethnicity, and age, in shaping adolescents’ mental health experiences. Knowles et al. (2021) demonstrate marked gender differences in mental health prevalence, with girls exhibiting significantly higher rates of depression, anxiety, and self</w:t>
      </w:r>
      <w:r w:rsidRPr="009F1D93">
        <w:rPr>
          <w:rFonts w:ascii="Arial" w:hAnsi="Arial" w:cs="Arial"/>
          <w:color w:val="000000"/>
          <w:sz w:val="22"/>
          <w:szCs w:val="22"/>
        </w:rPr>
        <w:noBreakHyphen/>
        <w:t>harm than boys, and these disparities becoming more pronounced with increasing age. This pattern is mirrored in Al</w:t>
      </w:r>
      <w:r w:rsidRPr="009F1D93">
        <w:rPr>
          <w:rFonts w:ascii="Arial" w:hAnsi="Arial" w:cs="Arial"/>
          <w:color w:val="000000"/>
          <w:sz w:val="22"/>
          <w:szCs w:val="22"/>
        </w:rPr>
        <w:noBreakHyphen/>
      </w:r>
      <w:proofErr w:type="spellStart"/>
      <w:r w:rsidRPr="009F1D93">
        <w:rPr>
          <w:rFonts w:ascii="Arial" w:hAnsi="Arial" w:cs="Arial"/>
          <w:color w:val="000000"/>
          <w:sz w:val="22"/>
          <w:szCs w:val="22"/>
        </w:rPr>
        <w:t>Zawaadi</w:t>
      </w:r>
      <w:proofErr w:type="spellEnd"/>
      <w:r w:rsidRPr="009F1D93">
        <w:rPr>
          <w:rFonts w:ascii="Arial" w:hAnsi="Arial" w:cs="Arial"/>
          <w:color w:val="000000"/>
          <w:sz w:val="22"/>
          <w:szCs w:val="22"/>
        </w:rPr>
        <w:t xml:space="preserve"> et al. (2021), where female adolescents were nearly twice as likely to experience dominant negative mental health symptomatology, highlighting gender as a consistent risk factor across quantitative studies. Udu et al. (2026) extend this understanding by providing qualitative insight into how gendered norms and societal expectations—particularly norms discouraging emotional expression among boys—function as barriers to help</w:t>
      </w:r>
      <w:r w:rsidRPr="009F1D93">
        <w:rPr>
          <w:rFonts w:ascii="Arial" w:hAnsi="Arial" w:cs="Arial"/>
          <w:color w:val="000000"/>
          <w:sz w:val="22"/>
          <w:szCs w:val="22"/>
        </w:rPr>
        <w:noBreakHyphen/>
        <w:t>seeking and service engagement. Ethnicity also emerges as a complex and nuanced factor across the studies. While Knowles et al. found broadly similar prevalence of mental health problems across most ethnic groups, Udu et al. and Al</w:t>
      </w:r>
      <w:r w:rsidRPr="009F1D93">
        <w:rPr>
          <w:rFonts w:ascii="Arial" w:hAnsi="Arial" w:cs="Arial"/>
          <w:color w:val="000000"/>
          <w:sz w:val="22"/>
          <w:szCs w:val="22"/>
        </w:rPr>
        <w:noBreakHyphen/>
      </w:r>
      <w:proofErr w:type="spellStart"/>
      <w:r w:rsidRPr="009F1D93">
        <w:rPr>
          <w:rFonts w:ascii="Arial" w:hAnsi="Arial" w:cs="Arial"/>
          <w:color w:val="000000"/>
          <w:sz w:val="22"/>
          <w:szCs w:val="22"/>
        </w:rPr>
        <w:t>Zawaadi</w:t>
      </w:r>
      <w:proofErr w:type="spellEnd"/>
      <w:r w:rsidRPr="009F1D93">
        <w:rPr>
          <w:rFonts w:ascii="Arial" w:hAnsi="Arial" w:cs="Arial"/>
          <w:color w:val="000000"/>
          <w:sz w:val="22"/>
          <w:szCs w:val="22"/>
        </w:rPr>
        <w:t xml:space="preserve"> et al. both highlight the impact of racism, cultural stigma, and lack of representation within services as contributors to mental health distress and disengagement. Collectively, these findings suggest that inequalities in adolescent mental health are not solely reflected in prevalence rates, but are also embedded in lived experiences, help</w:t>
      </w:r>
      <w:r w:rsidRPr="009F1D93">
        <w:rPr>
          <w:rFonts w:ascii="Arial" w:hAnsi="Arial" w:cs="Arial"/>
          <w:color w:val="000000"/>
          <w:sz w:val="22"/>
          <w:szCs w:val="22"/>
        </w:rPr>
        <w:noBreakHyphen/>
        <w:t>seeking behaviours, and encounters with health and social care systems.</w:t>
      </w:r>
    </w:p>
    <w:p w14:paraId="11A27C1F" w14:textId="77777777" w:rsidR="00FD197F" w:rsidRPr="009F1D93" w:rsidRDefault="00FD197F" w:rsidP="009F1D93">
      <w:pPr>
        <w:spacing w:line="360" w:lineRule="auto"/>
        <w:rPr>
          <w:rFonts w:ascii="Arial" w:hAnsi="Arial" w:cs="Arial"/>
          <w:b/>
          <w:bCs/>
          <w:sz w:val="22"/>
          <w:szCs w:val="22"/>
        </w:rPr>
      </w:pPr>
    </w:p>
    <w:p w14:paraId="218068DC" w14:textId="77777777" w:rsidR="00FD197F" w:rsidRPr="009F1D93" w:rsidRDefault="00FD197F" w:rsidP="009F1D93">
      <w:pPr>
        <w:spacing w:line="360" w:lineRule="auto"/>
        <w:rPr>
          <w:rFonts w:ascii="Arial" w:hAnsi="Arial" w:cs="Arial"/>
          <w:b/>
          <w:bCs/>
          <w:sz w:val="22"/>
          <w:szCs w:val="22"/>
        </w:rPr>
      </w:pPr>
    </w:p>
    <w:p w14:paraId="56439138" w14:textId="77777777" w:rsidR="00FD197F" w:rsidRPr="009F1D93" w:rsidRDefault="00FD197F" w:rsidP="009F1D93">
      <w:pPr>
        <w:spacing w:line="360" w:lineRule="auto"/>
        <w:rPr>
          <w:rFonts w:ascii="Arial" w:hAnsi="Arial" w:cs="Arial"/>
          <w:b/>
          <w:bCs/>
          <w:sz w:val="22"/>
          <w:szCs w:val="22"/>
        </w:rPr>
      </w:pPr>
    </w:p>
    <w:p w14:paraId="09124ECA" w14:textId="77777777" w:rsidR="001A1F17" w:rsidRPr="009F1D93" w:rsidRDefault="001A1F17" w:rsidP="009F1D93">
      <w:pPr>
        <w:pStyle w:val="Heading2"/>
        <w:spacing w:line="360" w:lineRule="auto"/>
        <w:rPr>
          <w:rFonts w:ascii="Arial" w:hAnsi="Arial" w:cs="Arial"/>
          <w:b/>
          <w:bCs/>
          <w:color w:val="000000"/>
          <w:sz w:val="22"/>
          <w:szCs w:val="22"/>
        </w:rPr>
      </w:pPr>
      <w:r w:rsidRPr="009F1D93">
        <w:rPr>
          <w:rFonts w:ascii="Arial" w:hAnsi="Arial" w:cs="Arial"/>
          <w:b/>
          <w:bCs/>
          <w:color w:val="000000"/>
          <w:sz w:val="22"/>
          <w:szCs w:val="22"/>
        </w:rPr>
        <w:lastRenderedPageBreak/>
        <w:t>Discussion</w:t>
      </w:r>
    </w:p>
    <w:p w14:paraId="1E654100"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This discussion draws together evidence from three complementary studies that examine adolescent mental health from qualitative, epidemiological, and cross</w:t>
      </w:r>
      <w:r w:rsidRPr="009F1D93">
        <w:rPr>
          <w:rFonts w:ascii="Arial" w:hAnsi="Arial" w:cs="Arial"/>
          <w:color w:val="000000"/>
          <w:sz w:val="22"/>
          <w:szCs w:val="22"/>
        </w:rPr>
        <w:noBreakHyphen/>
        <w:t>sectional perspectives. Collectively, the findings demonstrate that adolescent mental health difficulties in the UK are shaped by an interaction of social disadvantage, inequality, and systemic barriers to care rather than by individual vulnerability alone.</w:t>
      </w:r>
    </w:p>
    <w:p w14:paraId="2D7B5785"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Udu et al. (2026) highlight that adolescents’ access to mental health services is constrained by multi</w:t>
      </w:r>
      <w:r w:rsidRPr="009F1D93">
        <w:rPr>
          <w:rFonts w:ascii="Arial" w:hAnsi="Arial" w:cs="Arial"/>
          <w:color w:val="000000"/>
          <w:sz w:val="22"/>
          <w:szCs w:val="22"/>
        </w:rPr>
        <w:noBreakHyphen/>
        <w:t>level barriers operating across the Social</w:t>
      </w:r>
      <w:r w:rsidRPr="009F1D93">
        <w:rPr>
          <w:rFonts w:ascii="Arial" w:hAnsi="Arial" w:cs="Arial"/>
          <w:color w:val="000000"/>
          <w:sz w:val="22"/>
          <w:szCs w:val="22"/>
        </w:rPr>
        <w:noBreakHyphen/>
        <w:t>Ecological Model. These include limited mental health literacy, stigma and fear of judgement, lack of culturally competent services, long waiting times, and gendered expectations surrounding help</w:t>
      </w:r>
      <w:r w:rsidRPr="009F1D93">
        <w:rPr>
          <w:rFonts w:ascii="Arial" w:hAnsi="Arial" w:cs="Arial"/>
          <w:color w:val="000000"/>
          <w:sz w:val="22"/>
          <w:szCs w:val="22"/>
        </w:rPr>
        <w:noBreakHyphen/>
        <w:t>seeking. This qualitative synthesis provides insight into how adolescents experience mental health services and why many delay or avoid seeking support. These findings align with Knowles et al. (2021), who quantitatively demonstrate that nearly one in five adolescents in inner</w:t>
      </w:r>
      <w:r w:rsidRPr="009F1D93">
        <w:rPr>
          <w:rFonts w:ascii="Arial" w:hAnsi="Arial" w:cs="Arial"/>
          <w:color w:val="000000"/>
          <w:sz w:val="22"/>
          <w:szCs w:val="22"/>
        </w:rPr>
        <w:noBreakHyphen/>
        <w:t>city London experience a mental health problem, a prevalence notably higher than national averages. Importantly, their findings show that socio</w:t>
      </w:r>
      <w:r w:rsidRPr="009F1D93">
        <w:rPr>
          <w:rFonts w:ascii="Arial" w:hAnsi="Arial" w:cs="Arial"/>
          <w:color w:val="000000"/>
          <w:sz w:val="22"/>
          <w:szCs w:val="22"/>
        </w:rPr>
        <w:noBreakHyphen/>
        <w:t>economic disadvantage, measured via free school meal eligibility, is associated with increased risk of mental health problems and self</w:t>
      </w:r>
      <w:r w:rsidRPr="009F1D93">
        <w:rPr>
          <w:rFonts w:ascii="Arial" w:hAnsi="Arial" w:cs="Arial"/>
          <w:color w:val="000000"/>
          <w:sz w:val="22"/>
          <w:szCs w:val="22"/>
        </w:rPr>
        <w:noBreakHyphen/>
        <w:t>harm, reinforcing the structural nature of mental health inequalities identified by Udu et al.</w:t>
      </w:r>
    </w:p>
    <w:p w14:paraId="6FD95DD5"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Al</w:t>
      </w:r>
      <w:r w:rsidRPr="009F1D93">
        <w:rPr>
          <w:rFonts w:ascii="Arial" w:hAnsi="Arial" w:cs="Arial"/>
          <w:color w:val="000000"/>
          <w:sz w:val="22"/>
          <w:szCs w:val="22"/>
        </w:rPr>
        <w:noBreakHyphen/>
      </w:r>
      <w:proofErr w:type="spellStart"/>
      <w:r w:rsidRPr="009F1D93">
        <w:rPr>
          <w:rFonts w:ascii="Arial" w:hAnsi="Arial" w:cs="Arial"/>
          <w:color w:val="000000"/>
          <w:sz w:val="22"/>
          <w:szCs w:val="22"/>
        </w:rPr>
        <w:t>Zawaadi</w:t>
      </w:r>
      <w:proofErr w:type="spellEnd"/>
      <w:r w:rsidRPr="009F1D93">
        <w:rPr>
          <w:rFonts w:ascii="Arial" w:hAnsi="Arial" w:cs="Arial"/>
          <w:color w:val="000000"/>
          <w:sz w:val="22"/>
          <w:szCs w:val="22"/>
        </w:rPr>
        <w:t xml:space="preserve"> et al. (2021) further strengthen this evidence by identifying discrimination as the strongest predictor of negative mental health symptomatology among adolescents in Greater London. Adolescents who experienced discrimination were over five times more likely to report dominant negative mental health feelings associated with anxiety and depression. This quantitative evidence supports Udu et al.’s qualitative findings regarding ethnic and cultural disparities and highlights discrimination as a critical social stressor that directly undermines adolescent mental wellbeing. Together, these studies suggest that while prevalence and manifestations of mental health problems vary, social inequities such as poverty, discrimination, and </w:t>
      </w:r>
      <w:proofErr w:type="gramStart"/>
      <w:r w:rsidRPr="009F1D93">
        <w:rPr>
          <w:rFonts w:ascii="Arial" w:hAnsi="Arial" w:cs="Arial"/>
          <w:color w:val="000000"/>
          <w:sz w:val="22"/>
          <w:szCs w:val="22"/>
        </w:rPr>
        <w:t>limited service</w:t>
      </w:r>
      <w:proofErr w:type="gramEnd"/>
      <w:r w:rsidRPr="009F1D93">
        <w:rPr>
          <w:rFonts w:ascii="Arial" w:hAnsi="Arial" w:cs="Arial"/>
          <w:color w:val="000000"/>
          <w:sz w:val="22"/>
          <w:szCs w:val="22"/>
        </w:rPr>
        <w:t xml:space="preserve"> accessibility consistently exacerbate risk.</w:t>
      </w:r>
    </w:p>
    <w:p w14:paraId="00F1B064"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Gender emerges as a cross</w:t>
      </w:r>
      <w:r w:rsidRPr="009F1D93">
        <w:rPr>
          <w:rFonts w:ascii="Arial" w:hAnsi="Arial" w:cs="Arial"/>
          <w:color w:val="000000"/>
          <w:sz w:val="22"/>
          <w:szCs w:val="22"/>
        </w:rPr>
        <w:noBreakHyphen/>
        <w:t>cutting factor across all three studies. Knowles et al. (2021) show that girls experience significantly higher levels of depression, anxiety, and self</w:t>
      </w:r>
      <w:r w:rsidRPr="009F1D93">
        <w:rPr>
          <w:rFonts w:ascii="Arial" w:hAnsi="Arial" w:cs="Arial"/>
          <w:color w:val="000000"/>
          <w:sz w:val="22"/>
          <w:szCs w:val="22"/>
        </w:rPr>
        <w:noBreakHyphen/>
        <w:t>harm than boys, with disparities increasing with age. Similarly, Al</w:t>
      </w:r>
      <w:r w:rsidRPr="009F1D93">
        <w:rPr>
          <w:rFonts w:ascii="Arial" w:hAnsi="Arial" w:cs="Arial"/>
          <w:color w:val="000000"/>
          <w:sz w:val="22"/>
          <w:szCs w:val="22"/>
        </w:rPr>
        <w:noBreakHyphen/>
      </w:r>
      <w:proofErr w:type="spellStart"/>
      <w:r w:rsidRPr="009F1D93">
        <w:rPr>
          <w:rFonts w:ascii="Arial" w:hAnsi="Arial" w:cs="Arial"/>
          <w:color w:val="000000"/>
          <w:sz w:val="22"/>
          <w:szCs w:val="22"/>
        </w:rPr>
        <w:t>Zawaadi</w:t>
      </w:r>
      <w:proofErr w:type="spellEnd"/>
      <w:r w:rsidRPr="009F1D93">
        <w:rPr>
          <w:rFonts w:ascii="Arial" w:hAnsi="Arial" w:cs="Arial"/>
          <w:color w:val="000000"/>
          <w:sz w:val="22"/>
          <w:szCs w:val="22"/>
        </w:rPr>
        <w:t xml:space="preserve"> et al. (2021) report that female adolescents are nearly twice as likely to experience dominant negative mental health symptoms. Udu et al. (2026) contextualise these findings by illustrating how gendered norms influence both emotional expression and help</w:t>
      </w:r>
      <w:r w:rsidRPr="009F1D93">
        <w:rPr>
          <w:rFonts w:ascii="Arial" w:hAnsi="Arial" w:cs="Arial"/>
          <w:color w:val="000000"/>
          <w:sz w:val="22"/>
          <w:szCs w:val="22"/>
        </w:rPr>
        <w:noBreakHyphen/>
        <w:t xml:space="preserve">seeking behaviours, potentially contributing to delayed support and unmet need. This convergence of qualitative and quantitative evidence </w:t>
      </w:r>
      <w:r w:rsidRPr="009F1D93">
        <w:rPr>
          <w:rFonts w:ascii="Arial" w:hAnsi="Arial" w:cs="Arial"/>
          <w:color w:val="000000"/>
          <w:sz w:val="22"/>
          <w:szCs w:val="22"/>
        </w:rPr>
        <w:lastRenderedPageBreak/>
        <w:t>highlights adolescence, particularly mid</w:t>
      </w:r>
      <w:r w:rsidRPr="009F1D93">
        <w:rPr>
          <w:rFonts w:ascii="Arial" w:hAnsi="Arial" w:cs="Arial"/>
          <w:color w:val="000000"/>
          <w:sz w:val="22"/>
          <w:szCs w:val="22"/>
        </w:rPr>
        <w:noBreakHyphen/>
        <w:t>to</w:t>
      </w:r>
      <w:r w:rsidRPr="009F1D93">
        <w:rPr>
          <w:rFonts w:ascii="Arial" w:hAnsi="Arial" w:cs="Arial"/>
          <w:color w:val="000000"/>
          <w:sz w:val="22"/>
          <w:szCs w:val="22"/>
        </w:rPr>
        <w:noBreakHyphen/>
        <w:t>late adolescence for girls, as a critical period for mental health intervention.</w:t>
      </w:r>
    </w:p>
    <w:p w14:paraId="5308911E"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Overall, the combined findings suggest that adolescent mental health problems cannot be adequately addressed without tackling the wider social, economic, and structural inequalities that shape young people’s lives. The studies collectively emphasise the need for integrated, socially informed approaches to mental health prevention and care.</w:t>
      </w:r>
    </w:p>
    <w:p w14:paraId="385E1483" w14:textId="7D601BA0" w:rsidR="001A1F17" w:rsidRPr="009F1D93" w:rsidRDefault="001A1F17" w:rsidP="009F1D93">
      <w:pPr>
        <w:spacing w:line="360" w:lineRule="auto"/>
        <w:rPr>
          <w:rFonts w:ascii="Arial" w:hAnsi="Arial" w:cs="Arial"/>
          <w:b/>
          <w:bCs/>
          <w:color w:val="000000"/>
          <w:sz w:val="22"/>
          <w:szCs w:val="22"/>
        </w:rPr>
      </w:pPr>
      <w:r w:rsidRPr="009F1D93">
        <w:rPr>
          <w:rFonts w:ascii="Arial" w:hAnsi="Arial" w:cs="Arial"/>
          <w:b/>
          <w:bCs/>
          <w:color w:val="000000"/>
          <w:sz w:val="22"/>
          <w:szCs w:val="22"/>
        </w:rPr>
        <w:t>Implications for Health and Social Care Practice</w:t>
      </w:r>
    </w:p>
    <w:p w14:paraId="0C45AF19"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The findings across the three studies have important implications for Health and Social Care practice. First, services must move beyond individualised clinical models to adopt</w:t>
      </w:r>
      <w:r w:rsidRPr="009F1D93">
        <w:rPr>
          <w:rStyle w:val="apple-converted-space"/>
          <w:rFonts w:ascii="Arial" w:hAnsi="Arial" w:cs="Arial"/>
          <w:color w:val="000000"/>
          <w:sz w:val="22"/>
          <w:szCs w:val="22"/>
        </w:rPr>
        <w:t> </w:t>
      </w:r>
      <w:r w:rsidRPr="009F1D93">
        <w:rPr>
          <w:rStyle w:val="Strong"/>
          <w:rFonts w:ascii="Arial" w:hAnsi="Arial" w:cs="Arial"/>
          <w:b w:val="0"/>
          <w:bCs w:val="0"/>
          <w:color w:val="000000"/>
          <w:sz w:val="22"/>
          <w:szCs w:val="22"/>
        </w:rPr>
        <w:t>preventative and community</w:t>
      </w:r>
      <w:r w:rsidRPr="009F1D93">
        <w:rPr>
          <w:rStyle w:val="Strong"/>
          <w:rFonts w:ascii="Arial" w:hAnsi="Arial" w:cs="Arial"/>
          <w:b w:val="0"/>
          <w:bCs w:val="0"/>
          <w:color w:val="000000"/>
          <w:sz w:val="22"/>
          <w:szCs w:val="22"/>
        </w:rPr>
        <w:noBreakHyphen/>
        <w:t>based approaches</w:t>
      </w:r>
      <w:r w:rsidRPr="009F1D93">
        <w:rPr>
          <w:rStyle w:val="apple-converted-space"/>
          <w:rFonts w:ascii="Arial" w:hAnsi="Arial" w:cs="Arial"/>
          <w:color w:val="000000"/>
          <w:sz w:val="22"/>
          <w:szCs w:val="22"/>
        </w:rPr>
        <w:t> </w:t>
      </w:r>
      <w:r w:rsidRPr="009F1D93">
        <w:rPr>
          <w:rFonts w:ascii="Arial" w:hAnsi="Arial" w:cs="Arial"/>
          <w:color w:val="000000"/>
          <w:sz w:val="22"/>
          <w:szCs w:val="22"/>
        </w:rPr>
        <w:t>that address social determinants such as poverty, discrimination, and educational inequality. School</w:t>
      </w:r>
      <w:r w:rsidRPr="009F1D93">
        <w:rPr>
          <w:rFonts w:ascii="Arial" w:hAnsi="Arial" w:cs="Arial"/>
          <w:color w:val="000000"/>
          <w:sz w:val="22"/>
          <w:szCs w:val="22"/>
        </w:rPr>
        <w:noBreakHyphen/>
        <w:t>based mental health support, identified as a key access point in Udu et al. (2026) and Knowles et al. (2021), should be strengthened through increased funding, reduced waiting times, and closer collaboration between education, health, and social care sectors.</w:t>
      </w:r>
    </w:p>
    <w:p w14:paraId="685B0CD3"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Second, the prominence of discrimination as a risk factor underscores the need for</w:t>
      </w:r>
      <w:r w:rsidRPr="009F1D93">
        <w:rPr>
          <w:rStyle w:val="apple-converted-space"/>
          <w:rFonts w:ascii="Arial" w:hAnsi="Arial" w:cs="Arial"/>
          <w:color w:val="000000"/>
          <w:sz w:val="22"/>
          <w:szCs w:val="22"/>
        </w:rPr>
        <w:t> </w:t>
      </w:r>
      <w:r w:rsidRPr="009F1D93">
        <w:rPr>
          <w:rStyle w:val="Strong"/>
          <w:rFonts w:ascii="Arial" w:hAnsi="Arial" w:cs="Arial"/>
          <w:b w:val="0"/>
          <w:bCs w:val="0"/>
          <w:color w:val="000000"/>
          <w:sz w:val="22"/>
          <w:szCs w:val="22"/>
        </w:rPr>
        <w:t>culturally competent and anti</w:t>
      </w:r>
      <w:r w:rsidRPr="009F1D93">
        <w:rPr>
          <w:rStyle w:val="Strong"/>
          <w:rFonts w:ascii="Arial" w:hAnsi="Arial" w:cs="Arial"/>
          <w:b w:val="0"/>
          <w:bCs w:val="0"/>
          <w:color w:val="000000"/>
          <w:sz w:val="22"/>
          <w:szCs w:val="22"/>
        </w:rPr>
        <w:noBreakHyphen/>
        <w:t>discriminatory practice</w:t>
      </w:r>
      <w:r w:rsidRPr="009F1D93">
        <w:rPr>
          <w:rFonts w:ascii="Arial" w:hAnsi="Arial" w:cs="Arial"/>
          <w:b/>
          <w:bCs/>
          <w:color w:val="000000"/>
          <w:sz w:val="22"/>
          <w:szCs w:val="22"/>
        </w:rPr>
        <w:t>.</w:t>
      </w:r>
      <w:r w:rsidRPr="009F1D93">
        <w:rPr>
          <w:rFonts w:ascii="Arial" w:hAnsi="Arial" w:cs="Arial"/>
          <w:color w:val="000000"/>
          <w:sz w:val="22"/>
          <w:szCs w:val="22"/>
        </w:rPr>
        <w:t xml:space="preserve"> Health and social care professionals must be trained to recognise and challenge structural and interpersonal discrimination and to provide inclusive, culturally sensitive care that reflects the lived experiences of diverse adolescent populations. Failure to do so risks perpetuating mistrust and disengagement from services.</w:t>
      </w:r>
    </w:p>
    <w:p w14:paraId="0807E415"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Third, gender</w:t>
      </w:r>
      <w:r w:rsidRPr="009F1D93">
        <w:rPr>
          <w:rFonts w:ascii="Arial" w:hAnsi="Arial" w:cs="Arial"/>
          <w:color w:val="000000"/>
          <w:sz w:val="22"/>
          <w:szCs w:val="22"/>
        </w:rPr>
        <w:noBreakHyphen/>
        <w:t>sensitive interventions are required. Given the higher burden of internalising problems among adolescent girls, services should prioritise early identification, emotional literacy, and targeted support during early secondary education. At the same time, efforts must be made to reduce stigma and promote help</w:t>
      </w:r>
      <w:r w:rsidRPr="009F1D93">
        <w:rPr>
          <w:rFonts w:ascii="Arial" w:hAnsi="Arial" w:cs="Arial"/>
          <w:color w:val="000000"/>
          <w:sz w:val="22"/>
          <w:szCs w:val="22"/>
        </w:rPr>
        <w:noBreakHyphen/>
        <w:t>seeking among boys, particularly by challenging norms that discourage emotional disclosure.</w:t>
      </w:r>
    </w:p>
    <w:p w14:paraId="05137311" w14:textId="500C4F3A" w:rsidR="001A1F17" w:rsidRPr="009F1D93" w:rsidRDefault="001A1F17" w:rsidP="009F1D93">
      <w:pPr>
        <w:spacing w:line="360" w:lineRule="auto"/>
        <w:rPr>
          <w:rFonts w:ascii="Arial" w:hAnsi="Arial" w:cs="Arial"/>
          <w:b/>
          <w:bCs/>
          <w:color w:val="000000"/>
          <w:sz w:val="22"/>
          <w:szCs w:val="22"/>
        </w:rPr>
      </w:pPr>
      <w:r w:rsidRPr="009F1D93">
        <w:rPr>
          <w:rFonts w:ascii="Arial" w:hAnsi="Arial" w:cs="Arial"/>
          <w:b/>
          <w:bCs/>
          <w:color w:val="000000"/>
          <w:sz w:val="22"/>
          <w:szCs w:val="22"/>
        </w:rPr>
        <w:t>Limitations of Secondary Research</w:t>
      </w:r>
    </w:p>
    <w:p w14:paraId="5631FC3C"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Several limitations should be considered when interpreting these findings, particularly due to the reliance on secondary research. First, secondary studies are constrained by the</w:t>
      </w:r>
      <w:r w:rsidRPr="009F1D93">
        <w:rPr>
          <w:rStyle w:val="apple-converted-space"/>
          <w:rFonts w:ascii="Arial" w:hAnsi="Arial" w:cs="Arial"/>
          <w:color w:val="000000"/>
          <w:sz w:val="22"/>
          <w:szCs w:val="22"/>
        </w:rPr>
        <w:t> </w:t>
      </w:r>
      <w:r w:rsidRPr="009F1D93">
        <w:rPr>
          <w:rStyle w:val="Strong"/>
          <w:rFonts w:ascii="Arial" w:hAnsi="Arial" w:cs="Arial"/>
          <w:b w:val="0"/>
          <w:bCs w:val="0"/>
          <w:color w:val="000000"/>
          <w:sz w:val="22"/>
          <w:szCs w:val="22"/>
        </w:rPr>
        <w:t>methodological limitations of the original research</w:t>
      </w:r>
      <w:r w:rsidRPr="009F1D93">
        <w:rPr>
          <w:rFonts w:ascii="Arial" w:hAnsi="Arial" w:cs="Arial"/>
          <w:color w:val="000000"/>
          <w:sz w:val="22"/>
          <w:szCs w:val="22"/>
        </w:rPr>
        <w:t>, including reliance on self</w:t>
      </w:r>
      <w:r w:rsidRPr="009F1D93">
        <w:rPr>
          <w:rFonts w:ascii="Arial" w:hAnsi="Arial" w:cs="Arial"/>
          <w:color w:val="000000"/>
          <w:sz w:val="22"/>
          <w:szCs w:val="22"/>
        </w:rPr>
        <w:noBreakHyphen/>
        <w:t>reported data, which may be affected by recall bias, under</w:t>
      </w:r>
      <w:r w:rsidRPr="009F1D93">
        <w:rPr>
          <w:rFonts w:ascii="Arial" w:hAnsi="Arial" w:cs="Arial"/>
          <w:color w:val="000000"/>
          <w:sz w:val="22"/>
          <w:szCs w:val="22"/>
        </w:rPr>
        <w:noBreakHyphen/>
        <w:t>reporting, or social desirability bias, as acknowledged by Knowles et al. (2021) and Al</w:t>
      </w:r>
      <w:r w:rsidRPr="009F1D93">
        <w:rPr>
          <w:rFonts w:ascii="Arial" w:hAnsi="Arial" w:cs="Arial"/>
          <w:color w:val="000000"/>
          <w:sz w:val="22"/>
          <w:szCs w:val="22"/>
        </w:rPr>
        <w:noBreakHyphen/>
      </w:r>
      <w:proofErr w:type="spellStart"/>
      <w:r w:rsidRPr="009F1D93">
        <w:rPr>
          <w:rFonts w:ascii="Arial" w:hAnsi="Arial" w:cs="Arial"/>
          <w:color w:val="000000"/>
          <w:sz w:val="22"/>
          <w:szCs w:val="22"/>
        </w:rPr>
        <w:t>Zawaadi</w:t>
      </w:r>
      <w:proofErr w:type="spellEnd"/>
      <w:r w:rsidRPr="009F1D93">
        <w:rPr>
          <w:rFonts w:ascii="Arial" w:hAnsi="Arial" w:cs="Arial"/>
          <w:color w:val="000000"/>
          <w:sz w:val="22"/>
          <w:szCs w:val="22"/>
        </w:rPr>
        <w:t xml:space="preserve"> et al. (2021).</w:t>
      </w:r>
    </w:p>
    <w:p w14:paraId="56A67851"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lastRenderedPageBreak/>
        <w:t>Second, variations in study design limit direct comparability. Udu et al. (2026) synthesise qualitative evidence, while the other two studies employ quantitative methods. Although this triangulation strengthens overall understanding, differences in age ranges, measurement tools, and definitions of mental health outcomes may result in inconsistencies.</w:t>
      </w:r>
    </w:p>
    <w:p w14:paraId="4B629231" w14:textId="77777777" w:rsidR="001A1F17" w:rsidRPr="009F1D93" w:rsidRDefault="001A1F17" w:rsidP="009F1D93">
      <w:pPr>
        <w:pStyle w:val="NormalWeb"/>
        <w:spacing w:line="360" w:lineRule="auto"/>
        <w:rPr>
          <w:rFonts w:ascii="Arial" w:hAnsi="Arial" w:cs="Arial"/>
          <w:color w:val="000000"/>
          <w:sz w:val="22"/>
          <w:szCs w:val="22"/>
        </w:rPr>
      </w:pPr>
      <w:r w:rsidRPr="009F1D93">
        <w:rPr>
          <w:rFonts w:ascii="Arial" w:hAnsi="Arial" w:cs="Arial"/>
          <w:color w:val="000000"/>
          <w:sz w:val="22"/>
          <w:szCs w:val="22"/>
        </w:rPr>
        <w:t>Third, secondary research cannot generate new data and is therefore limited in its ability to explore emerging issues or capture changes over time, particularly in the context of evolving social pressures and service reforms. Finally, the geographical focus on London and the UK may limit generalisability to other regions, although the findings remain highly relevant to urban health and social care settings.</w:t>
      </w:r>
    </w:p>
    <w:p w14:paraId="2296B4B5"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Recommendations</w:t>
      </w:r>
    </w:p>
    <w:p w14:paraId="0A9F4ACA"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Practice</w:t>
      </w:r>
    </w:p>
    <w:p w14:paraId="1C04E25B" w14:textId="77777777" w:rsidR="00FD197F" w:rsidRPr="009F1D93" w:rsidRDefault="00000000" w:rsidP="009F1D93">
      <w:pPr>
        <w:numPr>
          <w:ilvl w:val="0"/>
          <w:numId w:val="5"/>
        </w:numPr>
        <w:spacing w:line="360" w:lineRule="auto"/>
        <w:rPr>
          <w:rFonts w:ascii="Arial" w:hAnsi="Arial" w:cs="Arial"/>
          <w:sz w:val="22"/>
          <w:szCs w:val="22"/>
        </w:rPr>
      </w:pPr>
      <w:r w:rsidRPr="009F1D93">
        <w:rPr>
          <w:rFonts w:ascii="Arial" w:hAnsi="Arial" w:cs="Arial"/>
          <w:sz w:val="22"/>
          <w:szCs w:val="22"/>
        </w:rPr>
        <w:t>Expand school-based mental health provision</w:t>
      </w:r>
    </w:p>
    <w:p w14:paraId="026C6EAA" w14:textId="31B71774" w:rsidR="00FD197F" w:rsidRPr="009F1D93" w:rsidRDefault="00000000" w:rsidP="009F1D93">
      <w:pPr>
        <w:numPr>
          <w:ilvl w:val="0"/>
          <w:numId w:val="5"/>
        </w:numPr>
        <w:spacing w:line="360" w:lineRule="auto"/>
        <w:rPr>
          <w:rFonts w:ascii="Arial" w:hAnsi="Arial" w:cs="Arial"/>
          <w:sz w:val="22"/>
          <w:szCs w:val="22"/>
        </w:rPr>
      </w:pPr>
      <w:r w:rsidRPr="009F1D93">
        <w:rPr>
          <w:rFonts w:ascii="Arial" w:hAnsi="Arial" w:cs="Arial"/>
          <w:sz w:val="22"/>
          <w:szCs w:val="22"/>
        </w:rPr>
        <w:t>Improve communication and navigation of services</w:t>
      </w:r>
    </w:p>
    <w:p w14:paraId="14DE2CAD"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Policy</w:t>
      </w:r>
    </w:p>
    <w:p w14:paraId="2A64B62D" w14:textId="77777777" w:rsidR="00FD197F" w:rsidRPr="009F1D93" w:rsidRDefault="00000000" w:rsidP="009F1D93">
      <w:pPr>
        <w:numPr>
          <w:ilvl w:val="0"/>
          <w:numId w:val="6"/>
        </w:numPr>
        <w:spacing w:line="360" w:lineRule="auto"/>
        <w:rPr>
          <w:rFonts w:ascii="Arial" w:hAnsi="Arial" w:cs="Arial"/>
          <w:sz w:val="22"/>
          <w:szCs w:val="22"/>
        </w:rPr>
      </w:pPr>
      <w:r w:rsidRPr="009F1D93">
        <w:rPr>
          <w:rFonts w:ascii="Arial" w:hAnsi="Arial" w:cs="Arial"/>
          <w:sz w:val="22"/>
          <w:szCs w:val="22"/>
        </w:rPr>
        <w:t>Increase CAMHS funding and workforce</w:t>
      </w:r>
    </w:p>
    <w:p w14:paraId="74ADB835" w14:textId="77777777" w:rsidR="00FD197F" w:rsidRPr="009F1D93" w:rsidRDefault="00000000" w:rsidP="009F1D93">
      <w:pPr>
        <w:numPr>
          <w:ilvl w:val="0"/>
          <w:numId w:val="6"/>
        </w:numPr>
        <w:spacing w:line="360" w:lineRule="auto"/>
        <w:rPr>
          <w:rFonts w:ascii="Arial" w:hAnsi="Arial" w:cs="Arial"/>
          <w:sz w:val="22"/>
          <w:szCs w:val="22"/>
        </w:rPr>
      </w:pPr>
      <w:r w:rsidRPr="009F1D93">
        <w:rPr>
          <w:rFonts w:ascii="Arial" w:hAnsi="Arial" w:cs="Arial"/>
          <w:sz w:val="22"/>
          <w:szCs w:val="22"/>
        </w:rPr>
        <w:t>Reduce waiting times</w:t>
      </w:r>
    </w:p>
    <w:p w14:paraId="4780BD9E" w14:textId="77777777" w:rsidR="00FD197F" w:rsidRPr="009F1D93" w:rsidRDefault="00000000" w:rsidP="009F1D93">
      <w:pPr>
        <w:numPr>
          <w:ilvl w:val="0"/>
          <w:numId w:val="6"/>
        </w:numPr>
        <w:spacing w:line="360" w:lineRule="auto"/>
        <w:rPr>
          <w:rFonts w:ascii="Arial" w:hAnsi="Arial" w:cs="Arial"/>
          <w:sz w:val="22"/>
          <w:szCs w:val="22"/>
        </w:rPr>
      </w:pPr>
      <w:r w:rsidRPr="009F1D93">
        <w:rPr>
          <w:rFonts w:ascii="Arial" w:hAnsi="Arial" w:cs="Arial"/>
          <w:sz w:val="22"/>
          <w:szCs w:val="22"/>
        </w:rPr>
        <w:t>Address regional inequalities</w:t>
      </w:r>
    </w:p>
    <w:p w14:paraId="30F733AF"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Future Research</w:t>
      </w:r>
    </w:p>
    <w:p w14:paraId="16869FE3" w14:textId="77777777" w:rsidR="00FD197F" w:rsidRPr="009F1D93" w:rsidRDefault="00000000" w:rsidP="009F1D93">
      <w:pPr>
        <w:numPr>
          <w:ilvl w:val="0"/>
          <w:numId w:val="7"/>
        </w:numPr>
        <w:spacing w:line="360" w:lineRule="auto"/>
        <w:rPr>
          <w:rFonts w:ascii="Arial" w:hAnsi="Arial" w:cs="Arial"/>
          <w:sz w:val="22"/>
          <w:szCs w:val="22"/>
        </w:rPr>
      </w:pPr>
      <w:r w:rsidRPr="009F1D93">
        <w:rPr>
          <w:rFonts w:ascii="Arial" w:hAnsi="Arial" w:cs="Arial"/>
          <w:sz w:val="22"/>
          <w:szCs w:val="22"/>
        </w:rPr>
        <w:t>Longitudinal UK studies</w:t>
      </w:r>
    </w:p>
    <w:p w14:paraId="45B07CBD" w14:textId="77777777" w:rsidR="00FD197F" w:rsidRPr="009F1D93" w:rsidRDefault="00000000" w:rsidP="009F1D93">
      <w:pPr>
        <w:numPr>
          <w:ilvl w:val="0"/>
          <w:numId w:val="7"/>
        </w:numPr>
        <w:spacing w:line="360" w:lineRule="auto"/>
        <w:rPr>
          <w:rFonts w:ascii="Arial" w:hAnsi="Arial" w:cs="Arial"/>
          <w:sz w:val="22"/>
          <w:szCs w:val="22"/>
        </w:rPr>
      </w:pPr>
      <w:r w:rsidRPr="009F1D93">
        <w:rPr>
          <w:rFonts w:ascii="Arial" w:hAnsi="Arial" w:cs="Arial"/>
          <w:sz w:val="22"/>
          <w:szCs w:val="22"/>
        </w:rPr>
        <w:t>Focus on diverse populations</w:t>
      </w:r>
    </w:p>
    <w:p w14:paraId="25C550A1" w14:textId="0E757656" w:rsidR="00FD197F" w:rsidRPr="009F1D93" w:rsidRDefault="00000000" w:rsidP="009F1D93">
      <w:pPr>
        <w:numPr>
          <w:ilvl w:val="0"/>
          <w:numId w:val="7"/>
        </w:numPr>
        <w:spacing w:line="360" w:lineRule="auto"/>
        <w:rPr>
          <w:rFonts w:ascii="Arial" w:hAnsi="Arial" w:cs="Arial"/>
          <w:sz w:val="22"/>
          <w:szCs w:val="22"/>
        </w:rPr>
      </w:pPr>
      <w:r w:rsidRPr="009F1D93">
        <w:rPr>
          <w:rFonts w:ascii="Arial" w:hAnsi="Arial" w:cs="Arial"/>
          <w:sz w:val="22"/>
          <w:szCs w:val="22"/>
        </w:rPr>
        <w:t>Evaluation of early intervention models</w:t>
      </w:r>
    </w:p>
    <w:p w14:paraId="2C674713" w14:textId="77777777" w:rsidR="00FD197F" w:rsidRPr="009F1D93" w:rsidRDefault="00FD197F" w:rsidP="009F1D93">
      <w:pPr>
        <w:spacing w:line="360" w:lineRule="auto"/>
        <w:rPr>
          <w:rFonts w:ascii="Arial" w:hAnsi="Arial" w:cs="Arial"/>
          <w:sz w:val="22"/>
          <w:szCs w:val="22"/>
        </w:rPr>
      </w:pPr>
    </w:p>
    <w:p w14:paraId="111E8011" w14:textId="77777777" w:rsidR="00FD197F" w:rsidRPr="009F1D93" w:rsidRDefault="00FD197F" w:rsidP="009F1D93">
      <w:pPr>
        <w:spacing w:line="360" w:lineRule="auto"/>
        <w:rPr>
          <w:rFonts w:ascii="Arial" w:hAnsi="Arial" w:cs="Arial"/>
          <w:sz w:val="22"/>
          <w:szCs w:val="22"/>
        </w:rPr>
      </w:pPr>
    </w:p>
    <w:p w14:paraId="5A23CFAF"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6. Conclusion and Recommendations</w:t>
      </w:r>
    </w:p>
    <w:p w14:paraId="2AE35FAA" w14:textId="77777777" w:rsidR="00FD197F" w:rsidRPr="009F1D93" w:rsidRDefault="00000000" w:rsidP="009F1D93">
      <w:pPr>
        <w:spacing w:line="360" w:lineRule="auto"/>
        <w:rPr>
          <w:rFonts w:ascii="Arial" w:hAnsi="Arial" w:cs="Arial"/>
          <w:b/>
          <w:bCs/>
          <w:sz w:val="22"/>
          <w:szCs w:val="22"/>
        </w:rPr>
      </w:pPr>
      <w:r w:rsidRPr="009F1D93">
        <w:rPr>
          <w:rFonts w:ascii="Arial" w:hAnsi="Arial" w:cs="Arial"/>
          <w:b/>
          <w:bCs/>
          <w:sz w:val="22"/>
          <w:szCs w:val="22"/>
        </w:rPr>
        <w:t>Conclusion</w:t>
      </w:r>
    </w:p>
    <w:p w14:paraId="6FD9D698"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Adolescents in the United Kingdom face a range of significant barriers when attempting to access mental health services, which collectively contribute to a substantial gap between need and care provision. Structural limitations represent one of the most prominent obstacles. These include insufficient numbers of trained mental health professionals, long waiting lists, and geographic disparities in service availability, particularly in rural or socioeconomically disadvantaged areas. Many adolescents are unable to receive timely care due to these systemic shortages, which can exacerbate mental health difficulties and delay intervention.</w:t>
      </w:r>
    </w:p>
    <w:p w14:paraId="130A7D42" w14:textId="624AD1BC"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In addition to structural issues, the complexity of mental health services themselves can act as a barrier. Navigating the referral pathways, eligibility criteria, and multiple levels of care</w:t>
      </w:r>
      <w:r w:rsidR="001A1F17" w:rsidRPr="009F1D93">
        <w:rPr>
          <w:rFonts w:ascii="Arial" w:hAnsi="Arial" w:cs="Arial"/>
          <w:sz w:val="22"/>
          <w:szCs w:val="22"/>
        </w:rPr>
        <w:t xml:space="preserve">, </w:t>
      </w:r>
      <w:r w:rsidRPr="009F1D93">
        <w:rPr>
          <w:rFonts w:ascii="Arial" w:hAnsi="Arial" w:cs="Arial"/>
          <w:sz w:val="22"/>
          <w:szCs w:val="22"/>
        </w:rPr>
        <w:t>from primary services such as school counselling to speciali</w:t>
      </w:r>
      <w:r w:rsidR="001A1F17" w:rsidRPr="009F1D93">
        <w:rPr>
          <w:rFonts w:ascii="Arial" w:hAnsi="Arial" w:cs="Arial"/>
          <w:sz w:val="22"/>
          <w:szCs w:val="22"/>
        </w:rPr>
        <w:t>s</w:t>
      </w:r>
      <w:r w:rsidRPr="009F1D93">
        <w:rPr>
          <w:rFonts w:ascii="Arial" w:hAnsi="Arial" w:cs="Arial"/>
          <w:sz w:val="22"/>
          <w:szCs w:val="22"/>
        </w:rPr>
        <w:t xml:space="preserve">ed child and adolescent mental </w:t>
      </w:r>
      <w:r w:rsidRPr="009F1D93">
        <w:rPr>
          <w:rFonts w:ascii="Arial" w:hAnsi="Arial" w:cs="Arial"/>
          <w:sz w:val="22"/>
          <w:szCs w:val="22"/>
        </w:rPr>
        <w:lastRenderedPageBreak/>
        <w:t>health services</w:t>
      </w:r>
      <w:r w:rsidR="001A1F17" w:rsidRPr="009F1D93">
        <w:rPr>
          <w:rFonts w:ascii="Arial" w:hAnsi="Arial" w:cs="Arial"/>
          <w:sz w:val="22"/>
          <w:szCs w:val="22"/>
        </w:rPr>
        <w:t xml:space="preserve">, </w:t>
      </w:r>
      <w:r w:rsidRPr="009F1D93">
        <w:rPr>
          <w:rFonts w:ascii="Arial" w:hAnsi="Arial" w:cs="Arial"/>
          <w:sz w:val="22"/>
          <w:szCs w:val="22"/>
        </w:rPr>
        <w:t>can be confusing and overwhelming for both young people and their families. This complexity often discourages help-seeking or leads to disengagement from the available support systems.</w:t>
      </w:r>
    </w:p>
    <w:p w14:paraId="14740001" w14:textId="77777777"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Stigma surrounding mental health remains another critical factor limiting service access. Adolescents may fear being judged, misunderstood, or socially isolated if they disclose emotional difficulties, and parents or caregivers may similarly hesitate to seek help due to perceived societal judgment. Cultural and community beliefs about mental health can further amplify these concerns, creating an additional layer of reluctance to engage with formal services.</w:t>
      </w:r>
    </w:p>
    <w:p w14:paraId="4130F497" w14:textId="6FBDA440" w:rsidR="00FD197F" w:rsidRPr="009F1D93" w:rsidRDefault="00000000" w:rsidP="009F1D93">
      <w:pPr>
        <w:spacing w:line="360" w:lineRule="auto"/>
        <w:rPr>
          <w:rFonts w:ascii="Arial" w:hAnsi="Arial" w:cs="Arial"/>
          <w:sz w:val="22"/>
          <w:szCs w:val="22"/>
        </w:rPr>
      </w:pPr>
      <w:r w:rsidRPr="009F1D93">
        <w:rPr>
          <w:rFonts w:ascii="Arial" w:hAnsi="Arial" w:cs="Arial"/>
          <w:sz w:val="22"/>
          <w:szCs w:val="22"/>
        </w:rPr>
        <w:t>Finally, individual factors</w:t>
      </w:r>
      <w:r w:rsidR="001A1F17" w:rsidRPr="009F1D93">
        <w:rPr>
          <w:rFonts w:ascii="Arial" w:hAnsi="Arial" w:cs="Arial"/>
          <w:sz w:val="22"/>
          <w:szCs w:val="22"/>
        </w:rPr>
        <w:t xml:space="preserve">, </w:t>
      </w:r>
      <w:r w:rsidRPr="009F1D93">
        <w:rPr>
          <w:rFonts w:ascii="Arial" w:hAnsi="Arial" w:cs="Arial"/>
          <w:sz w:val="22"/>
          <w:szCs w:val="22"/>
        </w:rPr>
        <w:t>including lack of awareness about available services, limited mental health literacy, previous negative experiences with care, and personal attitudes toward help-seeking</w:t>
      </w:r>
      <w:r w:rsidR="001A1F17" w:rsidRPr="009F1D93">
        <w:rPr>
          <w:rFonts w:ascii="Arial" w:hAnsi="Arial" w:cs="Arial"/>
          <w:sz w:val="22"/>
          <w:szCs w:val="22"/>
        </w:rPr>
        <w:t xml:space="preserve">, </w:t>
      </w:r>
      <w:r w:rsidRPr="009F1D93">
        <w:rPr>
          <w:rFonts w:ascii="Arial" w:hAnsi="Arial" w:cs="Arial"/>
          <w:sz w:val="22"/>
          <w:szCs w:val="22"/>
        </w:rPr>
        <w:t>also play a significant role. These factors are often intertwined with structural and social barriers, creating a complex network of challenges that prevent timely and effective support. The interaction of these multiple barriers contributes to unmet mental health needs among adolescents in the UK, highlighting the urgency for targeted interventions, service redesign, and policy initiatives aimed at improving accessibility, reducing stigma, and promoting early engagement with mental health services.</w:t>
      </w:r>
    </w:p>
    <w:p w14:paraId="7A800803" w14:textId="77777777" w:rsidR="007B688E" w:rsidRDefault="007B688E" w:rsidP="001A1F17">
      <w:pPr>
        <w:spacing w:line="360" w:lineRule="auto"/>
        <w:rPr>
          <w:rFonts w:ascii="Arial" w:hAnsi="Arial" w:cs="Arial"/>
          <w:sz w:val="22"/>
          <w:szCs w:val="22"/>
        </w:rPr>
      </w:pPr>
    </w:p>
    <w:p w14:paraId="19364C89" w14:textId="77777777" w:rsidR="007B688E" w:rsidRDefault="007B688E" w:rsidP="001A1F17">
      <w:pPr>
        <w:spacing w:line="360" w:lineRule="auto"/>
        <w:rPr>
          <w:rFonts w:ascii="Arial" w:hAnsi="Arial" w:cs="Arial"/>
          <w:sz w:val="22"/>
          <w:szCs w:val="22"/>
        </w:rPr>
      </w:pPr>
    </w:p>
    <w:p w14:paraId="7B633526" w14:textId="77777777" w:rsidR="007B688E" w:rsidRDefault="007B688E" w:rsidP="001A1F17">
      <w:pPr>
        <w:spacing w:line="360" w:lineRule="auto"/>
        <w:rPr>
          <w:rFonts w:ascii="Arial" w:hAnsi="Arial" w:cs="Arial"/>
          <w:sz w:val="22"/>
          <w:szCs w:val="22"/>
        </w:rPr>
      </w:pPr>
    </w:p>
    <w:p w14:paraId="61520502" w14:textId="77777777" w:rsidR="007B688E" w:rsidRDefault="007B688E" w:rsidP="001A1F17">
      <w:pPr>
        <w:spacing w:line="360" w:lineRule="auto"/>
        <w:rPr>
          <w:rFonts w:ascii="Arial" w:hAnsi="Arial" w:cs="Arial"/>
          <w:sz w:val="22"/>
          <w:szCs w:val="22"/>
        </w:rPr>
      </w:pPr>
    </w:p>
    <w:p w14:paraId="18787B40" w14:textId="77777777" w:rsidR="007B688E" w:rsidRDefault="007B688E" w:rsidP="001A1F17">
      <w:pPr>
        <w:spacing w:line="360" w:lineRule="auto"/>
        <w:rPr>
          <w:rFonts w:ascii="Arial" w:hAnsi="Arial" w:cs="Arial"/>
          <w:sz w:val="22"/>
          <w:szCs w:val="22"/>
        </w:rPr>
      </w:pPr>
    </w:p>
    <w:p w14:paraId="31B32E94" w14:textId="77777777" w:rsidR="007B688E" w:rsidRDefault="007B688E" w:rsidP="001A1F17">
      <w:pPr>
        <w:spacing w:line="360" w:lineRule="auto"/>
        <w:rPr>
          <w:rFonts w:ascii="Arial" w:hAnsi="Arial" w:cs="Arial"/>
          <w:sz w:val="22"/>
          <w:szCs w:val="22"/>
        </w:rPr>
      </w:pPr>
    </w:p>
    <w:p w14:paraId="46B2C157" w14:textId="77777777" w:rsidR="007B688E" w:rsidRDefault="007B688E" w:rsidP="001A1F17">
      <w:pPr>
        <w:spacing w:line="360" w:lineRule="auto"/>
        <w:rPr>
          <w:rFonts w:ascii="Arial" w:hAnsi="Arial" w:cs="Arial"/>
          <w:sz w:val="22"/>
          <w:szCs w:val="22"/>
        </w:rPr>
      </w:pPr>
    </w:p>
    <w:p w14:paraId="3E2EE7B4" w14:textId="77777777" w:rsidR="007B688E" w:rsidRDefault="007B688E" w:rsidP="001A1F17">
      <w:pPr>
        <w:spacing w:line="360" w:lineRule="auto"/>
        <w:rPr>
          <w:rFonts w:ascii="Arial" w:hAnsi="Arial" w:cs="Arial"/>
          <w:sz w:val="22"/>
          <w:szCs w:val="22"/>
        </w:rPr>
      </w:pPr>
    </w:p>
    <w:p w14:paraId="0A4C906B" w14:textId="77777777" w:rsidR="009F1D93" w:rsidRPr="001A1F17" w:rsidRDefault="009F1D93" w:rsidP="001A1F17">
      <w:pPr>
        <w:spacing w:line="360" w:lineRule="auto"/>
        <w:rPr>
          <w:rFonts w:ascii="Arial" w:hAnsi="Arial" w:cs="Arial"/>
          <w:sz w:val="22"/>
          <w:szCs w:val="22"/>
        </w:rPr>
      </w:pPr>
    </w:p>
    <w:p w14:paraId="0E24109D" w14:textId="77777777" w:rsidR="00FD197F" w:rsidRPr="00A842EE" w:rsidRDefault="00FD197F">
      <w:pPr>
        <w:rPr>
          <w:rFonts w:ascii="Arial" w:hAnsi="Arial" w:cs="Arial"/>
          <w:sz w:val="28"/>
          <w:szCs w:val="28"/>
        </w:rPr>
      </w:pPr>
    </w:p>
    <w:p w14:paraId="5D8476D5" w14:textId="160ABB47" w:rsidR="007B688E" w:rsidRDefault="00000000">
      <w:pPr>
        <w:rPr>
          <w:rFonts w:ascii="Arial" w:hAnsi="Arial" w:cs="Arial"/>
          <w:b/>
          <w:bCs/>
          <w:sz w:val="28"/>
          <w:szCs w:val="28"/>
        </w:rPr>
      </w:pPr>
      <w:r w:rsidRPr="00A842EE">
        <w:rPr>
          <w:rFonts w:ascii="Arial" w:hAnsi="Arial" w:cs="Arial"/>
          <w:b/>
          <w:bCs/>
          <w:sz w:val="28"/>
          <w:szCs w:val="28"/>
        </w:rPr>
        <w:t>References</w:t>
      </w:r>
    </w:p>
    <w:p w14:paraId="6C1530E0" w14:textId="77777777" w:rsidR="009F1D93" w:rsidRDefault="009F1D93" w:rsidP="009F1D93">
      <w:pPr>
        <w:rPr>
          <w:rFonts w:ascii="Arial" w:hAnsi="Arial" w:cs="Arial"/>
          <w:b/>
          <w:bCs/>
          <w:sz w:val="28"/>
          <w:szCs w:val="28"/>
        </w:rPr>
      </w:pPr>
    </w:p>
    <w:p w14:paraId="49D78557" w14:textId="64F45F58" w:rsidR="009F1D93" w:rsidRPr="009F1D93" w:rsidRDefault="009F1D93" w:rsidP="009F1D93">
      <w:pPr>
        <w:rPr>
          <w:rFonts w:ascii="Arial" w:hAnsi="Arial" w:cs="Arial"/>
          <w:sz w:val="22"/>
          <w:szCs w:val="22"/>
        </w:rPr>
      </w:pPr>
      <w:r w:rsidRPr="009F1D93">
        <w:rPr>
          <w:rFonts w:ascii="Arial" w:hAnsi="Arial" w:cs="Arial"/>
          <w:sz w:val="22"/>
          <w:szCs w:val="22"/>
        </w:rPr>
        <w:t xml:space="preserve">Alegría, M. </w:t>
      </w:r>
      <w:r w:rsidRPr="009F1D93">
        <w:rPr>
          <w:rFonts w:ascii="Arial" w:hAnsi="Arial" w:cs="Arial"/>
          <w:i/>
          <w:iCs/>
          <w:sz w:val="22"/>
          <w:szCs w:val="22"/>
        </w:rPr>
        <w:t>et al.</w:t>
      </w:r>
      <w:r w:rsidRPr="009F1D93">
        <w:rPr>
          <w:rFonts w:ascii="Arial" w:hAnsi="Arial" w:cs="Arial"/>
          <w:sz w:val="22"/>
          <w:szCs w:val="22"/>
        </w:rPr>
        <w:t xml:space="preserve"> (2018) ‘Social Determinants of Mental Health: Where We Are and Where We Need to Go’, </w:t>
      </w:r>
      <w:r w:rsidRPr="009F1D93">
        <w:rPr>
          <w:rFonts w:ascii="Arial" w:hAnsi="Arial" w:cs="Arial"/>
          <w:i/>
          <w:iCs/>
          <w:sz w:val="22"/>
          <w:szCs w:val="22"/>
        </w:rPr>
        <w:t>Current psychiatry reports</w:t>
      </w:r>
      <w:r w:rsidRPr="009F1D93">
        <w:rPr>
          <w:rFonts w:ascii="Arial" w:hAnsi="Arial" w:cs="Arial"/>
          <w:sz w:val="22"/>
          <w:szCs w:val="22"/>
        </w:rPr>
        <w:t>, 20(11). Available at: https://doi.org/10.1007/s11920-018-0969-9.</w:t>
      </w:r>
    </w:p>
    <w:p w14:paraId="51117287" w14:textId="77777777" w:rsidR="009F1D93" w:rsidRPr="009F1D93" w:rsidRDefault="009F1D93" w:rsidP="009F1D93">
      <w:pPr>
        <w:rPr>
          <w:rFonts w:ascii="Arial" w:hAnsi="Arial" w:cs="Arial"/>
          <w:sz w:val="22"/>
          <w:szCs w:val="22"/>
        </w:rPr>
      </w:pPr>
    </w:p>
    <w:p w14:paraId="2563967D" w14:textId="77777777" w:rsidR="009F1D93" w:rsidRPr="009F1D93" w:rsidRDefault="009F1D93" w:rsidP="009F1D93">
      <w:pPr>
        <w:rPr>
          <w:rFonts w:ascii="Arial" w:hAnsi="Arial" w:cs="Arial"/>
          <w:sz w:val="22"/>
          <w:szCs w:val="22"/>
        </w:rPr>
      </w:pPr>
    </w:p>
    <w:p w14:paraId="7890ED08" w14:textId="77777777" w:rsidR="009F1D93" w:rsidRDefault="009F1D93" w:rsidP="009F1D93">
      <w:pPr>
        <w:rPr>
          <w:rFonts w:ascii="Arial" w:hAnsi="Arial" w:cs="Arial"/>
          <w:sz w:val="22"/>
          <w:szCs w:val="22"/>
        </w:rPr>
      </w:pPr>
      <w:r w:rsidRPr="009F1D93">
        <w:rPr>
          <w:rFonts w:ascii="Arial" w:hAnsi="Arial" w:cs="Arial"/>
          <w:sz w:val="22"/>
          <w:szCs w:val="22"/>
        </w:rPr>
        <w:t>Al-</w:t>
      </w:r>
      <w:proofErr w:type="spellStart"/>
      <w:r w:rsidRPr="009F1D93">
        <w:rPr>
          <w:rFonts w:ascii="Arial" w:hAnsi="Arial" w:cs="Arial"/>
          <w:sz w:val="22"/>
          <w:szCs w:val="22"/>
        </w:rPr>
        <w:t>Zawaadi</w:t>
      </w:r>
      <w:proofErr w:type="spellEnd"/>
      <w:r w:rsidRPr="009F1D93">
        <w:rPr>
          <w:rFonts w:ascii="Arial" w:hAnsi="Arial" w:cs="Arial"/>
          <w:sz w:val="22"/>
          <w:szCs w:val="22"/>
        </w:rPr>
        <w:t xml:space="preserve">, A., Hesso, I. and Kayyali, R. (2021) ‘Mental Health Among School-Going Adolescents in Greater London: A Cross-Sectional Study’, </w:t>
      </w:r>
      <w:r w:rsidRPr="009F1D93">
        <w:rPr>
          <w:rFonts w:ascii="Arial" w:hAnsi="Arial" w:cs="Arial"/>
          <w:i/>
          <w:iCs/>
          <w:sz w:val="22"/>
          <w:szCs w:val="22"/>
        </w:rPr>
        <w:t>Frontiers in psychiatry</w:t>
      </w:r>
      <w:r w:rsidRPr="009F1D93">
        <w:rPr>
          <w:rFonts w:ascii="Arial" w:hAnsi="Arial" w:cs="Arial"/>
          <w:sz w:val="22"/>
          <w:szCs w:val="22"/>
        </w:rPr>
        <w:t xml:space="preserve">, 12, p. 592624. Available at: </w:t>
      </w:r>
      <w:hyperlink r:id="rId8" w:history="1">
        <w:r w:rsidRPr="009F1D93">
          <w:rPr>
            <w:rStyle w:val="Hyperlink"/>
            <w:rFonts w:ascii="Arial" w:hAnsi="Arial" w:cs="Arial"/>
            <w:sz w:val="22"/>
            <w:szCs w:val="22"/>
          </w:rPr>
          <w:t>https://doi.org/10.3389/fpsyt.2021.592624</w:t>
        </w:r>
      </w:hyperlink>
      <w:r w:rsidRPr="009F1D93">
        <w:rPr>
          <w:rFonts w:ascii="Arial" w:hAnsi="Arial" w:cs="Arial"/>
          <w:sz w:val="22"/>
          <w:szCs w:val="22"/>
        </w:rPr>
        <w:t>.</w:t>
      </w:r>
    </w:p>
    <w:p w14:paraId="66C42B64" w14:textId="77777777" w:rsidR="009F1D93" w:rsidRDefault="009F1D93" w:rsidP="009F1D93">
      <w:pPr>
        <w:rPr>
          <w:rFonts w:ascii="Arial" w:hAnsi="Arial" w:cs="Arial"/>
          <w:sz w:val="22"/>
          <w:szCs w:val="22"/>
        </w:rPr>
      </w:pPr>
    </w:p>
    <w:p w14:paraId="75446379" w14:textId="77777777" w:rsidR="009F1D93" w:rsidRPr="009F1D93" w:rsidRDefault="009F1D93" w:rsidP="009F1D93">
      <w:pPr>
        <w:rPr>
          <w:rFonts w:ascii="Arial" w:hAnsi="Arial" w:cs="Arial"/>
          <w:sz w:val="22"/>
          <w:szCs w:val="22"/>
        </w:rPr>
      </w:pPr>
    </w:p>
    <w:p w14:paraId="3275F93B" w14:textId="7C544DDC" w:rsidR="009F1D93" w:rsidRPr="009F1D93" w:rsidRDefault="009F1D93" w:rsidP="009F1D93">
      <w:pPr>
        <w:rPr>
          <w:rFonts w:ascii="Arial" w:hAnsi="Arial" w:cs="Arial"/>
          <w:sz w:val="22"/>
          <w:szCs w:val="22"/>
        </w:rPr>
      </w:pPr>
      <w:r w:rsidRPr="009F1D93">
        <w:rPr>
          <w:rFonts w:ascii="Arial" w:hAnsi="Arial" w:cs="Arial"/>
          <w:sz w:val="22"/>
          <w:szCs w:val="22"/>
        </w:rPr>
        <w:lastRenderedPageBreak/>
        <w:t xml:space="preserve">Hickling, L.M., Dabrowski, J. and Williams, S. (2024) </w:t>
      </w:r>
      <w:r>
        <w:rPr>
          <w:rFonts w:ascii="Arial" w:hAnsi="Arial" w:cs="Arial"/>
          <w:sz w:val="22"/>
          <w:szCs w:val="22"/>
        </w:rPr>
        <w:t>‘</w:t>
      </w:r>
      <w:r w:rsidRPr="009F1D93">
        <w:rPr>
          <w:rFonts w:ascii="Arial" w:hAnsi="Arial" w:cs="Arial"/>
          <w:sz w:val="22"/>
          <w:szCs w:val="22"/>
        </w:rPr>
        <w:t>Expanding the early intervention offer: A new care pathway for children’s wellbeing practitioners in a south London child and adolescent mental health service</w:t>
      </w:r>
      <w:r>
        <w:rPr>
          <w:rFonts w:ascii="Arial" w:hAnsi="Arial" w:cs="Arial"/>
          <w:sz w:val="22"/>
          <w:szCs w:val="22"/>
        </w:rPr>
        <w:t xml:space="preserve">’, </w:t>
      </w:r>
      <w:r w:rsidRPr="009F1D93">
        <w:rPr>
          <w:rFonts w:ascii="Arial" w:hAnsi="Arial" w:cs="Arial"/>
          <w:i/>
          <w:iCs/>
          <w:sz w:val="22"/>
          <w:szCs w:val="22"/>
        </w:rPr>
        <w:t>Clinical child psychology and psychiatry</w:t>
      </w:r>
      <w:r w:rsidRPr="009F1D93">
        <w:rPr>
          <w:rFonts w:ascii="Arial" w:hAnsi="Arial" w:cs="Arial"/>
          <w:sz w:val="22"/>
          <w:szCs w:val="22"/>
        </w:rPr>
        <w:t xml:space="preserve">, 29(1), pp. 155–167. Available at: </w:t>
      </w:r>
      <w:hyperlink r:id="rId9" w:history="1">
        <w:r w:rsidRPr="008A02EE">
          <w:rPr>
            <w:rStyle w:val="Hyperlink"/>
            <w:rFonts w:ascii="Arial" w:hAnsi="Arial" w:cs="Arial"/>
            <w:sz w:val="22"/>
            <w:szCs w:val="22"/>
          </w:rPr>
          <w:t>https://doi.org/10.1177/13591045231201195</w:t>
        </w:r>
      </w:hyperlink>
      <w:r w:rsidRPr="009F1D93">
        <w:rPr>
          <w:rFonts w:ascii="Arial" w:hAnsi="Arial" w:cs="Arial"/>
          <w:sz w:val="22"/>
          <w:szCs w:val="22"/>
        </w:rPr>
        <w:t>.</w:t>
      </w:r>
      <w:r>
        <w:rPr>
          <w:rFonts w:ascii="Arial" w:hAnsi="Arial" w:cs="Arial"/>
          <w:sz w:val="22"/>
          <w:szCs w:val="22"/>
        </w:rPr>
        <w:t xml:space="preserve"> </w:t>
      </w:r>
    </w:p>
    <w:p w14:paraId="6AE251E0" w14:textId="77777777"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Gulliver, A., Griffiths, K.M. and Christensen, H. (2010)</w:t>
      </w:r>
      <w:r w:rsidRPr="009F1D93">
        <w:rPr>
          <w:rStyle w:val="apple-converted-space"/>
          <w:rFonts w:ascii="Arial" w:hAnsi="Arial" w:cs="Arial"/>
          <w:color w:val="000000"/>
          <w:sz w:val="22"/>
          <w:szCs w:val="22"/>
        </w:rPr>
        <w:t> ‘</w:t>
      </w:r>
      <w:r w:rsidRPr="009F1D93">
        <w:rPr>
          <w:rStyle w:val="Emphasis"/>
          <w:rFonts w:ascii="Arial" w:hAnsi="Arial" w:cs="Arial"/>
          <w:i w:val="0"/>
          <w:iCs w:val="0"/>
          <w:color w:val="000000"/>
          <w:sz w:val="22"/>
          <w:szCs w:val="22"/>
        </w:rPr>
        <w:t>Perceived barriers and facilitators to mental health help</w:t>
      </w:r>
      <w:r w:rsidRPr="009F1D93">
        <w:rPr>
          <w:rStyle w:val="Emphasis"/>
          <w:rFonts w:ascii="Arial" w:hAnsi="Arial" w:cs="Arial"/>
          <w:i w:val="0"/>
          <w:iCs w:val="0"/>
          <w:color w:val="000000"/>
          <w:sz w:val="22"/>
          <w:szCs w:val="22"/>
        </w:rPr>
        <w:noBreakHyphen/>
        <w:t>seeking in young people: a systematic review</w:t>
      </w:r>
      <w:r w:rsidRPr="009F1D93">
        <w:rPr>
          <w:rFonts w:ascii="Arial" w:hAnsi="Arial" w:cs="Arial"/>
          <w:color w:val="000000"/>
          <w:sz w:val="22"/>
          <w:szCs w:val="22"/>
        </w:rPr>
        <w:t xml:space="preserve">’, </w:t>
      </w:r>
      <w:r w:rsidRPr="009F1D93">
        <w:rPr>
          <w:rStyle w:val="Strong"/>
          <w:rFonts w:ascii="Arial" w:hAnsi="Arial" w:cs="Arial"/>
          <w:b w:val="0"/>
          <w:bCs w:val="0"/>
          <w:i/>
          <w:iCs/>
          <w:color w:val="000000"/>
          <w:sz w:val="22"/>
          <w:szCs w:val="22"/>
        </w:rPr>
        <w:t>BMC Psychiatry</w:t>
      </w:r>
      <w:r w:rsidRPr="009F1D93">
        <w:rPr>
          <w:rFonts w:ascii="Arial" w:hAnsi="Arial" w:cs="Arial"/>
          <w:color w:val="000000"/>
          <w:sz w:val="22"/>
          <w:szCs w:val="22"/>
        </w:rPr>
        <w:t>, 10, Article 113. Available at: https://eprints.soton.ac.uk/437629/ (Accessed: 27 March 2026).</w:t>
      </w:r>
    </w:p>
    <w:p w14:paraId="076BF5E4" w14:textId="77777777" w:rsidR="009F1D93" w:rsidRPr="009F1D93" w:rsidRDefault="009F1D93" w:rsidP="009F1D93">
      <w:pPr>
        <w:rPr>
          <w:rFonts w:ascii="Arial" w:hAnsi="Arial" w:cs="Arial"/>
          <w:sz w:val="22"/>
          <w:szCs w:val="22"/>
        </w:rPr>
      </w:pPr>
      <w:r w:rsidRPr="009F1D93">
        <w:rPr>
          <w:rFonts w:ascii="Arial" w:hAnsi="Arial" w:cs="Arial"/>
          <w:sz w:val="22"/>
          <w:szCs w:val="22"/>
        </w:rPr>
        <w:t xml:space="preserve">Knowles, G. </w:t>
      </w:r>
      <w:r w:rsidRPr="009F1D93">
        <w:rPr>
          <w:rFonts w:ascii="Arial" w:hAnsi="Arial" w:cs="Arial"/>
          <w:i/>
          <w:iCs/>
          <w:sz w:val="22"/>
          <w:szCs w:val="22"/>
        </w:rPr>
        <w:t>et al.</w:t>
      </w:r>
      <w:r w:rsidRPr="009F1D93">
        <w:rPr>
          <w:rFonts w:ascii="Arial" w:hAnsi="Arial" w:cs="Arial"/>
          <w:sz w:val="22"/>
          <w:szCs w:val="22"/>
        </w:rPr>
        <w:t xml:space="preserve"> (2021) ‘Mental distress among young people in inner cities: the Resilience, Ethnicity and </w:t>
      </w:r>
      <w:proofErr w:type="spellStart"/>
      <w:r w:rsidRPr="009F1D93">
        <w:rPr>
          <w:rFonts w:ascii="Arial" w:hAnsi="Arial" w:cs="Arial"/>
          <w:sz w:val="22"/>
          <w:szCs w:val="22"/>
        </w:rPr>
        <w:t>AdolesCent</w:t>
      </w:r>
      <w:proofErr w:type="spellEnd"/>
      <w:r w:rsidRPr="009F1D93">
        <w:rPr>
          <w:rFonts w:ascii="Arial" w:hAnsi="Arial" w:cs="Arial"/>
          <w:sz w:val="22"/>
          <w:szCs w:val="22"/>
        </w:rPr>
        <w:t xml:space="preserve"> Mental Health (REACH) study’, </w:t>
      </w:r>
      <w:r w:rsidRPr="009F1D93">
        <w:rPr>
          <w:rFonts w:ascii="Arial" w:hAnsi="Arial" w:cs="Arial"/>
          <w:i/>
          <w:iCs/>
          <w:sz w:val="22"/>
          <w:szCs w:val="22"/>
        </w:rPr>
        <w:t>Journal of epidemiology and community health (1979)</w:t>
      </w:r>
      <w:r w:rsidRPr="009F1D93">
        <w:rPr>
          <w:rFonts w:ascii="Arial" w:hAnsi="Arial" w:cs="Arial"/>
          <w:sz w:val="22"/>
          <w:szCs w:val="22"/>
        </w:rPr>
        <w:t xml:space="preserve">, 75(6), pp. 515–522. Available at: </w:t>
      </w:r>
      <w:hyperlink r:id="rId10" w:history="1">
        <w:r w:rsidRPr="009F1D93">
          <w:rPr>
            <w:rStyle w:val="Hyperlink"/>
            <w:rFonts w:ascii="Arial" w:hAnsi="Arial" w:cs="Arial"/>
            <w:sz w:val="22"/>
            <w:szCs w:val="22"/>
          </w:rPr>
          <w:t>https://doi.org/10.1136/jech-2020-214315</w:t>
        </w:r>
      </w:hyperlink>
      <w:r w:rsidRPr="009F1D93">
        <w:rPr>
          <w:rFonts w:ascii="Arial" w:hAnsi="Arial" w:cs="Arial"/>
          <w:sz w:val="22"/>
          <w:szCs w:val="22"/>
        </w:rPr>
        <w:t xml:space="preserve">. </w:t>
      </w:r>
    </w:p>
    <w:p w14:paraId="0D4DA298" w14:textId="77777777" w:rsidR="009F1D93" w:rsidRPr="009F1D93" w:rsidRDefault="009F1D93" w:rsidP="009F1D93">
      <w:pPr>
        <w:rPr>
          <w:rFonts w:ascii="Arial" w:hAnsi="Arial" w:cs="Arial"/>
          <w:sz w:val="22"/>
          <w:szCs w:val="22"/>
        </w:rPr>
      </w:pPr>
    </w:p>
    <w:p w14:paraId="53C4D483" w14:textId="77777777" w:rsidR="009F1D93" w:rsidRPr="009F1D93" w:rsidRDefault="009F1D93" w:rsidP="009F1D93">
      <w:pPr>
        <w:rPr>
          <w:rFonts w:ascii="Arial" w:hAnsi="Arial" w:cs="Arial"/>
          <w:sz w:val="22"/>
          <w:szCs w:val="22"/>
        </w:rPr>
      </w:pPr>
      <w:r w:rsidRPr="009F1D93">
        <w:rPr>
          <w:rFonts w:ascii="Arial" w:hAnsi="Arial" w:cs="Arial"/>
          <w:color w:val="000000"/>
          <w:sz w:val="22"/>
          <w:szCs w:val="22"/>
        </w:rPr>
        <w:t xml:space="preserve">Local Government (2023) </w:t>
      </w:r>
      <w:r w:rsidRPr="009F1D93">
        <w:rPr>
          <w:rFonts w:ascii="Arial" w:hAnsi="Arial" w:cs="Arial"/>
          <w:i/>
          <w:iCs/>
          <w:color w:val="000000"/>
          <w:sz w:val="22"/>
          <w:szCs w:val="22"/>
        </w:rPr>
        <w:t>Children and young people’s mental health: An independent review into policy success and challenges over the last decade.</w:t>
      </w:r>
      <w:r w:rsidRPr="009F1D93">
        <w:rPr>
          <w:rFonts w:ascii="Arial" w:hAnsi="Arial" w:cs="Arial"/>
          <w:color w:val="000000"/>
          <w:sz w:val="22"/>
          <w:szCs w:val="22"/>
        </w:rPr>
        <w:t xml:space="preserve"> </w:t>
      </w:r>
      <w:r w:rsidRPr="009F1D93">
        <w:rPr>
          <w:rFonts w:ascii="Arial" w:hAnsi="Arial" w:cs="Arial"/>
          <w:sz w:val="22"/>
          <w:szCs w:val="22"/>
        </w:rPr>
        <w:t xml:space="preserve">Available at: </w:t>
      </w:r>
      <w:hyperlink r:id="rId11" w:anchor=":~:text=Introduction,help%20at%20the%20right%20time" w:history="1">
        <w:r w:rsidRPr="009F1D93">
          <w:rPr>
            <w:rStyle w:val="Hyperlink"/>
            <w:rFonts w:ascii="Arial" w:hAnsi="Arial" w:cs="Arial"/>
            <w:sz w:val="22"/>
            <w:szCs w:val="22"/>
          </w:rPr>
          <w:t>https://www.local.gov.uk/publications/children-and-young-peoples-mental-health-independent-review-policy-success-and#:~:text=Introduction,help%20at%20the%20right%20time</w:t>
        </w:r>
      </w:hyperlink>
      <w:r w:rsidRPr="009F1D93">
        <w:rPr>
          <w:rFonts w:ascii="Arial" w:hAnsi="Arial" w:cs="Arial"/>
          <w:sz w:val="22"/>
          <w:szCs w:val="22"/>
        </w:rPr>
        <w:t xml:space="preserve"> (Accessed 27 March 2026).  </w:t>
      </w:r>
    </w:p>
    <w:p w14:paraId="59F1B6A4" w14:textId="77777777" w:rsidR="009F1D93" w:rsidRPr="009F1D93" w:rsidRDefault="009F1D93" w:rsidP="009F1D93">
      <w:pPr>
        <w:rPr>
          <w:rFonts w:ascii="Arial" w:hAnsi="Arial" w:cs="Arial"/>
          <w:sz w:val="22"/>
          <w:szCs w:val="22"/>
        </w:rPr>
      </w:pPr>
    </w:p>
    <w:p w14:paraId="411997A2" w14:textId="77777777" w:rsidR="009F1D93" w:rsidRPr="009F1D93" w:rsidRDefault="009F1D93" w:rsidP="009F1D93">
      <w:pPr>
        <w:rPr>
          <w:rFonts w:ascii="Arial" w:hAnsi="Arial" w:cs="Arial"/>
          <w:sz w:val="22"/>
          <w:szCs w:val="22"/>
        </w:rPr>
      </w:pPr>
      <w:r w:rsidRPr="009F1D93">
        <w:rPr>
          <w:rFonts w:ascii="Arial" w:hAnsi="Arial" w:cs="Arial"/>
          <w:sz w:val="22"/>
          <w:szCs w:val="22"/>
        </w:rPr>
        <w:t xml:space="preserve">Mind (2025) </w:t>
      </w:r>
      <w:r w:rsidRPr="009F1D93">
        <w:rPr>
          <w:rFonts w:ascii="Arial" w:hAnsi="Arial" w:cs="Arial"/>
          <w:i/>
          <w:iCs/>
          <w:sz w:val="22"/>
          <w:szCs w:val="22"/>
        </w:rPr>
        <w:t>Care before crisis: our report on young people’s mental health. Available</w:t>
      </w:r>
      <w:r w:rsidRPr="009F1D93">
        <w:rPr>
          <w:rFonts w:ascii="Arial" w:hAnsi="Arial" w:cs="Arial"/>
          <w:sz w:val="22"/>
          <w:szCs w:val="22"/>
        </w:rPr>
        <w:t xml:space="preserve"> at: </w:t>
      </w:r>
      <w:hyperlink r:id="rId12" w:history="1">
        <w:r w:rsidRPr="009F1D93">
          <w:rPr>
            <w:rStyle w:val="Hyperlink"/>
            <w:rFonts w:ascii="Arial" w:hAnsi="Arial" w:cs="Arial"/>
            <w:sz w:val="22"/>
            <w:szCs w:val="22"/>
          </w:rPr>
          <w:t>https://www.mind.org.uk/news-campaigns/campaigns/children-and-young-peoples-mental-health/care-before-crisis-our-report-on-young-peoples-mental-health/</w:t>
        </w:r>
      </w:hyperlink>
      <w:r w:rsidRPr="009F1D93">
        <w:rPr>
          <w:rFonts w:ascii="Arial" w:hAnsi="Arial" w:cs="Arial"/>
          <w:sz w:val="22"/>
          <w:szCs w:val="22"/>
        </w:rPr>
        <w:t xml:space="preserve"> (Accessed: 16 April 2026). </w:t>
      </w:r>
    </w:p>
    <w:p w14:paraId="6BC36DBF" w14:textId="77777777" w:rsidR="009F1D93" w:rsidRDefault="009F1D93" w:rsidP="009F1D93">
      <w:pPr>
        <w:rPr>
          <w:rFonts w:ascii="Arial" w:hAnsi="Arial" w:cs="Arial"/>
          <w:sz w:val="22"/>
          <w:szCs w:val="22"/>
        </w:rPr>
      </w:pPr>
    </w:p>
    <w:p w14:paraId="1272764A" w14:textId="77777777" w:rsidR="009F1D93" w:rsidRPr="009F1D93" w:rsidRDefault="009F1D93" w:rsidP="009F1D93">
      <w:pPr>
        <w:rPr>
          <w:rFonts w:ascii="Arial" w:hAnsi="Arial" w:cs="Arial"/>
          <w:sz w:val="22"/>
          <w:szCs w:val="22"/>
        </w:rPr>
      </w:pPr>
      <w:r w:rsidRPr="009F1D93">
        <w:rPr>
          <w:rFonts w:ascii="Arial" w:hAnsi="Arial" w:cs="Arial"/>
          <w:sz w:val="22"/>
          <w:szCs w:val="22"/>
        </w:rPr>
        <w:t xml:space="preserve">National Academies of Sciences, Engineering, and Medicine (2017) </w:t>
      </w:r>
      <w:r w:rsidRPr="009F1D93">
        <w:rPr>
          <w:rFonts w:ascii="Arial" w:hAnsi="Arial" w:cs="Arial"/>
          <w:i/>
          <w:iCs/>
          <w:sz w:val="22"/>
          <w:szCs w:val="22"/>
        </w:rPr>
        <w:t>Communities in action: pathways to health equity.</w:t>
      </w:r>
      <w:r w:rsidRPr="009F1D93">
        <w:rPr>
          <w:rFonts w:ascii="Arial" w:hAnsi="Arial" w:cs="Arial"/>
          <w:sz w:val="22"/>
          <w:szCs w:val="22"/>
        </w:rPr>
        <w:t xml:space="preserve"> Washington, DC: National Academies Press. Available at: https://www.ncbi.nlm.nih.gov/books/NBK425845/</w:t>
      </w:r>
    </w:p>
    <w:p w14:paraId="590E80EB" w14:textId="017D2B1F" w:rsidR="009F1D93" w:rsidRPr="009F1D93" w:rsidRDefault="009F1D93" w:rsidP="009F1D93">
      <w:pPr>
        <w:rPr>
          <w:rFonts w:ascii="Arial" w:hAnsi="Arial" w:cs="Arial"/>
          <w:sz w:val="22"/>
          <w:szCs w:val="22"/>
        </w:rPr>
      </w:pPr>
      <w:r w:rsidRPr="009F1D93">
        <w:rPr>
          <w:rFonts w:ascii="Arial" w:hAnsi="Arial" w:cs="Arial"/>
          <w:sz w:val="22"/>
          <w:szCs w:val="22"/>
        </w:rPr>
        <w:t xml:space="preserve">(Accessed: 16 April 2026). </w:t>
      </w:r>
    </w:p>
    <w:p w14:paraId="0DDAE6DD" w14:textId="77777777"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NHS Digital (2022)</w:t>
      </w:r>
      <w:r w:rsidRPr="009F1D93">
        <w:rPr>
          <w:rStyle w:val="apple-converted-space"/>
          <w:rFonts w:ascii="Arial" w:hAnsi="Arial" w:cs="Arial"/>
          <w:color w:val="000000"/>
          <w:sz w:val="22"/>
          <w:szCs w:val="22"/>
        </w:rPr>
        <w:t> </w:t>
      </w:r>
      <w:r w:rsidRPr="009F1D93">
        <w:rPr>
          <w:rStyle w:val="Emphasis"/>
          <w:rFonts w:ascii="Arial" w:hAnsi="Arial" w:cs="Arial"/>
          <w:color w:val="000000"/>
          <w:sz w:val="22"/>
          <w:szCs w:val="22"/>
        </w:rPr>
        <w:t>Mental Health of Children and Young People in England, 2022: follow</w:t>
      </w:r>
      <w:r w:rsidRPr="009F1D93">
        <w:rPr>
          <w:rStyle w:val="Emphasis"/>
          <w:rFonts w:ascii="Arial" w:hAnsi="Arial" w:cs="Arial"/>
          <w:color w:val="000000"/>
          <w:sz w:val="22"/>
          <w:szCs w:val="22"/>
        </w:rPr>
        <w:noBreakHyphen/>
        <w:t>up to the 2017 survey</w:t>
      </w:r>
      <w:r w:rsidRPr="009F1D93">
        <w:rPr>
          <w:rFonts w:ascii="Arial" w:hAnsi="Arial" w:cs="Arial"/>
          <w:color w:val="000000"/>
          <w:sz w:val="22"/>
          <w:szCs w:val="22"/>
        </w:rPr>
        <w:t>. Leeds: NHS Digital. Available at: https://digital.nhs.uk/data-and-information/publications/statistical/mental-health-of-children-and-young-people-in-england/2022-follow-up-to-the-2017-survey (Accessed: 27 March 2026).</w:t>
      </w:r>
    </w:p>
    <w:p w14:paraId="21D76AED" w14:textId="77777777" w:rsid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NHS England (2023)</w:t>
      </w:r>
      <w:r w:rsidRPr="009F1D93">
        <w:rPr>
          <w:rStyle w:val="apple-converted-space"/>
          <w:rFonts w:ascii="Arial" w:hAnsi="Arial" w:cs="Arial"/>
          <w:color w:val="000000"/>
          <w:sz w:val="22"/>
          <w:szCs w:val="22"/>
        </w:rPr>
        <w:t> </w:t>
      </w:r>
      <w:r w:rsidRPr="009F1D93">
        <w:rPr>
          <w:rStyle w:val="Emphasis"/>
          <w:rFonts w:ascii="Arial" w:hAnsi="Arial" w:cs="Arial"/>
          <w:color w:val="000000"/>
          <w:sz w:val="22"/>
          <w:szCs w:val="22"/>
        </w:rPr>
        <w:t>One in five children and young people had a probable mental disorder in 2023</w:t>
      </w:r>
      <w:r w:rsidRPr="009F1D93">
        <w:rPr>
          <w:rFonts w:ascii="Arial" w:hAnsi="Arial" w:cs="Arial"/>
          <w:color w:val="000000"/>
          <w:sz w:val="22"/>
          <w:szCs w:val="22"/>
        </w:rPr>
        <w:t>. London: NHS England. Available at: https://www.england.nhs.uk/2023/11/one-in-five-children-and-young-people-had-a-probable-mental-disorder-in-2023/ (Accessed: 27 March 2026).</w:t>
      </w:r>
    </w:p>
    <w:p w14:paraId="75DB5634" w14:textId="12E31300"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 xml:space="preserve">NHS Race and Health Observatory (2023) </w:t>
      </w:r>
      <w:r w:rsidRPr="009F1D93">
        <w:rPr>
          <w:rFonts w:ascii="Arial" w:hAnsi="Arial" w:cs="Arial"/>
          <w:i/>
          <w:iCs/>
          <w:color w:val="000000"/>
          <w:sz w:val="22"/>
          <w:szCs w:val="22"/>
        </w:rPr>
        <w:t>Ethnic inequalities in healthcare: a rapid evidence review.</w:t>
      </w:r>
      <w:r w:rsidRPr="009F1D93">
        <w:rPr>
          <w:rFonts w:ascii="Arial" w:hAnsi="Arial" w:cs="Arial"/>
          <w:color w:val="000000"/>
          <w:sz w:val="22"/>
          <w:szCs w:val="22"/>
        </w:rPr>
        <w:t xml:space="preserve"> Available at: </w:t>
      </w:r>
      <w:hyperlink r:id="rId13" w:history="1">
        <w:r w:rsidRPr="008A02EE">
          <w:rPr>
            <w:rStyle w:val="Hyperlink"/>
            <w:rFonts w:ascii="Arial" w:hAnsi="Arial" w:cs="Arial"/>
            <w:sz w:val="22"/>
            <w:szCs w:val="22"/>
          </w:rPr>
          <w:t>https://www.nhsrho.org/wp-content/uploads/2023/05/RHO-Rapid-Review-Final-Report_.pdf</w:t>
        </w:r>
      </w:hyperlink>
      <w:r>
        <w:rPr>
          <w:rFonts w:ascii="Arial" w:hAnsi="Arial" w:cs="Arial"/>
          <w:color w:val="000000"/>
          <w:sz w:val="22"/>
          <w:szCs w:val="22"/>
        </w:rPr>
        <w:t xml:space="preserve"> </w:t>
      </w:r>
      <w:r w:rsidRPr="009F1D93">
        <w:rPr>
          <w:rFonts w:ascii="Arial" w:hAnsi="Arial" w:cs="Arial"/>
          <w:color w:val="000000"/>
          <w:sz w:val="22"/>
          <w:szCs w:val="22"/>
        </w:rPr>
        <w:t>(Accessed: 16 April 2026).</w:t>
      </w:r>
    </w:p>
    <w:p w14:paraId="602DDA3E" w14:textId="77777777"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O’Brien, D., Harvey, K., Howse, J., Reardon, T. and Creswell, C. (2016)</w:t>
      </w:r>
      <w:r w:rsidRPr="009F1D93">
        <w:rPr>
          <w:rStyle w:val="apple-converted-space"/>
          <w:rFonts w:ascii="Arial" w:hAnsi="Arial" w:cs="Arial"/>
          <w:color w:val="000000"/>
          <w:sz w:val="22"/>
          <w:szCs w:val="22"/>
        </w:rPr>
        <w:t> ‘</w:t>
      </w:r>
      <w:r w:rsidRPr="009F1D93">
        <w:rPr>
          <w:rStyle w:val="Emphasis"/>
          <w:rFonts w:ascii="Arial" w:hAnsi="Arial" w:cs="Arial"/>
          <w:i w:val="0"/>
          <w:iCs w:val="0"/>
          <w:color w:val="000000"/>
          <w:sz w:val="22"/>
          <w:szCs w:val="22"/>
        </w:rPr>
        <w:t>Barriers to managing child and adolescent mental health problems: a systematic review of primary care practitioners’ perceptions</w:t>
      </w:r>
      <w:r w:rsidRPr="009F1D93">
        <w:rPr>
          <w:rFonts w:ascii="Arial" w:hAnsi="Arial" w:cs="Arial"/>
          <w:i/>
          <w:iCs/>
          <w:color w:val="000000"/>
          <w:sz w:val="22"/>
          <w:szCs w:val="22"/>
        </w:rPr>
        <w:t>’,</w:t>
      </w:r>
      <w:r w:rsidRPr="009F1D93">
        <w:rPr>
          <w:rStyle w:val="apple-converted-space"/>
          <w:rFonts w:ascii="Arial" w:hAnsi="Arial" w:cs="Arial"/>
          <w:color w:val="000000"/>
          <w:sz w:val="22"/>
          <w:szCs w:val="22"/>
        </w:rPr>
        <w:t> </w:t>
      </w:r>
      <w:r w:rsidRPr="009F1D93">
        <w:rPr>
          <w:rStyle w:val="Strong"/>
          <w:rFonts w:ascii="Arial" w:hAnsi="Arial" w:cs="Arial"/>
          <w:b w:val="0"/>
          <w:bCs w:val="0"/>
          <w:i/>
          <w:iCs/>
          <w:color w:val="000000"/>
          <w:sz w:val="22"/>
          <w:szCs w:val="22"/>
        </w:rPr>
        <w:t>British Journal of General Practice</w:t>
      </w:r>
      <w:r w:rsidRPr="009F1D93">
        <w:rPr>
          <w:rFonts w:ascii="Arial" w:hAnsi="Arial" w:cs="Arial"/>
          <w:i/>
          <w:iCs/>
          <w:color w:val="000000"/>
          <w:sz w:val="22"/>
          <w:szCs w:val="22"/>
        </w:rPr>
        <w:t>,</w:t>
      </w:r>
      <w:r w:rsidRPr="009F1D93">
        <w:rPr>
          <w:rFonts w:ascii="Arial" w:hAnsi="Arial" w:cs="Arial"/>
          <w:color w:val="000000"/>
          <w:sz w:val="22"/>
          <w:szCs w:val="22"/>
        </w:rPr>
        <w:t xml:space="preserve"> 66(651), pp. e693–e701. Available at: https://pmc.ncbi.nlm.nih.gov/articles/PMC5033306/ (Accessed: 27 March 2026).</w:t>
      </w:r>
    </w:p>
    <w:p w14:paraId="5A1A55B0" w14:textId="77777777"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lastRenderedPageBreak/>
        <w:t>Radez, J., Reardon, T., Creswell, C., Lawrence, P.J. and Waite, P. (2020)</w:t>
      </w:r>
      <w:r w:rsidRPr="009F1D93">
        <w:rPr>
          <w:rStyle w:val="apple-converted-space"/>
          <w:rFonts w:ascii="Arial" w:hAnsi="Arial" w:cs="Arial"/>
          <w:color w:val="000000"/>
          <w:sz w:val="22"/>
          <w:szCs w:val="22"/>
        </w:rPr>
        <w:t> ‘</w:t>
      </w:r>
      <w:r w:rsidRPr="009F1D93">
        <w:rPr>
          <w:rStyle w:val="Emphasis"/>
          <w:rFonts w:ascii="Arial" w:hAnsi="Arial" w:cs="Arial"/>
          <w:i w:val="0"/>
          <w:iCs w:val="0"/>
          <w:color w:val="000000"/>
          <w:sz w:val="22"/>
          <w:szCs w:val="22"/>
        </w:rPr>
        <w:t>Why do children and adolescents (not) seek and access professional help for their mental health problems? A systematic review</w:t>
      </w:r>
      <w:r w:rsidRPr="009F1D93">
        <w:rPr>
          <w:rFonts w:ascii="Arial" w:hAnsi="Arial" w:cs="Arial"/>
          <w:i/>
          <w:iCs/>
          <w:color w:val="000000"/>
          <w:sz w:val="22"/>
          <w:szCs w:val="22"/>
        </w:rPr>
        <w:t xml:space="preserve">’, </w:t>
      </w:r>
      <w:r w:rsidRPr="009F1D93">
        <w:rPr>
          <w:rStyle w:val="Strong"/>
          <w:rFonts w:ascii="Arial" w:hAnsi="Arial" w:cs="Arial"/>
          <w:b w:val="0"/>
          <w:bCs w:val="0"/>
          <w:i/>
          <w:iCs/>
          <w:color w:val="000000"/>
          <w:sz w:val="22"/>
          <w:szCs w:val="22"/>
        </w:rPr>
        <w:t>European Child &amp; Adolescent Psychiatry</w:t>
      </w:r>
      <w:r w:rsidRPr="009F1D93">
        <w:rPr>
          <w:rFonts w:ascii="Arial" w:hAnsi="Arial" w:cs="Arial"/>
          <w:i/>
          <w:iCs/>
          <w:color w:val="000000"/>
          <w:sz w:val="22"/>
          <w:szCs w:val="22"/>
        </w:rPr>
        <w:t xml:space="preserve">, </w:t>
      </w:r>
      <w:r w:rsidRPr="009F1D93">
        <w:rPr>
          <w:rFonts w:ascii="Arial" w:hAnsi="Arial" w:cs="Arial"/>
          <w:color w:val="000000"/>
          <w:sz w:val="22"/>
          <w:szCs w:val="22"/>
        </w:rPr>
        <w:t>30(2), pp. 183–211. Available at: https://pmc.ncbi.nlm.nih.gov/articles/PMC7932953/ (Accessed: 27 March 2026).</w:t>
      </w:r>
    </w:p>
    <w:p w14:paraId="3F56209F" w14:textId="77777777" w:rsidR="009F1D93" w:rsidRPr="009F1D93" w:rsidRDefault="009F1D93" w:rsidP="009F1D93">
      <w:pPr>
        <w:pStyle w:val="NormalWeb"/>
        <w:spacing w:line="300" w:lineRule="atLeast"/>
        <w:rPr>
          <w:rFonts w:ascii="Arial" w:hAnsi="Arial" w:cs="Arial"/>
          <w:color w:val="000000"/>
          <w:sz w:val="22"/>
          <w:szCs w:val="22"/>
        </w:rPr>
      </w:pPr>
      <w:r w:rsidRPr="009F1D93">
        <w:rPr>
          <w:rStyle w:val="Strong"/>
          <w:rFonts w:ascii="Arial" w:hAnsi="Arial" w:cs="Arial"/>
          <w:b w:val="0"/>
          <w:bCs w:val="0"/>
          <w:color w:val="000000"/>
          <w:sz w:val="22"/>
          <w:szCs w:val="22"/>
        </w:rPr>
        <w:t>R</w:t>
      </w:r>
      <w:r w:rsidRPr="009F1D93">
        <w:rPr>
          <w:rFonts w:ascii="Arial" w:hAnsi="Arial" w:cs="Arial"/>
          <w:color w:val="000000"/>
          <w:sz w:val="22"/>
          <w:szCs w:val="22"/>
        </w:rPr>
        <w:t>adez, J., Reardon, T., Creswell, C., Orchard, F., Lawrence, P.J. and Waite, P. (2021)</w:t>
      </w:r>
      <w:r w:rsidRPr="009F1D93">
        <w:rPr>
          <w:rStyle w:val="apple-converted-space"/>
          <w:rFonts w:ascii="Arial" w:hAnsi="Arial" w:cs="Arial"/>
          <w:color w:val="000000"/>
          <w:sz w:val="22"/>
          <w:szCs w:val="22"/>
        </w:rPr>
        <w:t> ‘</w:t>
      </w:r>
      <w:r w:rsidRPr="009F1D93">
        <w:rPr>
          <w:rStyle w:val="Emphasis"/>
          <w:rFonts w:ascii="Arial" w:hAnsi="Arial" w:cs="Arial"/>
          <w:i w:val="0"/>
          <w:iCs w:val="0"/>
          <w:color w:val="000000"/>
          <w:sz w:val="22"/>
          <w:szCs w:val="22"/>
        </w:rPr>
        <w:t>Adolescents’ perceived barriers and facilitators to seeking and accessing professional help for anxiety and depressive disorders: a qualitative interview study</w:t>
      </w:r>
      <w:r w:rsidRPr="009F1D93">
        <w:rPr>
          <w:rFonts w:ascii="Arial" w:hAnsi="Arial" w:cs="Arial"/>
          <w:i/>
          <w:iCs/>
          <w:color w:val="000000"/>
          <w:sz w:val="22"/>
          <w:szCs w:val="22"/>
        </w:rPr>
        <w:t xml:space="preserve">’, </w:t>
      </w:r>
      <w:r w:rsidRPr="009F1D93">
        <w:rPr>
          <w:rStyle w:val="Strong"/>
          <w:rFonts w:ascii="Arial" w:hAnsi="Arial" w:cs="Arial"/>
          <w:b w:val="0"/>
          <w:bCs w:val="0"/>
          <w:i/>
          <w:iCs/>
          <w:color w:val="000000"/>
          <w:sz w:val="22"/>
          <w:szCs w:val="22"/>
        </w:rPr>
        <w:t>European Child &amp; Adolescent Psychiatry</w:t>
      </w:r>
      <w:r w:rsidRPr="009F1D93">
        <w:rPr>
          <w:rFonts w:ascii="Arial" w:hAnsi="Arial" w:cs="Arial"/>
          <w:b/>
          <w:bCs/>
          <w:color w:val="000000"/>
          <w:sz w:val="22"/>
          <w:szCs w:val="22"/>
        </w:rPr>
        <w:t>.</w:t>
      </w:r>
      <w:r w:rsidRPr="009F1D93">
        <w:rPr>
          <w:rFonts w:ascii="Arial" w:hAnsi="Arial" w:cs="Arial"/>
          <w:color w:val="000000"/>
          <w:sz w:val="22"/>
          <w:szCs w:val="22"/>
        </w:rPr>
        <w:t xml:space="preserve"> Available at: https://pubmed.ncbi.nlm.nih.gov/33502596/ (Accessed: 27 March 2026).</w:t>
      </w:r>
    </w:p>
    <w:p w14:paraId="662E4BE0" w14:textId="77777777"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Reardon, T., Harvey, K., Baranowska, M., O’Brien, D., Smith, L. and Creswell, C. (2017)</w:t>
      </w:r>
      <w:r w:rsidRPr="009F1D93">
        <w:rPr>
          <w:rStyle w:val="apple-converted-space"/>
          <w:rFonts w:ascii="Arial" w:hAnsi="Arial" w:cs="Arial"/>
          <w:color w:val="000000"/>
          <w:sz w:val="22"/>
          <w:szCs w:val="22"/>
        </w:rPr>
        <w:t> ‘</w:t>
      </w:r>
      <w:r w:rsidRPr="009F1D93">
        <w:rPr>
          <w:rStyle w:val="Emphasis"/>
          <w:rFonts w:ascii="Arial" w:hAnsi="Arial" w:cs="Arial"/>
          <w:i w:val="0"/>
          <w:iCs w:val="0"/>
          <w:color w:val="000000"/>
          <w:sz w:val="22"/>
          <w:szCs w:val="22"/>
        </w:rPr>
        <w:t>What do parents perceive are the barriers and facilitators to accessing psychological treatment for mental health problems in children and adolescents?</w:t>
      </w:r>
      <w:r w:rsidRPr="009F1D93">
        <w:rPr>
          <w:rFonts w:ascii="Arial" w:hAnsi="Arial" w:cs="Arial"/>
          <w:i/>
          <w:iCs/>
          <w:color w:val="000000"/>
          <w:sz w:val="22"/>
          <w:szCs w:val="22"/>
        </w:rPr>
        <w:t>’,</w:t>
      </w:r>
      <w:r w:rsidRPr="009F1D93">
        <w:rPr>
          <w:rStyle w:val="apple-converted-space"/>
          <w:rFonts w:ascii="Arial" w:hAnsi="Arial" w:cs="Arial"/>
          <w:i/>
          <w:iCs/>
          <w:color w:val="000000"/>
          <w:sz w:val="22"/>
          <w:szCs w:val="22"/>
        </w:rPr>
        <w:t> </w:t>
      </w:r>
      <w:r w:rsidRPr="009F1D93">
        <w:rPr>
          <w:rStyle w:val="Strong"/>
          <w:rFonts w:ascii="Arial" w:hAnsi="Arial" w:cs="Arial"/>
          <w:b w:val="0"/>
          <w:bCs w:val="0"/>
          <w:i/>
          <w:iCs/>
          <w:color w:val="000000"/>
          <w:sz w:val="22"/>
          <w:szCs w:val="22"/>
        </w:rPr>
        <w:t>European Child &amp; Adolescent Psychiatry</w:t>
      </w:r>
      <w:r w:rsidRPr="009F1D93">
        <w:rPr>
          <w:rFonts w:ascii="Arial" w:hAnsi="Arial" w:cs="Arial"/>
          <w:b/>
          <w:bCs/>
          <w:i/>
          <w:iCs/>
          <w:color w:val="000000"/>
          <w:sz w:val="22"/>
          <w:szCs w:val="22"/>
        </w:rPr>
        <w:t xml:space="preserve">, </w:t>
      </w:r>
      <w:r w:rsidRPr="009F1D93">
        <w:rPr>
          <w:rFonts w:ascii="Arial" w:hAnsi="Arial" w:cs="Arial"/>
          <w:color w:val="000000"/>
          <w:sz w:val="22"/>
          <w:szCs w:val="22"/>
        </w:rPr>
        <w:t>26(6), pp. 623–647. Available at: https://link.springer.com/article/10.1007/s00787-016-0930-6 (Accessed: 27 March 2026).</w:t>
      </w:r>
    </w:p>
    <w:p w14:paraId="3F0CA94E" w14:textId="77777777"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The Guardian (2024)</w:t>
      </w:r>
      <w:r w:rsidRPr="009F1D93">
        <w:rPr>
          <w:rStyle w:val="apple-converted-space"/>
          <w:rFonts w:ascii="Arial" w:hAnsi="Arial" w:cs="Arial"/>
          <w:color w:val="000000"/>
          <w:sz w:val="22"/>
          <w:szCs w:val="22"/>
        </w:rPr>
        <w:t> </w:t>
      </w:r>
      <w:r w:rsidRPr="009F1D93">
        <w:rPr>
          <w:rStyle w:val="Emphasis"/>
          <w:rFonts w:ascii="Arial" w:hAnsi="Arial" w:cs="Arial"/>
          <w:color w:val="000000"/>
          <w:sz w:val="22"/>
          <w:szCs w:val="22"/>
        </w:rPr>
        <w:t>Long wait for NHS mental healthcare has stark consequences for children’s life chances</w:t>
      </w:r>
      <w:r w:rsidRPr="009F1D93">
        <w:rPr>
          <w:rFonts w:ascii="Arial" w:hAnsi="Arial" w:cs="Arial"/>
          <w:color w:val="000000"/>
          <w:sz w:val="22"/>
          <w:szCs w:val="22"/>
        </w:rPr>
        <w:t>, 28 November. Available at: https://www.theguardian.com/society/2024/nov/28/long-wait-for-nhs-mental-healthcare-has-stark-consequences-for-childrens-life-chances (Accessed: 27 March 2026).</w:t>
      </w:r>
    </w:p>
    <w:p w14:paraId="63C7DAF1" w14:textId="77777777" w:rsidR="009F1D93" w:rsidRPr="009F1D93" w:rsidRDefault="009F1D93" w:rsidP="009F1D93">
      <w:pPr>
        <w:pStyle w:val="NormalWeb"/>
        <w:spacing w:line="300" w:lineRule="atLeast"/>
        <w:rPr>
          <w:rFonts w:ascii="Arial" w:hAnsi="Arial" w:cs="Arial"/>
          <w:color w:val="000000"/>
          <w:sz w:val="22"/>
          <w:szCs w:val="22"/>
        </w:rPr>
      </w:pPr>
      <w:r w:rsidRPr="009F1D93">
        <w:rPr>
          <w:rFonts w:ascii="Arial" w:hAnsi="Arial" w:cs="Arial"/>
          <w:color w:val="000000"/>
          <w:sz w:val="22"/>
          <w:szCs w:val="22"/>
        </w:rPr>
        <w:t>The Guardian (2024)</w:t>
      </w:r>
      <w:r w:rsidRPr="009F1D93">
        <w:rPr>
          <w:rStyle w:val="apple-converted-space"/>
          <w:rFonts w:ascii="Arial" w:hAnsi="Arial" w:cs="Arial"/>
          <w:color w:val="000000"/>
          <w:sz w:val="22"/>
          <w:szCs w:val="22"/>
        </w:rPr>
        <w:t> </w:t>
      </w:r>
      <w:r w:rsidRPr="009F1D93">
        <w:rPr>
          <w:rStyle w:val="Emphasis"/>
          <w:rFonts w:ascii="Arial" w:hAnsi="Arial" w:cs="Arial"/>
          <w:color w:val="000000"/>
          <w:sz w:val="22"/>
          <w:szCs w:val="22"/>
        </w:rPr>
        <w:t>Suicide risk for children refused places on NHS England waiting lists as services overwhelmed</w:t>
      </w:r>
      <w:r w:rsidRPr="009F1D93">
        <w:rPr>
          <w:rFonts w:ascii="Arial" w:hAnsi="Arial" w:cs="Arial"/>
          <w:color w:val="000000"/>
          <w:sz w:val="22"/>
          <w:szCs w:val="22"/>
        </w:rPr>
        <w:t>, 8 June. Available at: https://www.theguardian.com/society/article/2024/jun/08/suicide-risk-children-refused-places-on-nhs-england-waiting-lists-as-services-overwhelmed (Accessed: 27 March 2026).</w:t>
      </w:r>
    </w:p>
    <w:p w14:paraId="052745F1" w14:textId="77777777" w:rsidR="009F1D93" w:rsidRPr="009F1D93" w:rsidRDefault="009F1D93" w:rsidP="009F1D93">
      <w:pPr>
        <w:rPr>
          <w:rFonts w:ascii="Arial" w:hAnsi="Arial" w:cs="Arial"/>
          <w:sz w:val="22"/>
          <w:szCs w:val="22"/>
        </w:rPr>
      </w:pPr>
      <w:r w:rsidRPr="009F1D93">
        <w:rPr>
          <w:rFonts w:ascii="Arial" w:hAnsi="Arial" w:cs="Arial"/>
          <w:sz w:val="22"/>
          <w:szCs w:val="22"/>
        </w:rPr>
        <w:t xml:space="preserve">Udu, S.K. </w:t>
      </w:r>
      <w:r w:rsidRPr="009F1D93">
        <w:rPr>
          <w:rFonts w:ascii="Arial" w:hAnsi="Arial" w:cs="Arial"/>
          <w:i/>
          <w:iCs/>
          <w:sz w:val="22"/>
          <w:szCs w:val="22"/>
        </w:rPr>
        <w:t>et al.</w:t>
      </w:r>
      <w:r w:rsidRPr="009F1D93">
        <w:rPr>
          <w:rFonts w:ascii="Arial" w:hAnsi="Arial" w:cs="Arial"/>
          <w:sz w:val="22"/>
          <w:szCs w:val="22"/>
        </w:rPr>
        <w:t xml:space="preserve"> (2026) ‘Barriers and disparities in adolescent mental health service access in the UK: A systematic review’, </w:t>
      </w:r>
      <w:r w:rsidRPr="009F1D93">
        <w:rPr>
          <w:rFonts w:ascii="Arial" w:hAnsi="Arial" w:cs="Arial"/>
          <w:i/>
          <w:iCs/>
          <w:sz w:val="22"/>
          <w:szCs w:val="22"/>
        </w:rPr>
        <w:t>Mental health &amp; prevention</w:t>
      </w:r>
      <w:r w:rsidRPr="009F1D93">
        <w:rPr>
          <w:rFonts w:ascii="Arial" w:hAnsi="Arial" w:cs="Arial"/>
          <w:sz w:val="22"/>
          <w:szCs w:val="22"/>
        </w:rPr>
        <w:t xml:space="preserve">, 41. Available at: </w:t>
      </w:r>
      <w:hyperlink r:id="rId14" w:history="1">
        <w:r w:rsidRPr="009F1D93">
          <w:rPr>
            <w:rStyle w:val="Hyperlink"/>
            <w:rFonts w:ascii="Arial" w:hAnsi="Arial" w:cs="Arial"/>
            <w:sz w:val="22"/>
            <w:szCs w:val="22"/>
          </w:rPr>
          <w:t>https://doi.org/10.1016/j.mhp.2026.200497</w:t>
        </w:r>
      </w:hyperlink>
      <w:r w:rsidRPr="009F1D93">
        <w:rPr>
          <w:rFonts w:ascii="Arial" w:hAnsi="Arial" w:cs="Arial"/>
          <w:sz w:val="22"/>
          <w:szCs w:val="22"/>
        </w:rPr>
        <w:t>.</w:t>
      </w:r>
    </w:p>
    <w:p w14:paraId="6134A31D" w14:textId="77777777" w:rsidR="009F1D93" w:rsidRPr="009F1D93" w:rsidRDefault="009F1D93" w:rsidP="009F1D93">
      <w:pPr>
        <w:rPr>
          <w:rFonts w:ascii="Arial" w:hAnsi="Arial" w:cs="Arial"/>
          <w:sz w:val="22"/>
          <w:szCs w:val="22"/>
        </w:rPr>
      </w:pPr>
    </w:p>
    <w:p w14:paraId="4EB2E1BA" w14:textId="77777777" w:rsidR="009F1D93" w:rsidRPr="009F1D93" w:rsidRDefault="009F1D93" w:rsidP="009F1D93">
      <w:pPr>
        <w:rPr>
          <w:rFonts w:ascii="Arial" w:hAnsi="Arial" w:cs="Arial"/>
          <w:sz w:val="22"/>
          <w:szCs w:val="22"/>
        </w:rPr>
      </w:pPr>
      <w:proofErr w:type="spellStart"/>
      <w:r w:rsidRPr="009F1D93">
        <w:rPr>
          <w:rFonts w:ascii="Arial" w:hAnsi="Arial" w:cs="Arial"/>
          <w:sz w:val="22"/>
          <w:szCs w:val="22"/>
        </w:rPr>
        <w:t>YoungMinds</w:t>
      </w:r>
      <w:proofErr w:type="spellEnd"/>
      <w:r w:rsidRPr="009F1D93">
        <w:rPr>
          <w:rFonts w:ascii="Arial" w:hAnsi="Arial" w:cs="Arial"/>
          <w:sz w:val="22"/>
          <w:szCs w:val="22"/>
        </w:rPr>
        <w:t xml:space="preserve"> (2022) </w:t>
      </w:r>
      <w:r w:rsidRPr="009F1D93">
        <w:rPr>
          <w:rFonts w:ascii="Arial" w:hAnsi="Arial" w:cs="Arial"/>
          <w:i/>
          <w:iCs/>
          <w:sz w:val="22"/>
          <w:szCs w:val="22"/>
        </w:rPr>
        <w:t>Yearly referrals to young people’s mental health services have risen by 53% since 2019.</w:t>
      </w:r>
      <w:r w:rsidRPr="009F1D93">
        <w:rPr>
          <w:rFonts w:ascii="Arial" w:hAnsi="Arial" w:cs="Arial"/>
          <w:sz w:val="22"/>
          <w:szCs w:val="22"/>
        </w:rPr>
        <w:t xml:space="preserve"> Available at: </w:t>
      </w:r>
      <w:hyperlink r:id="rId15" w:history="1">
        <w:r w:rsidRPr="009F1D93">
          <w:rPr>
            <w:rStyle w:val="Hyperlink"/>
            <w:rFonts w:ascii="Arial" w:hAnsi="Arial" w:cs="Arial"/>
            <w:sz w:val="22"/>
            <w:szCs w:val="22"/>
          </w:rPr>
          <w:t>https://www.youngminds.org.uk/about-us/media-centre/press-releases/yearly-referrals-to-young-people-s-mental-health-services-have-risen-by-53-since-2019/</w:t>
        </w:r>
      </w:hyperlink>
      <w:r w:rsidRPr="009F1D93">
        <w:rPr>
          <w:rFonts w:ascii="Arial" w:hAnsi="Arial" w:cs="Arial"/>
          <w:sz w:val="22"/>
          <w:szCs w:val="22"/>
        </w:rPr>
        <w:t xml:space="preserve"> (Accessed: 16 April 2026).</w:t>
      </w:r>
    </w:p>
    <w:sectPr w:rsidR="009F1D93" w:rsidRPr="009F1D9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E1A21" w14:textId="77777777" w:rsidR="005C7E1D" w:rsidRDefault="005C7E1D">
      <w:r>
        <w:separator/>
      </w:r>
    </w:p>
  </w:endnote>
  <w:endnote w:type="continuationSeparator" w:id="0">
    <w:p w14:paraId="4B9EB22E" w14:textId="77777777" w:rsidR="005C7E1D" w:rsidRDefault="005C7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312C7" w14:textId="77777777" w:rsidR="005C7E1D" w:rsidRDefault="005C7E1D">
      <w:r>
        <w:rPr>
          <w:color w:val="000000"/>
        </w:rPr>
        <w:separator/>
      </w:r>
    </w:p>
  </w:footnote>
  <w:footnote w:type="continuationSeparator" w:id="0">
    <w:p w14:paraId="3EE05144" w14:textId="77777777" w:rsidR="005C7E1D" w:rsidRDefault="005C7E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C2340"/>
    <w:multiLevelType w:val="hybridMultilevel"/>
    <w:tmpl w:val="144E6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87790"/>
    <w:multiLevelType w:val="multilevel"/>
    <w:tmpl w:val="6662592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25CC4D6E"/>
    <w:multiLevelType w:val="multilevel"/>
    <w:tmpl w:val="8556CF2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9307995"/>
    <w:multiLevelType w:val="multilevel"/>
    <w:tmpl w:val="4256305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54C712DA"/>
    <w:multiLevelType w:val="multilevel"/>
    <w:tmpl w:val="EECA3F4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601D744B"/>
    <w:multiLevelType w:val="multilevel"/>
    <w:tmpl w:val="78AE2BEE"/>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6" w15:restartNumberingAfterBreak="0">
    <w:nsid w:val="6EC425B6"/>
    <w:multiLevelType w:val="multilevel"/>
    <w:tmpl w:val="CBA6243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6F806333"/>
    <w:multiLevelType w:val="multilevel"/>
    <w:tmpl w:val="F2E4DB0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75E77F37"/>
    <w:multiLevelType w:val="multilevel"/>
    <w:tmpl w:val="61F8EA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982319212">
    <w:abstractNumId w:val="2"/>
  </w:num>
  <w:num w:numId="2" w16cid:durableId="1869680448">
    <w:abstractNumId w:val="6"/>
  </w:num>
  <w:num w:numId="3" w16cid:durableId="1953971283">
    <w:abstractNumId w:val="3"/>
  </w:num>
  <w:num w:numId="4" w16cid:durableId="493179070">
    <w:abstractNumId w:val="7"/>
  </w:num>
  <w:num w:numId="5" w16cid:durableId="1681003557">
    <w:abstractNumId w:val="4"/>
  </w:num>
  <w:num w:numId="6" w16cid:durableId="1395351908">
    <w:abstractNumId w:val="1"/>
  </w:num>
  <w:num w:numId="7" w16cid:durableId="1012758635">
    <w:abstractNumId w:val="8"/>
  </w:num>
  <w:num w:numId="8" w16cid:durableId="1627421202">
    <w:abstractNumId w:val="5"/>
  </w:num>
  <w:num w:numId="9" w16cid:durableId="1848328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97F"/>
    <w:rsid w:val="001A1F17"/>
    <w:rsid w:val="00373D29"/>
    <w:rsid w:val="00480592"/>
    <w:rsid w:val="0049249A"/>
    <w:rsid w:val="00492DF1"/>
    <w:rsid w:val="005012DE"/>
    <w:rsid w:val="005C7E1D"/>
    <w:rsid w:val="007B688E"/>
    <w:rsid w:val="007E07FD"/>
    <w:rsid w:val="008B049F"/>
    <w:rsid w:val="009F1D93"/>
    <w:rsid w:val="00A842EE"/>
    <w:rsid w:val="00A9722C"/>
    <w:rsid w:val="00E277FF"/>
    <w:rsid w:val="00E640F0"/>
    <w:rsid w:val="00F95B30"/>
    <w:rsid w:val="00FD1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14857"/>
  <w15:docId w15:val="{763C46DB-1202-B140-BC56-B76906096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D93"/>
    <w:pPr>
      <w:autoSpaceDN/>
      <w:spacing w:after="0" w:line="240" w:lineRule="auto"/>
    </w:pPr>
    <w:rPr>
      <w:rFonts w:ascii="Times New Roman" w:eastAsia="Times New Roman" w:hAnsi="Times New Roman"/>
      <w:kern w:val="0"/>
      <w:lang w:eastAsia="en-GB"/>
    </w:rPr>
  </w:style>
  <w:style w:type="paragraph" w:styleId="Heading1">
    <w:name w:val="heading 1"/>
    <w:basedOn w:val="Normal"/>
    <w:next w:val="Normal"/>
    <w:uiPriority w:val="9"/>
    <w:qFormat/>
    <w:pPr>
      <w:keepNext/>
      <w:keepLines/>
      <w:suppressAutoHyphens/>
      <w:autoSpaceDN w:val="0"/>
      <w:spacing w:before="360" w:after="80" w:line="276" w:lineRule="auto"/>
      <w:outlineLvl w:val="0"/>
    </w:pPr>
    <w:rPr>
      <w:rFonts w:ascii="Aptos Display" w:hAnsi="Aptos Display"/>
      <w:color w:val="0F4761"/>
      <w:kern w:val="3"/>
      <w:sz w:val="40"/>
      <w:szCs w:val="40"/>
      <w:lang w:eastAsia="en-US"/>
    </w:rPr>
  </w:style>
  <w:style w:type="paragraph" w:styleId="Heading2">
    <w:name w:val="heading 2"/>
    <w:basedOn w:val="Normal"/>
    <w:next w:val="Normal"/>
    <w:uiPriority w:val="9"/>
    <w:unhideWhenUsed/>
    <w:qFormat/>
    <w:pPr>
      <w:keepNext/>
      <w:keepLines/>
      <w:suppressAutoHyphens/>
      <w:autoSpaceDN w:val="0"/>
      <w:spacing w:before="160" w:after="80" w:line="276" w:lineRule="auto"/>
      <w:outlineLvl w:val="1"/>
    </w:pPr>
    <w:rPr>
      <w:rFonts w:ascii="Aptos Display" w:hAnsi="Aptos Display"/>
      <w:color w:val="0F4761"/>
      <w:kern w:val="3"/>
      <w:sz w:val="32"/>
      <w:szCs w:val="32"/>
      <w:lang w:eastAsia="en-US"/>
    </w:rPr>
  </w:style>
  <w:style w:type="paragraph" w:styleId="Heading3">
    <w:name w:val="heading 3"/>
    <w:basedOn w:val="Normal"/>
    <w:next w:val="Normal"/>
    <w:uiPriority w:val="9"/>
    <w:semiHidden/>
    <w:unhideWhenUsed/>
    <w:qFormat/>
    <w:pPr>
      <w:keepNext/>
      <w:keepLines/>
      <w:suppressAutoHyphen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uppressAutoHyphens/>
      <w:spacing w:before="80" w:after="40"/>
      <w:outlineLvl w:val="3"/>
    </w:pPr>
    <w:rPr>
      <w:i/>
      <w:iCs/>
      <w:color w:val="0F4761"/>
    </w:rPr>
  </w:style>
  <w:style w:type="paragraph" w:styleId="Heading5">
    <w:name w:val="heading 5"/>
    <w:basedOn w:val="Normal"/>
    <w:next w:val="Normal"/>
    <w:uiPriority w:val="9"/>
    <w:semiHidden/>
    <w:unhideWhenUsed/>
    <w:qFormat/>
    <w:pPr>
      <w:keepNext/>
      <w:keepLines/>
      <w:suppressAutoHyphens/>
      <w:spacing w:before="80" w:after="40"/>
      <w:outlineLvl w:val="4"/>
    </w:pPr>
    <w:rPr>
      <w:color w:val="0F4761"/>
    </w:rPr>
  </w:style>
  <w:style w:type="paragraph" w:styleId="Heading6">
    <w:name w:val="heading 6"/>
    <w:basedOn w:val="Normal"/>
    <w:next w:val="Normal"/>
    <w:uiPriority w:val="9"/>
    <w:semiHidden/>
    <w:unhideWhenUsed/>
    <w:qFormat/>
    <w:pPr>
      <w:keepNext/>
      <w:keepLines/>
      <w:suppressAutoHyphens/>
      <w:spacing w:before="40"/>
      <w:outlineLvl w:val="5"/>
    </w:pPr>
    <w:rPr>
      <w:i/>
      <w:iCs/>
      <w:color w:val="595959"/>
    </w:rPr>
  </w:style>
  <w:style w:type="paragraph" w:styleId="Heading7">
    <w:name w:val="heading 7"/>
    <w:basedOn w:val="Normal"/>
    <w:next w:val="Normal"/>
    <w:pPr>
      <w:keepNext/>
      <w:keepLines/>
      <w:suppressAutoHyphens/>
      <w:autoSpaceDN w:val="0"/>
      <w:spacing w:before="40" w:line="276" w:lineRule="auto"/>
      <w:outlineLvl w:val="6"/>
    </w:pPr>
    <w:rPr>
      <w:rFonts w:ascii="Aptos" w:hAnsi="Aptos"/>
      <w:color w:val="595959"/>
      <w:kern w:val="3"/>
      <w:lang w:eastAsia="en-US"/>
    </w:rPr>
  </w:style>
  <w:style w:type="paragraph" w:styleId="Heading8">
    <w:name w:val="heading 8"/>
    <w:basedOn w:val="Normal"/>
    <w:next w:val="Normal"/>
    <w:pPr>
      <w:keepNext/>
      <w:keepLines/>
      <w:suppressAutoHyphens/>
      <w:autoSpaceDN w:val="0"/>
      <w:spacing w:line="276" w:lineRule="auto"/>
      <w:outlineLvl w:val="7"/>
    </w:pPr>
    <w:rPr>
      <w:rFonts w:ascii="Aptos" w:hAnsi="Aptos"/>
      <w:i/>
      <w:iCs/>
      <w:color w:val="272727"/>
      <w:kern w:val="3"/>
      <w:lang w:eastAsia="en-US"/>
    </w:rPr>
  </w:style>
  <w:style w:type="paragraph" w:styleId="Heading9">
    <w:name w:val="heading 9"/>
    <w:basedOn w:val="Normal"/>
    <w:next w:val="Normal"/>
    <w:pPr>
      <w:keepNext/>
      <w:keepLines/>
      <w:suppressAutoHyphens/>
      <w:autoSpaceDN w:val="0"/>
      <w:spacing w:line="276" w:lineRule="auto"/>
      <w:outlineLvl w:val="8"/>
    </w:pPr>
    <w:rPr>
      <w:rFonts w:ascii="Aptos" w:hAnsi="Aptos"/>
      <w:color w:val="272727"/>
      <w:kern w:val="3"/>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uiPriority w:val="9"/>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uppressAutoHyphens/>
      <w:autoSpaceDN w:val="0"/>
      <w:spacing w:after="80"/>
      <w:contextualSpacing/>
    </w:pPr>
    <w:rPr>
      <w:rFonts w:ascii="Aptos Display" w:hAnsi="Aptos Display"/>
      <w:spacing w:val="-10"/>
      <w:kern w:val="3"/>
      <w:sz w:val="56"/>
      <w:szCs w:val="56"/>
      <w:lang w:eastAsia="en-US"/>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uppressAutoHyphens/>
      <w:autoSpaceDN w:val="0"/>
      <w:spacing w:after="160" w:line="276" w:lineRule="auto"/>
    </w:pPr>
    <w:rPr>
      <w:rFonts w:ascii="Aptos" w:hAnsi="Aptos"/>
      <w:color w:val="595959"/>
      <w:spacing w:val="15"/>
      <w:kern w:val="3"/>
      <w:sz w:val="28"/>
      <w:szCs w:val="28"/>
      <w:lang w:eastAsia="en-US"/>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uppressAutoHyphens/>
      <w:autoSpaceDN w:val="0"/>
      <w:spacing w:before="160" w:after="160" w:line="276" w:lineRule="auto"/>
      <w:jc w:val="center"/>
    </w:pPr>
    <w:rPr>
      <w:rFonts w:ascii="Aptos" w:eastAsia="Aptos" w:hAnsi="Aptos"/>
      <w:i/>
      <w:iCs/>
      <w:color w:val="404040"/>
      <w:kern w:val="3"/>
      <w:lang w:eastAsia="en-US"/>
    </w:rPr>
  </w:style>
  <w:style w:type="character" w:customStyle="1" w:styleId="QuoteChar">
    <w:name w:val="Quote Char"/>
    <w:basedOn w:val="DefaultParagraphFont"/>
    <w:rPr>
      <w:i/>
      <w:iCs/>
      <w:color w:val="404040"/>
    </w:rPr>
  </w:style>
  <w:style w:type="paragraph" w:styleId="ListParagraph">
    <w:name w:val="List Paragraph"/>
    <w:basedOn w:val="Normal"/>
    <w:pPr>
      <w:suppressAutoHyphens/>
      <w:autoSpaceDN w:val="0"/>
      <w:spacing w:after="160" w:line="276" w:lineRule="auto"/>
      <w:ind w:left="720"/>
      <w:contextualSpacing/>
    </w:pPr>
    <w:rPr>
      <w:rFonts w:ascii="Aptos" w:eastAsia="Aptos" w:hAnsi="Aptos"/>
      <w:kern w:val="3"/>
      <w:lang w:eastAsia="en-US"/>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uppressAutoHyphens/>
      <w:autoSpaceDN w:val="0"/>
      <w:spacing w:before="360" w:after="360" w:line="276" w:lineRule="auto"/>
      <w:ind w:left="864" w:right="864"/>
      <w:jc w:val="center"/>
    </w:pPr>
    <w:rPr>
      <w:rFonts w:ascii="Aptos" w:eastAsia="Aptos" w:hAnsi="Aptos"/>
      <w:i/>
      <w:iCs/>
      <w:color w:val="0F4761"/>
      <w:kern w:val="3"/>
      <w:lang w:eastAsia="en-US"/>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Caption">
    <w:name w:val="caption"/>
    <w:basedOn w:val="Normal"/>
    <w:next w:val="Normal"/>
    <w:pPr>
      <w:suppressAutoHyphens/>
      <w:autoSpaceDN w:val="0"/>
      <w:spacing w:after="200"/>
    </w:pPr>
    <w:rPr>
      <w:rFonts w:ascii="Aptos" w:eastAsia="Aptos" w:hAnsi="Aptos"/>
      <w:i/>
      <w:iCs/>
      <w:color w:val="0E2841"/>
      <w:kern w:val="3"/>
      <w:sz w:val="18"/>
      <w:szCs w:val="18"/>
      <w:lang w:eastAsia="en-US"/>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uiPriority w:val="22"/>
    <w:qFormat/>
    <w:rsid w:val="00E640F0"/>
    <w:rPr>
      <w:b/>
      <w:bCs/>
    </w:rPr>
  </w:style>
  <w:style w:type="character" w:customStyle="1" w:styleId="apple-converted-space">
    <w:name w:val="apple-converted-space"/>
    <w:basedOn w:val="DefaultParagraphFont"/>
    <w:rsid w:val="00E640F0"/>
  </w:style>
  <w:style w:type="paragraph" w:styleId="NormalWeb">
    <w:name w:val="Normal (Web)"/>
    <w:basedOn w:val="Normal"/>
    <w:uiPriority w:val="99"/>
    <w:semiHidden/>
    <w:unhideWhenUsed/>
    <w:rsid w:val="001A1F17"/>
    <w:pPr>
      <w:spacing w:before="100" w:beforeAutospacing="1" w:after="100" w:afterAutospacing="1"/>
    </w:pPr>
  </w:style>
  <w:style w:type="character" w:styleId="Emphasis">
    <w:name w:val="Emphasis"/>
    <w:basedOn w:val="DefaultParagraphFont"/>
    <w:uiPriority w:val="20"/>
    <w:qFormat/>
    <w:rsid w:val="007B688E"/>
    <w:rPr>
      <w:i/>
      <w:iCs/>
    </w:rPr>
  </w:style>
  <w:style w:type="character" w:styleId="FollowedHyperlink">
    <w:name w:val="FollowedHyperlink"/>
    <w:basedOn w:val="DefaultParagraphFont"/>
    <w:uiPriority w:val="99"/>
    <w:semiHidden/>
    <w:unhideWhenUsed/>
    <w:rsid w:val="009F1D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984273">
      <w:bodyDiv w:val="1"/>
      <w:marLeft w:val="0"/>
      <w:marRight w:val="0"/>
      <w:marTop w:val="0"/>
      <w:marBottom w:val="0"/>
      <w:divBdr>
        <w:top w:val="none" w:sz="0" w:space="0" w:color="auto"/>
        <w:left w:val="none" w:sz="0" w:space="0" w:color="auto"/>
        <w:bottom w:val="none" w:sz="0" w:space="0" w:color="auto"/>
        <w:right w:val="none" w:sz="0" w:space="0" w:color="auto"/>
      </w:divBdr>
      <w:divsChild>
        <w:div w:id="154498997">
          <w:marLeft w:val="0"/>
          <w:marRight w:val="0"/>
          <w:marTop w:val="0"/>
          <w:marBottom w:val="0"/>
          <w:divBdr>
            <w:top w:val="none" w:sz="0" w:space="0" w:color="auto"/>
            <w:left w:val="none" w:sz="0" w:space="0" w:color="auto"/>
            <w:bottom w:val="none" w:sz="0" w:space="0" w:color="auto"/>
            <w:right w:val="none" w:sz="0" w:space="0" w:color="auto"/>
          </w:divBdr>
          <w:divsChild>
            <w:div w:id="91266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384877">
      <w:bodyDiv w:val="1"/>
      <w:marLeft w:val="0"/>
      <w:marRight w:val="0"/>
      <w:marTop w:val="0"/>
      <w:marBottom w:val="0"/>
      <w:divBdr>
        <w:top w:val="none" w:sz="0" w:space="0" w:color="auto"/>
        <w:left w:val="none" w:sz="0" w:space="0" w:color="auto"/>
        <w:bottom w:val="none" w:sz="0" w:space="0" w:color="auto"/>
        <w:right w:val="none" w:sz="0" w:space="0" w:color="auto"/>
      </w:divBdr>
      <w:divsChild>
        <w:div w:id="2131968122">
          <w:marLeft w:val="0"/>
          <w:marRight w:val="0"/>
          <w:marTop w:val="0"/>
          <w:marBottom w:val="0"/>
          <w:divBdr>
            <w:top w:val="none" w:sz="0" w:space="0" w:color="auto"/>
            <w:left w:val="none" w:sz="0" w:space="0" w:color="auto"/>
            <w:bottom w:val="none" w:sz="0" w:space="0" w:color="auto"/>
            <w:right w:val="none" w:sz="0" w:space="0" w:color="auto"/>
          </w:divBdr>
          <w:divsChild>
            <w:div w:id="200785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404232">
      <w:bodyDiv w:val="1"/>
      <w:marLeft w:val="0"/>
      <w:marRight w:val="0"/>
      <w:marTop w:val="0"/>
      <w:marBottom w:val="0"/>
      <w:divBdr>
        <w:top w:val="none" w:sz="0" w:space="0" w:color="auto"/>
        <w:left w:val="none" w:sz="0" w:space="0" w:color="auto"/>
        <w:bottom w:val="none" w:sz="0" w:space="0" w:color="auto"/>
        <w:right w:val="none" w:sz="0" w:space="0" w:color="auto"/>
      </w:divBdr>
      <w:divsChild>
        <w:div w:id="1256937049">
          <w:marLeft w:val="0"/>
          <w:marRight w:val="0"/>
          <w:marTop w:val="0"/>
          <w:marBottom w:val="0"/>
          <w:divBdr>
            <w:top w:val="none" w:sz="0" w:space="0" w:color="auto"/>
            <w:left w:val="none" w:sz="0" w:space="0" w:color="auto"/>
            <w:bottom w:val="none" w:sz="0" w:space="0" w:color="auto"/>
            <w:right w:val="none" w:sz="0" w:space="0" w:color="auto"/>
          </w:divBdr>
        </w:div>
      </w:divsChild>
    </w:div>
    <w:div w:id="1155606123">
      <w:bodyDiv w:val="1"/>
      <w:marLeft w:val="0"/>
      <w:marRight w:val="0"/>
      <w:marTop w:val="0"/>
      <w:marBottom w:val="0"/>
      <w:divBdr>
        <w:top w:val="none" w:sz="0" w:space="0" w:color="auto"/>
        <w:left w:val="none" w:sz="0" w:space="0" w:color="auto"/>
        <w:bottom w:val="none" w:sz="0" w:space="0" w:color="auto"/>
        <w:right w:val="none" w:sz="0" w:space="0" w:color="auto"/>
      </w:divBdr>
      <w:divsChild>
        <w:div w:id="468934778">
          <w:marLeft w:val="0"/>
          <w:marRight w:val="0"/>
          <w:marTop w:val="0"/>
          <w:marBottom w:val="0"/>
          <w:divBdr>
            <w:top w:val="none" w:sz="0" w:space="0" w:color="auto"/>
            <w:left w:val="none" w:sz="0" w:space="0" w:color="auto"/>
            <w:bottom w:val="none" w:sz="0" w:space="0" w:color="auto"/>
            <w:right w:val="none" w:sz="0" w:space="0" w:color="auto"/>
          </w:divBdr>
          <w:divsChild>
            <w:div w:id="133348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112944">
      <w:bodyDiv w:val="1"/>
      <w:marLeft w:val="0"/>
      <w:marRight w:val="0"/>
      <w:marTop w:val="0"/>
      <w:marBottom w:val="0"/>
      <w:divBdr>
        <w:top w:val="none" w:sz="0" w:space="0" w:color="auto"/>
        <w:left w:val="none" w:sz="0" w:space="0" w:color="auto"/>
        <w:bottom w:val="none" w:sz="0" w:space="0" w:color="auto"/>
        <w:right w:val="none" w:sz="0" w:space="0" w:color="auto"/>
      </w:divBdr>
      <w:divsChild>
        <w:div w:id="797068812">
          <w:marLeft w:val="0"/>
          <w:marRight w:val="0"/>
          <w:marTop w:val="0"/>
          <w:marBottom w:val="0"/>
          <w:divBdr>
            <w:top w:val="none" w:sz="0" w:space="0" w:color="auto"/>
            <w:left w:val="none" w:sz="0" w:space="0" w:color="auto"/>
            <w:bottom w:val="none" w:sz="0" w:space="0" w:color="auto"/>
            <w:right w:val="none" w:sz="0" w:space="0" w:color="auto"/>
          </w:divBdr>
        </w:div>
      </w:divsChild>
    </w:div>
    <w:div w:id="1571843345">
      <w:bodyDiv w:val="1"/>
      <w:marLeft w:val="0"/>
      <w:marRight w:val="0"/>
      <w:marTop w:val="0"/>
      <w:marBottom w:val="0"/>
      <w:divBdr>
        <w:top w:val="none" w:sz="0" w:space="0" w:color="auto"/>
        <w:left w:val="none" w:sz="0" w:space="0" w:color="auto"/>
        <w:bottom w:val="none" w:sz="0" w:space="0" w:color="auto"/>
        <w:right w:val="none" w:sz="0" w:space="0" w:color="auto"/>
      </w:divBdr>
      <w:divsChild>
        <w:div w:id="4014797">
          <w:marLeft w:val="0"/>
          <w:marRight w:val="0"/>
          <w:marTop w:val="0"/>
          <w:marBottom w:val="0"/>
          <w:divBdr>
            <w:top w:val="none" w:sz="0" w:space="0" w:color="auto"/>
            <w:left w:val="none" w:sz="0" w:space="0" w:color="auto"/>
            <w:bottom w:val="none" w:sz="0" w:space="0" w:color="auto"/>
            <w:right w:val="none" w:sz="0" w:space="0" w:color="auto"/>
          </w:divBdr>
          <w:divsChild>
            <w:div w:id="193986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676561">
      <w:bodyDiv w:val="1"/>
      <w:marLeft w:val="0"/>
      <w:marRight w:val="0"/>
      <w:marTop w:val="0"/>
      <w:marBottom w:val="0"/>
      <w:divBdr>
        <w:top w:val="none" w:sz="0" w:space="0" w:color="auto"/>
        <w:left w:val="none" w:sz="0" w:space="0" w:color="auto"/>
        <w:bottom w:val="none" w:sz="0" w:space="0" w:color="auto"/>
        <w:right w:val="none" w:sz="0" w:space="0" w:color="auto"/>
      </w:divBdr>
      <w:divsChild>
        <w:div w:id="1960335062">
          <w:marLeft w:val="0"/>
          <w:marRight w:val="0"/>
          <w:marTop w:val="0"/>
          <w:marBottom w:val="0"/>
          <w:divBdr>
            <w:top w:val="none" w:sz="0" w:space="0" w:color="auto"/>
            <w:left w:val="none" w:sz="0" w:space="0" w:color="auto"/>
            <w:bottom w:val="none" w:sz="0" w:space="0" w:color="auto"/>
            <w:right w:val="none" w:sz="0" w:space="0" w:color="auto"/>
          </w:divBdr>
        </w:div>
      </w:divsChild>
    </w:div>
    <w:div w:id="1803962270">
      <w:bodyDiv w:val="1"/>
      <w:marLeft w:val="0"/>
      <w:marRight w:val="0"/>
      <w:marTop w:val="0"/>
      <w:marBottom w:val="0"/>
      <w:divBdr>
        <w:top w:val="none" w:sz="0" w:space="0" w:color="auto"/>
        <w:left w:val="none" w:sz="0" w:space="0" w:color="auto"/>
        <w:bottom w:val="none" w:sz="0" w:space="0" w:color="auto"/>
        <w:right w:val="none" w:sz="0" w:space="0" w:color="auto"/>
      </w:divBdr>
      <w:divsChild>
        <w:div w:id="1118640733">
          <w:marLeft w:val="0"/>
          <w:marRight w:val="0"/>
          <w:marTop w:val="0"/>
          <w:marBottom w:val="0"/>
          <w:divBdr>
            <w:top w:val="none" w:sz="0" w:space="0" w:color="auto"/>
            <w:left w:val="none" w:sz="0" w:space="0" w:color="auto"/>
            <w:bottom w:val="none" w:sz="0" w:space="0" w:color="auto"/>
            <w:right w:val="none" w:sz="0" w:space="0" w:color="auto"/>
          </w:divBdr>
        </w:div>
      </w:divsChild>
    </w:div>
    <w:div w:id="1921601521">
      <w:bodyDiv w:val="1"/>
      <w:marLeft w:val="0"/>
      <w:marRight w:val="0"/>
      <w:marTop w:val="0"/>
      <w:marBottom w:val="0"/>
      <w:divBdr>
        <w:top w:val="none" w:sz="0" w:space="0" w:color="auto"/>
        <w:left w:val="none" w:sz="0" w:space="0" w:color="auto"/>
        <w:bottom w:val="none" w:sz="0" w:space="0" w:color="auto"/>
        <w:right w:val="none" w:sz="0" w:space="0" w:color="auto"/>
      </w:divBdr>
      <w:divsChild>
        <w:div w:id="1022825249">
          <w:marLeft w:val="0"/>
          <w:marRight w:val="0"/>
          <w:marTop w:val="0"/>
          <w:marBottom w:val="0"/>
          <w:divBdr>
            <w:top w:val="none" w:sz="0" w:space="0" w:color="auto"/>
            <w:left w:val="none" w:sz="0" w:space="0" w:color="auto"/>
            <w:bottom w:val="none" w:sz="0" w:space="0" w:color="auto"/>
            <w:right w:val="none" w:sz="0" w:space="0" w:color="auto"/>
          </w:divBdr>
          <w:divsChild>
            <w:div w:id="83684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t.2021.592624" TargetMode="External"/><Relationship Id="rId13" Type="http://schemas.openxmlformats.org/officeDocument/2006/relationships/hyperlink" Target="https://www.nhsrho.org/wp-content/uploads/2023/05/RHO-Rapid-Review-Final-Report_.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org.uk/news-campaigns/campaigns/children-and-young-peoples-mental-health/care-before-crisis-our-report-on-young-peoples-mental-healt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al.gov.uk/publications/children-and-young-peoples-mental-health-independent-review-policy-success-and" TargetMode="External"/><Relationship Id="rId5" Type="http://schemas.openxmlformats.org/officeDocument/2006/relationships/footnotes" Target="footnotes.xml"/><Relationship Id="rId15" Type="http://schemas.openxmlformats.org/officeDocument/2006/relationships/hyperlink" Target="https://www.youngminds.org.uk/about-us/media-centre/press-releases/yearly-referrals-to-young-people-s-mental-health-services-have-risen-by-53-since-2019/" TargetMode="External"/><Relationship Id="rId10" Type="http://schemas.openxmlformats.org/officeDocument/2006/relationships/hyperlink" Target="https://doi.org/10.1136/jech-2020-214315" TargetMode="External"/><Relationship Id="rId4" Type="http://schemas.openxmlformats.org/officeDocument/2006/relationships/webSettings" Target="webSettings.xml"/><Relationship Id="rId9" Type="http://schemas.openxmlformats.org/officeDocument/2006/relationships/hyperlink" Target="https://doi.org/10.1177/13591045231201195" TargetMode="External"/><Relationship Id="rId14" Type="http://schemas.openxmlformats.org/officeDocument/2006/relationships/hyperlink" Target="https://doi.org/10.1016/j.mhp.2026.2004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4481</Words>
  <Characters>29891</Characters>
  <Application>Microsoft Office Word</Application>
  <DocSecurity>0</DocSecurity>
  <Lines>766</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Esmael Kisomose (2336882)</dc:creator>
  <dc:description/>
  <cp:lastModifiedBy>Esmael Kisomose (2336882)</cp:lastModifiedBy>
  <cp:revision>2</cp:revision>
  <dcterms:created xsi:type="dcterms:W3CDTF">2026-04-16T14:45:00Z</dcterms:created>
  <dcterms:modified xsi:type="dcterms:W3CDTF">2026-04-16T14:45:00Z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1b108cf1-7461-4229-991b-35f1e39a7f06</vt:lpwstr>
  </property>
</Properties>
</file>