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purl.oclc.org/ooxml/officeDocument/relationships/officeDocument" Target="word/document.xml"/><Relationship Id="rId4" Type="http://purl.oclc.org/ooxml/officeDocument/relationships/extendedProperties" Target="docProps/app.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1BC6E45" w14:textId="7F2B0D84" w:rsidR="009303D9" w:rsidRPr="00335B46" w:rsidRDefault="005C030A" w:rsidP="008B6524">
      <w:pPr>
        <w:pStyle w:val="papertitle"/>
        <w:spacing w:before="5pt" w:beforeAutospacing="1" w:after="5pt" w:afterAutospacing="1"/>
        <w:rPr>
          <w:noProof w:val="0"/>
          <w:kern w:val="48"/>
          <w:lang w:val="en-GB"/>
        </w:rPr>
      </w:pPr>
      <w:r>
        <w:rPr>
          <w:noProof w:val="0"/>
          <w:kern w:val="48"/>
          <w:lang w:val="en-GB"/>
        </w:rPr>
        <w:t xml:space="preserve">Task 1: </w:t>
      </w:r>
      <w:r w:rsidR="00D706E0">
        <w:rPr>
          <w:noProof w:val="0"/>
          <w:kern w:val="48"/>
          <w:lang w:val="en-GB"/>
        </w:rPr>
        <w:t>Securing</w:t>
      </w:r>
      <w:r w:rsidR="00E276BE">
        <w:rPr>
          <w:noProof w:val="0"/>
          <w:kern w:val="48"/>
          <w:lang w:val="en-GB"/>
        </w:rPr>
        <w:t xml:space="preserve"> the Modern Enterprise: From Zero Trust to AI Governance</w:t>
      </w:r>
    </w:p>
    <w:p w14:paraId="7976DEF6" w14:textId="79DA711E" w:rsidR="007E37CA" w:rsidRPr="00335B46" w:rsidRDefault="00593B0B" w:rsidP="007E37CA">
      <w:pPr>
        <w:pStyle w:val="Author"/>
        <w:spacing w:before="5pt" w:beforeAutospacing="1" w:after="5pt" w:afterAutospacing="1"/>
        <w:rPr>
          <w:noProof w:val="0"/>
          <w:sz w:val="16"/>
          <w:szCs w:val="16"/>
          <w:lang w:val="en-GB"/>
        </w:rPr>
      </w:pPr>
      <w:r>
        <w:rPr>
          <w:noProof w:val="0"/>
          <w:sz w:val="16"/>
          <w:szCs w:val="16"/>
          <w:lang w:val="en-GB"/>
        </w:rPr>
        <w:t>Securing Cloud and Hybrid Environments: Strategies for mitigating risks in AWS, Azure, or GCP, including Cloud Security P</w:t>
      </w:r>
      <w:r w:rsidR="00F41D8D">
        <w:rPr>
          <w:noProof w:val="0"/>
          <w:sz w:val="16"/>
          <w:szCs w:val="16"/>
          <w:lang w:val="en-GB"/>
        </w:rPr>
        <w:t>osture Management (CSPM)</w:t>
      </w:r>
    </w:p>
    <w:p w14:paraId="20C779BD" w14:textId="77777777" w:rsidR="00D7522C" w:rsidRPr="00335B46" w:rsidRDefault="00D7522C" w:rsidP="003B4E04">
      <w:pPr>
        <w:pStyle w:val="Author"/>
        <w:spacing w:before="5pt" w:beforeAutospacing="1" w:after="5pt" w:afterAutospacing="1" w:line="6pt" w:lineRule="auto"/>
        <w:rPr>
          <w:noProof w:val="0"/>
          <w:sz w:val="16"/>
          <w:szCs w:val="16"/>
          <w:lang w:val="en-GB"/>
        </w:rPr>
      </w:pPr>
    </w:p>
    <w:p w14:paraId="1F960E65" w14:textId="77777777" w:rsidR="00D7522C" w:rsidRPr="00335B46" w:rsidRDefault="00D7522C" w:rsidP="00CA4392">
      <w:pPr>
        <w:pStyle w:val="Author"/>
        <w:spacing w:before="5pt" w:beforeAutospacing="1" w:after="5pt" w:afterAutospacing="1" w:line="6pt" w:lineRule="auto"/>
        <w:rPr>
          <w:noProof w:val="0"/>
          <w:sz w:val="16"/>
          <w:szCs w:val="16"/>
          <w:lang w:val="en-GB"/>
        </w:rPr>
        <w:sectPr w:rsidR="00D7522C" w:rsidRPr="00335B46" w:rsidSect="003B4E04">
          <w:footerReference w:type="first" r:id="rId8"/>
          <w:pgSz w:w="595.30pt" w:h="841.90pt" w:code="9"/>
          <w:pgMar w:top="27pt" w:right="44.65pt" w:bottom="72pt" w:left="44.65pt" w:header="36pt" w:footer="36pt" w:gutter="0pt"/>
          <w:cols w:space="36pt"/>
          <w:titlePg/>
          <w:docGrid w:linePitch="360"/>
        </w:sectPr>
      </w:pPr>
    </w:p>
    <w:p w14:paraId="0A88E65D" w14:textId="0137F093" w:rsidR="009303D9" w:rsidRPr="009047C1" w:rsidRDefault="00D11CED" w:rsidP="009047C1">
      <w:pPr>
        <w:pStyle w:val="Author"/>
        <w:spacing w:before="5pt" w:beforeAutospacing="1"/>
        <w:rPr>
          <w:i/>
          <w:iCs/>
          <w:noProof w:val="0"/>
          <w:sz w:val="18"/>
          <w:szCs w:val="18"/>
          <w:lang w:val="en-GB"/>
        </w:rPr>
        <w:sectPr w:rsidR="009303D9" w:rsidRPr="009047C1" w:rsidSect="00642654">
          <w:type w:val="continuous"/>
          <w:pgSz w:w="595.30pt" w:h="841.90pt" w:code="9"/>
          <w:pgMar w:top="22.50pt" w:right="44.65pt" w:bottom="72pt" w:left="44.65pt" w:header="36pt" w:footer="36pt" w:gutter="0pt"/>
          <w:cols w:space="36pt"/>
          <w:docGrid w:linePitch="360"/>
        </w:sectPr>
      </w:pPr>
      <w:r w:rsidRPr="00335B46">
        <w:rPr>
          <w:noProof w:val="0"/>
          <w:sz w:val="18"/>
          <w:szCs w:val="18"/>
          <w:lang w:val="en-GB"/>
        </w:rPr>
        <w:t>Carlos Augusto Yánez Báez</w:t>
      </w:r>
      <w:r w:rsidR="001A3B3D" w:rsidRPr="00335B46">
        <w:rPr>
          <w:noProof w:val="0"/>
          <w:sz w:val="18"/>
          <w:szCs w:val="18"/>
          <w:lang w:val="en-GB"/>
        </w:rPr>
        <w:br/>
      </w:r>
      <w:r w:rsidR="000028A6" w:rsidRPr="00335B46">
        <w:rPr>
          <w:i/>
          <w:iCs/>
          <w:noProof w:val="0"/>
          <w:sz w:val="18"/>
          <w:szCs w:val="18"/>
          <w:lang w:val="en-GB"/>
        </w:rPr>
        <w:t>BSc: Computing (Computer Networks &amp; Cybersecurity)</w:t>
      </w:r>
      <w:r w:rsidR="00BC18A8">
        <w:rPr>
          <w:i/>
          <w:iCs/>
          <w:noProof w:val="0"/>
          <w:sz w:val="18"/>
          <w:szCs w:val="18"/>
          <w:lang w:val="en-GB"/>
        </w:rPr>
        <w:t xml:space="preserve"> – Data Security and Compliance (ACCA5034)</w:t>
      </w:r>
      <w:r w:rsidR="00D72D06" w:rsidRPr="00335B46">
        <w:rPr>
          <w:noProof w:val="0"/>
          <w:sz w:val="18"/>
          <w:szCs w:val="18"/>
          <w:lang w:val="en-GB"/>
        </w:rPr>
        <w:br/>
      </w:r>
      <w:r w:rsidR="00C8016A" w:rsidRPr="00335B46">
        <w:rPr>
          <w:i/>
          <w:noProof w:val="0"/>
          <w:sz w:val="18"/>
          <w:szCs w:val="18"/>
          <w:lang w:val="en-GB"/>
        </w:rPr>
        <w:t>University of Wales Trinity Saint David</w:t>
      </w:r>
      <w:r w:rsidR="009303D9" w:rsidRPr="00335B46">
        <w:rPr>
          <w:i/>
          <w:noProof w:val="0"/>
          <w:sz w:val="18"/>
          <w:szCs w:val="18"/>
          <w:lang w:val="en-GB"/>
        </w:rPr>
        <w:t xml:space="preserve"> </w:t>
      </w:r>
      <w:r w:rsidR="007B6DDA" w:rsidRPr="00335B46">
        <w:rPr>
          <w:i/>
          <w:noProof w:val="0"/>
          <w:sz w:val="18"/>
          <w:szCs w:val="18"/>
          <w:lang w:val="en-GB"/>
        </w:rPr>
        <w:br/>
      </w:r>
      <w:r w:rsidR="00BB3116" w:rsidRPr="00335B46">
        <w:rPr>
          <w:noProof w:val="0"/>
          <w:sz w:val="18"/>
          <w:szCs w:val="18"/>
          <w:lang w:val="en-GB"/>
        </w:rPr>
        <w:t>Swansea, Wales</w:t>
      </w:r>
      <w:r w:rsidR="001A3B3D" w:rsidRPr="00335B46">
        <w:rPr>
          <w:noProof w:val="0"/>
          <w:sz w:val="18"/>
          <w:szCs w:val="18"/>
          <w:lang w:val="en-GB"/>
        </w:rPr>
        <w:br/>
      </w:r>
      <w:hyperlink r:id="rId9" w:history="1">
        <w:r w:rsidR="003F36D4" w:rsidRPr="00335B46">
          <w:rPr>
            <w:rStyle w:val="Hyperlink"/>
            <w:noProof w:val="0"/>
            <w:sz w:val="18"/>
            <w:szCs w:val="18"/>
            <w:lang w:val="en-GB"/>
          </w:rPr>
          <w:t>2413875@student.uwtsd.ac.uk</w:t>
        </w:r>
      </w:hyperlink>
    </w:p>
    <w:p w14:paraId="3AFDC1EB" w14:textId="77777777" w:rsidR="00642654" w:rsidRPr="00335B46" w:rsidRDefault="00642654" w:rsidP="00972203">
      <w:pPr>
        <w:pStyle w:val="Abstract"/>
        <w:rPr>
          <w:i/>
          <w:iCs/>
          <w:lang w:val="en-GB"/>
        </w:rPr>
        <w:sectPr w:rsidR="00642654" w:rsidRPr="00335B46" w:rsidSect="003B4E04">
          <w:type w:val="continuous"/>
          <w:pgSz w:w="595.30pt" w:h="841.90pt" w:code="9"/>
          <w:pgMar w:top="54pt" w:right="45.35pt" w:bottom="72pt" w:left="45.35pt" w:header="36pt" w:footer="36pt" w:gutter="0pt"/>
          <w:cols w:num="2" w:space="18pt"/>
          <w:docGrid w:linePitch="360"/>
        </w:sectPr>
      </w:pPr>
    </w:p>
    <w:p w14:paraId="40FA2D84" w14:textId="22F8FD33" w:rsidR="004D72B5" w:rsidRPr="00335B46" w:rsidRDefault="009303D9" w:rsidP="00972203">
      <w:pPr>
        <w:pStyle w:val="Abstract"/>
        <w:rPr>
          <w:i/>
          <w:iCs/>
          <w:lang w:val="en-GB"/>
        </w:rPr>
      </w:pPr>
      <w:r w:rsidRPr="00335B46">
        <w:rPr>
          <w:i/>
          <w:iCs/>
          <w:lang w:val="en-GB"/>
        </w:rPr>
        <w:t>Abstract</w:t>
      </w:r>
      <w:r w:rsidRPr="00335B46">
        <w:rPr>
          <w:lang w:val="en-GB"/>
        </w:rPr>
        <w:t>—</w:t>
      </w:r>
      <w:r w:rsidR="006266CE" w:rsidRPr="00335B46">
        <w:rPr>
          <w:lang w:val="en-GB"/>
        </w:rPr>
        <w:t>Enterprise migration to public and hybrid cloud infrastructure has dissolved the traditional network perimeter, but it has not dissolved the human and procedural</w:t>
      </w:r>
      <w:r w:rsidR="0005091B" w:rsidRPr="00335B46">
        <w:rPr>
          <w:lang w:val="en-GB"/>
        </w:rPr>
        <w:t xml:space="preserve"> failures that cause most security incidents. This paper critically examines the contemporary risk profile of Amazon Web Services,</w:t>
      </w:r>
      <w:r w:rsidR="007E5ADA" w:rsidRPr="00335B46">
        <w:rPr>
          <w:lang w:val="en-GB"/>
        </w:rPr>
        <w:t xml:space="preserve"> Microsoft Azure and Google Cloud Platform deployments and evaluates Cloud Security Posture Management (CSPM) as the principal</w:t>
      </w:r>
      <w:r w:rsidR="00C83AC0" w:rsidRPr="00335B46">
        <w:rPr>
          <w:lang w:val="en-GB"/>
        </w:rPr>
        <w:t xml:space="preserve"> control for mitigating configuration and entitlement risk. Drawing on peer-reviewed literature</w:t>
      </w:r>
      <w:r w:rsidR="00CF4A2E" w:rsidRPr="00335B46">
        <w:rPr>
          <w:lang w:val="en-GB"/>
        </w:rPr>
        <w:t>, current telemetry from Google Cloud, Verizon, IBM, Tenable and the Cloud Security Alliance, and four documented breach cases, the analysis argues that misconfiguration and identity weakness are not separate problems but a single governance failure</w:t>
      </w:r>
      <w:r w:rsidR="00AF6C78" w:rsidRPr="00335B46">
        <w:rPr>
          <w:lang w:val="en-GB"/>
        </w:rPr>
        <w:t xml:space="preserve"> expressed through different technical surfaces. A comparative assessment of native posture tooling across the three hyperscale providers is presented, alongside an evaluation</w:t>
      </w:r>
      <w:r w:rsidR="00D765C0" w:rsidRPr="00335B46">
        <w:rPr>
          <w:lang w:val="en-GB"/>
        </w:rPr>
        <w:t xml:space="preserve"> of the empirical limits of CSPM, including incomplete detection coverage, alert saturation and an inability to observe runtime behaviour. The paper</w:t>
      </w:r>
      <w:r w:rsidR="00B63D86">
        <w:rPr>
          <w:lang w:val="en-GB"/>
        </w:rPr>
        <w:t xml:space="preserve"> concludes that CSPM produces measurable risk reduction only when embedded within a preventive, policy-as-code operating model governed under a recognised framework such as NIST Cybersecurity Framework 2.0, and that posture management should be treated as a governance instrument rather than as a scanning product</w:t>
      </w:r>
      <w:r w:rsidR="00BD1F24" w:rsidRPr="00335B46">
        <w:rPr>
          <w:lang w:val="en-GB"/>
        </w:rPr>
        <w:t>.</w:t>
      </w:r>
    </w:p>
    <w:p w14:paraId="58B10678" w14:textId="719E751D" w:rsidR="009303D9" w:rsidRPr="00335B46" w:rsidRDefault="004D72B5" w:rsidP="00972203">
      <w:pPr>
        <w:pStyle w:val="Keywords"/>
        <w:rPr>
          <w:lang w:val="en-GB"/>
        </w:rPr>
      </w:pPr>
      <w:r w:rsidRPr="00335B46">
        <w:rPr>
          <w:lang w:val="en-GB"/>
        </w:rPr>
        <w:t>Keywords—</w:t>
      </w:r>
      <w:r w:rsidR="00B63D86">
        <w:rPr>
          <w:lang w:val="en-GB"/>
        </w:rPr>
        <w:t>cloud security</w:t>
      </w:r>
      <w:r w:rsidR="0081082B">
        <w:rPr>
          <w:lang w:val="en-GB"/>
        </w:rPr>
        <w:t>, misconfiguration, shared responsibility, multi-cloud, identity and access management, policy as code, regulatory compliance</w:t>
      </w:r>
      <w:r w:rsidR="00C275A8" w:rsidRPr="00335B46">
        <w:rPr>
          <w:lang w:val="en-GB"/>
        </w:rPr>
        <w:t xml:space="preserve">, </w:t>
      </w:r>
      <w:r w:rsidR="00A7530A">
        <w:rPr>
          <w:lang w:val="en-GB"/>
        </w:rPr>
        <w:t>c</w:t>
      </w:r>
      <w:r w:rsidR="00C275A8" w:rsidRPr="00335B46">
        <w:rPr>
          <w:lang w:val="en-GB"/>
        </w:rPr>
        <w:t xml:space="preserve">loud </w:t>
      </w:r>
      <w:r w:rsidR="00A7530A">
        <w:rPr>
          <w:lang w:val="en-GB"/>
        </w:rPr>
        <w:t>i</w:t>
      </w:r>
      <w:r w:rsidR="00C275A8" w:rsidRPr="00335B46">
        <w:rPr>
          <w:lang w:val="en-GB"/>
        </w:rPr>
        <w:t>nfrastructure</w:t>
      </w:r>
    </w:p>
    <w:p w14:paraId="1A521F3C" w14:textId="10E4EF95" w:rsidR="009303D9" w:rsidRPr="00335B46" w:rsidRDefault="009303D9" w:rsidP="006B6B66">
      <w:pPr>
        <w:pStyle w:val="Heading1"/>
        <w:rPr>
          <w:noProof w:val="0"/>
        </w:rPr>
      </w:pPr>
      <w:r w:rsidRPr="00335B46">
        <w:rPr>
          <w:noProof w:val="0"/>
        </w:rPr>
        <w:t>Introduction</w:t>
      </w:r>
    </w:p>
    <w:p w14:paraId="5B84FB04" w14:textId="31B90A5A" w:rsidR="009303D9" w:rsidRDefault="00A2562B" w:rsidP="00E7596C">
      <w:pPr>
        <w:pStyle w:val="BodyText"/>
        <w:rPr>
          <w:lang w:val="en-GB"/>
        </w:rPr>
      </w:pPr>
      <w:r>
        <w:rPr>
          <w:lang w:val="en-GB"/>
        </w:rPr>
        <w:t xml:space="preserve">The migration of enterprise workloads to public and hybrid cloud infrastructure is now effectively complete across most sectors, yet the security assumptions that accompanied it have not matured at the same rate. Cloud platforms expose an abstracted, application programming interface (API) driven control plane in which a single policy statement can publish a data store to the entire internet, and in which infrastructure is created and destroyed far faster than any manual review cycle can track </w:t>
      </w:r>
      <w:sdt>
        <w:sdtPr>
          <w:rPr>
            <w:color w:val="000000"/>
            <w:highlight w:val="white"/>
            <w:lang w:val="en-GB"/>
          </w:rPr>
          <w:alias w:val="Citation"/>
          <w:tag w:val="{&quot;referencesIds&quot;:[&quot;doc:6a635148f9bb4c25fd2b0e13&quot;],&quot;referencesOptions&quot;:{&quot;doc:6a635148f9bb4c25fd2b0e1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7150452,&quot;citationText&quot;:&quot;&lt;span style=\&quot;font-family:Times New Roman;font-size:13.333333333333332px;color:#000000\&quot;&gt;[1]&lt;/span&gt;&quot;}"/>
          <w:id w:val="-1087150452"/>
          <w:placeholder>
            <w:docPart w:val="3CB786C035294D44A44B722FF3B2772A"/>
          </w:placeholder>
        </w:sdtPr>
        <w:sdtContent>
          <w:r w:rsidR="00D23AF0">
            <w:rPr>
              <w:rFonts w:eastAsia="Times New Roman"/>
              <w:color w:val="000000"/>
            </w:rPr>
            <w:t>[1]</w:t>
          </w:r>
        </w:sdtContent>
      </w:sdt>
      <w:r w:rsidR="007872DA" w:rsidRPr="00335B46">
        <w:rPr>
          <w:lang w:val="en-GB"/>
        </w:rPr>
        <w:t>.</w:t>
      </w:r>
      <w:r w:rsidR="007D223B">
        <w:rPr>
          <w:lang w:val="en-GB"/>
        </w:rPr>
        <w:t xml:space="preserve"> The resulting risk profile is dominated not by exotic</w:t>
      </w:r>
      <w:r w:rsidR="002252A0">
        <w:rPr>
          <w:lang w:val="en-GB"/>
        </w:rPr>
        <w:t xml:space="preserve"> exploitation of provider technology but by the accumulated configuration and entitlement decisions of the customer. </w:t>
      </w:r>
      <w:r w:rsidR="00D72316">
        <w:rPr>
          <w:lang w:val="en-GB"/>
        </w:rPr>
        <w:t xml:space="preserve">Gartner’s widely cited assessment that nearly all successful attacks on cloud services result from customer misconfiguration, mismanagement and mistakes rather than from provider failure </w:t>
      </w:r>
      <w:r w:rsidR="00B55168">
        <w:rPr>
          <w:lang w:val="en-GB"/>
        </w:rPr>
        <w:t>has been substantially borne out by subsequent telemetry</w:t>
      </w:r>
      <w:r w:rsidR="00EC261E">
        <w:rPr>
          <w:lang w:val="en-GB"/>
        </w:rPr>
        <w:t xml:space="preserve"> </w:t>
      </w:r>
      <w:sdt>
        <w:sdtPr>
          <w:rPr>
            <w:color w:val="000000"/>
            <w:highlight w:val="white"/>
            <w:lang w:val="en-GB"/>
          </w:rPr>
          <w:alias w:val="Citation"/>
          <w:tag w:val="{&quot;referencesIds&quot;:[&quot;doc:6a63bd0bd2e2292ff29395e7&quot;],&quot;referencesOptions&quot;:{&quot;doc:6a63bd0bd2e2292ff2939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7599199"/>
          <w:placeholder>
            <w:docPart w:val="4870E7B8312E4B52840AA9E5FBF6ED19"/>
          </w:placeholder>
        </w:sdtPr>
        <w:sdtContent>
          <w:r w:rsidR="00D23AF0">
            <w:rPr>
              <w:rFonts w:eastAsia="Times New Roman"/>
              <w:color w:val="000000"/>
            </w:rPr>
            <w:t>[2]</w:t>
          </w:r>
        </w:sdtContent>
      </w:sdt>
      <w:r w:rsidR="001B3149">
        <w:rPr>
          <w:lang w:val="en-GB"/>
        </w:rPr>
        <w:t>.</w:t>
      </w:r>
    </w:p>
    <w:p w14:paraId="5B849582" w14:textId="0C4FC516" w:rsidR="008E550D" w:rsidRDefault="001D6CA1" w:rsidP="00E7596C">
      <w:pPr>
        <w:pStyle w:val="BodyText"/>
        <w:rPr>
          <w:lang w:val="en-GB"/>
        </w:rPr>
      </w:pPr>
      <w:r>
        <w:rPr>
          <w:lang w:val="en-GB"/>
        </w:rPr>
        <w:t xml:space="preserve">This paper investigates how organisations operating across Amazon Web Services (AWS), Microsoft Azure and Google Cloud Platform (GCP) can mitigate that </w:t>
      </w:r>
      <w:r w:rsidR="007F3769">
        <w:rPr>
          <w:lang w:val="en-GB"/>
        </w:rPr>
        <w:t>risk and</w:t>
      </w:r>
      <w:r>
        <w:rPr>
          <w:lang w:val="en-GB"/>
        </w:rPr>
        <w:t xml:space="preserve"> evaluates Cloud Security Posture Management (CSPM)</w:t>
      </w:r>
      <w:r w:rsidR="00EE7B12">
        <w:rPr>
          <w:lang w:val="en-GB"/>
        </w:rPr>
        <w:t xml:space="preserve"> as the principal technical and governance control available to them. </w:t>
      </w:r>
      <w:r w:rsidR="00EE7B12">
        <w:rPr>
          <w:lang w:val="en-GB"/>
        </w:rPr>
        <w:t xml:space="preserve">Three questions frame the analysis. First, what does recent </w:t>
      </w:r>
      <w:r w:rsidR="002E1BC6">
        <w:rPr>
          <w:lang w:val="en-GB"/>
        </w:rPr>
        <w:t>empirical evidence indicate about the dominant causes of cloud compromise? Second, what does CSPM actually do, and how does its native implementation differ between the three hyperscale providers</w:t>
      </w:r>
      <w:r w:rsidR="00EA2BD3">
        <w:rPr>
          <w:lang w:val="en-GB"/>
        </w:rPr>
        <w:t xml:space="preserve">? Third, and most consequentially for </w:t>
      </w:r>
      <w:r w:rsidR="007C0958">
        <w:rPr>
          <w:lang w:val="en-GB"/>
        </w:rPr>
        <w:t>practitioners</w:t>
      </w:r>
      <w:r w:rsidR="00EA2BD3">
        <w:rPr>
          <w:lang w:val="en-GB"/>
        </w:rPr>
        <w:t>, where does CSPM fail, and what must surround it for the control to be effective?</w:t>
      </w:r>
    </w:p>
    <w:p w14:paraId="23CBC572" w14:textId="4F091C53" w:rsidR="007C0958" w:rsidRPr="00335B46" w:rsidRDefault="007C0958" w:rsidP="00E7596C">
      <w:pPr>
        <w:pStyle w:val="BodyText"/>
        <w:rPr>
          <w:lang w:val="en-GB"/>
        </w:rPr>
      </w:pPr>
      <w:r>
        <w:rPr>
          <w:lang w:val="en-GB"/>
        </w:rPr>
        <w:t>The argument advanced here is that misconfiguration and identity weakness should not be treated as two d</w:t>
      </w:r>
      <w:r w:rsidR="002814C8">
        <w:rPr>
          <w:lang w:val="en-GB"/>
        </w:rPr>
        <w:t>istinct problems. Both are surface expressions of a single underlying governance deficit: the absence of an authoritative</w:t>
      </w:r>
      <w:r w:rsidR="002D7F48">
        <w:rPr>
          <w:lang w:val="en-GB"/>
        </w:rPr>
        <w:t xml:space="preserve">, continuously evaluated definition of what a correct cloud configuration is. CSPM is valuable to the extent that it supplies and enforces that </w:t>
      </w:r>
      <w:r w:rsidR="002F2FDF">
        <w:rPr>
          <w:lang w:val="en-GB"/>
        </w:rPr>
        <w:t>definition and</w:t>
      </w:r>
      <w:r w:rsidR="002D7F48">
        <w:rPr>
          <w:lang w:val="en-GB"/>
        </w:rPr>
        <w:t xml:space="preserve"> is of mar</w:t>
      </w:r>
      <w:r w:rsidR="007C2BA2">
        <w:rPr>
          <w:lang w:val="en-GB"/>
        </w:rPr>
        <w:t>kedly limited value when deployed as a detection tool bolted onto an otherwise ungoverned estate.</w:t>
      </w:r>
    </w:p>
    <w:p w14:paraId="4B4074AB" w14:textId="0C6CF97D" w:rsidR="003446B0" w:rsidRPr="003446B0" w:rsidRDefault="00245468" w:rsidP="003446B0">
      <w:pPr>
        <w:pStyle w:val="Heading1"/>
        <w:rPr>
          <w:noProof w:val="0"/>
        </w:rPr>
      </w:pPr>
      <w:r>
        <w:rPr>
          <w:noProof w:val="0"/>
        </w:rPr>
        <w:t>The Contemporary Cloud Threat Landscape</w:t>
      </w:r>
    </w:p>
    <w:p w14:paraId="1F042E1A" w14:textId="13BF6C6C" w:rsidR="003446B0" w:rsidRDefault="003446B0" w:rsidP="003446B0">
      <w:pPr>
        <w:pStyle w:val="Heading2"/>
      </w:pPr>
      <w:r>
        <w:t>Misconfiguration as the dominant initial-access vector</w:t>
      </w:r>
    </w:p>
    <w:p w14:paraId="52C6930E" w14:textId="69499565" w:rsidR="00682ACF" w:rsidRDefault="007873E5" w:rsidP="00CF7554">
      <w:pPr>
        <w:pStyle w:val="BodyText"/>
        <w:rPr>
          <w:lang w:val="en-GB"/>
        </w:rPr>
      </w:pPr>
      <w:r>
        <w:rPr>
          <w:lang w:val="en-GB"/>
        </w:rPr>
        <w:t>Evidence from methodologically independent sources converges on misconfiguration and credential weakness as the two leading causes of cloud compromise. Google Cloud’s Threat Horizons</w:t>
      </w:r>
      <w:r w:rsidR="00F35BBC">
        <w:rPr>
          <w:lang w:val="en-GB"/>
        </w:rPr>
        <w:t xml:space="preserve"> telemetry for the second half of 2025 attributes 47.1 per cent of observed cloud intrusions to weak or absent credential and a further 29.4 per cent to misconfiguration, with API or interface compromise accounting for 11.8 per cent </w:t>
      </w:r>
      <w:sdt>
        <w:sdtPr>
          <w:rPr>
            <w:color w:val="000000"/>
            <w:highlight w:val="white"/>
            <w:lang w:val="en-GB"/>
          </w:rPr>
          <w:alias w:val="Citation"/>
          <w:tag w:val="{&quot;referencesIds&quot;:[&quot;doc:6a6608328ae2f118ec1a3cd0&quot;],&quot;referencesOptions&quot;:{&quot;doc:6a6608328ae2f118ec1a3c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7961440"/>
          <w:placeholder>
            <w:docPart w:val="3DF50090D95D4D94BE3044E6D7FCD0CD"/>
          </w:placeholder>
        </w:sdtPr>
        <w:sdtContent>
          <w:r w:rsidR="00D23AF0">
            <w:rPr>
              <w:rFonts w:eastAsia="Times New Roman"/>
              <w:color w:val="000000"/>
            </w:rPr>
            <w:t>[3]</w:t>
          </w:r>
        </w:sdtContent>
      </w:sdt>
      <w:r w:rsidR="00AC08F5" w:rsidRPr="00335B46">
        <w:rPr>
          <w:lang w:val="en-GB"/>
        </w:rPr>
        <w:t>.</w:t>
      </w:r>
      <w:r w:rsidR="00CF7554">
        <w:rPr>
          <w:lang w:val="en-GB"/>
        </w:rPr>
        <w:t xml:space="preserve"> The Cloud Security Alliance’s 2024 expert survey ranked misconfiguration and inadequate change control as the single greatest threat to cloud computing, displacing identity and access management, which fell to second position </w:t>
      </w:r>
      <w:sdt>
        <w:sdtPr>
          <w:rPr>
            <w:color w:val="000000"/>
            <w:highlight w:val="white"/>
            <w:lang w:val="en-GB"/>
          </w:rPr>
          <w:alias w:val="Citation"/>
          <w:tag w:val="{&quot;referencesIds&quot;:[&quot;doc:6a6610adb7030730d60236a1&quot;],&quot;referencesOptions&quot;:{&quot;doc:6a6610adb7030730d60236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0455062"/>
          <w:placeholder>
            <w:docPart w:val="6F5BF3D798B84E98B85114A8FEE3DFED"/>
          </w:placeholder>
        </w:sdtPr>
        <w:sdtContent>
          <w:r w:rsidR="00D23AF0">
            <w:rPr>
              <w:rFonts w:eastAsia="Times New Roman"/>
              <w:color w:val="000000"/>
            </w:rPr>
            <w:t>[4]</w:t>
          </w:r>
        </w:sdtContent>
      </w:sdt>
      <w:r w:rsidR="00CF7554">
        <w:rPr>
          <w:lang w:val="en-GB"/>
        </w:rPr>
        <w:t>.</w:t>
      </w:r>
      <w:r w:rsidR="00E36210">
        <w:rPr>
          <w:lang w:val="en-GB"/>
        </w:rPr>
        <w:t xml:space="preserve"> Practitioner surveys corroborate the ordering: 59 per cent of the cybersecurity professionals polled for the 2025 State of Cloud Security report identified misconfiguration as their foremost cloud risk </w:t>
      </w:r>
      <w:sdt>
        <w:sdtPr>
          <w:rPr>
            <w:color w:val="000000"/>
            <w:highlight w:val="white"/>
            <w:lang w:val="en-GB"/>
          </w:rPr>
          <w:alias w:val="Citation"/>
          <w:tag w:val="{&quot;referencesIds&quot;:[&quot;doc:6a66170cbc44602a2a77d0f4&quot;],&quot;referencesOptions&quot;:{&quot;doc:6a66170cbc44602a2a77d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9882007"/>
          <w:placeholder>
            <w:docPart w:val="15774CEEEB0C407185CFC7298CB6C4D1"/>
          </w:placeholder>
        </w:sdtPr>
        <w:sdtContent>
          <w:r w:rsidR="00D23AF0">
            <w:rPr>
              <w:rFonts w:eastAsia="Times New Roman"/>
              <w:color w:val="000000"/>
            </w:rPr>
            <w:t>[5]</w:t>
          </w:r>
        </w:sdtContent>
      </w:sdt>
      <w:r w:rsidR="00E36210">
        <w:rPr>
          <w:lang w:val="en-GB"/>
        </w:rPr>
        <w:t>.</w:t>
      </w:r>
      <w:r w:rsidR="00C957E5">
        <w:rPr>
          <w:lang w:val="en-GB"/>
        </w:rPr>
        <w:t xml:space="preserve"> Verizon’s 2025 Data Breach Investigations Report, drawing on 22,052 incidents and more than 12,000 confirmed breaches, found that exploitation of vulnerabilities, a category encompassing</w:t>
      </w:r>
      <w:r w:rsidR="0036082A">
        <w:rPr>
          <w:lang w:val="en-GB"/>
        </w:rPr>
        <w:t xml:space="preserve"> credential abuse,</w:t>
      </w:r>
      <w:r w:rsidR="00C957E5">
        <w:rPr>
          <w:lang w:val="en-GB"/>
        </w:rPr>
        <w:t xml:space="preserve"> featur</w:t>
      </w:r>
      <w:r w:rsidR="0036082A">
        <w:rPr>
          <w:lang w:val="en-GB"/>
        </w:rPr>
        <w:t xml:space="preserve">ing </w:t>
      </w:r>
      <w:r w:rsidR="00C957E5">
        <w:rPr>
          <w:lang w:val="en-GB"/>
        </w:rPr>
        <w:t xml:space="preserve">37 per cent </w:t>
      </w:r>
      <w:r w:rsidR="00AE0E2A">
        <w:rPr>
          <w:lang w:val="en-GB"/>
        </w:rPr>
        <w:t xml:space="preserve">increase </w:t>
      </w:r>
      <w:r w:rsidR="00C957E5">
        <w:rPr>
          <w:lang w:val="en-GB"/>
        </w:rPr>
        <w:t xml:space="preserve">of </w:t>
      </w:r>
      <w:r w:rsidR="00AE0E2A">
        <w:rPr>
          <w:lang w:val="en-GB"/>
        </w:rPr>
        <w:t xml:space="preserve">Ransomware </w:t>
      </w:r>
      <w:r w:rsidR="00C957E5">
        <w:rPr>
          <w:lang w:val="en-GB"/>
        </w:rPr>
        <w:t xml:space="preserve">breaches, </w:t>
      </w:r>
      <w:r w:rsidR="007239A2">
        <w:rPr>
          <w:lang w:val="en-GB"/>
        </w:rPr>
        <w:t xml:space="preserve">and </w:t>
      </w:r>
      <w:r w:rsidR="00C957E5">
        <w:rPr>
          <w:lang w:val="en-GB"/>
        </w:rPr>
        <w:t xml:space="preserve">a 34 per cent </w:t>
      </w:r>
      <w:r w:rsidR="00C9790C">
        <w:rPr>
          <w:lang w:val="en-GB"/>
        </w:rPr>
        <w:t>increase</w:t>
      </w:r>
      <w:r w:rsidR="00783E89">
        <w:rPr>
          <w:lang w:val="en-GB"/>
        </w:rPr>
        <w:t xml:space="preserve"> regarding credential abuse</w:t>
      </w:r>
      <w:r w:rsidR="00C9790C">
        <w:rPr>
          <w:lang w:val="en-GB"/>
        </w:rPr>
        <w:t xml:space="preserve"> </w:t>
      </w:r>
      <w:sdt>
        <w:sdtPr>
          <w:rPr>
            <w:color w:val="000000"/>
            <w:highlight w:val="white"/>
            <w:lang w:val="en-GB"/>
          </w:rPr>
          <w:alias w:val="Citation"/>
          <w:tag w:val="{&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4234398"/>
          <w:placeholder>
            <w:docPart w:val="8157C309C4F140BE8F0F008E41231535"/>
          </w:placeholder>
        </w:sdtPr>
        <w:sdtContent>
          <w:r w:rsidR="00D23AF0">
            <w:rPr>
              <w:rFonts w:eastAsia="Times New Roman"/>
              <w:color w:val="000000"/>
            </w:rPr>
            <w:t>[6]</w:t>
          </w:r>
        </w:sdtContent>
      </w:sdt>
      <w:r w:rsidR="00C9790C">
        <w:rPr>
          <w:lang w:val="en-GB"/>
        </w:rPr>
        <w:t>.</w:t>
      </w:r>
    </w:p>
    <w:p w14:paraId="5606C0CA" w14:textId="7812D031" w:rsidR="00C9790C" w:rsidRDefault="00280076" w:rsidP="00CF7554">
      <w:pPr>
        <w:pStyle w:val="BodyText"/>
        <w:rPr>
          <w:lang w:val="en-GB"/>
        </w:rPr>
      </w:pPr>
      <w:r>
        <w:rPr>
          <w:lang w:val="en-GB"/>
        </w:rPr>
        <w:t xml:space="preserve">Prevalence data are equally instructive. Tenable’s analysis of billions of cloud resources found that 38 per cent of organisations operated at least one workload that was simultaneously publicly exposed, critically vulnerable and highly privileged, a combination </w:t>
      </w:r>
      <w:r w:rsidR="005F5023">
        <w:rPr>
          <w:lang w:val="en-GB"/>
        </w:rPr>
        <w:t>described as the toxic cloud tri</w:t>
      </w:r>
      <w:r w:rsidR="00873E4D">
        <w:rPr>
          <w:lang w:val="en-GB"/>
        </w:rPr>
        <w:t>logy</w:t>
      </w:r>
      <w:r w:rsidR="005F5023">
        <w:rPr>
          <w:lang w:val="en-GB"/>
        </w:rPr>
        <w:t xml:space="preserve">, while 74 per cent held publicly exposed storage assets </w:t>
      </w:r>
      <w:sdt>
        <w:sdtPr>
          <w:rPr>
            <w:color w:val="000000"/>
            <w:highlight w:val="white"/>
            <w:lang w:val="en-GB"/>
          </w:rPr>
          <w:alias w:val="Citation"/>
          <w:tag w:val="{&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2463644"/>
          <w:placeholder>
            <w:docPart w:val="EC0F671A7EBC4CCC8294CDDAC4AC312E"/>
          </w:placeholder>
        </w:sdtPr>
        <w:sdtContent>
          <w:r w:rsidR="00D23AF0">
            <w:rPr>
              <w:rFonts w:eastAsia="Times New Roman"/>
              <w:color w:val="000000"/>
            </w:rPr>
            <w:t>[7]</w:t>
          </w:r>
        </w:sdtContent>
      </w:sdt>
      <w:r w:rsidR="005F5023">
        <w:rPr>
          <w:lang w:val="en-GB"/>
        </w:rPr>
        <w:t>.</w:t>
      </w:r>
      <w:r w:rsidR="00AB7ED6">
        <w:rPr>
          <w:lang w:val="en-GB"/>
        </w:rPr>
        <w:t xml:space="preserve"> Continella et al. demonstrated the same pattern empirically through large-scale scanning of Amazon Simple Storage Service, identi</w:t>
      </w:r>
      <w:r w:rsidR="004178E4">
        <w:rPr>
          <w:lang w:val="en-GB"/>
        </w:rPr>
        <w:t xml:space="preserve">fying writable buckets that served </w:t>
      </w:r>
      <w:r w:rsidR="004178E4">
        <w:rPr>
          <w:lang w:val="en-GB"/>
        </w:rPr>
        <w:lastRenderedPageBreak/>
        <w:t xml:space="preserve">executable content to production websites </w:t>
      </w:r>
      <w:sdt>
        <w:sdtPr>
          <w:rPr>
            <w:color w:val="000000"/>
            <w:highlight w:val="white"/>
            <w:lang w:val="en-GB"/>
          </w:rPr>
          <w:alias w:val="Citation"/>
          <w:tag w:val="{&quot;referencesIds&quot;:[&quot;doc:6a66186cb7030730d60237b3&quot;],&quot;referencesOptions&quot;:{&quot;doc:6a66186cb7030730d60237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3130386"/>
          <w:placeholder>
            <w:docPart w:val="2FF8D9579E7F42F6B0746E68135EE51A"/>
          </w:placeholder>
        </w:sdtPr>
        <w:sdtContent>
          <w:r w:rsidR="00D23AF0">
            <w:rPr>
              <w:rFonts w:eastAsia="Times New Roman"/>
              <w:color w:val="000000"/>
            </w:rPr>
            <w:t>[8]</w:t>
          </w:r>
        </w:sdtContent>
      </w:sdt>
      <w:r w:rsidR="004178E4">
        <w:rPr>
          <w:lang w:val="en-GB"/>
        </w:rPr>
        <w:t>.</w:t>
      </w:r>
      <w:r w:rsidR="00550466">
        <w:rPr>
          <w:lang w:val="en-GB"/>
        </w:rPr>
        <w:t xml:space="preserve"> The economic consequence is material: IBM reports that breaches spanning multiple environments cost an average of USD 5.05 million, against USD 4.01 million for wholly on-premises incidents</w:t>
      </w:r>
      <w:r w:rsidR="00850FDF">
        <w:rPr>
          <w:lang w:val="en-GB"/>
        </w:rPr>
        <w:t xml:space="preserve"> </w:t>
      </w:r>
      <w:sdt>
        <w:sdtPr>
          <w:rPr>
            <w:color w:val="000000"/>
            <w:highlight w:val="white"/>
            <w:lang w:val="en-GB"/>
          </w:rPr>
          <w:alias w:val="Citation"/>
          <w:tag w:val="{&quot;referencesIds&quot;:[&quot;doc:6a66199e846cf85db3cc2d3e&quot;],&quot;referencesOptions&quot;:{&quot;doc:6a66199e846cf85db3cc2d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5650447"/>
          <w:placeholder>
            <w:docPart w:val="7908B2FB637644FDACA203F07F1D0AC8"/>
          </w:placeholder>
        </w:sdtPr>
        <w:sdtContent>
          <w:r w:rsidR="00D23AF0">
            <w:rPr>
              <w:rFonts w:eastAsia="Times New Roman"/>
              <w:color w:val="000000"/>
            </w:rPr>
            <w:t>[9]</w:t>
          </w:r>
        </w:sdtContent>
      </w:sdt>
      <w:r w:rsidR="00850FDF">
        <w:rPr>
          <w:lang w:val="en-GB"/>
        </w:rPr>
        <w:t>.</w:t>
      </w:r>
    </w:p>
    <w:p w14:paraId="6A3BB89B" w14:textId="7E4F3AFF" w:rsidR="00850FDF" w:rsidRDefault="00850FDF" w:rsidP="00850FDF">
      <w:pPr>
        <w:pStyle w:val="Heading2"/>
      </w:pPr>
      <w:r>
        <w:t>Identity and the supply chain as a</w:t>
      </w:r>
      <w:r w:rsidR="00A40B9F">
        <w:t>m</w:t>
      </w:r>
      <w:r>
        <w:t>plifiers</w:t>
      </w:r>
    </w:p>
    <w:p w14:paraId="08D4BAC8" w14:textId="72134406" w:rsidR="00A40B9F" w:rsidRPr="00A40B9F" w:rsidRDefault="000F4CC4" w:rsidP="000F4CC4">
      <w:pPr>
        <w:pStyle w:val="BodyText"/>
      </w:pPr>
      <w:r w:rsidRPr="000F4CC4">
        <w:rPr>
          <w:lang w:val="en-GB"/>
        </w:rPr>
        <w:t>Two</w:t>
      </w:r>
      <w:r>
        <w:t xml:space="preserve"> </w:t>
      </w:r>
      <w:r w:rsidR="00B01FB9">
        <w:t xml:space="preserve">secondary trends amplify configuration risk. The first is the displacement of the network perimeter by identity: in cloud estates, an over-permissive role assumed by a compromised workload is functionally equivalent to unrestricted network access, a dynamic examined </w:t>
      </w:r>
      <w:r w:rsidR="00450CCD">
        <w:t>at length in the Capital One analysis discussed in Section VI.</w:t>
      </w:r>
      <w:r w:rsidR="00891042">
        <w:t xml:space="preserve"> The second is supply-chain exposure. Verizon recorded a doubling of third-party involvement in breaches, from 15 to 30 per cent </w:t>
      </w:r>
      <w:sdt>
        <w:sdtPr>
          <w:rPr>
            <w:color w:val="000000"/>
            <w:highlight w:val="white"/>
          </w:rPr>
          <w:alias w:val="Citation"/>
          <w:tag w:val="{&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8926470"/>
          <w:placeholder>
            <w:docPart w:val="BC91D3799CE84A2B9C7C1238253B1385"/>
          </w:placeholder>
        </w:sdtPr>
        <w:sdtContent>
          <w:r w:rsidR="00D23AF0">
            <w:rPr>
              <w:rFonts w:eastAsia="Times New Roman"/>
              <w:color w:val="000000"/>
            </w:rPr>
            <w:t>[6]</w:t>
          </w:r>
        </w:sdtContent>
      </w:sdt>
      <w:r w:rsidR="00891042">
        <w:t xml:space="preserve">, and the European Union Agency for Cybersecurity found compromise of digital services to be the second fastest-growing class of initial access after </w:t>
      </w:r>
      <w:r w:rsidR="00FD0CA3">
        <w:t xml:space="preserve">social engineering techniques </w:t>
      </w:r>
      <w:sdt>
        <w:sdtPr>
          <w:rPr>
            <w:color w:val="000000"/>
            <w:highlight w:val="white"/>
          </w:rPr>
          <w:alias w:val="Citation"/>
          <w:tag w:val="{&quot;referencesIds&quot;:[&quot;doc:6a661a4da799961e1e616349&quot;],&quot;referencesOptions&quot;:{&quot;doc:6a661a4da799961e1e616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0032591"/>
          <w:placeholder>
            <w:docPart w:val="74D89975B9864BE38507D1386E0F2E37"/>
          </w:placeholder>
        </w:sdtPr>
        <w:sdtContent>
          <w:r w:rsidR="00D23AF0">
            <w:rPr>
              <w:rFonts w:eastAsia="Times New Roman"/>
              <w:color w:val="000000"/>
            </w:rPr>
            <w:t>[10]</w:t>
          </w:r>
        </w:sdtContent>
      </w:sdt>
      <w:r w:rsidR="00891042">
        <w:t>.</w:t>
      </w:r>
      <w:r w:rsidR="00EC60C1">
        <w:t xml:space="preserve"> For organisations consuming managed services across several providers, the configuration boundary they must govern therefore extends well beyond their own tenancy.</w:t>
      </w:r>
    </w:p>
    <w:p w14:paraId="17F150FC" w14:textId="25DD7EFC" w:rsidR="009303D9" w:rsidRPr="00335B46" w:rsidRDefault="005451D8" w:rsidP="005451D8">
      <w:pPr>
        <w:pStyle w:val="Heading1"/>
      </w:pPr>
      <w:r>
        <w:t xml:space="preserve">The Shared </w:t>
      </w:r>
      <w:r w:rsidRPr="005451D8">
        <w:t>Responsibilities</w:t>
      </w:r>
      <w:r>
        <w:t xml:space="preserve"> Model and its Discontents</w:t>
      </w:r>
    </w:p>
    <w:p w14:paraId="4EBC5AF3" w14:textId="388398D5" w:rsidR="009303D9" w:rsidRDefault="00EF4919" w:rsidP="009107D1">
      <w:pPr>
        <w:pStyle w:val="BodyText"/>
        <w:rPr>
          <w:lang w:val="en-GB"/>
        </w:rPr>
      </w:pPr>
      <w:r>
        <w:rPr>
          <w:lang w:val="en-GB"/>
        </w:rPr>
        <w:t>All three hyperscale providers operate a shared responsibility model in which the provider secures the infrastructure of the cloud while the customer secures configuration in the cloud. The division is coherent in principle but shifts with the service model, and it is this variability that generates practical failure. Under infrastructure as a service the customer</w:t>
      </w:r>
      <w:r w:rsidR="00D43F11">
        <w:rPr>
          <w:lang w:val="en-GB"/>
        </w:rPr>
        <w:t xml:space="preserve"> retains</w:t>
      </w:r>
      <w:r w:rsidR="009F6FDD">
        <w:rPr>
          <w:lang w:val="en-GB"/>
        </w:rPr>
        <w:t xml:space="preserve"> responsibility for the operating system, network controls, encryption and identity policy; under platform and software services successive layers transfer to the provider, yet identity</w:t>
      </w:r>
      <w:r w:rsidR="00C0109F">
        <w:rPr>
          <w:lang w:val="en-GB"/>
        </w:rPr>
        <w:t>, entitlement and data classification always remain</w:t>
      </w:r>
      <w:r w:rsidR="00AB1773">
        <w:rPr>
          <w:lang w:val="en-GB"/>
        </w:rPr>
        <w:t xml:space="preserve"> with the customer. Systematic reviews of cloud security literature consistently identify this boundary ambiguity, rather than any single technical weakness, as a persistent source of unmitigated risk </w:t>
      </w:r>
      <w:sdt>
        <w:sdtPr>
          <w:rPr>
            <w:color w:val="000000"/>
            <w:highlight w:val="white"/>
            <w:lang w:val="en-GB"/>
          </w:rPr>
          <w:alias w:val="Citation"/>
          <w:tag w:val="{&quot;referencesIds&quot;:[&quot;doc:6a661a8ab7030730d60237da&quot;],&quot;referencesOptions&quot;:{&quot;doc:6a661a8ab7030730d6023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1394710"/>
          <w:placeholder>
            <w:docPart w:val="6365634FF3E04EB38956B5784B34A5E0"/>
          </w:placeholder>
        </w:sdtPr>
        <w:sdtContent>
          <w:r w:rsidR="00D23AF0">
            <w:rPr>
              <w:rFonts w:eastAsia="Times New Roman"/>
              <w:color w:val="000000"/>
            </w:rPr>
            <w:t>[11]</w:t>
          </w:r>
        </w:sdtContent>
      </w:sdt>
      <w:r w:rsidR="00AB1773">
        <w:rPr>
          <w:lang w:val="en-GB"/>
        </w:rPr>
        <w:t xml:space="preserve">, </w:t>
      </w:r>
      <w:sdt>
        <w:sdtPr>
          <w:rPr>
            <w:color w:val="000000"/>
            <w:highlight w:val="white"/>
            <w:lang w:val="en-GB"/>
          </w:rPr>
          <w:alias w:val="Citation"/>
          <w:tag w:val="{&quot;referencesIds&quot;:[&quot;doc:6a661b3ab973893f31f8d850&quot;],&quot;referencesOptions&quot;:{&quot;doc:6a661b3ab973893f31f8d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9440436"/>
          <w:placeholder>
            <w:docPart w:val="943D3A5A3E88407F9797C45A007DD83D"/>
          </w:placeholder>
        </w:sdtPr>
        <w:sdtContent>
          <w:r w:rsidR="00D23AF0">
            <w:rPr>
              <w:rFonts w:eastAsia="Times New Roman"/>
              <w:color w:val="000000"/>
            </w:rPr>
            <w:t>[12]</w:t>
          </w:r>
        </w:sdtContent>
      </w:sdt>
      <w:r w:rsidR="0069608A" w:rsidRPr="00335B46">
        <w:rPr>
          <w:lang w:val="en-GB"/>
        </w:rPr>
        <w:t>.</w:t>
      </w:r>
    </w:p>
    <w:p w14:paraId="0EE67CFA" w14:textId="47A6929F" w:rsidR="006A7923" w:rsidRDefault="00DD12BC" w:rsidP="009107D1">
      <w:pPr>
        <w:pStyle w:val="BodyText"/>
        <w:rPr>
          <w:lang w:val="en-GB"/>
        </w:rPr>
      </w:pPr>
      <w:r>
        <w:rPr>
          <w:lang w:val="en-GB"/>
        </w:rPr>
        <w:t xml:space="preserve">Three factors make the boundary difficult to govern. First, terminology and default behaviour differ between providers, so a control that is enabled by default in one platform must be </w:t>
      </w:r>
      <w:r w:rsidR="00AE14D0">
        <w:rPr>
          <w:lang w:val="en-GB"/>
        </w:rPr>
        <w:t>explicitly</w:t>
      </w:r>
      <w:r>
        <w:rPr>
          <w:lang w:val="en-GB"/>
        </w:rPr>
        <w:t xml:space="preserve"> configured in another.</w:t>
      </w:r>
      <w:r w:rsidR="008D0382">
        <w:rPr>
          <w:lang w:val="en-GB"/>
        </w:rPr>
        <w:t xml:space="preserve"> Second, hybrid architectures introduce a further seam: assets that traverse private data centres and public </w:t>
      </w:r>
      <w:r w:rsidR="00FE41FC">
        <w:rPr>
          <w:lang w:val="en-GB"/>
        </w:rPr>
        <w:t>tenancies</w:t>
      </w:r>
      <w:r w:rsidR="008D0382">
        <w:rPr>
          <w:lang w:val="en-GB"/>
        </w:rPr>
        <w:t xml:space="preserve"> are frequently covered by neither the provider’s</w:t>
      </w:r>
      <w:r w:rsidR="00DF0FCA">
        <w:rPr>
          <w:lang w:val="en-GB"/>
        </w:rPr>
        <w:t xml:space="preserve"> controls nor a coherent internal standard, a gap that Ali et al. identify as the dominant failure mode in hybrid deployments, with misconfigured APIs the leading</w:t>
      </w:r>
      <w:r w:rsidR="004F0C3A">
        <w:rPr>
          <w:lang w:val="en-GB"/>
        </w:rPr>
        <w:t xml:space="preserve"> contributor to data leakage in their sample</w:t>
      </w:r>
      <w:r w:rsidR="00CC4556">
        <w:rPr>
          <w:color w:val="000000"/>
          <w:lang w:val="en-GB"/>
        </w:rPr>
        <w:t xml:space="preserve"> </w:t>
      </w:r>
      <w:sdt>
        <w:sdtPr>
          <w:rPr>
            <w:color w:val="000000"/>
            <w:highlight w:val="white"/>
            <w:lang w:val="en-GB"/>
          </w:rPr>
          <w:alias w:val="Citation"/>
          <w:tag w:val="{&quot;referencesIds&quot;:[&quot;doc:6a635148f9bb4c25fd2b0e13&quot;],&quot;referencesOptions&quot;:{&quot;doc:6a635148f9bb4c25fd2b0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851652"/>
          <w:placeholder>
            <w:docPart w:val="151B32A4E1484998931FD0B015775C3C"/>
          </w:placeholder>
        </w:sdtPr>
        <w:sdtContent>
          <w:r w:rsidR="00D23AF0">
            <w:rPr>
              <w:rFonts w:eastAsia="Times New Roman"/>
              <w:color w:val="000000"/>
            </w:rPr>
            <w:t>[1]</w:t>
          </w:r>
        </w:sdtContent>
      </w:sdt>
      <w:r w:rsidR="004F0C3A">
        <w:rPr>
          <w:lang w:val="en-GB"/>
        </w:rPr>
        <w:t>. Third, access</w:t>
      </w:r>
      <w:r w:rsidR="004F1E8B">
        <w:rPr>
          <w:lang w:val="en-GB"/>
        </w:rPr>
        <w:t xml:space="preserve"> control semantics in cloud systems are considerably more expressive tha</w:t>
      </w:r>
      <w:r w:rsidR="00263C60">
        <w:rPr>
          <w:lang w:val="en-GB"/>
        </w:rPr>
        <w:t>n</w:t>
      </w:r>
      <w:r w:rsidR="004F1E8B">
        <w:rPr>
          <w:lang w:val="en-GB"/>
        </w:rPr>
        <w:t xml:space="preserve"> the role-based models most enterprises previously operated; NIST guidance notes that </w:t>
      </w:r>
      <w:r w:rsidR="0062268B">
        <w:rPr>
          <w:lang w:val="en-GB"/>
        </w:rPr>
        <w:t>cloud access control combines identity, attribute and policy-based mechanisms whose interaction is difficult</w:t>
      </w:r>
      <w:r w:rsidR="00B7623B">
        <w:rPr>
          <w:lang w:val="en-GB"/>
        </w:rPr>
        <w:t xml:space="preserve"> for administrators to reason about reliably </w:t>
      </w:r>
      <w:sdt>
        <w:sdtPr>
          <w:rPr>
            <w:color w:val="000000"/>
            <w:highlight w:val="white"/>
            <w:lang w:val="en-GB"/>
          </w:rPr>
          <w:alias w:val="Citation"/>
          <w:tag w:val="{&quot;referencesIds&quot;:[&quot;doc:6a661b90f4ea0903916f05a1&quot;],&quot;referencesOptions&quot;:{&quot;doc:6a661b90f4ea0903916f0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1329823"/>
          <w:placeholder>
            <w:docPart w:val="6F1C930EF720443DBEEB609B198C43C6"/>
          </w:placeholder>
        </w:sdtPr>
        <w:sdtContent>
          <w:r w:rsidR="00D23AF0">
            <w:rPr>
              <w:rFonts w:eastAsia="Times New Roman"/>
              <w:color w:val="000000"/>
            </w:rPr>
            <w:t>[13]</w:t>
          </w:r>
        </w:sdtContent>
      </w:sdt>
      <w:r w:rsidR="00B7623B">
        <w:rPr>
          <w:lang w:val="en-GB"/>
        </w:rPr>
        <w:t>.</w:t>
      </w:r>
    </w:p>
    <w:p w14:paraId="5CE4ABFC" w14:textId="560F13F8" w:rsidR="00BC64A4" w:rsidRPr="00335B46" w:rsidRDefault="00BC64A4" w:rsidP="009107D1">
      <w:pPr>
        <w:pStyle w:val="BodyText"/>
        <w:rPr>
          <w:lang w:val="en-GB"/>
        </w:rPr>
      </w:pPr>
      <w:r>
        <w:rPr>
          <w:lang w:val="en-GB"/>
        </w:rPr>
        <w:t>The shared responsibility model, in short, allocates accountability but supplies no mechanism for verifying that the customer has discharged it. That verification gap is the problem CSPM exist</w:t>
      </w:r>
      <w:r w:rsidR="00464D08">
        <w:rPr>
          <w:lang w:val="en-GB"/>
        </w:rPr>
        <w:t>s to close.</w:t>
      </w:r>
    </w:p>
    <w:p w14:paraId="5D2DD83B" w14:textId="5A29A014" w:rsidR="009303D9" w:rsidRPr="00335B46" w:rsidRDefault="00464D08" w:rsidP="006B6B66">
      <w:pPr>
        <w:pStyle w:val="Heading1"/>
        <w:rPr>
          <w:noProof w:val="0"/>
        </w:rPr>
      </w:pPr>
      <w:r>
        <w:rPr>
          <w:noProof w:val="0"/>
        </w:rPr>
        <w:t>Cloud</w:t>
      </w:r>
      <w:r w:rsidR="00A77B7C">
        <w:rPr>
          <w:noProof w:val="0"/>
        </w:rPr>
        <w:t xml:space="preserve"> Security Posture Management</w:t>
      </w:r>
    </w:p>
    <w:p w14:paraId="33799FB0" w14:textId="509CDD41" w:rsidR="00CC746E" w:rsidRDefault="0012759A" w:rsidP="00CC746E">
      <w:pPr>
        <w:pStyle w:val="Heading2"/>
      </w:pPr>
      <w:r>
        <w:t>Definition and architecture</w:t>
      </w:r>
    </w:p>
    <w:p w14:paraId="4AC68130" w14:textId="7D00D1A8" w:rsidR="006F6D3D" w:rsidRDefault="00BB5D61" w:rsidP="00B338C7">
      <w:pPr>
        <w:pStyle w:val="BodyText"/>
        <w:rPr>
          <w:lang w:val="en-GB"/>
        </w:rPr>
      </w:pPr>
      <w:r>
        <w:rPr>
          <w:lang w:val="en-GB"/>
        </w:rPr>
        <w:t>CSPM denotes a class of tooling that continuously</w:t>
      </w:r>
      <w:r w:rsidR="007B734C">
        <w:rPr>
          <w:lang w:val="en-GB"/>
        </w:rPr>
        <w:t xml:space="preserve"> and agentlessly</w:t>
      </w:r>
      <w:r>
        <w:rPr>
          <w:lang w:val="en-GB"/>
        </w:rPr>
        <w:t xml:space="preserve"> interrogates cloud control-plane APIs to </w:t>
      </w:r>
      <w:r w:rsidR="00300461">
        <w:rPr>
          <w:lang w:val="en-GB"/>
        </w:rPr>
        <w:t>construct</w:t>
      </w:r>
      <w:r>
        <w:rPr>
          <w:lang w:val="en-GB"/>
        </w:rPr>
        <w:t xml:space="preserve"> a norma</w:t>
      </w:r>
      <w:r w:rsidR="00852EE3">
        <w:rPr>
          <w:lang w:val="en-GB"/>
        </w:rPr>
        <w:t>lised inventory of assets, configurations and entitlements, evaluates that inventory against codified policy, and drives remediation or reporting form the result. Fig. 1</w:t>
      </w:r>
      <w:r w:rsidR="00565C1D">
        <w:rPr>
          <w:lang w:val="en-GB"/>
        </w:rPr>
        <w:t xml:space="preserve"> presents a reference architecture synthesising the capabilities described in the literature and in current commercial implementations. Four properties distinguish CSPM from conventional </w:t>
      </w:r>
      <w:r w:rsidR="009A237C">
        <w:rPr>
          <w:lang w:val="en-GB"/>
        </w:rPr>
        <w:t xml:space="preserve">vulnerability management. It is control-plane rather than host oriented, so it observes the </w:t>
      </w:r>
      <w:r w:rsidR="00300461">
        <w:rPr>
          <w:lang w:val="en-GB"/>
        </w:rPr>
        <w:t>declarative state</w:t>
      </w:r>
      <w:r w:rsidR="009A237C">
        <w:rPr>
          <w:lang w:val="en-GB"/>
        </w:rPr>
        <w:t xml:space="preserve"> of </w:t>
      </w:r>
      <w:r w:rsidR="00300461">
        <w:rPr>
          <w:lang w:val="en-GB"/>
        </w:rPr>
        <w:t>infrastructure</w:t>
      </w:r>
      <w:r w:rsidR="009A237C">
        <w:rPr>
          <w:lang w:val="en-GB"/>
        </w:rPr>
        <w:t xml:space="preserve"> rather than the contents of a workload; it is continuous rather than periodic, addressing the configuration drift that arises when</w:t>
      </w:r>
      <w:r w:rsidR="00477DD5">
        <w:rPr>
          <w:lang w:val="en-GB"/>
        </w:rPr>
        <w:t xml:space="preserve"> infrastructure changes many times per day; it is policy-driven, expressing expected state as machine-readable rules mapped to benchmarks such as the Center for Internet Security benchmarks</w:t>
      </w:r>
      <w:r w:rsidR="00285B48">
        <w:rPr>
          <w:lang w:val="en-GB"/>
        </w:rPr>
        <w:t xml:space="preserve"> or the Cloud Security Alliance Coud Controls Matrix; and it is multi-cloud, normalising heterogeneous provider schemas into a comparable representation</w:t>
      </w:r>
      <w:r w:rsidR="003F6085" w:rsidRPr="00335B46">
        <w:rPr>
          <w:lang w:val="en-GB"/>
        </w:rPr>
        <w:t>.</w:t>
      </w:r>
    </w:p>
    <w:p w14:paraId="2960A704" w14:textId="7F2F27BE" w:rsidR="004B193D" w:rsidRDefault="00B25094" w:rsidP="004B193D">
      <w:pPr>
        <w:pStyle w:val="Heading2"/>
      </w:pPr>
      <w:r>
        <w:t>From detection to prevention</w:t>
      </w:r>
    </w:p>
    <w:p w14:paraId="63215718" w14:textId="7675AF7E" w:rsidR="00B25094" w:rsidRDefault="008C06EE" w:rsidP="008C06EE">
      <w:pPr>
        <w:pStyle w:val="BodyText"/>
      </w:pPr>
      <w:r>
        <w:t>The more significant development in posture management is the shift from post-deployment detection to pre-</w:t>
      </w:r>
      <w:r w:rsidR="00C81CBF">
        <w:t>deployment prevention. Because cloud infrastructure is overwhelmingly defined in code, defects can be identified before they ever reach a live environment. Rahman et al. established the empirical basis for this approach by analysing 15,232</w:t>
      </w:r>
      <w:r w:rsidR="00DE65C6">
        <w:t xml:space="preserve"> </w:t>
      </w:r>
      <w:r w:rsidR="00E902F1">
        <w:t>infrastructure</w:t>
      </w:r>
      <w:r w:rsidR="00DE65C6">
        <w:t>-as-code scripts and identifying seven recurring security smells,</w:t>
      </w:r>
      <w:r w:rsidR="00331169">
        <w:t xml:space="preserve"> including hard-coded credentials, absent encryption configuration and over-broad access rules </w:t>
      </w:r>
      <w:sdt>
        <w:sdtPr>
          <w:rPr>
            <w:color w:val="000000"/>
            <w:highlight w:val="white"/>
          </w:rPr>
          <w:alias w:val="Citation"/>
          <w:tag w:val="{&quot;referencesIds&quot;:[&quot;doc:6a661bbccdea073dee0645f2&quot;],&quot;referencesOptions&quot;:{&quot;doc:6a661bbccdea073dee0645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877801"/>
          <w:placeholder>
            <w:docPart w:val="769B9A77B7034F8FB62BF5FFFF6B9F89"/>
          </w:placeholder>
        </w:sdtPr>
        <w:sdtContent>
          <w:r w:rsidR="00D23AF0">
            <w:rPr>
              <w:rFonts w:eastAsia="Times New Roman"/>
              <w:color w:val="000000"/>
            </w:rPr>
            <w:t>[14]</w:t>
          </w:r>
        </w:sdtContent>
      </w:sdt>
      <w:r w:rsidR="00331169">
        <w:t xml:space="preserve">. Evaluating equivalent policies in the continuous integration pipeline and again against the deployed estate </w:t>
      </w:r>
      <w:r w:rsidR="004844FB">
        <w:t>closes the loop shown at the right of Fig. 1: recurring defects are corrected at source rather than remediated repeatedly in production.</w:t>
      </w:r>
    </w:p>
    <w:p w14:paraId="37F0D6A4" w14:textId="78A229C9" w:rsidR="0002291C" w:rsidRDefault="0002291C" w:rsidP="008C06EE">
      <w:pPr>
        <w:pStyle w:val="BodyText"/>
      </w:pPr>
      <w:r>
        <w:t>Research prototypes have demonstrated that this model can be made rigorous. To</w:t>
      </w:r>
      <w:r w:rsidR="00373956">
        <w:t xml:space="preserve">rkura et al. developed CSBAuditor, a system that continuously audits multi-cloud infrastructure and detects unauthorised changes by reconstructing expected state from provided APIs, reporting effective detection of misconfiguration vulnerabilities including excessive permissions, disabled logging and publicly accessible storage </w:t>
      </w:r>
      <w:sdt>
        <w:sdtPr>
          <w:rPr>
            <w:color w:val="000000"/>
            <w:highlight w:val="white"/>
          </w:rPr>
          <w:alias w:val="Citation"/>
          <w:tag w:val="{&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6686369"/>
          <w:placeholder>
            <w:docPart w:val="2572E5F8FD434F2CAEAE4157EC1B934E"/>
          </w:placeholder>
        </w:sdtPr>
        <w:sdtContent>
          <w:r w:rsidR="00D23AF0">
            <w:rPr>
              <w:rFonts w:eastAsia="Times New Roman"/>
              <w:color w:val="000000"/>
            </w:rPr>
            <w:t>[15]</w:t>
          </w:r>
        </w:sdtContent>
      </w:sdt>
      <w:r w:rsidR="00373956">
        <w:t>.</w:t>
      </w:r>
      <w:r w:rsidR="006354F6">
        <w:t xml:space="preserve"> The same authors subsequently applied chaos </w:t>
      </w:r>
      <w:r w:rsidR="00DB6714">
        <w:t xml:space="preserve">engineering principles through risk-driven fault infection in CloudStrike, deliberately introducing security faults into AWS and GCP infrastructure to verify that detection and remediation mechanism actually function </w:t>
      </w:r>
      <w:sdt>
        <w:sdtPr>
          <w:rPr>
            <w:color w:val="000000"/>
            <w:highlight w:val="white"/>
          </w:rPr>
          <w:alias w:val="Citation"/>
          <w:tag w:val="{&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9512713"/>
          <w:placeholder>
            <w:docPart w:val="874CF44495814BD7BEBAC48AE0446668"/>
          </w:placeholder>
        </w:sdtPr>
        <w:sdtContent>
          <w:r w:rsidR="00D23AF0">
            <w:rPr>
              <w:rFonts w:eastAsia="Times New Roman"/>
              <w:color w:val="000000"/>
            </w:rPr>
            <w:t>[16]</w:t>
          </w:r>
        </w:sdtContent>
      </w:sdt>
      <w:r w:rsidR="00524ACE">
        <w:t>. The latter contribution is conceptually important: it treats management as a testable property of the system rather than an assurance claim</w:t>
      </w:r>
      <w:r w:rsidR="002D0F15">
        <w:t>.</w:t>
      </w:r>
    </w:p>
    <w:p w14:paraId="3195F0D9" w14:textId="0619D289" w:rsidR="002D0F15" w:rsidRDefault="002D0F15" w:rsidP="002D0F15">
      <w:pPr>
        <w:pStyle w:val="Heading2"/>
      </w:pPr>
      <w:r>
        <w:t>Convergence with zero trust and workload protection</w:t>
      </w:r>
    </w:p>
    <w:p w14:paraId="6FF23442" w14:textId="7950847A" w:rsidR="002D0F15" w:rsidRDefault="007E0F39" w:rsidP="002D0F15">
      <w:pPr>
        <w:pStyle w:val="BodyText"/>
      </w:pPr>
      <w:r>
        <w:t>Posture management is increasingly delivered within consolidated cloud-native application protection platforms that combine configuration assessment, entitlement management, workload scanning and attack-path analysis. This converge</w:t>
      </w:r>
      <w:r w:rsidR="00B9530C">
        <w:t xml:space="preserve">nce is complementary to zero trust architecture: NIST SP 800-207 requires access decisions to be made per request on the basis of current </w:t>
      </w:r>
      <w:r w:rsidR="00470EAD">
        <w:t xml:space="preserve">asset and identity state </w:t>
      </w:r>
      <w:sdt>
        <w:sdtPr>
          <w:rPr>
            <w:color w:val="000000"/>
            <w:highlight w:val="white"/>
          </w:rPr>
          <w:alias w:val="Citation"/>
          <w:tag w:val="{&quot;referencesIds&quot;:[&quot;doc:6a662378bc44602a2a77d168&quot;],&quot;referencesOptions&quot;:{&quot;doc:6a662378bc44602a2a77d1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7556520"/>
          <w:placeholder>
            <w:docPart w:val="DCF47F5963694328B5709D5395EE7C5C"/>
          </w:placeholder>
        </w:sdtPr>
        <w:sdtContent>
          <w:r w:rsidR="00D23AF0">
            <w:rPr>
              <w:rFonts w:eastAsia="Times New Roman"/>
              <w:color w:val="000000"/>
            </w:rPr>
            <w:t>[17]</w:t>
          </w:r>
        </w:sdtContent>
      </w:sdt>
      <w:r w:rsidR="00470EAD">
        <w:t>, and SP 800-207A extends the model specifically to cloud-</w:t>
      </w:r>
      <w:r w:rsidR="00966778">
        <w:t xml:space="preserve">native applications distributed across multiple providers </w:t>
      </w:r>
      <w:sdt>
        <w:sdtPr>
          <w:rPr>
            <w:color w:val="000000"/>
            <w:highlight w:val="white"/>
          </w:rPr>
          <w:alias w:val="Citation"/>
          <w:tag w:val="{&quot;referencesIds&quot;:[&quot;doc:6a662436b973893f31f8d88b&quot;],&quot;referencesOptions&quot;:{&quot;doc:6a662436b973893f31f8d8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1495418"/>
          <w:placeholder>
            <w:docPart w:val="10B811F9D1E649EF98AC8672CF1DEF3F"/>
          </w:placeholder>
        </w:sdtPr>
        <w:sdtContent>
          <w:r w:rsidR="00D23AF0">
            <w:rPr>
              <w:rFonts w:eastAsia="Times New Roman"/>
              <w:color w:val="000000"/>
            </w:rPr>
            <w:t>[18]</w:t>
          </w:r>
        </w:sdtContent>
      </w:sdt>
      <w:r w:rsidR="00966778">
        <w:t>. A posture engine that maintains an authoritative inventory of identities, entitlements and resource confi</w:t>
      </w:r>
      <w:r w:rsidR="009D61D0">
        <w:t xml:space="preserve">gurations supplies </w:t>
      </w:r>
      <w:r w:rsidR="009D61D0">
        <w:lastRenderedPageBreak/>
        <w:t>precisely the state signal that a zero trust policy engine requires.</w:t>
      </w:r>
    </w:p>
    <w:p w14:paraId="2C905A89" w14:textId="77777777" w:rsidR="00CD0512" w:rsidRDefault="0033246A" w:rsidP="002D0F15">
      <w:pPr>
        <w:pStyle w:val="BodyText"/>
        <w:sectPr w:rsidR="00CD0512" w:rsidSect="003B4E04">
          <w:type w:val="continuous"/>
          <w:pgSz w:w="595.30pt" w:h="841.90pt" w:code="9"/>
          <w:pgMar w:top="54pt" w:right="45.35pt" w:bottom="72pt" w:left="45.35pt" w:header="36pt" w:footer="36pt" w:gutter="0pt"/>
          <w:cols w:num="2" w:space="18pt"/>
          <w:docGrid w:linePitch="360"/>
        </w:sectPr>
      </w:pPr>
      <w:r>
        <w:tab/>
      </w:r>
    </w:p>
    <w:p w14:paraId="38EDFE08" w14:textId="6DB7D1FC" w:rsidR="00CD0512" w:rsidRDefault="00350CFB" w:rsidP="00224324">
      <w:pPr>
        <w:pStyle w:val="BodyText"/>
        <w:ind w:firstLine="0pt"/>
        <w:sectPr w:rsidR="00CD0512" w:rsidSect="00C376BD">
          <w:type w:val="continuous"/>
          <w:pgSz w:w="595.30pt" w:h="841.90pt" w:code="9"/>
          <w:pgMar w:top="54pt" w:right="45.35pt" w:bottom="72pt" w:left="45.35pt" w:header="36pt" w:footer="36pt" w:gutter="0pt"/>
          <w:cols w:space="18pt"/>
          <w:docGrid w:linePitch="360"/>
        </w:sectPr>
      </w:pPr>
      <w:r>
        <w:rPr>
          <w:noProof/>
        </w:rPr>
        <w:drawing>
          <wp:inline distT="0" distB="0" distL="0" distR="0" wp14:anchorId="3960DE37" wp14:editId="7BC8CBA0">
            <wp:extent cx="6478652" cy="4796228"/>
            <wp:effectExtent l="0" t="0" r="0" b="4445"/>
            <wp:docPr id="36303409"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1266" cy="4798163"/>
                    </a:xfrm>
                    <a:prstGeom prst="rect">
                      <a:avLst/>
                    </a:prstGeom>
                    <a:noFill/>
                    <a:ln>
                      <a:noFill/>
                    </a:ln>
                  </pic:spPr>
                </pic:pic>
              </a:graphicData>
            </a:graphic>
          </wp:inline>
        </w:drawing>
      </w:r>
    </w:p>
    <w:p w14:paraId="6407E7FF" w14:textId="282F15FB" w:rsidR="0033246A" w:rsidRPr="002D0F15" w:rsidRDefault="00666A88" w:rsidP="00EA3A5B">
      <w:pPr>
        <w:pStyle w:val="figurecaption"/>
        <w:ind w:start="0pt" w:firstLine="0pt"/>
      </w:pPr>
      <w:r>
        <w:t>Reference architecture for continuous cloud security posture management</w:t>
      </w:r>
      <w:r w:rsidR="0074595A">
        <w:t xml:space="preserve"> across multi-cloud and hybrid estates, showing agentless collection </w:t>
      </w:r>
      <w:r w:rsidR="00E014A6">
        <w:t xml:space="preserve">from provider control planes, pre-deployment policy evaluation in the infrastructure-as-code pipeline, the posture engine, and the response plane. Synthesised from </w:t>
      </w:r>
      <w:sdt>
        <w:sdtPr>
          <w:rPr>
            <w:color w:val="000000"/>
            <w:sz w:val="12"/>
            <w:szCs w:val="12"/>
            <w:highlight w:val="white"/>
          </w:rPr>
          <w:alias w:val="Citation"/>
          <w:tag w:val="{&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4387471"/>
          <w:placeholder>
            <w:docPart w:val="2C3678357D65471FACCF4EF824AEE375"/>
          </w:placeholder>
        </w:sdtPr>
        <w:sdtContent>
          <w:r w:rsidR="00D23AF0" w:rsidRPr="003A60C6">
            <w:rPr>
              <w:rFonts w:eastAsia="Times New Roman"/>
              <w:color w:val="000000"/>
            </w:rPr>
            <w:t>[15]</w:t>
          </w:r>
        </w:sdtContent>
      </w:sdt>
      <w:r w:rsidR="00E014A6" w:rsidRPr="003A60C6">
        <w:rPr>
          <w:sz w:val="12"/>
          <w:szCs w:val="12"/>
        </w:rPr>
        <w:t xml:space="preserve">, </w:t>
      </w:r>
      <w:sdt>
        <w:sdtPr>
          <w:rPr>
            <w:color w:val="000000"/>
            <w:sz w:val="12"/>
            <w:szCs w:val="12"/>
            <w:highlight w:val="white"/>
          </w:rPr>
          <w:alias w:val="Citation"/>
          <w:tag w:val="{&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2151992"/>
          <w:placeholder>
            <w:docPart w:val="FF68262F399E4570A4167CA720080C17"/>
          </w:placeholder>
        </w:sdtPr>
        <w:sdtContent>
          <w:r w:rsidR="00D23AF0" w:rsidRPr="003A60C6">
            <w:rPr>
              <w:rFonts w:eastAsia="Times New Roman"/>
              <w:color w:val="000000"/>
            </w:rPr>
            <w:t>[16]</w:t>
          </w:r>
        </w:sdtContent>
      </w:sdt>
      <w:r w:rsidR="00E014A6">
        <w:t xml:space="preserve"> and current commercial implementations.</w:t>
      </w:r>
    </w:p>
    <w:p w14:paraId="0D510A69" w14:textId="77777777" w:rsidR="00C376BD" w:rsidRDefault="00C376BD" w:rsidP="00422DFB">
      <w:pPr>
        <w:pStyle w:val="tablehead"/>
        <w:numPr>
          <w:ilvl w:val="0"/>
          <w:numId w:val="0"/>
        </w:numPr>
        <w:jc w:val="both"/>
        <w:rPr>
          <w:noProof w:val="0"/>
          <w:lang w:val="en-GB"/>
        </w:rPr>
        <w:sectPr w:rsidR="00C376BD" w:rsidSect="00C376BD">
          <w:type w:val="continuous"/>
          <w:pgSz w:w="595.30pt" w:h="841.90pt" w:code="9"/>
          <w:pgMar w:top="54pt" w:right="45.35pt" w:bottom="72pt" w:left="45.35pt" w:header="36pt" w:footer="36pt" w:gutter="0pt"/>
          <w:cols w:space="18pt"/>
          <w:docGrid w:linePitch="360"/>
        </w:sectPr>
      </w:pPr>
    </w:p>
    <w:p w14:paraId="1A1EB5A8" w14:textId="4D7909FD" w:rsidR="006737F0" w:rsidRPr="00335B46" w:rsidRDefault="006C44FF" w:rsidP="006737F0">
      <w:pPr>
        <w:pStyle w:val="Heading1"/>
        <w:rPr>
          <w:noProof w:val="0"/>
        </w:rPr>
      </w:pPr>
      <w:r>
        <w:rPr>
          <w:noProof w:val="0"/>
        </w:rPr>
        <w:t>Comparative Analysis Across AWS, Azure and GCP</w:t>
      </w:r>
    </w:p>
    <w:p w14:paraId="7BCEFD7F" w14:textId="77777777" w:rsidR="003646BC" w:rsidRDefault="006C7788" w:rsidP="006737F0">
      <w:pPr>
        <w:pStyle w:val="BodyText"/>
        <w:rPr>
          <w:lang w:val="en-GB"/>
        </w:rPr>
      </w:pPr>
      <w:r>
        <w:rPr>
          <w:lang w:val="en-GB"/>
        </w:rPr>
        <w:t>Each provider offers native posture capability, but the three differ in scope, licensing model and multi-cloud reach, as summarised in Table I. AWS distributes the function across Security Hub for benchmark aggregation, Config for continuous configuration evaluation, IAM Access Analyzer for entitlement reasoning and GuardDuty for threat detection</w:t>
      </w:r>
      <w:r w:rsidR="0058584A">
        <w:rPr>
          <w:lang w:val="en-GB"/>
        </w:rPr>
        <w:t xml:space="preserve">, which yields granular control at the cost </w:t>
      </w:r>
      <w:r w:rsidR="00345D62">
        <w:rPr>
          <w:lang w:val="en-GB"/>
        </w:rPr>
        <w:t>of requiring the customer to integrate several services coherently. Azure</w:t>
      </w:r>
      <w:r w:rsidR="00C464AE">
        <w:rPr>
          <w:lang w:val="en-GB"/>
        </w:rPr>
        <w:t xml:space="preserve"> consolidates posture and workload protection within Microsoft Defender for Cloud, which provides a single secure score, first-party regulatory compliance dashboards and connectors for AWS and GCP accounts. GCP’s Security Command Center similarly unifies posture, threat and data-</w:t>
      </w:r>
      <w:r w:rsidR="00C464AE">
        <w:rPr>
          <w:lang w:val="en-GB"/>
        </w:rPr>
        <w:t>s</w:t>
      </w:r>
      <w:r w:rsidR="00F26D15">
        <w:rPr>
          <w:lang w:val="en-GB"/>
        </w:rPr>
        <w:t>ecurity findings, with the higher tiers extending to attack-path simulation</w:t>
      </w:r>
      <w:r w:rsidR="003646BC">
        <w:rPr>
          <w:lang w:val="en-GB"/>
        </w:rPr>
        <w:t xml:space="preserve"> and multi-cloud onboarding.</w:t>
      </w:r>
    </w:p>
    <w:p w14:paraId="613B63A1" w14:textId="180BAC39" w:rsidR="00471039" w:rsidRDefault="003646BC" w:rsidP="00FD245D">
      <w:pPr>
        <w:pStyle w:val="BodyText"/>
        <w:rPr>
          <w:lang w:val="en-GB"/>
        </w:rPr>
      </w:pPr>
      <w:r>
        <w:rPr>
          <w:lang w:val="en-GB"/>
        </w:rPr>
        <w:t xml:space="preserve">Two observations follow. First, native </w:t>
      </w:r>
      <w:r w:rsidR="007D3D2A">
        <w:rPr>
          <w:lang w:val="en-GB"/>
        </w:rPr>
        <w:t>tooling is strongest where the provider controls the schema and weakest across boundaries; connector-based multi-cloud coverage typically lags the provider’s</w:t>
      </w:r>
      <w:r w:rsidR="006F67C3">
        <w:rPr>
          <w:lang w:val="en-GB"/>
        </w:rPr>
        <w:t xml:space="preserve"> own feature set, which is why organisations with genuinely heterogeneous estates comm</w:t>
      </w:r>
      <w:r w:rsidR="00367D8F">
        <w:rPr>
          <w:lang w:val="en-GB"/>
        </w:rPr>
        <w:t>on</w:t>
      </w:r>
      <w:r w:rsidR="006F67C3">
        <w:rPr>
          <w:lang w:val="en-GB"/>
        </w:rPr>
        <w:t>ly deploy a third-party platform above the native services</w:t>
      </w:r>
      <w:r w:rsidR="00313E2B">
        <w:rPr>
          <w:lang w:val="en-GB"/>
        </w:rPr>
        <w:t xml:space="preserve"> rather than in place of them. Second, </w:t>
      </w:r>
      <w:r w:rsidR="00830F17">
        <w:rPr>
          <w:lang w:val="en-GB"/>
        </w:rPr>
        <w:t xml:space="preserve">benchmark coverage is not equivalent to risk coverage. A high compliance score signals conformance to a control catalogue, not the absence of an exploitable attack path, and the two diverge whenever an </w:t>
      </w:r>
      <w:r w:rsidR="002F485D">
        <w:rPr>
          <w:lang w:val="en-GB"/>
        </w:rPr>
        <w:t>individually compliant set of resources combines into an exposed chain.</w:t>
      </w:r>
    </w:p>
    <w:p w14:paraId="2941A3AD" w14:textId="5AC5B13F" w:rsidR="00471039" w:rsidRDefault="00471039" w:rsidP="00FD245D">
      <w:pPr>
        <w:pStyle w:val="BodyText"/>
        <w:rPr>
          <w:lang w:val="en-GB"/>
        </w:rPr>
        <w:sectPr w:rsidR="00471039" w:rsidSect="003B4E04">
          <w:type w:val="continuous"/>
          <w:pgSz w:w="595.30pt" w:h="841.90pt" w:code="9"/>
          <w:pgMar w:top="54pt" w:right="45.35pt" w:bottom="72pt" w:left="45.35pt" w:header="36pt" w:footer="36pt" w:gutter="0pt"/>
          <w:cols w:num="2" w:space="18pt"/>
          <w:docGrid w:linePitch="360"/>
        </w:sectPr>
      </w:pPr>
    </w:p>
    <w:p w14:paraId="1D26AF0F" w14:textId="32558148" w:rsidR="00623F46" w:rsidRPr="00335B46" w:rsidRDefault="00F316C1" w:rsidP="00623F46">
      <w:pPr>
        <w:pStyle w:val="tablehead"/>
        <w:rPr>
          <w:noProof w:val="0"/>
          <w:lang w:val="en-GB"/>
        </w:rPr>
      </w:pPr>
      <w:r>
        <w:rPr>
          <w:noProof w:val="0"/>
          <w:lang w:val="en-GB"/>
        </w:rPr>
        <w:t xml:space="preserve">Comparison of Native Cloud Security Posture Capabilities Across the Three </w:t>
      </w:r>
      <w:r w:rsidR="00B90B33">
        <w:rPr>
          <w:noProof w:val="0"/>
          <w:lang w:val="en-GB"/>
        </w:rPr>
        <w:t>Hyperscale Providers</w:t>
      </w:r>
    </w:p>
    <w:tbl>
      <w:tblPr>
        <w:tblStyle w:val="TableGrid"/>
        <w:tblW w:w="497.20pt" w:type="dxa"/>
        <w:tblLayout w:type="fixed"/>
        <w:tblLook w:firstRow="0" w:lastRow="0" w:firstColumn="0" w:lastColumn="0" w:noHBand="0" w:noVBand="0"/>
      </w:tblPr>
      <w:tblGrid>
        <w:gridCol w:w="2486"/>
        <w:gridCol w:w="2486"/>
        <w:gridCol w:w="2486"/>
        <w:gridCol w:w="2486"/>
      </w:tblGrid>
      <w:tr w:rsidR="0042206D" w:rsidRPr="00335B46" w14:paraId="4BBFAE26" w14:textId="77777777" w:rsidTr="00D93BD0">
        <w:trPr>
          <w:trHeight w:val="231"/>
        </w:trPr>
        <w:tc>
          <w:tcPr>
            <w:tcW w:w="124.30pt" w:type="dxa"/>
            <w:shd w:val="clear" w:color="auto" w:fill="D0CECE" w:themeFill="background2" w:themeFillShade="E6"/>
          </w:tcPr>
          <w:p w14:paraId="7016943C" w14:textId="43F7CF87" w:rsidR="0042206D" w:rsidRPr="00335B46" w:rsidRDefault="009D551B" w:rsidP="005C1BEC">
            <w:pPr>
              <w:pStyle w:val="tablecolhead"/>
            </w:pPr>
            <w:r>
              <w:t>Dimension</w:t>
            </w:r>
          </w:p>
        </w:tc>
        <w:tc>
          <w:tcPr>
            <w:tcW w:w="124.30pt" w:type="dxa"/>
            <w:shd w:val="clear" w:color="auto" w:fill="D0CECE" w:themeFill="background2" w:themeFillShade="E6"/>
          </w:tcPr>
          <w:p w14:paraId="25D41288" w14:textId="4013F77B" w:rsidR="0042206D" w:rsidRPr="00335B46" w:rsidRDefault="009D551B" w:rsidP="005C1BEC">
            <w:pPr>
              <w:pStyle w:val="tablecolhead"/>
            </w:pPr>
            <w:r>
              <w:t>AWS</w:t>
            </w:r>
          </w:p>
        </w:tc>
        <w:tc>
          <w:tcPr>
            <w:tcW w:w="124.30pt" w:type="dxa"/>
            <w:shd w:val="clear" w:color="auto" w:fill="D0CECE" w:themeFill="background2" w:themeFillShade="E6"/>
          </w:tcPr>
          <w:p w14:paraId="56A54422" w14:textId="727D7B75" w:rsidR="0042206D" w:rsidRPr="00335B46" w:rsidRDefault="009D551B" w:rsidP="005C1BEC">
            <w:pPr>
              <w:pStyle w:val="tablecolhead"/>
            </w:pPr>
            <w:r>
              <w:t>Microsoft Azure</w:t>
            </w:r>
          </w:p>
        </w:tc>
        <w:tc>
          <w:tcPr>
            <w:tcW w:w="124.30pt" w:type="dxa"/>
            <w:shd w:val="clear" w:color="auto" w:fill="D0CECE" w:themeFill="background2" w:themeFillShade="E6"/>
          </w:tcPr>
          <w:p w14:paraId="2D41AE12" w14:textId="53AD7735" w:rsidR="0042206D" w:rsidRPr="00335B46" w:rsidRDefault="009D551B" w:rsidP="005C1BEC">
            <w:pPr>
              <w:pStyle w:val="tablecolhead"/>
            </w:pPr>
            <w:r>
              <w:t>Google Cloud</w:t>
            </w:r>
          </w:p>
        </w:tc>
      </w:tr>
      <w:tr w:rsidR="004558E5" w:rsidRPr="00335B46" w14:paraId="610E479F" w14:textId="77777777" w:rsidTr="00616095">
        <w:trPr>
          <w:trHeight w:val="231"/>
        </w:trPr>
        <w:tc>
          <w:tcPr>
            <w:tcW w:w="124.30pt" w:type="dxa"/>
          </w:tcPr>
          <w:p w14:paraId="751D7BFE" w14:textId="10FFDD0E" w:rsidR="004558E5" w:rsidRPr="004558E5" w:rsidRDefault="004558E5" w:rsidP="00CE34B3">
            <w:pPr>
              <w:pStyle w:val="tablecolhead"/>
              <w:jc w:val="start"/>
              <w:rPr>
                <w:b w:val="0"/>
                <w:bCs w:val="0"/>
              </w:rPr>
            </w:pPr>
            <w:r>
              <w:rPr>
                <w:b w:val="0"/>
                <w:bCs w:val="0"/>
              </w:rPr>
              <w:t>Primary native services</w:t>
            </w:r>
          </w:p>
        </w:tc>
        <w:tc>
          <w:tcPr>
            <w:tcW w:w="124.30pt" w:type="dxa"/>
          </w:tcPr>
          <w:p w14:paraId="072AA5EE" w14:textId="13FC67B5" w:rsidR="004558E5" w:rsidRPr="004558E5" w:rsidRDefault="004558E5" w:rsidP="00CE34B3">
            <w:pPr>
              <w:pStyle w:val="tablecolhead"/>
              <w:jc w:val="start"/>
              <w:rPr>
                <w:b w:val="0"/>
                <w:bCs w:val="0"/>
              </w:rPr>
            </w:pPr>
            <w:r>
              <w:rPr>
                <w:b w:val="0"/>
                <w:bCs w:val="0"/>
              </w:rPr>
              <w:t>Security Hub, Config, IAM Access Analyzer, Guard Duty</w:t>
            </w:r>
          </w:p>
        </w:tc>
        <w:tc>
          <w:tcPr>
            <w:tcW w:w="124.30pt" w:type="dxa"/>
          </w:tcPr>
          <w:p w14:paraId="0A2C493F" w14:textId="4EF99A90" w:rsidR="004558E5" w:rsidRPr="004558E5" w:rsidRDefault="004558E5" w:rsidP="00CE34B3">
            <w:pPr>
              <w:pStyle w:val="tablecolhead"/>
              <w:jc w:val="start"/>
              <w:rPr>
                <w:b w:val="0"/>
                <w:bCs w:val="0"/>
              </w:rPr>
            </w:pPr>
            <w:r>
              <w:rPr>
                <w:b w:val="0"/>
                <w:bCs w:val="0"/>
              </w:rPr>
              <w:t>Microsoft Defender for Cloud (unified posture and workload protection)</w:t>
            </w:r>
          </w:p>
        </w:tc>
        <w:tc>
          <w:tcPr>
            <w:tcW w:w="124.30pt" w:type="dxa"/>
          </w:tcPr>
          <w:p w14:paraId="6002A8B0" w14:textId="09B525A6" w:rsidR="004558E5" w:rsidRPr="004558E5" w:rsidRDefault="004558E5" w:rsidP="00CE34B3">
            <w:pPr>
              <w:pStyle w:val="tablecolhead"/>
              <w:jc w:val="start"/>
              <w:rPr>
                <w:b w:val="0"/>
                <w:bCs w:val="0"/>
              </w:rPr>
            </w:pPr>
            <w:r w:rsidRPr="004558E5">
              <w:rPr>
                <w:b w:val="0"/>
                <w:bCs w:val="0"/>
              </w:rPr>
              <w:t>Security Command</w:t>
            </w:r>
            <w:r>
              <w:rPr>
                <w:b w:val="0"/>
                <w:bCs w:val="0"/>
              </w:rPr>
              <w:t xml:space="preserve"> Center (Standard</w:t>
            </w:r>
            <w:r w:rsidR="007367E7">
              <w:rPr>
                <w:b w:val="0"/>
                <w:bCs w:val="0"/>
              </w:rPr>
              <w:t xml:space="preserve"> / </w:t>
            </w:r>
            <w:r w:rsidR="00FD245D">
              <w:rPr>
                <w:b w:val="0"/>
                <w:bCs w:val="0"/>
              </w:rPr>
              <w:t>Premium</w:t>
            </w:r>
            <w:r w:rsidR="007367E7">
              <w:rPr>
                <w:b w:val="0"/>
                <w:bCs w:val="0"/>
              </w:rPr>
              <w:t xml:space="preserve"> / Enterprise)</w:t>
            </w:r>
          </w:p>
        </w:tc>
      </w:tr>
      <w:tr w:rsidR="004558E5" w:rsidRPr="00335B46" w14:paraId="764136B0" w14:textId="77777777" w:rsidTr="00616095">
        <w:trPr>
          <w:trHeight w:val="231"/>
        </w:trPr>
        <w:tc>
          <w:tcPr>
            <w:tcW w:w="124.30pt" w:type="dxa"/>
          </w:tcPr>
          <w:p w14:paraId="698DCAFA" w14:textId="62C46B19" w:rsidR="00EE1F27" w:rsidRPr="003D45A5" w:rsidRDefault="00EE1F27" w:rsidP="00CE34B3">
            <w:pPr>
              <w:pStyle w:val="tablecolhead"/>
              <w:jc w:val="start"/>
              <w:rPr>
                <w:b w:val="0"/>
                <w:bCs w:val="0"/>
              </w:rPr>
            </w:pPr>
            <w:r>
              <w:rPr>
                <w:b w:val="0"/>
                <w:bCs w:val="0"/>
              </w:rPr>
              <w:t>Architectural model</w:t>
            </w:r>
          </w:p>
        </w:tc>
        <w:tc>
          <w:tcPr>
            <w:tcW w:w="124.30pt" w:type="dxa"/>
          </w:tcPr>
          <w:p w14:paraId="7FB0C0AB" w14:textId="7AA21F7D" w:rsidR="004558E5" w:rsidRPr="003D45A5" w:rsidRDefault="00890B6A" w:rsidP="00CE34B3">
            <w:pPr>
              <w:pStyle w:val="tablecolhead"/>
              <w:jc w:val="start"/>
              <w:rPr>
                <w:b w:val="0"/>
                <w:bCs w:val="0"/>
              </w:rPr>
            </w:pPr>
            <w:r>
              <w:rPr>
                <w:b w:val="0"/>
                <w:bCs w:val="0"/>
              </w:rPr>
              <w:t>Feder</w:t>
            </w:r>
            <w:r w:rsidR="00CE34B3">
              <w:rPr>
                <w:b w:val="0"/>
                <w:bCs w:val="0"/>
              </w:rPr>
              <w:t>ated: several services integrated by the customer</w:t>
            </w:r>
          </w:p>
        </w:tc>
        <w:tc>
          <w:tcPr>
            <w:tcW w:w="124.30pt" w:type="dxa"/>
          </w:tcPr>
          <w:p w14:paraId="3ADC56E2" w14:textId="52FEFE55" w:rsidR="004558E5" w:rsidRPr="003D45A5" w:rsidRDefault="00CE34B3" w:rsidP="00CE34B3">
            <w:pPr>
              <w:pStyle w:val="tablecolhead"/>
              <w:jc w:val="start"/>
              <w:rPr>
                <w:b w:val="0"/>
                <w:bCs w:val="0"/>
              </w:rPr>
            </w:pPr>
            <w:r>
              <w:rPr>
                <w:b w:val="0"/>
                <w:bCs w:val="0"/>
              </w:rPr>
              <w:t>Consolidated single-pane service with a secure score</w:t>
            </w:r>
          </w:p>
        </w:tc>
        <w:tc>
          <w:tcPr>
            <w:tcW w:w="124.30pt" w:type="dxa"/>
          </w:tcPr>
          <w:p w14:paraId="31FDF232" w14:textId="1EA9706B" w:rsidR="004558E5" w:rsidRPr="003D45A5" w:rsidRDefault="00CE34B3" w:rsidP="00CE34B3">
            <w:pPr>
              <w:pStyle w:val="tablecolhead"/>
              <w:jc w:val="start"/>
              <w:rPr>
                <w:b w:val="0"/>
                <w:bCs w:val="0"/>
              </w:rPr>
            </w:pPr>
            <w:r>
              <w:rPr>
                <w:b w:val="0"/>
                <w:bCs w:val="0"/>
              </w:rPr>
              <w:t>Consolidated service with tiered feature depth</w:t>
            </w:r>
          </w:p>
        </w:tc>
      </w:tr>
      <w:tr w:rsidR="004558E5" w:rsidRPr="00335B46" w14:paraId="1D2C38EC" w14:textId="77777777" w:rsidTr="00616095">
        <w:trPr>
          <w:trHeight w:val="231"/>
        </w:trPr>
        <w:tc>
          <w:tcPr>
            <w:tcW w:w="124.30pt" w:type="dxa"/>
          </w:tcPr>
          <w:p w14:paraId="32687155" w14:textId="2177AD12" w:rsidR="004558E5" w:rsidRPr="003D45A5" w:rsidRDefault="00CE34B3" w:rsidP="00CE34B3">
            <w:pPr>
              <w:pStyle w:val="tablecolhead"/>
              <w:jc w:val="start"/>
              <w:rPr>
                <w:b w:val="0"/>
                <w:bCs w:val="0"/>
              </w:rPr>
            </w:pPr>
            <w:r>
              <w:rPr>
                <w:b w:val="0"/>
                <w:bCs w:val="0"/>
              </w:rPr>
              <w:lastRenderedPageBreak/>
              <w:t>Benchmark and compliance</w:t>
            </w:r>
            <w:r w:rsidR="00171CD9">
              <w:rPr>
                <w:b w:val="0"/>
                <w:bCs w:val="0"/>
              </w:rPr>
              <w:t xml:space="preserve"> mapping</w:t>
            </w:r>
          </w:p>
        </w:tc>
        <w:tc>
          <w:tcPr>
            <w:tcW w:w="124.30pt" w:type="dxa"/>
          </w:tcPr>
          <w:p w14:paraId="6BD08A2A" w14:textId="51E0C465" w:rsidR="004558E5" w:rsidRPr="003D45A5" w:rsidRDefault="00171CD9" w:rsidP="00CE34B3">
            <w:pPr>
              <w:pStyle w:val="tablecolhead"/>
              <w:jc w:val="start"/>
              <w:rPr>
                <w:b w:val="0"/>
                <w:bCs w:val="0"/>
              </w:rPr>
            </w:pPr>
            <w:r>
              <w:rPr>
                <w:b w:val="0"/>
                <w:bCs w:val="0"/>
              </w:rPr>
              <w:t>CIS, PCI DSS, NIST via Security Hub standards</w:t>
            </w:r>
          </w:p>
        </w:tc>
        <w:tc>
          <w:tcPr>
            <w:tcW w:w="124.30pt" w:type="dxa"/>
          </w:tcPr>
          <w:p w14:paraId="3A51679E" w14:textId="26413206" w:rsidR="004558E5" w:rsidRPr="003D45A5" w:rsidRDefault="00171CD9" w:rsidP="00CE34B3">
            <w:pPr>
              <w:pStyle w:val="tablecolhead"/>
              <w:jc w:val="start"/>
              <w:rPr>
                <w:b w:val="0"/>
                <w:bCs w:val="0"/>
              </w:rPr>
            </w:pPr>
            <w:r>
              <w:rPr>
                <w:b w:val="0"/>
                <w:bCs w:val="0"/>
              </w:rPr>
              <w:t>Built-in regulatory compliance dashboards, custom initiatives</w:t>
            </w:r>
          </w:p>
        </w:tc>
        <w:tc>
          <w:tcPr>
            <w:tcW w:w="124.30pt" w:type="dxa"/>
          </w:tcPr>
          <w:p w14:paraId="6000E3B3" w14:textId="1BE434FE" w:rsidR="004558E5" w:rsidRPr="003D45A5" w:rsidRDefault="00171CD9" w:rsidP="00CE34B3">
            <w:pPr>
              <w:pStyle w:val="tablecolhead"/>
              <w:jc w:val="start"/>
              <w:rPr>
                <w:b w:val="0"/>
                <w:bCs w:val="0"/>
              </w:rPr>
            </w:pPr>
            <w:r>
              <w:rPr>
                <w:b w:val="0"/>
                <w:bCs w:val="0"/>
              </w:rPr>
              <w:t>Built-in posture and compliance modules, custom detectors</w:t>
            </w:r>
          </w:p>
        </w:tc>
      </w:tr>
      <w:tr w:rsidR="004558E5" w:rsidRPr="00335B46" w14:paraId="3948FEE1" w14:textId="77777777" w:rsidTr="00616095">
        <w:trPr>
          <w:trHeight w:val="231"/>
        </w:trPr>
        <w:tc>
          <w:tcPr>
            <w:tcW w:w="124.30pt" w:type="dxa"/>
          </w:tcPr>
          <w:p w14:paraId="0436BA0A" w14:textId="293E56AE" w:rsidR="004558E5" w:rsidRPr="003D45A5" w:rsidRDefault="00171CD9" w:rsidP="00CE34B3">
            <w:pPr>
              <w:pStyle w:val="tablecolhead"/>
              <w:jc w:val="start"/>
              <w:rPr>
                <w:b w:val="0"/>
                <w:bCs w:val="0"/>
              </w:rPr>
            </w:pPr>
            <w:r>
              <w:rPr>
                <w:b w:val="0"/>
                <w:bCs w:val="0"/>
              </w:rPr>
              <w:t>Entitlement analysis</w:t>
            </w:r>
          </w:p>
        </w:tc>
        <w:tc>
          <w:tcPr>
            <w:tcW w:w="124.30pt" w:type="dxa"/>
          </w:tcPr>
          <w:p w14:paraId="428BC8B5" w14:textId="348EAB8A" w:rsidR="004558E5" w:rsidRPr="003D45A5" w:rsidRDefault="002B75A8" w:rsidP="00CE34B3">
            <w:pPr>
              <w:pStyle w:val="tablecolhead"/>
              <w:jc w:val="start"/>
              <w:rPr>
                <w:b w:val="0"/>
                <w:bCs w:val="0"/>
              </w:rPr>
            </w:pPr>
            <w:r>
              <w:rPr>
                <w:b w:val="0"/>
                <w:bCs w:val="0"/>
              </w:rPr>
              <w:t>IAM Access Analyzer, external and unused access findings</w:t>
            </w:r>
          </w:p>
        </w:tc>
        <w:tc>
          <w:tcPr>
            <w:tcW w:w="124.30pt" w:type="dxa"/>
          </w:tcPr>
          <w:p w14:paraId="079F8EA4" w14:textId="26E35AF9" w:rsidR="004558E5" w:rsidRPr="003D45A5" w:rsidRDefault="002B75A8" w:rsidP="00CE34B3">
            <w:pPr>
              <w:pStyle w:val="tablecolhead"/>
              <w:jc w:val="start"/>
              <w:rPr>
                <w:b w:val="0"/>
                <w:bCs w:val="0"/>
              </w:rPr>
            </w:pPr>
            <w:r>
              <w:rPr>
                <w:b w:val="0"/>
                <w:bCs w:val="0"/>
              </w:rPr>
              <w:t>Permissions management across connected clouds</w:t>
            </w:r>
          </w:p>
        </w:tc>
        <w:tc>
          <w:tcPr>
            <w:tcW w:w="124.30pt" w:type="dxa"/>
          </w:tcPr>
          <w:p w14:paraId="0F2FD69D" w14:textId="66C468CD" w:rsidR="004558E5" w:rsidRPr="003D45A5" w:rsidRDefault="002B75A8" w:rsidP="00CE34B3">
            <w:pPr>
              <w:pStyle w:val="tablecolhead"/>
              <w:jc w:val="start"/>
              <w:rPr>
                <w:b w:val="0"/>
                <w:bCs w:val="0"/>
              </w:rPr>
            </w:pPr>
            <w:r>
              <w:rPr>
                <w:b w:val="0"/>
                <w:bCs w:val="0"/>
              </w:rPr>
              <w:t>IAM Recommender and policy insights</w:t>
            </w:r>
          </w:p>
        </w:tc>
      </w:tr>
      <w:tr w:rsidR="004558E5" w:rsidRPr="00335B46" w14:paraId="618DD007" w14:textId="77777777" w:rsidTr="00616095">
        <w:trPr>
          <w:trHeight w:val="231"/>
        </w:trPr>
        <w:tc>
          <w:tcPr>
            <w:tcW w:w="124.30pt" w:type="dxa"/>
          </w:tcPr>
          <w:p w14:paraId="3BC77A78" w14:textId="4781EB5F" w:rsidR="004558E5" w:rsidRPr="003D45A5" w:rsidRDefault="0021486F" w:rsidP="00CE34B3">
            <w:pPr>
              <w:pStyle w:val="tablecolhead"/>
              <w:jc w:val="start"/>
              <w:rPr>
                <w:b w:val="0"/>
                <w:bCs w:val="0"/>
              </w:rPr>
            </w:pPr>
            <w:r>
              <w:rPr>
                <w:b w:val="0"/>
                <w:bCs w:val="0"/>
              </w:rPr>
              <w:t>Multi-cloud coverage</w:t>
            </w:r>
          </w:p>
        </w:tc>
        <w:tc>
          <w:tcPr>
            <w:tcW w:w="124.30pt" w:type="dxa"/>
          </w:tcPr>
          <w:p w14:paraId="6EB2301F" w14:textId="4FC24182" w:rsidR="004558E5" w:rsidRPr="003D45A5" w:rsidRDefault="0021486F" w:rsidP="00CE34B3">
            <w:pPr>
              <w:pStyle w:val="tablecolhead"/>
              <w:jc w:val="start"/>
              <w:rPr>
                <w:b w:val="0"/>
                <w:bCs w:val="0"/>
              </w:rPr>
            </w:pPr>
            <w:r>
              <w:rPr>
                <w:b w:val="0"/>
                <w:bCs w:val="0"/>
              </w:rPr>
              <w:t>Limited; principally AWS-native</w:t>
            </w:r>
          </w:p>
        </w:tc>
        <w:tc>
          <w:tcPr>
            <w:tcW w:w="124.30pt" w:type="dxa"/>
          </w:tcPr>
          <w:p w14:paraId="44ED0FFF" w14:textId="47323D79" w:rsidR="004558E5" w:rsidRPr="003D45A5" w:rsidRDefault="0021486F" w:rsidP="00CE34B3">
            <w:pPr>
              <w:pStyle w:val="tablecolhead"/>
              <w:jc w:val="start"/>
              <w:rPr>
                <w:b w:val="0"/>
                <w:bCs w:val="0"/>
              </w:rPr>
            </w:pPr>
            <w:r>
              <w:rPr>
                <w:b w:val="0"/>
                <w:bCs w:val="0"/>
              </w:rPr>
              <w:t>Connectors for AWS and GCP accounts</w:t>
            </w:r>
          </w:p>
        </w:tc>
        <w:tc>
          <w:tcPr>
            <w:tcW w:w="124.30pt" w:type="dxa"/>
          </w:tcPr>
          <w:p w14:paraId="558B717E" w14:textId="41DCA918" w:rsidR="004558E5" w:rsidRPr="003D45A5" w:rsidRDefault="0021486F" w:rsidP="00CE34B3">
            <w:pPr>
              <w:pStyle w:val="tablecolhead"/>
              <w:jc w:val="start"/>
              <w:rPr>
                <w:b w:val="0"/>
                <w:bCs w:val="0"/>
              </w:rPr>
            </w:pPr>
            <w:r>
              <w:rPr>
                <w:b w:val="0"/>
                <w:bCs w:val="0"/>
              </w:rPr>
              <w:t>Connectors for AWS and Azure at higher tiers</w:t>
            </w:r>
          </w:p>
        </w:tc>
      </w:tr>
      <w:tr w:rsidR="004558E5" w:rsidRPr="00335B46" w14:paraId="5F61384C" w14:textId="77777777" w:rsidTr="00616095">
        <w:trPr>
          <w:trHeight w:val="231"/>
        </w:trPr>
        <w:tc>
          <w:tcPr>
            <w:tcW w:w="124.30pt" w:type="dxa"/>
          </w:tcPr>
          <w:p w14:paraId="30E7A543" w14:textId="00A3E9A1" w:rsidR="004558E5" w:rsidRPr="003D45A5" w:rsidRDefault="0021486F" w:rsidP="00CE34B3">
            <w:pPr>
              <w:pStyle w:val="tablecolhead"/>
              <w:jc w:val="start"/>
              <w:rPr>
                <w:b w:val="0"/>
                <w:bCs w:val="0"/>
              </w:rPr>
            </w:pPr>
            <w:r>
              <w:rPr>
                <w:b w:val="0"/>
                <w:bCs w:val="0"/>
              </w:rPr>
              <w:t>Principal limitation</w:t>
            </w:r>
          </w:p>
        </w:tc>
        <w:tc>
          <w:tcPr>
            <w:tcW w:w="124.30pt" w:type="dxa"/>
          </w:tcPr>
          <w:p w14:paraId="41BBCA64" w14:textId="2CF69B2F" w:rsidR="004558E5" w:rsidRPr="003D45A5" w:rsidRDefault="0021486F" w:rsidP="00CE34B3">
            <w:pPr>
              <w:pStyle w:val="tablecolhead"/>
              <w:jc w:val="start"/>
              <w:rPr>
                <w:b w:val="0"/>
                <w:bCs w:val="0"/>
              </w:rPr>
            </w:pPr>
            <w:r>
              <w:rPr>
                <w:b w:val="0"/>
                <w:bCs w:val="0"/>
              </w:rPr>
              <w:t>Integration burden falls on the customer</w:t>
            </w:r>
          </w:p>
        </w:tc>
        <w:tc>
          <w:tcPr>
            <w:tcW w:w="124.30pt" w:type="dxa"/>
          </w:tcPr>
          <w:p w14:paraId="5C502A01" w14:textId="645EADE3" w:rsidR="004558E5" w:rsidRPr="003D45A5" w:rsidRDefault="0021486F" w:rsidP="00CE34B3">
            <w:pPr>
              <w:pStyle w:val="tablecolhead"/>
              <w:jc w:val="start"/>
              <w:rPr>
                <w:b w:val="0"/>
                <w:bCs w:val="0"/>
              </w:rPr>
            </w:pPr>
            <w:r>
              <w:rPr>
                <w:b w:val="0"/>
                <w:bCs w:val="0"/>
              </w:rPr>
              <w:t>Cross-cloud depth lags first-party coverage</w:t>
            </w:r>
          </w:p>
        </w:tc>
        <w:tc>
          <w:tcPr>
            <w:tcW w:w="124.30pt" w:type="dxa"/>
          </w:tcPr>
          <w:p w14:paraId="0A6853BD" w14:textId="31A61237" w:rsidR="004558E5" w:rsidRPr="003D45A5" w:rsidRDefault="0021486F" w:rsidP="00CE34B3">
            <w:pPr>
              <w:pStyle w:val="tablecolhead"/>
              <w:jc w:val="start"/>
              <w:rPr>
                <w:b w:val="0"/>
                <w:bCs w:val="0"/>
              </w:rPr>
            </w:pPr>
            <w:r>
              <w:rPr>
                <w:b w:val="0"/>
                <w:bCs w:val="0"/>
              </w:rPr>
              <w:t>Advanced capability gated behind higher tiers</w:t>
            </w:r>
          </w:p>
        </w:tc>
      </w:tr>
    </w:tbl>
    <w:p w14:paraId="5630E4BC" w14:textId="77777777" w:rsidR="00C4079D" w:rsidRDefault="00C4079D" w:rsidP="002F485D">
      <w:pPr>
        <w:pStyle w:val="BodyText"/>
        <w:rPr>
          <w:lang w:val="en-GB"/>
        </w:rPr>
        <w:sectPr w:rsidR="00C4079D" w:rsidSect="00C4079D">
          <w:type w:val="continuous"/>
          <w:pgSz w:w="595.30pt" w:h="841.90pt" w:code="9"/>
          <w:pgMar w:top="54pt" w:right="45.35pt" w:bottom="72pt" w:left="45.35pt" w:header="36pt" w:footer="36pt" w:gutter="0pt"/>
          <w:cols w:space="18pt"/>
          <w:docGrid w:linePitch="360"/>
        </w:sectPr>
      </w:pPr>
    </w:p>
    <w:p w14:paraId="15D5945D" w14:textId="0410D06A" w:rsidR="00895903" w:rsidRPr="00335B46" w:rsidRDefault="00616095" w:rsidP="00895903">
      <w:pPr>
        <w:pStyle w:val="Heading1"/>
        <w:rPr>
          <w:noProof w:val="0"/>
        </w:rPr>
      </w:pPr>
      <w:r>
        <w:rPr>
          <w:noProof w:val="0"/>
        </w:rPr>
        <w:t>Case Study Evidence</w:t>
      </w:r>
    </w:p>
    <w:p w14:paraId="5F90BD73" w14:textId="63A4A7B6" w:rsidR="007C0B1C" w:rsidRDefault="00D93BD0" w:rsidP="007C0B1C">
      <w:pPr>
        <w:pStyle w:val="BodyText"/>
        <w:rPr>
          <w:lang w:val="en-GB"/>
        </w:rPr>
      </w:pPr>
      <w:r>
        <w:rPr>
          <w:lang w:val="en-GB"/>
        </w:rPr>
        <w:t xml:space="preserve">Four incidents, summarised in Table II, illustrate how the </w:t>
      </w:r>
      <w:r w:rsidR="006C0057">
        <w:rPr>
          <w:lang w:val="en-GB"/>
        </w:rPr>
        <w:t xml:space="preserve">failure </w:t>
      </w:r>
      <w:r>
        <w:rPr>
          <w:lang w:val="en-GB"/>
        </w:rPr>
        <w:t>mechanism</w:t>
      </w:r>
      <w:r w:rsidR="00AB1AC5">
        <w:rPr>
          <w:lang w:val="en-GB"/>
        </w:rPr>
        <w:t>s</w:t>
      </w:r>
      <w:r>
        <w:rPr>
          <w:lang w:val="en-GB"/>
        </w:rPr>
        <w:t xml:space="preserve"> described </w:t>
      </w:r>
      <w:r w:rsidR="00AB1AC5">
        <w:rPr>
          <w:lang w:val="en-GB"/>
        </w:rPr>
        <w:t xml:space="preserve">in Section II </w:t>
      </w:r>
      <w:r>
        <w:rPr>
          <w:lang w:val="en-GB"/>
        </w:rPr>
        <w:t>mani</w:t>
      </w:r>
      <w:r w:rsidR="001E635E">
        <w:rPr>
          <w:lang w:val="en-GB"/>
        </w:rPr>
        <w:t xml:space="preserve">fest in practice; the pattern they exhibit is consistent with the breach analyses published in the Cloud Security Alliance deep-dive series </w:t>
      </w:r>
      <w:sdt>
        <w:sdtPr>
          <w:rPr>
            <w:color w:val="000000"/>
            <w:highlight w:val="white"/>
            <w:lang w:val="en-GB"/>
          </w:rPr>
          <w:alias w:val="Citation"/>
          <w:tag w:val="{&quot;referencesIds&quot;:[&quot;doc:6a6625db7b91ef02af373fb8&quot;],&quot;referencesOptions&quot;:{&quot;doc:6a6625db7b91ef02af373f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6871847"/>
          <w:placeholder>
            <w:docPart w:val="CBE412E7FAD24ACEBABCFA8B90819953"/>
          </w:placeholder>
        </w:sdtPr>
        <w:sdtContent>
          <w:r w:rsidR="00D23AF0">
            <w:rPr>
              <w:rFonts w:eastAsia="Times New Roman"/>
              <w:color w:val="000000"/>
            </w:rPr>
            <w:t>[19]</w:t>
          </w:r>
        </w:sdtContent>
      </w:sdt>
      <w:r w:rsidR="00234DFE">
        <w:rPr>
          <w:lang w:val="en-GB"/>
        </w:rPr>
        <w:t>.</w:t>
      </w:r>
      <w:r w:rsidR="002B7646">
        <w:rPr>
          <w:lang w:val="en-GB"/>
        </w:rPr>
        <w:t xml:space="preserve"> The</w:t>
      </w:r>
      <w:r w:rsidR="00CC613D">
        <w:rPr>
          <w:lang w:val="en-GB"/>
        </w:rPr>
        <w:t xml:space="preserve"> Capital One breach of 2019 remains the most thoroughly documented. Khan et al.’s systema</w:t>
      </w:r>
      <w:r w:rsidR="002012E9">
        <w:rPr>
          <w:lang w:val="en-GB"/>
        </w:rPr>
        <w:t>tic analysis shows that an attacker exploited a server-side request forgery flaw in a web application firewall to query the instance metadata service, obtained the temporary credentials of an over-permissioned role and exfiltrated data on approximately 100 million individuals</w:t>
      </w:r>
      <w:r w:rsidR="00CE647F">
        <w:rPr>
          <w:lang w:val="en-GB"/>
        </w:rPr>
        <w:t xml:space="preserve"> from object storage </w:t>
      </w:r>
      <w:sdt>
        <w:sdtPr>
          <w:rPr>
            <w:color w:val="000000"/>
            <w:highlight w:val="white"/>
            <w:lang w:val="en-GB"/>
          </w:rPr>
          <w:alias w:val="Citation"/>
          <w:tag w:val="{&quot;referencesIds&quot;:[&quot;doc:6a6626243853b670f11821dc&quot;],&quot;referencesOptions&quot;:{&quot;doc:6a6626243853b670f11821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7816080"/>
          <w:placeholder>
            <w:docPart w:val="E4EFBF6644B94F8D9368B1361703CFCD"/>
          </w:placeholder>
        </w:sdtPr>
        <w:sdtContent>
          <w:r w:rsidR="00D23AF0">
            <w:rPr>
              <w:rFonts w:eastAsia="Times New Roman"/>
              <w:color w:val="000000"/>
            </w:rPr>
            <w:t>[20]</w:t>
          </w:r>
        </w:sdtContent>
      </w:sdt>
      <w:r w:rsidR="00CE647F">
        <w:rPr>
          <w:lang w:val="en-GB"/>
        </w:rPr>
        <w:t xml:space="preserve">. </w:t>
      </w:r>
      <w:r w:rsidR="00E316DA">
        <w:rPr>
          <w:lang w:val="en-GB"/>
        </w:rPr>
        <w:t xml:space="preserve">No provider vulnerability was involved; the decisive failures were an excessive entitlement and a metadata </w:t>
      </w:r>
      <w:r w:rsidR="005363E3">
        <w:rPr>
          <w:lang w:val="en-GB"/>
        </w:rPr>
        <w:t>service configuration that CSPM and entitlement analysis would flag as policy violations.</w:t>
      </w:r>
    </w:p>
    <w:p w14:paraId="788A4B48" w14:textId="6A0E1257" w:rsidR="007C0B1C" w:rsidRDefault="00B0147F" w:rsidP="007C0B1C">
      <w:pPr>
        <w:pStyle w:val="BodyText"/>
        <w:rPr>
          <w:lang w:val="en-GB"/>
        </w:rPr>
      </w:pPr>
      <w:r>
        <w:rPr>
          <w:lang w:val="en-GB"/>
        </w:rPr>
        <w:t xml:space="preserve">The Toyota disclosure of 2023 demonstrates the temporal dimension of posture risk. A misconfigured cloud environment left vehicle telematics data for roughly 2.15 </w:t>
      </w:r>
      <w:r>
        <w:rPr>
          <w:lang w:val="en-GB"/>
        </w:rPr>
        <w:t xml:space="preserve">million </w:t>
      </w:r>
      <w:r w:rsidR="00922E89">
        <w:rPr>
          <w:lang w:val="en-GB"/>
        </w:rPr>
        <w:t xml:space="preserve">customers publicly accessible for approximately a decade, an exposure the company attributed to insufficient dissemination and enforcement of data-handling rules </w:t>
      </w:r>
      <w:sdt>
        <w:sdtPr>
          <w:rPr>
            <w:color w:val="000000"/>
            <w:highlight w:val="white"/>
            <w:lang w:val="en-GB"/>
          </w:rPr>
          <w:alias w:val="Citation"/>
          <w:tag w:val="{&quot;referencesIds&quot;:[&quot;doc:6a66273f4bad1318faefce18&quot;],&quot;referencesOptions&quot;:{&quot;doc:6a66273f4bad1318faefc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8002636"/>
          <w:placeholder>
            <w:docPart w:val="D74C7EDA9C0B45A2920A2A447BBFE371"/>
          </w:placeholder>
        </w:sdtPr>
        <w:sdtContent>
          <w:r w:rsidR="00D23AF0">
            <w:rPr>
              <w:rFonts w:eastAsia="Times New Roman"/>
              <w:color w:val="000000"/>
            </w:rPr>
            <w:t>[21]</w:t>
          </w:r>
        </w:sdtContent>
      </w:sdt>
      <w:r w:rsidR="00922E89">
        <w:rPr>
          <w:lang w:val="en-GB"/>
        </w:rPr>
        <w:t xml:space="preserve">. </w:t>
      </w:r>
      <w:r w:rsidR="002A6733">
        <w:rPr>
          <w:lang w:val="en-GB"/>
        </w:rPr>
        <w:t>Continuous posture monitoring is designed precisely to compress that detection interval from years to minutes.</w:t>
      </w:r>
    </w:p>
    <w:p w14:paraId="1AC0A60D" w14:textId="46041E8B" w:rsidR="00230A2E" w:rsidRDefault="002A6733" w:rsidP="00230A2E">
      <w:pPr>
        <w:pStyle w:val="BodyText"/>
        <w:rPr>
          <w:lang w:val="en-GB"/>
        </w:rPr>
      </w:pPr>
      <w:r>
        <w:rPr>
          <w:lang w:val="en-GB"/>
        </w:rPr>
        <w:t xml:space="preserve">The Snowflake </w:t>
      </w:r>
      <w:r w:rsidR="008D269A">
        <w:rPr>
          <w:lang w:val="en-GB"/>
        </w:rPr>
        <w:t>campaign of 2024 shows the limits of configuration-only thinking. The threat actor tracked as UNC5537 used credential harvested by infostealer</w:t>
      </w:r>
      <w:r w:rsidR="00D72F26">
        <w:rPr>
          <w:lang w:val="en-GB"/>
        </w:rPr>
        <w:t xml:space="preserve"> malware, some dating to 2020, to access approximately 165 customer tenancies; the decisive conditions were absent multi-factor authentication, unrotated credentials and no</w:t>
      </w:r>
      <w:r w:rsidR="00AA719C">
        <w:rPr>
          <w:lang w:val="en-GB"/>
        </w:rPr>
        <w:t xml:space="preserve"> network-location restriction </w:t>
      </w:r>
      <w:sdt>
        <w:sdtPr>
          <w:rPr>
            <w:color w:val="000000"/>
            <w:highlight w:val="white"/>
            <w:lang w:val="en-GB"/>
          </w:rPr>
          <w:alias w:val="Citation"/>
          <w:tag w:val="{&quot;referencesIds&quot;:[&quot;doc:6a6627e3a799961e1e6163a1&quot;],&quot;referencesOptions&quot;:{&quot;doc:6a6627e3a799961e1e616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3137391"/>
          <w:placeholder>
            <w:docPart w:val="3BF8DCDC728A48278390336916636886"/>
          </w:placeholder>
        </w:sdtPr>
        <w:sdtContent>
          <w:r w:rsidR="00D23AF0">
            <w:rPr>
              <w:rFonts w:eastAsia="Times New Roman"/>
              <w:color w:val="000000"/>
            </w:rPr>
            <w:t>[22]</w:t>
          </w:r>
        </w:sdtContent>
      </w:sdt>
      <w:r w:rsidR="00230A2E">
        <w:rPr>
          <w:lang w:val="en-GB"/>
        </w:rPr>
        <w:t xml:space="preserve">. Finally, the Codefinger campaign of 2025 encrypted victims’ object storage using the provider’s own server-side encryption with customer-provided keys, exploiting no platform vulnerability but only compromised access keys holding read and write permissions </w:t>
      </w:r>
      <w:sdt>
        <w:sdtPr>
          <w:rPr>
            <w:color w:val="000000"/>
            <w:highlight w:val="white"/>
            <w:lang w:val="en-GB"/>
          </w:rPr>
          <w:alias w:val="Citation"/>
          <w:tag w:val="{&quot;referencesIds&quot;:[&quot;doc:6a6628f2a799961e1e6163a4&quot;],&quot;referencesOptions&quot;:{&quot;doc:6a6628f2a799961e1e6163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9178927"/>
          <w:placeholder>
            <w:docPart w:val="335352F4077E4DDD98E5FD8F9FA0935F"/>
          </w:placeholder>
        </w:sdtPr>
        <w:sdtContent>
          <w:r w:rsidR="00D23AF0">
            <w:rPr>
              <w:rFonts w:eastAsia="Times New Roman"/>
              <w:color w:val="000000"/>
            </w:rPr>
            <w:t>[23]</w:t>
          </w:r>
        </w:sdtContent>
      </w:sdt>
      <w:r w:rsidR="00230A2E">
        <w:rPr>
          <w:lang w:val="en-GB"/>
        </w:rPr>
        <w:t>.</w:t>
      </w:r>
      <w:r w:rsidR="009D19B7">
        <w:rPr>
          <w:lang w:val="en-GB"/>
        </w:rPr>
        <w:t xml:space="preserve"> Both cases are entitlement failures that posture tooling can detect as policy violations</w:t>
      </w:r>
      <w:r w:rsidR="004842D2">
        <w:rPr>
          <w:lang w:val="en-GB"/>
        </w:rPr>
        <w:t xml:space="preserve"> before they are exploited, but neither</w:t>
      </w:r>
      <w:r w:rsidR="00474B1A">
        <w:rPr>
          <w:lang w:val="en-GB"/>
        </w:rPr>
        <w:t xml:space="preserve"> is a misconfiguration in the narrow sense of a public bucket.</w:t>
      </w:r>
    </w:p>
    <w:p w14:paraId="5B3E97C4" w14:textId="77777777" w:rsidR="003E36B7" w:rsidRDefault="003E36B7" w:rsidP="00D246AE">
      <w:pPr>
        <w:pStyle w:val="tablehead"/>
        <w:rPr>
          <w:lang w:val="en-GB"/>
        </w:rPr>
        <w:sectPr w:rsidR="003E36B7" w:rsidSect="003B4E04">
          <w:type w:val="continuous"/>
          <w:pgSz w:w="595.30pt" w:h="841.90pt" w:code="9"/>
          <w:pgMar w:top="54pt" w:right="45.35pt" w:bottom="72pt" w:left="45.35pt" w:header="36pt" w:footer="36pt" w:gutter="0pt"/>
          <w:cols w:num="2" w:space="18pt"/>
          <w:docGrid w:linePitch="360"/>
        </w:sectPr>
      </w:pPr>
    </w:p>
    <w:p w14:paraId="60A977BE" w14:textId="77777777" w:rsidR="00656A2C" w:rsidRDefault="003E36B7" w:rsidP="00656A2C">
      <w:pPr>
        <w:pStyle w:val="tablehead"/>
        <w:rPr>
          <w:lang w:val="en-GB"/>
        </w:rPr>
      </w:pPr>
      <w:r>
        <w:rPr>
          <w:lang w:val="en-GB"/>
        </w:rPr>
        <w:t>CASE STUDY ANALYSIS: ROOT CAUSE AND POSTURE-MANAGEMENT RELEVANCE</w:t>
      </w:r>
    </w:p>
    <w:tbl>
      <w:tblPr>
        <w:tblStyle w:val="TableGrid"/>
        <w:tblW w:w="510.30pt" w:type="dxa"/>
        <w:tblInd w:w="0.25pt" w:type="dxa"/>
        <w:tblLayout w:type="fixed"/>
        <w:tblLook w:firstRow="0" w:lastRow="0" w:firstColumn="0" w:lastColumn="0" w:noHBand="0" w:noVBand="0"/>
      </w:tblPr>
      <w:tblGrid>
        <w:gridCol w:w="2013"/>
        <w:gridCol w:w="1673"/>
        <w:gridCol w:w="2353"/>
        <w:gridCol w:w="2013"/>
        <w:gridCol w:w="2154"/>
      </w:tblGrid>
      <w:tr w:rsidR="006A19CE" w:rsidRPr="00335B46" w14:paraId="3CF1615D" w14:textId="229C26F5" w:rsidTr="00710128">
        <w:trPr>
          <w:trHeight w:val="231"/>
        </w:trPr>
        <w:tc>
          <w:tcPr>
            <w:tcW w:w="100.65pt" w:type="dxa"/>
            <w:shd w:val="clear" w:color="auto" w:fill="D0CECE" w:themeFill="background2" w:themeFillShade="E6"/>
          </w:tcPr>
          <w:p w14:paraId="60639F2B" w14:textId="44BF344F" w:rsidR="006A19CE" w:rsidRPr="00335B46" w:rsidRDefault="006A19CE" w:rsidP="0034513E">
            <w:pPr>
              <w:pStyle w:val="tablecolhead"/>
            </w:pPr>
            <w:r>
              <w:t>Incident (year)</w:t>
            </w:r>
          </w:p>
        </w:tc>
        <w:tc>
          <w:tcPr>
            <w:tcW w:w="83.65pt" w:type="dxa"/>
            <w:shd w:val="clear" w:color="auto" w:fill="D0CECE" w:themeFill="background2" w:themeFillShade="E6"/>
          </w:tcPr>
          <w:p w14:paraId="68DE2B15" w14:textId="2996A59B" w:rsidR="006A19CE" w:rsidRPr="00335B46" w:rsidRDefault="006A19CE" w:rsidP="0034513E">
            <w:pPr>
              <w:pStyle w:val="tablecolhead"/>
            </w:pPr>
            <w:r>
              <w:t>Platform and scale</w:t>
            </w:r>
          </w:p>
        </w:tc>
        <w:tc>
          <w:tcPr>
            <w:tcW w:w="117.65pt" w:type="dxa"/>
            <w:shd w:val="clear" w:color="auto" w:fill="D0CECE" w:themeFill="background2" w:themeFillShade="E6"/>
          </w:tcPr>
          <w:p w14:paraId="2E27A523" w14:textId="6186962A" w:rsidR="006A19CE" w:rsidRPr="00335B46" w:rsidRDefault="006A19CE" w:rsidP="0034513E">
            <w:pPr>
              <w:pStyle w:val="tablecolhead"/>
            </w:pPr>
            <w:r>
              <w:t>Root cause</w:t>
            </w:r>
          </w:p>
        </w:tc>
        <w:tc>
          <w:tcPr>
            <w:tcW w:w="100.65pt" w:type="dxa"/>
            <w:shd w:val="clear" w:color="auto" w:fill="D0CECE" w:themeFill="background2" w:themeFillShade="E6"/>
          </w:tcPr>
          <w:p w14:paraId="41F707C1" w14:textId="31CC5F3E" w:rsidR="006A19CE" w:rsidRPr="00335B46" w:rsidRDefault="006A19CE" w:rsidP="0034513E">
            <w:pPr>
              <w:pStyle w:val="tablecolhead"/>
            </w:pPr>
            <w:r>
              <w:t>Detectable by CSPM?</w:t>
            </w:r>
          </w:p>
        </w:tc>
        <w:tc>
          <w:tcPr>
            <w:tcW w:w="107.70pt" w:type="dxa"/>
            <w:shd w:val="clear" w:color="auto" w:fill="D0CECE" w:themeFill="background2" w:themeFillShade="E6"/>
          </w:tcPr>
          <w:p w14:paraId="5B8F4ECF" w14:textId="24192404" w:rsidR="006A19CE" w:rsidRDefault="006A19CE" w:rsidP="0034513E">
            <w:pPr>
              <w:pStyle w:val="tablecolhead"/>
            </w:pPr>
            <w:r>
              <w:t>C</w:t>
            </w:r>
            <w:r w:rsidR="00F811B3">
              <w:t>ontrol implication</w:t>
            </w:r>
          </w:p>
        </w:tc>
      </w:tr>
      <w:tr w:rsidR="006A19CE" w:rsidRPr="00335B46" w14:paraId="698A5367" w14:textId="2C4FCA6E" w:rsidTr="00710128">
        <w:trPr>
          <w:trHeight w:val="231"/>
        </w:trPr>
        <w:tc>
          <w:tcPr>
            <w:tcW w:w="100.65pt" w:type="dxa"/>
          </w:tcPr>
          <w:p w14:paraId="1330F5FE" w14:textId="4C8B56E6" w:rsidR="006A19CE" w:rsidRPr="004558E5" w:rsidRDefault="00F811B3" w:rsidP="0034513E">
            <w:pPr>
              <w:pStyle w:val="tablecolhead"/>
              <w:jc w:val="start"/>
              <w:rPr>
                <w:b w:val="0"/>
                <w:bCs w:val="0"/>
              </w:rPr>
            </w:pPr>
            <w:r>
              <w:rPr>
                <w:b w:val="0"/>
                <w:bCs w:val="0"/>
              </w:rPr>
              <w:t>Capital One (2019)</w:t>
            </w:r>
          </w:p>
        </w:tc>
        <w:tc>
          <w:tcPr>
            <w:tcW w:w="83.65pt" w:type="dxa"/>
          </w:tcPr>
          <w:p w14:paraId="5859D682" w14:textId="74970FCD" w:rsidR="006A19CE" w:rsidRPr="004558E5" w:rsidRDefault="00F82121" w:rsidP="0034513E">
            <w:pPr>
              <w:pStyle w:val="tablecolhead"/>
              <w:jc w:val="start"/>
              <w:rPr>
                <w:b w:val="0"/>
                <w:bCs w:val="0"/>
              </w:rPr>
            </w:pPr>
            <w:r>
              <w:rPr>
                <w:b w:val="0"/>
                <w:bCs w:val="0"/>
              </w:rPr>
              <w:t>AWS; c. 100 million records</w:t>
            </w:r>
          </w:p>
        </w:tc>
        <w:tc>
          <w:tcPr>
            <w:tcW w:w="117.65pt" w:type="dxa"/>
          </w:tcPr>
          <w:p w14:paraId="09870CC6" w14:textId="4C48068D" w:rsidR="006A19CE" w:rsidRPr="004558E5" w:rsidRDefault="00DA6CDA" w:rsidP="0034513E">
            <w:pPr>
              <w:pStyle w:val="tablecolhead"/>
              <w:jc w:val="start"/>
              <w:rPr>
                <w:b w:val="0"/>
                <w:bCs w:val="0"/>
              </w:rPr>
            </w:pPr>
            <w:r>
              <w:rPr>
                <w:b w:val="0"/>
                <w:bCs w:val="0"/>
              </w:rPr>
              <w:t xml:space="preserve">SSRF against a web application firewall chained to an over-permissioned </w:t>
            </w:r>
            <w:r w:rsidR="0019502B">
              <w:rPr>
                <w:b w:val="0"/>
                <w:bCs w:val="0"/>
              </w:rPr>
              <w:t>instance role and unauthenticated metadata service</w:t>
            </w:r>
          </w:p>
        </w:tc>
        <w:tc>
          <w:tcPr>
            <w:tcW w:w="100.65pt" w:type="dxa"/>
          </w:tcPr>
          <w:p w14:paraId="1D01CFB7" w14:textId="5463E181" w:rsidR="006A19CE" w:rsidRPr="004558E5" w:rsidRDefault="0019502B" w:rsidP="0034513E">
            <w:pPr>
              <w:pStyle w:val="tablecolhead"/>
              <w:jc w:val="start"/>
              <w:rPr>
                <w:b w:val="0"/>
                <w:bCs w:val="0"/>
              </w:rPr>
            </w:pPr>
            <w:r>
              <w:rPr>
                <w:b w:val="0"/>
                <w:bCs w:val="0"/>
              </w:rPr>
              <w:t>Yes – excessive entitlement and metadata configuration are policy violations</w:t>
            </w:r>
          </w:p>
        </w:tc>
        <w:tc>
          <w:tcPr>
            <w:tcW w:w="107.70pt" w:type="dxa"/>
          </w:tcPr>
          <w:p w14:paraId="0C159C14" w14:textId="7D56797B" w:rsidR="006A19CE" w:rsidRPr="004558E5" w:rsidRDefault="0019502B" w:rsidP="0034513E">
            <w:pPr>
              <w:pStyle w:val="tablecolhead"/>
              <w:jc w:val="start"/>
              <w:rPr>
                <w:b w:val="0"/>
                <w:bCs w:val="0"/>
              </w:rPr>
            </w:pPr>
            <w:r>
              <w:rPr>
                <w:b w:val="0"/>
                <w:bCs w:val="0"/>
              </w:rPr>
              <w:t>Least-privilege en</w:t>
            </w:r>
            <w:r w:rsidR="000E1873">
              <w:rPr>
                <w:b w:val="0"/>
                <w:bCs w:val="0"/>
              </w:rPr>
              <w:t>forcement; entitlement analysis; hardened metadata service</w:t>
            </w:r>
          </w:p>
        </w:tc>
      </w:tr>
      <w:tr w:rsidR="006A19CE" w:rsidRPr="00335B46" w14:paraId="5F88A926" w14:textId="5FDD0F94" w:rsidTr="00710128">
        <w:trPr>
          <w:trHeight w:val="231"/>
        </w:trPr>
        <w:tc>
          <w:tcPr>
            <w:tcW w:w="100.65pt" w:type="dxa"/>
          </w:tcPr>
          <w:p w14:paraId="7AAE91E6" w14:textId="05D2B225" w:rsidR="006A19CE" w:rsidRPr="003D45A5" w:rsidRDefault="00F811B3" w:rsidP="0034513E">
            <w:pPr>
              <w:pStyle w:val="tablecolhead"/>
              <w:jc w:val="start"/>
              <w:rPr>
                <w:b w:val="0"/>
                <w:bCs w:val="0"/>
              </w:rPr>
            </w:pPr>
            <w:r>
              <w:rPr>
                <w:b w:val="0"/>
                <w:bCs w:val="0"/>
              </w:rPr>
              <w:t>Toyota (2023)</w:t>
            </w:r>
          </w:p>
        </w:tc>
        <w:tc>
          <w:tcPr>
            <w:tcW w:w="83.65pt" w:type="dxa"/>
          </w:tcPr>
          <w:p w14:paraId="16200B95" w14:textId="653B5993" w:rsidR="006A19CE" w:rsidRPr="003D45A5" w:rsidRDefault="000E1873" w:rsidP="0034513E">
            <w:pPr>
              <w:pStyle w:val="tablecolhead"/>
              <w:jc w:val="start"/>
              <w:rPr>
                <w:b w:val="0"/>
                <w:bCs w:val="0"/>
              </w:rPr>
            </w:pPr>
            <w:r>
              <w:rPr>
                <w:b w:val="0"/>
                <w:bCs w:val="0"/>
              </w:rPr>
              <w:t>Cloud environment; c. 2.15 million customers</w:t>
            </w:r>
          </w:p>
        </w:tc>
        <w:tc>
          <w:tcPr>
            <w:tcW w:w="117.65pt" w:type="dxa"/>
          </w:tcPr>
          <w:p w14:paraId="666923AD" w14:textId="548E3759" w:rsidR="006A19CE" w:rsidRPr="003D45A5" w:rsidRDefault="000E1873" w:rsidP="0034513E">
            <w:pPr>
              <w:pStyle w:val="tablecolhead"/>
              <w:jc w:val="start"/>
              <w:rPr>
                <w:b w:val="0"/>
                <w:bCs w:val="0"/>
              </w:rPr>
            </w:pPr>
            <w:r>
              <w:rPr>
                <w:b w:val="0"/>
                <w:bCs w:val="0"/>
              </w:rPr>
              <w:t xml:space="preserve">Public exposure of telematics data through misconfiguration, </w:t>
            </w:r>
            <w:r w:rsidR="00CA5215">
              <w:rPr>
                <w:b w:val="0"/>
                <w:bCs w:val="0"/>
              </w:rPr>
              <w:t>u</w:t>
            </w:r>
            <w:r>
              <w:rPr>
                <w:b w:val="0"/>
                <w:bCs w:val="0"/>
              </w:rPr>
              <w:t>ndetected for approximately ten years</w:t>
            </w:r>
          </w:p>
        </w:tc>
        <w:tc>
          <w:tcPr>
            <w:tcW w:w="100.65pt" w:type="dxa"/>
          </w:tcPr>
          <w:p w14:paraId="6A8A87CD" w14:textId="071288FB" w:rsidR="006A19CE" w:rsidRPr="003D45A5" w:rsidRDefault="00CA5215" w:rsidP="0034513E">
            <w:pPr>
              <w:pStyle w:val="tablecolhead"/>
              <w:jc w:val="start"/>
              <w:rPr>
                <w:b w:val="0"/>
                <w:bCs w:val="0"/>
              </w:rPr>
            </w:pPr>
            <w:r>
              <w:rPr>
                <w:b w:val="0"/>
                <w:bCs w:val="0"/>
              </w:rPr>
              <w:t>Yes – public exposure of a data store is a primary posture check</w:t>
            </w:r>
          </w:p>
        </w:tc>
        <w:tc>
          <w:tcPr>
            <w:tcW w:w="107.70pt" w:type="dxa"/>
          </w:tcPr>
          <w:p w14:paraId="3EAB9188" w14:textId="703619E7" w:rsidR="006A19CE" w:rsidRDefault="00CA5215" w:rsidP="0034513E">
            <w:pPr>
              <w:pStyle w:val="tablecolhead"/>
              <w:jc w:val="start"/>
              <w:rPr>
                <w:b w:val="0"/>
                <w:bCs w:val="0"/>
              </w:rPr>
            </w:pPr>
            <w:r>
              <w:rPr>
                <w:b w:val="0"/>
                <w:bCs w:val="0"/>
              </w:rPr>
              <w:t>Continuous drift detection; asset ownership; defined remediation service levels</w:t>
            </w:r>
          </w:p>
        </w:tc>
      </w:tr>
      <w:tr w:rsidR="006A19CE" w:rsidRPr="00335B46" w14:paraId="0DD9A34A" w14:textId="4A4896AC" w:rsidTr="00710128">
        <w:trPr>
          <w:trHeight w:val="231"/>
        </w:trPr>
        <w:tc>
          <w:tcPr>
            <w:tcW w:w="100.65pt" w:type="dxa"/>
          </w:tcPr>
          <w:p w14:paraId="18CE034E" w14:textId="43C80FAD" w:rsidR="006A19CE" w:rsidRPr="003D45A5" w:rsidRDefault="00F811B3" w:rsidP="0034513E">
            <w:pPr>
              <w:pStyle w:val="tablecolhead"/>
              <w:jc w:val="start"/>
              <w:rPr>
                <w:b w:val="0"/>
                <w:bCs w:val="0"/>
              </w:rPr>
            </w:pPr>
            <w:r>
              <w:rPr>
                <w:b w:val="0"/>
                <w:bCs w:val="0"/>
              </w:rPr>
              <w:t>Snowflake customers (2024)</w:t>
            </w:r>
          </w:p>
        </w:tc>
        <w:tc>
          <w:tcPr>
            <w:tcW w:w="83.65pt" w:type="dxa"/>
          </w:tcPr>
          <w:p w14:paraId="32617B6A" w14:textId="60EE380E" w:rsidR="006A19CE" w:rsidRPr="00CA5215" w:rsidRDefault="00CA5215" w:rsidP="0034513E">
            <w:pPr>
              <w:pStyle w:val="tablecolhead"/>
              <w:jc w:val="start"/>
              <w:rPr>
                <w:b w:val="0"/>
                <w:bCs w:val="0"/>
              </w:rPr>
            </w:pPr>
            <w:r w:rsidRPr="00CA5215">
              <w:rPr>
                <w:b w:val="0"/>
                <w:bCs w:val="0"/>
              </w:rPr>
              <w:t>SaaS data platform; c. 165 tenancies</w:t>
            </w:r>
          </w:p>
        </w:tc>
        <w:tc>
          <w:tcPr>
            <w:tcW w:w="117.65pt" w:type="dxa"/>
          </w:tcPr>
          <w:p w14:paraId="60C84E33" w14:textId="1CD82DBD" w:rsidR="006A19CE" w:rsidRPr="003D45A5" w:rsidRDefault="00CA5215" w:rsidP="0034513E">
            <w:pPr>
              <w:pStyle w:val="tablecolhead"/>
              <w:jc w:val="start"/>
              <w:rPr>
                <w:b w:val="0"/>
                <w:bCs w:val="0"/>
              </w:rPr>
            </w:pPr>
            <w:r>
              <w:rPr>
                <w:b w:val="0"/>
                <w:bCs w:val="0"/>
              </w:rPr>
              <w:t>Infostealer</w:t>
            </w:r>
            <w:r w:rsidR="00315847">
              <w:rPr>
                <w:b w:val="0"/>
                <w:bCs w:val="0"/>
              </w:rPr>
              <w:t>-harvested credentials used against accounts lacking MFA, credential rotation and network restriction</w:t>
            </w:r>
          </w:p>
        </w:tc>
        <w:tc>
          <w:tcPr>
            <w:tcW w:w="100.65pt" w:type="dxa"/>
          </w:tcPr>
          <w:p w14:paraId="7F6CD94F" w14:textId="5A59FCB3" w:rsidR="006A19CE" w:rsidRPr="003D45A5" w:rsidRDefault="00315847" w:rsidP="0034513E">
            <w:pPr>
              <w:pStyle w:val="tablecolhead"/>
              <w:jc w:val="start"/>
              <w:rPr>
                <w:b w:val="0"/>
                <w:bCs w:val="0"/>
              </w:rPr>
            </w:pPr>
            <w:r>
              <w:rPr>
                <w:b w:val="0"/>
                <w:bCs w:val="0"/>
              </w:rPr>
              <w:t>Partly – absent MFA is detectable; credential use is not</w:t>
            </w:r>
          </w:p>
        </w:tc>
        <w:tc>
          <w:tcPr>
            <w:tcW w:w="107.70pt" w:type="dxa"/>
          </w:tcPr>
          <w:p w14:paraId="5DC9334D" w14:textId="69F4A999" w:rsidR="006A19CE" w:rsidRDefault="00173984" w:rsidP="0034513E">
            <w:pPr>
              <w:pStyle w:val="tablecolhead"/>
              <w:jc w:val="start"/>
              <w:rPr>
                <w:b w:val="0"/>
                <w:bCs w:val="0"/>
              </w:rPr>
            </w:pPr>
            <w:r>
              <w:rPr>
                <w:b w:val="0"/>
                <w:bCs w:val="0"/>
              </w:rPr>
              <w:t>Identity threat detection; enforced MFA; conditional network policy</w:t>
            </w:r>
          </w:p>
        </w:tc>
      </w:tr>
      <w:tr w:rsidR="006A19CE" w:rsidRPr="00335B46" w14:paraId="5EBC8366" w14:textId="48AC63FF" w:rsidTr="00710128">
        <w:trPr>
          <w:trHeight w:val="231"/>
        </w:trPr>
        <w:tc>
          <w:tcPr>
            <w:tcW w:w="100.65pt" w:type="dxa"/>
          </w:tcPr>
          <w:p w14:paraId="7159FD76" w14:textId="05A8F615" w:rsidR="006A19CE" w:rsidRPr="003D45A5" w:rsidRDefault="007D012F" w:rsidP="0034513E">
            <w:pPr>
              <w:pStyle w:val="tablecolhead"/>
              <w:jc w:val="start"/>
              <w:rPr>
                <w:b w:val="0"/>
                <w:bCs w:val="0"/>
              </w:rPr>
            </w:pPr>
            <w:r>
              <w:rPr>
                <w:b w:val="0"/>
                <w:bCs w:val="0"/>
              </w:rPr>
              <w:t>Codefinger (2025)</w:t>
            </w:r>
          </w:p>
        </w:tc>
        <w:tc>
          <w:tcPr>
            <w:tcW w:w="83.65pt" w:type="dxa"/>
          </w:tcPr>
          <w:p w14:paraId="245D7ED2" w14:textId="3AC44258" w:rsidR="006A19CE" w:rsidRPr="003D45A5" w:rsidRDefault="00173984" w:rsidP="0034513E">
            <w:pPr>
              <w:pStyle w:val="tablecolhead"/>
              <w:jc w:val="start"/>
              <w:rPr>
                <w:b w:val="0"/>
                <w:bCs w:val="0"/>
              </w:rPr>
            </w:pPr>
            <w:r>
              <w:rPr>
                <w:b w:val="0"/>
                <w:bCs w:val="0"/>
              </w:rPr>
              <w:t>AWS object storage</w:t>
            </w:r>
          </w:p>
        </w:tc>
        <w:tc>
          <w:tcPr>
            <w:tcW w:w="117.65pt" w:type="dxa"/>
          </w:tcPr>
          <w:p w14:paraId="31D707F2" w14:textId="45F958EF" w:rsidR="006A19CE" w:rsidRPr="003D45A5" w:rsidRDefault="00173984" w:rsidP="0034513E">
            <w:pPr>
              <w:pStyle w:val="tablecolhead"/>
              <w:jc w:val="start"/>
              <w:rPr>
                <w:b w:val="0"/>
                <w:bCs w:val="0"/>
              </w:rPr>
            </w:pPr>
            <w:r>
              <w:rPr>
                <w:b w:val="0"/>
                <w:bCs w:val="0"/>
              </w:rPr>
              <w:t>Compromised access keys abused to encrypt data using the provider’s own SSE-C feature</w:t>
            </w:r>
          </w:p>
        </w:tc>
        <w:tc>
          <w:tcPr>
            <w:tcW w:w="100.65pt" w:type="dxa"/>
          </w:tcPr>
          <w:p w14:paraId="21589799" w14:textId="0DE6EB1D" w:rsidR="006A19CE" w:rsidRPr="003D45A5" w:rsidRDefault="00173984" w:rsidP="0034513E">
            <w:pPr>
              <w:pStyle w:val="tablecolhead"/>
              <w:jc w:val="start"/>
              <w:rPr>
                <w:b w:val="0"/>
                <w:bCs w:val="0"/>
              </w:rPr>
            </w:pPr>
            <w:r>
              <w:rPr>
                <w:b w:val="0"/>
                <w:bCs w:val="0"/>
              </w:rPr>
              <w:t>Partly – key exposure and permission scope are detectable; abuse is not</w:t>
            </w:r>
          </w:p>
        </w:tc>
        <w:tc>
          <w:tcPr>
            <w:tcW w:w="107.70pt" w:type="dxa"/>
          </w:tcPr>
          <w:p w14:paraId="188504C8" w14:textId="1A4F235A" w:rsidR="006A19CE" w:rsidRDefault="00173984" w:rsidP="0034513E">
            <w:pPr>
              <w:pStyle w:val="tablecolhead"/>
              <w:jc w:val="start"/>
              <w:rPr>
                <w:b w:val="0"/>
                <w:bCs w:val="0"/>
              </w:rPr>
            </w:pPr>
            <w:r>
              <w:rPr>
                <w:b w:val="0"/>
                <w:bCs w:val="0"/>
              </w:rPr>
              <w:t>Key lifecycle management; immutable and versioned backup; anomaly detection</w:t>
            </w:r>
          </w:p>
        </w:tc>
      </w:tr>
    </w:tbl>
    <w:p w14:paraId="4BFB56E6" w14:textId="77777777" w:rsidR="003B31C2" w:rsidRDefault="003B31C2" w:rsidP="00F921B8">
      <w:pPr>
        <w:pStyle w:val="Heading1"/>
        <w:sectPr w:rsidR="003B31C2" w:rsidSect="003E36B7">
          <w:type w:val="continuous"/>
          <w:pgSz w:w="595.30pt" w:h="841.90pt" w:code="9"/>
          <w:pgMar w:top="54pt" w:right="45.35pt" w:bottom="72pt" w:left="45.35pt" w:header="36pt" w:footer="36pt" w:gutter="0pt"/>
          <w:cols w:space="18pt"/>
          <w:docGrid w:linePitch="360"/>
        </w:sectPr>
      </w:pPr>
    </w:p>
    <w:p w14:paraId="4C258669" w14:textId="77777777" w:rsidR="00F921B8" w:rsidRDefault="00BA7A42" w:rsidP="003B31C2">
      <w:pPr>
        <w:pStyle w:val="Heading1"/>
      </w:pPr>
      <w:r>
        <w:t>Critical Evaluation: The Limits of Posture Management</w:t>
      </w:r>
    </w:p>
    <w:p w14:paraId="6D9AC214" w14:textId="6AE18427" w:rsidR="00124633" w:rsidRDefault="00F40272" w:rsidP="00124633">
      <w:pPr>
        <w:pStyle w:val="BodyText"/>
        <w:rPr>
          <w:lang w:val="en-GB"/>
        </w:rPr>
      </w:pPr>
      <w:r>
        <w:rPr>
          <w:lang w:val="en-GB"/>
        </w:rPr>
        <w:t xml:space="preserve">The </w:t>
      </w:r>
      <w:r w:rsidR="00630A5B">
        <w:rPr>
          <w:lang w:val="en-GB"/>
        </w:rPr>
        <w:t>evidence for CSPM should not be read uncritically, and three limitations warrant particular attention. The first is detection coverage</w:t>
      </w:r>
      <w:r w:rsidR="000F2DA2">
        <w:rPr>
          <w:lang w:val="en-GB"/>
        </w:rPr>
        <w:t xml:space="preserve">. A recent controlled evaluation seeded 28 misconfigurations </w:t>
      </w:r>
      <w:r w:rsidR="009B5E7E">
        <w:rPr>
          <w:lang w:val="en-GB"/>
        </w:rPr>
        <w:t>into an Azure environment and 24 equivalent</w:t>
      </w:r>
      <w:r w:rsidR="009B0A66">
        <w:rPr>
          <w:lang w:val="en-GB"/>
        </w:rPr>
        <w:t xml:space="preserve"> misconfigurations into AWS, then measured the detection performance of first-party and open-source posture tools; detection rates ranged from 7.1 to 78.6 per cent, and the authors </w:t>
      </w:r>
      <w:r w:rsidR="00975043">
        <w:rPr>
          <w:lang w:val="en-GB"/>
        </w:rPr>
        <w:t xml:space="preserve">concluded that such tools should not be relied upon exclusively and must be complemented by detection and response capability </w:t>
      </w:r>
      <w:sdt>
        <w:sdtPr>
          <w:rPr>
            <w:color w:val="000000"/>
            <w:highlight w:val="white"/>
            <w:lang w:val="en-GB"/>
          </w:rPr>
          <w:alias w:val="Citation"/>
          <w:tag w:val="{&quot;referencesIds&quot;:[&quot;doc:6a66299d7b91ef02af374045&quot;],&quot;referencesOptions&quot;:{&quot;doc:6a66299d7b91ef02af3740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3695769"/>
          <w:placeholder>
            <w:docPart w:val="7ECA9C7535384F698CFC96FA4C5539AB"/>
          </w:placeholder>
        </w:sdtPr>
        <w:sdtContent>
          <w:r w:rsidR="00D23AF0">
            <w:rPr>
              <w:rFonts w:eastAsia="Times New Roman"/>
              <w:color w:val="000000"/>
            </w:rPr>
            <w:t>[24]</w:t>
          </w:r>
        </w:sdtContent>
      </w:sdt>
      <w:r w:rsidR="007C1F49">
        <w:rPr>
          <w:lang w:val="en-GB"/>
        </w:rPr>
        <w:t>.</w:t>
      </w:r>
    </w:p>
    <w:p w14:paraId="0CC27E23" w14:textId="6CF6719E" w:rsidR="008D33C8" w:rsidRDefault="008D33C8" w:rsidP="00124633">
      <w:pPr>
        <w:pStyle w:val="BodyText"/>
        <w:rPr>
          <w:lang w:val="en-GB"/>
        </w:rPr>
      </w:pPr>
      <w:r>
        <w:rPr>
          <w:lang w:val="en-GB"/>
        </w:rPr>
        <w:t xml:space="preserve">The second limitation is prioritisation. Posture engines applied to a large estate readily generate tens of thousands of findings, most of which are individually </w:t>
      </w:r>
      <w:r w:rsidR="00D97A05">
        <w:rPr>
          <w:lang w:val="en-GB"/>
        </w:rPr>
        <w:t xml:space="preserve">of </w:t>
      </w:r>
      <w:r>
        <w:rPr>
          <w:lang w:val="en-GB"/>
        </w:rPr>
        <w:t xml:space="preserve">low consequence. </w:t>
      </w:r>
      <w:r w:rsidR="00D97A05">
        <w:rPr>
          <w:lang w:val="en-GB"/>
        </w:rPr>
        <w:t>Where remediation capacity is finite, an undifferentiated finding list transfers the analytical burden back to the security team and can depress rather than improve outcomes. This is the practical rationale for attack-path analysis, which ranks findings by exploitable combination rather than by isolated severity, and it explains why the toxic</w:t>
      </w:r>
      <w:r w:rsidR="00D62D12">
        <w:rPr>
          <w:lang w:val="en-GB"/>
        </w:rPr>
        <w:t xml:space="preserve"> cloud trilogy</w:t>
      </w:r>
      <w:r w:rsidR="00D97A05">
        <w:rPr>
          <w:lang w:val="en-GB"/>
        </w:rPr>
        <w:t xml:space="preserve"> framing has proved more actionable than raw counts </w:t>
      </w:r>
      <w:sdt>
        <w:sdtPr>
          <w:rPr>
            <w:color w:val="000000"/>
            <w:highlight w:val="white"/>
            <w:lang w:val="en-GB"/>
          </w:rPr>
          <w:alias w:val="Citation"/>
          <w:tag w:val="{&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5857790"/>
          <w:placeholder>
            <w:docPart w:val="6426B314DF1440C8BEBF0664A71F5A0A"/>
          </w:placeholder>
        </w:sdtPr>
        <w:sdtContent>
          <w:r w:rsidR="00D23AF0">
            <w:rPr>
              <w:rFonts w:eastAsia="Times New Roman"/>
              <w:color w:val="000000"/>
            </w:rPr>
            <w:t>[7]</w:t>
          </w:r>
        </w:sdtContent>
      </w:sdt>
      <w:r w:rsidR="00D97A05">
        <w:rPr>
          <w:lang w:val="en-GB"/>
        </w:rPr>
        <w:t>.</w:t>
      </w:r>
    </w:p>
    <w:p w14:paraId="0D545FC0" w14:textId="4C72A5CC" w:rsidR="00755FF5" w:rsidRDefault="00755FF5" w:rsidP="00124633">
      <w:pPr>
        <w:pStyle w:val="BodyText"/>
        <w:rPr>
          <w:lang w:val="en-GB"/>
        </w:rPr>
      </w:pPr>
      <w:r>
        <w:rPr>
          <w:lang w:val="en-GB"/>
        </w:rPr>
        <w:t>The third and most fundamental limitation is that posture management is blind to behaviour. A correctly configured resource accessed with legitimate but</w:t>
      </w:r>
      <w:r w:rsidR="00CF0D27">
        <w:rPr>
          <w:lang w:val="en-GB"/>
        </w:rPr>
        <w:t xml:space="preserve"> stolen credentials produces no posture finding at all. The Snowflake and Codefinger cases both fall into this category: the technical state of the environment </w:t>
      </w:r>
      <w:r w:rsidR="00FF0DFA">
        <w:rPr>
          <w:lang w:val="en-GB"/>
        </w:rPr>
        <w:t xml:space="preserve">was, at the moment of compromise, largely </w:t>
      </w:r>
      <w:r w:rsidR="000A58A9">
        <w:rPr>
          <w:lang w:val="en-GB"/>
        </w:rPr>
        <w:t>policy compliant</w:t>
      </w:r>
      <w:r w:rsidR="00FF0DFA">
        <w:rPr>
          <w:lang w:val="en-GB"/>
        </w:rPr>
        <w:t xml:space="preserve">. Posture management must therefore be paired with runtime detection, identity threat detection and immutable backup if it is to address the full </w:t>
      </w:r>
      <w:r w:rsidR="00FB4815">
        <w:rPr>
          <w:lang w:val="en-GB"/>
        </w:rPr>
        <w:t>threat model, and its effectiveness</w:t>
      </w:r>
      <w:r w:rsidR="00F770E2">
        <w:rPr>
          <w:lang w:val="en-GB"/>
        </w:rPr>
        <w:t xml:space="preserve"> must itself be validated empirically, as the fault-injection approach of Torkura et al. prop</w:t>
      </w:r>
      <w:r w:rsidR="00724E4B">
        <w:rPr>
          <w:lang w:val="en-GB"/>
        </w:rPr>
        <w:t xml:space="preserve">oses </w:t>
      </w:r>
      <w:sdt>
        <w:sdtPr>
          <w:rPr>
            <w:color w:val="000000"/>
            <w:highlight w:val="white"/>
            <w:lang w:val="en-GB"/>
          </w:rPr>
          <w:alias w:val="Citation"/>
          <w:tag w:val="{&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9769433"/>
          <w:placeholder>
            <w:docPart w:val="8D44BB0F29B34594A8499FD4439036D7"/>
          </w:placeholder>
        </w:sdtPr>
        <w:sdtContent>
          <w:r w:rsidR="00D23AF0">
            <w:rPr>
              <w:rFonts w:eastAsia="Times New Roman"/>
              <w:color w:val="000000"/>
            </w:rPr>
            <w:t>[16]</w:t>
          </w:r>
        </w:sdtContent>
      </w:sdt>
      <w:r w:rsidR="00724E4B">
        <w:rPr>
          <w:lang w:val="en-GB"/>
        </w:rPr>
        <w:t>.</w:t>
      </w:r>
    </w:p>
    <w:p w14:paraId="2D5BA8C5" w14:textId="6A5FD99F" w:rsidR="00FD30D4" w:rsidRDefault="00FD30D4" w:rsidP="00124633">
      <w:pPr>
        <w:pStyle w:val="BodyText"/>
        <w:rPr>
          <w:lang w:val="en-GB"/>
        </w:rPr>
      </w:pPr>
      <w:r>
        <w:rPr>
          <w:lang w:val="en-GB"/>
        </w:rPr>
        <w:lastRenderedPageBreak/>
        <w:t>A final consideration is organisational rather than technical. Posture findings are only actionable where ownership of each cloud resource is known and where remediation</w:t>
      </w:r>
      <w:r w:rsidR="004C1CAB">
        <w:rPr>
          <w:lang w:val="en-GB"/>
        </w:rPr>
        <w:t xml:space="preserve"> authority is defined. This is the domain of the Govern function introduced in NIST Cybersecurity Framework 2.0, which makes cybersecurity risk management an explicit accountability of organisational leadership rather than a technical afterthought </w:t>
      </w:r>
      <w:sdt>
        <w:sdtPr>
          <w:rPr>
            <w:color w:val="000000"/>
            <w:highlight w:val="white"/>
            <w:lang w:val="en-GB"/>
          </w:rPr>
          <w:alias w:val="Citation"/>
          <w:tag w:val="{&quot;referencesIds&quot;:[&quot;doc:6a662c4eb7030730d6023878&quot;],&quot;referencesOptions&quot;:{&quot;doc:6a662c4eb7030730d6023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9022201"/>
          <w:placeholder>
            <w:docPart w:val="F988D4109BFC4450A978E3A4BBF5A012"/>
          </w:placeholder>
        </w:sdtPr>
        <w:sdtContent>
          <w:r w:rsidR="00D23AF0">
            <w:rPr>
              <w:rFonts w:eastAsia="Times New Roman"/>
              <w:color w:val="000000"/>
            </w:rPr>
            <w:t>[25]</w:t>
          </w:r>
        </w:sdtContent>
      </w:sdt>
      <w:r w:rsidR="009E1722">
        <w:rPr>
          <w:lang w:val="en-GB"/>
        </w:rPr>
        <w:t>.</w:t>
      </w:r>
    </w:p>
    <w:p w14:paraId="39214072" w14:textId="7B0BAF57" w:rsidR="00A10A2D" w:rsidRDefault="00A10A2D" w:rsidP="00A10A2D">
      <w:pPr>
        <w:pStyle w:val="Heading1"/>
      </w:pPr>
      <w:r>
        <w:t>Conclusion</w:t>
      </w:r>
    </w:p>
    <w:p w14:paraId="1BD57FB7" w14:textId="261408C5" w:rsidR="00A10A2D" w:rsidRDefault="00B6662A" w:rsidP="00B6662A">
      <w:pPr>
        <w:pStyle w:val="BodyText"/>
      </w:pPr>
      <w:r>
        <w:t xml:space="preserve">The empirical record is unambiguous: cloud compromise is overwhelmingly a consequence of customer-side configuration and entitlement decisions rather than provider failure, and the two categories are best understood as a single governance deficit. CSPM addresses that </w:t>
      </w:r>
      <w:r w:rsidR="00883A1A">
        <w:t>deficit by supplying a continuous, machine-readable definition of correct state across AWS, Azure, GCP and hybrid infrastructure, and by closing the verification gap that the shared responsibility model leaves open.</w:t>
      </w:r>
    </w:p>
    <w:p w14:paraId="660D2E33" w14:textId="3A56144C" w:rsidR="00883A1A" w:rsidRPr="00A10A2D" w:rsidRDefault="00A66CEE" w:rsidP="00B6662A">
      <w:pPr>
        <w:pStyle w:val="BodyText"/>
      </w:pPr>
      <w:r>
        <w:t xml:space="preserve">Nevertheless, the critical evaluation presented here stops short </w:t>
      </w:r>
      <w:r w:rsidR="000A2C1F">
        <w:t>of an uncritical endorsement.</w:t>
      </w:r>
      <w:r w:rsidR="000501A1">
        <w:t xml:space="preserve"> Detection coverage is demonstrably incomplete, undifferentiated </w:t>
      </w:r>
      <w:r w:rsidR="004940E7">
        <w:t>findings can overwhelm remediation capacity, and no posture tool observes the behavioural compromise that produced two of the four cases examined. Three implications follow for practice.</w:t>
      </w:r>
      <w:r w:rsidR="00BE1F56">
        <w:t xml:space="preserve"> Posture policy should be enforced preventively in infrastructure-as-code pipelines rather than only detected in production; posture findings should be prioritised </w:t>
      </w:r>
      <w:r w:rsidR="00C20FAC">
        <w:t>by exploitable</w:t>
      </w:r>
      <w:r w:rsidR="00A4590B">
        <w:t xml:space="preserve"> attack path rather than by control-catalogue severity; and posture management should be integrated with runtime detection, entitlement management and resilient recovery under an accountable governance structure</w:t>
      </w:r>
      <w:r w:rsidR="002B2F0C">
        <w:t xml:space="preserve"> such as NIST Cybersecurity Framework 2.0. Framed this way, CSPM is not a scanning product but the instrumentation through which cloud governance becomes verifiable. Future work should address the absence of independent, non-synthetic benchmarks for posture-tool</w:t>
      </w:r>
      <w:r w:rsidR="00536B77">
        <w:t xml:space="preserve"> efficacy, which currently constrains how confidently any of these claims can be quantified.</w:t>
      </w:r>
    </w:p>
    <w:p w14:paraId="21523B97" w14:textId="77777777" w:rsidR="009303D9" w:rsidRPr="00335B46" w:rsidRDefault="009303D9" w:rsidP="00A059B3">
      <w:pPr>
        <w:pStyle w:val="Heading5"/>
        <w:rPr>
          <w:noProof w:val="0"/>
        </w:rPr>
      </w:pPr>
      <w:r w:rsidRPr="00335B46">
        <w:rPr>
          <w:noProof w:val="0"/>
        </w:rPr>
        <w:t>References</w:t>
      </w:r>
    </w:p>
    <w:p w14:paraId="68940E88" w14:textId="77777777" w:rsidR="00EF1F6A" w:rsidRDefault="00EF1F6A" w:rsidP="00EF1F6A">
      <w:pPr>
        <w:pStyle w:val="references"/>
      </w:pPr>
      <w:r>
        <w:t>S. Ali</w:t>
      </w:r>
      <w:r>
        <w:rPr>
          <w:i/>
          <w:iCs/>
        </w:rPr>
        <w:t> et al., </w:t>
      </w:r>
      <w:r>
        <w:t>, "Security and privacy in multi-cloud and hybrid cloud environments: Challenges, strategies, and future directions," </w:t>
      </w:r>
      <w:r>
        <w:rPr>
          <w:i/>
          <w:iCs/>
        </w:rPr>
        <w:t>Comput.Secur., </w:t>
      </w:r>
      <w:r>
        <w:t>vol. 157, pp.104599, 2025, doi: 10.1016/j.cose.2025.104599.</w:t>
      </w:r>
    </w:p>
    <w:p w14:paraId="0489220F" w14:textId="2F86721A" w:rsidR="00B83FD0" w:rsidRDefault="007D6C6E" w:rsidP="0069176F">
      <w:pPr>
        <w:pStyle w:val="references"/>
        <w:ind w:start="17.70pt" w:hanging="17.70pt"/>
        <w:rPr>
          <w:noProof w:val="0"/>
          <w:lang w:val="en-GB"/>
        </w:rPr>
      </w:pPr>
      <w:r w:rsidRPr="007D6C6E">
        <w:rPr>
          <w:noProof w:val="0"/>
          <w:lang w:val="en-GB"/>
        </w:rPr>
        <w:t>N. MacDonald, "Innovation insight for cloud security posture management," no. G00377795, 2019, [Online]. Available: https://pdfcoffee.com/gartner-reprint-cloud-security-posture-management-pdf-free.html</w:t>
      </w:r>
    </w:p>
    <w:p w14:paraId="5ED73EE2" w14:textId="098F1DD6" w:rsidR="0069176F" w:rsidRDefault="007D6C6E" w:rsidP="0069176F">
      <w:pPr>
        <w:pStyle w:val="references"/>
        <w:ind w:start="17.70pt" w:hanging="17.70pt"/>
        <w:rPr>
          <w:noProof w:val="0"/>
          <w:lang w:val="en-GB"/>
        </w:rPr>
      </w:pPr>
      <w:r w:rsidRPr="007D6C6E">
        <w:rPr>
          <w:noProof w:val="0"/>
          <w:lang w:val="en-GB"/>
        </w:rPr>
        <w:t xml:space="preserve">Google Cloud, "Cloud Threat Horizons Report, H2 2025," 2025, [Online]. Available: </w:t>
      </w:r>
      <w:hyperlink r:id="rId11" w:history="1">
        <w:r w:rsidRPr="008A27DA">
          <w:rPr>
            <w:rStyle w:val="Hyperlink"/>
            <w:noProof w:val="0"/>
            <w:lang w:val="en-GB"/>
          </w:rPr>
          <w:t>https://services.google.com/fh/files/misc/cloud_threat_horizons_report_h22025.pdf</w:t>
        </w:r>
      </w:hyperlink>
    </w:p>
    <w:p w14:paraId="4A302BB1" w14:textId="069F7276" w:rsidR="007D6C6E" w:rsidRDefault="007D6C6E" w:rsidP="0069176F">
      <w:pPr>
        <w:pStyle w:val="references"/>
        <w:ind w:start="17.70pt" w:hanging="17.70pt"/>
        <w:rPr>
          <w:noProof w:val="0"/>
          <w:lang w:val="en-GB"/>
        </w:rPr>
      </w:pPr>
      <w:r w:rsidRPr="007D6C6E">
        <w:rPr>
          <w:noProof w:val="0"/>
          <w:lang w:val="en-GB"/>
        </w:rPr>
        <w:t xml:space="preserve">Cloud Security Alliance, "Top Threats to Cloud Computing 2024," 2024, [Online]. Available: </w:t>
      </w:r>
      <w:hyperlink r:id="rId12" w:history="1">
        <w:r w:rsidRPr="008A27DA">
          <w:rPr>
            <w:rStyle w:val="Hyperlink"/>
            <w:noProof w:val="0"/>
            <w:lang w:val="en-GB"/>
          </w:rPr>
          <w: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w:t>
        </w:r>
      </w:hyperlink>
    </w:p>
    <w:p w14:paraId="35563303" w14:textId="4C170204" w:rsidR="007D6C6E" w:rsidRDefault="007D6C6E" w:rsidP="0069176F">
      <w:pPr>
        <w:pStyle w:val="references"/>
        <w:ind w:start="17.70pt" w:hanging="17.70pt"/>
        <w:rPr>
          <w:noProof w:val="0"/>
          <w:lang w:val="en-GB"/>
        </w:rPr>
      </w:pPr>
      <w:r w:rsidRPr="007D6C6E">
        <w:rPr>
          <w:noProof w:val="0"/>
          <w:lang w:val="en-GB"/>
        </w:rPr>
        <w:t>J. Devry. "The State of Cloud Security" </w:t>
      </w:r>
      <w:r w:rsidRPr="007D6C6E">
        <w:rPr>
          <w:i/>
          <w:iCs/>
          <w:noProof w:val="0"/>
          <w:lang w:val="en-GB"/>
        </w:rPr>
        <w:t>Cybersecurity Insiders. </w:t>
      </w:r>
      <w:r w:rsidRPr="007D6C6E">
        <w:rPr>
          <w:noProof w:val="0"/>
          <w:lang w:val="en-GB"/>
        </w:rPr>
        <w:t xml:space="preserve">(-12-14, 2023). Available at: </w:t>
      </w:r>
      <w:hyperlink r:id="rId13" w:history="1">
        <w:r w:rsidRPr="008A27DA">
          <w:rPr>
            <w:rStyle w:val="Hyperlink"/>
            <w:noProof w:val="0"/>
            <w:lang w:val="en-GB"/>
          </w:rPr>
          <w:t>https://www.cybersecurity-insiders.com/state-of-cloud-security-report-cybersecurity-insiders-fortinet/</w:t>
        </w:r>
      </w:hyperlink>
    </w:p>
    <w:p w14:paraId="0EEF6926" w14:textId="089B3C4A" w:rsidR="007D6C6E" w:rsidRDefault="007D6C6E" w:rsidP="0069176F">
      <w:pPr>
        <w:pStyle w:val="references"/>
        <w:ind w:start="17.70pt" w:hanging="17.70pt"/>
        <w:rPr>
          <w:noProof w:val="0"/>
          <w:lang w:val="en-GB"/>
        </w:rPr>
      </w:pPr>
      <w:r w:rsidRPr="007D6C6E">
        <w:rPr>
          <w:noProof w:val="0"/>
          <w:lang w:val="en-GB"/>
        </w:rPr>
        <w:t xml:space="preserve">Verizon, "2025 Data Breach Investigations Report," 2025, [Online]. Available: </w:t>
      </w:r>
      <w:hyperlink r:id="rId14" w:history="1">
        <w:r w:rsidRPr="008A27DA">
          <w:rPr>
            <w:rStyle w:val="Hyperlink"/>
            <w:noProof w:val="0"/>
            <w:lang w:val="en-GB"/>
          </w:rPr>
          <w:t>https://www.verizon.com/business/resources/reports/2025-dbir-data-breach-investigations-report.pdf</w:t>
        </w:r>
      </w:hyperlink>
    </w:p>
    <w:p w14:paraId="5B943E20" w14:textId="5BD7AD06" w:rsidR="007D6C6E" w:rsidRDefault="007D6C6E" w:rsidP="0069176F">
      <w:pPr>
        <w:pStyle w:val="references"/>
        <w:ind w:start="17.70pt" w:hanging="17.70pt"/>
        <w:rPr>
          <w:noProof w:val="0"/>
          <w:lang w:val="en-GB"/>
        </w:rPr>
      </w:pPr>
      <w:r w:rsidRPr="007D6C6E">
        <w:rPr>
          <w:noProof w:val="0"/>
          <w:lang w:val="en-GB"/>
        </w:rPr>
        <w:t xml:space="preserve">Tenable, "Tenable Cloud Risk Report 2024," </w:t>
      </w:r>
      <w:r w:rsidR="005118D1">
        <w:rPr>
          <w:noProof w:val="0"/>
          <w:lang w:val="en-GB"/>
        </w:rPr>
        <w:t xml:space="preserve">Tenable Cloud Research, </w:t>
      </w:r>
      <w:r w:rsidRPr="007D6C6E">
        <w:rPr>
          <w:noProof w:val="0"/>
          <w:lang w:val="en-GB"/>
        </w:rPr>
        <w:t xml:space="preserve">2024, [Online]. Available: </w:t>
      </w:r>
      <w:hyperlink r:id="rId15" w:history="1">
        <w:r w:rsidRPr="008A27DA">
          <w:rPr>
            <w:rStyle w:val="Hyperlink"/>
            <w:noProof w:val="0"/>
            <w:lang w:val="en-GB"/>
          </w:rPr>
          <w:t>https://dam.tenable.com/23e27766-3065-4904-95d7-b1fe015e7d59/tenable-cloud-risk-report-2024.pdf</w:t>
        </w:r>
      </w:hyperlink>
    </w:p>
    <w:p w14:paraId="67094149" w14:textId="76091D08" w:rsidR="007D6C6E" w:rsidRDefault="007D6C6E" w:rsidP="0069176F">
      <w:pPr>
        <w:pStyle w:val="references"/>
        <w:ind w:start="17.70pt" w:hanging="17.70pt"/>
        <w:rPr>
          <w:noProof w:val="0"/>
          <w:lang w:val="en-GB"/>
        </w:rPr>
      </w:pPr>
      <w:r w:rsidRPr="007D6C6E">
        <w:rPr>
          <w:noProof w:val="0"/>
          <w:lang w:val="en-GB"/>
        </w:rPr>
        <w:t>A. Continella, M. Polino, M. Pogliani and S. Zanero, "There's a hole in that bucket! a large-scale analysis of misconfigured s3 buckets", in</w:t>
      </w:r>
      <w:r w:rsidRPr="007D6C6E">
        <w:rPr>
          <w:i/>
          <w:iCs/>
          <w:noProof w:val="0"/>
          <w:lang w:val="en-GB"/>
        </w:rPr>
        <w:t> Proceedings of the 34th Annual Computer Security Applications Conference, </w:t>
      </w:r>
      <w:r w:rsidRPr="007D6C6E">
        <w:rPr>
          <w:noProof w:val="0"/>
          <w:lang w:val="en-GB"/>
        </w:rPr>
        <w:t>pp. 702–711.</w:t>
      </w:r>
      <w:r w:rsidR="00914DF8">
        <w:rPr>
          <w:noProof w:val="0"/>
          <w:lang w:val="en-GB"/>
        </w:rPr>
        <w:t xml:space="preserve"> doi:</w:t>
      </w:r>
      <w:r w:rsidR="00935AD2">
        <w:rPr>
          <w:noProof w:val="0"/>
          <w:lang w:val="en-GB"/>
        </w:rPr>
        <w:t xml:space="preserve"> 10.1145/3274694.3274736.</w:t>
      </w:r>
    </w:p>
    <w:p w14:paraId="51669ECD" w14:textId="682CEE28" w:rsidR="00935AD2" w:rsidRDefault="00935AD2" w:rsidP="00935AD2">
      <w:pPr>
        <w:pStyle w:val="references"/>
      </w:pPr>
      <w:r>
        <w:t xml:space="preserve">IBM Security and Ponemon Institute, "Cost of a Data Breach Report 2025," </w:t>
      </w:r>
      <w:r w:rsidR="00402DE9">
        <w:t>IBM Corporation</w:t>
      </w:r>
      <w:r w:rsidR="005118D1">
        <w:t xml:space="preserve">, </w:t>
      </w:r>
      <w:r>
        <w:t xml:space="preserve">2025. [Online]. Available: </w:t>
      </w:r>
      <w:hyperlink r:id="rId16" w:history="1">
        <w:r w:rsidRPr="008A27DA">
          <w:rPr>
            <w:rStyle w:val="Hyperlink"/>
          </w:rPr>
          <w:t>https://www-api.ibm.com/adobe/assets/urn:aaid:aem:607b9590-38e0-4c91-b433-aa8a17f5b5e8/original/as/cost-of-a-data-breach-2025-full-report.pdf</w:t>
        </w:r>
      </w:hyperlink>
    </w:p>
    <w:p w14:paraId="30456242" w14:textId="0B318F1E" w:rsidR="00935AD2" w:rsidRPr="00FE7065" w:rsidRDefault="00FE7065" w:rsidP="00935AD2">
      <w:pPr>
        <w:pStyle w:val="references"/>
      </w:pPr>
      <w:r w:rsidRPr="00FE7065">
        <w:rPr>
          <w:lang w:val="en-GB"/>
        </w:rPr>
        <w:t xml:space="preserve">European Union Agency for Cybersecurity (ENISA), "ENISA Threat Landscape 2025," </w:t>
      </w:r>
      <w:r w:rsidR="008D7443">
        <w:rPr>
          <w:lang w:val="en-GB"/>
        </w:rPr>
        <w:t xml:space="preserve">ENISA, </w:t>
      </w:r>
      <w:r w:rsidRPr="00FE7065">
        <w:rPr>
          <w:lang w:val="en-GB"/>
        </w:rPr>
        <w:t xml:space="preserve">2025. [Online]. Available: </w:t>
      </w:r>
      <w:hyperlink r:id="rId17" w:history="1">
        <w:r w:rsidRPr="008A27DA">
          <w:rPr>
            <w:rStyle w:val="Hyperlink"/>
            <w:lang w:val="en-GB"/>
          </w:rPr>
          <w:t>https://www.enisa.europa.eu/sites/default/files/2026-01/ENISA%20Threat%20Landscape%202025_v1.2.pdf</w:t>
        </w:r>
      </w:hyperlink>
    </w:p>
    <w:p w14:paraId="27223AD3" w14:textId="74F9F6F9" w:rsidR="007D6C6E" w:rsidRDefault="008D7443" w:rsidP="0069176F">
      <w:pPr>
        <w:pStyle w:val="references"/>
        <w:ind w:start="17.70pt" w:hanging="17.70pt"/>
        <w:rPr>
          <w:noProof w:val="0"/>
          <w:lang w:val="en-GB"/>
        </w:rPr>
      </w:pPr>
      <w:r w:rsidRPr="008D7443">
        <w:rPr>
          <w:noProof w:val="0"/>
          <w:lang w:val="en-GB"/>
        </w:rPr>
        <w:t>B. Alouffi, M. Hasnain, A. Alharbi, W. Alosaimi, H. Alyami and M. Ayaz, "A Systematic Literature Review on Cloud Computing Security: Threats and Mitigation Strategies," vol. 9, pp.57792–57807, 2021, doi: 10.1109/ACCESS.2021.3073203.</w:t>
      </w:r>
    </w:p>
    <w:p w14:paraId="02DE03F9" w14:textId="1BF796A7" w:rsidR="008D7443" w:rsidRDefault="00A05CD5" w:rsidP="0069176F">
      <w:pPr>
        <w:pStyle w:val="references"/>
        <w:ind w:start="17.70pt" w:hanging="17.70pt"/>
        <w:rPr>
          <w:noProof w:val="0"/>
          <w:lang w:val="en-GB"/>
        </w:rPr>
      </w:pPr>
      <w:r w:rsidRPr="00A05CD5">
        <w:rPr>
          <w:noProof w:val="0"/>
          <w:lang w:val="en-GB"/>
        </w:rPr>
        <w:t>H. Tabrizchi and M. Kuchaki Rafsanjani, "A survey on security challenges in cloud computing: issues, threats, and solutions," </w:t>
      </w:r>
      <w:r w:rsidRPr="00A05CD5">
        <w:rPr>
          <w:i/>
          <w:iCs/>
          <w:noProof w:val="0"/>
          <w:lang w:val="en-GB"/>
        </w:rPr>
        <w:t>J Supercomput, </w:t>
      </w:r>
      <w:r w:rsidRPr="00A05CD5">
        <w:rPr>
          <w:noProof w:val="0"/>
          <w:lang w:val="en-GB"/>
        </w:rPr>
        <w:t>vol. 76, no. 12, pp.9493–9532, Dec 1 2020, doi: 10.1007/s11227-020-03213-1.</w:t>
      </w:r>
    </w:p>
    <w:p w14:paraId="2D48F2A4" w14:textId="4734E195" w:rsidR="00A05CD5" w:rsidRDefault="00277E99" w:rsidP="0069176F">
      <w:pPr>
        <w:pStyle w:val="references"/>
        <w:ind w:start="17.70pt" w:hanging="17.70pt"/>
        <w:rPr>
          <w:noProof w:val="0"/>
          <w:lang w:val="en-GB"/>
        </w:rPr>
      </w:pPr>
      <w:r w:rsidRPr="00277E99">
        <w:rPr>
          <w:noProof w:val="0"/>
          <w:lang w:val="en-GB"/>
        </w:rPr>
        <w:t xml:space="preserve">V. C. Hu, M. Iorga, W. Bao, A. Li, Q. Li and A. Gouglidis, "General access control guidance for cloud systems," </w:t>
      </w:r>
      <w:r w:rsidR="009A6342">
        <w:rPr>
          <w:noProof w:val="0"/>
          <w:lang w:val="en-GB"/>
        </w:rPr>
        <w:t xml:space="preserve">NIST Special Publication </w:t>
      </w:r>
      <w:r w:rsidRPr="00277E99">
        <w:rPr>
          <w:noProof w:val="0"/>
          <w:lang w:val="en-GB"/>
        </w:rPr>
        <w:t xml:space="preserve">vol. 800, no. 210, pp.50–2ex, </w:t>
      </w:r>
      <w:r w:rsidR="006F111E">
        <w:rPr>
          <w:noProof w:val="0"/>
          <w:lang w:val="en-GB"/>
        </w:rPr>
        <w:t xml:space="preserve">Jul </w:t>
      </w:r>
      <w:r w:rsidRPr="00277E99">
        <w:rPr>
          <w:noProof w:val="0"/>
          <w:lang w:val="en-GB"/>
        </w:rPr>
        <w:t>2020,</w:t>
      </w:r>
      <w:r w:rsidR="006F111E">
        <w:rPr>
          <w:noProof w:val="0"/>
          <w:lang w:val="en-GB"/>
        </w:rPr>
        <w:t xml:space="preserve"> doi: </w:t>
      </w:r>
      <w:r w:rsidR="00920A0C">
        <w:rPr>
          <w:noProof w:val="0"/>
          <w:lang w:val="en-GB"/>
        </w:rPr>
        <w:t>10.6028/NIST.SP.800-210.</w:t>
      </w:r>
    </w:p>
    <w:p w14:paraId="00BF03FA" w14:textId="672C8B8B" w:rsidR="00920A0C" w:rsidRDefault="00920A0C" w:rsidP="0069176F">
      <w:pPr>
        <w:pStyle w:val="references"/>
        <w:ind w:start="17.70pt" w:hanging="17.70pt"/>
        <w:rPr>
          <w:noProof w:val="0"/>
          <w:lang w:val="en-GB"/>
        </w:rPr>
      </w:pPr>
      <w:r w:rsidRPr="00920A0C">
        <w:rPr>
          <w:noProof w:val="0"/>
          <w:lang w:val="en-GB"/>
        </w:rPr>
        <w:t>A. Rahman, C. Parnin and L. Williams, "The Seven Sins: Security Smells in Infrastructure as Code Scripts", in</w:t>
      </w:r>
      <w:r w:rsidRPr="00920A0C">
        <w:rPr>
          <w:i/>
          <w:iCs/>
          <w:noProof w:val="0"/>
          <w:lang w:val="en-GB"/>
        </w:rPr>
        <w:t> 2019 IEEE/ACM 41st International Conference on Software Engineering (ICSE), </w:t>
      </w:r>
      <w:r w:rsidRPr="00920A0C">
        <w:rPr>
          <w:noProof w:val="0"/>
          <w:lang w:val="en-GB"/>
        </w:rPr>
        <w:t>pp. 164–175. doi: 10.1109/ICSE.2019.00033.</w:t>
      </w:r>
    </w:p>
    <w:p w14:paraId="5B195528" w14:textId="4D66EB77" w:rsidR="00920A0C" w:rsidRDefault="00920A0C" w:rsidP="0069176F">
      <w:pPr>
        <w:pStyle w:val="references"/>
        <w:ind w:start="17.70pt" w:hanging="17.70pt"/>
        <w:rPr>
          <w:noProof w:val="0"/>
          <w:lang w:val="en-GB"/>
        </w:rPr>
      </w:pPr>
      <w:r w:rsidRPr="00920A0C">
        <w:rPr>
          <w:noProof w:val="0"/>
          <w:lang w:val="en-GB"/>
        </w:rPr>
        <w:t>K. A. Torkura, M. I. H. Sukmana, F. Cheng and C. Meinel, "Continuous auditing and threat detection in multi-cloud infrastructure," </w:t>
      </w:r>
      <w:r w:rsidRPr="00920A0C">
        <w:rPr>
          <w:i/>
          <w:iCs/>
          <w:noProof w:val="0"/>
          <w:lang w:val="en-GB"/>
        </w:rPr>
        <w:t>Comput.Secur., </w:t>
      </w:r>
      <w:r w:rsidRPr="00920A0C">
        <w:rPr>
          <w:noProof w:val="0"/>
          <w:lang w:val="en-GB"/>
        </w:rPr>
        <w:t>vol. 102, pp.102124, 2021, doi: 10.1016/j.cose.2020.102124.</w:t>
      </w:r>
    </w:p>
    <w:p w14:paraId="2A5C4A9C" w14:textId="210DD3AB" w:rsidR="00920A0C" w:rsidRDefault="00920A0C" w:rsidP="0069176F">
      <w:pPr>
        <w:pStyle w:val="references"/>
        <w:ind w:start="17.70pt" w:hanging="17.70pt"/>
        <w:rPr>
          <w:noProof w:val="0"/>
          <w:lang w:val="en-GB"/>
        </w:rPr>
      </w:pPr>
      <w:r w:rsidRPr="00920A0C">
        <w:rPr>
          <w:noProof w:val="0"/>
          <w:lang w:val="en-GB"/>
        </w:rPr>
        <w:t>K. A. Torkura, M. I. H. Sukmana, F. Cheng and C. Meinel, "CloudStrike: Chaos Engineering for Security and Resiliency in Cloud Infrastructure," </w:t>
      </w:r>
      <w:r w:rsidRPr="00920A0C">
        <w:rPr>
          <w:i/>
          <w:iCs/>
          <w:noProof w:val="0"/>
          <w:lang w:val="en-GB"/>
        </w:rPr>
        <w:t>Access, </w:t>
      </w:r>
      <w:r w:rsidRPr="00920A0C">
        <w:rPr>
          <w:noProof w:val="0"/>
          <w:lang w:val="en-GB"/>
        </w:rPr>
        <w:t>vol. 8, pp.123044–123060, 2020, doi: 10.1109/ACCESS.2020.3007338.</w:t>
      </w:r>
    </w:p>
    <w:p w14:paraId="0172E995" w14:textId="4C4769B5" w:rsidR="00920A0C" w:rsidRDefault="00920A0C" w:rsidP="0069176F">
      <w:pPr>
        <w:pStyle w:val="references"/>
        <w:ind w:start="17.70pt" w:hanging="17.70pt"/>
        <w:rPr>
          <w:noProof w:val="0"/>
          <w:lang w:val="en-GB"/>
        </w:rPr>
      </w:pPr>
      <w:r w:rsidRPr="00920A0C">
        <w:rPr>
          <w:noProof w:val="0"/>
          <w:lang w:val="en-GB"/>
        </w:rPr>
        <w:t xml:space="preserve">S. Rose, O. Borchert, S. Mitchell and S. Connelly, "Zero trust architecture," </w:t>
      </w:r>
      <w:r w:rsidR="0026681C">
        <w:rPr>
          <w:noProof w:val="0"/>
          <w:lang w:val="en-GB"/>
        </w:rPr>
        <w:t xml:space="preserve">NIST Special Publication </w:t>
      </w:r>
      <w:r w:rsidRPr="00920A0C">
        <w:rPr>
          <w:noProof w:val="0"/>
          <w:lang w:val="en-GB"/>
        </w:rPr>
        <w:t>vol. 800, no. 207, pp.1–52, 2020, doi: 10.6028.</w:t>
      </w:r>
    </w:p>
    <w:p w14:paraId="402FD2A5" w14:textId="3CFBF534" w:rsidR="00920A0C" w:rsidRDefault="00920A0C" w:rsidP="0069176F">
      <w:pPr>
        <w:pStyle w:val="references"/>
        <w:ind w:start="17.70pt" w:hanging="17.70pt"/>
        <w:rPr>
          <w:noProof w:val="0"/>
          <w:lang w:val="en-GB"/>
        </w:rPr>
      </w:pPr>
      <w:r w:rsidRPr="00920A0C">
        <w:rPr>
          <w:noProof w:val="0"/>
          <w:lang w:val="en-GB"/>
        </w:rPr>
        <w:t>R. Chandramouli and Z. Butcher, "A Zero Trust Architecture Model for Access Control in Cloud-Native Applications in Multi-Location Environments," vol. 800, no. 207A, 2023, doi: 10.6028.</w:t>
      </w:r>
    </w:p>
    <w:p w14:paraId="420C7CFD" w14:textId="5EAD1BBE" w:rsidR="00920A0C" w:rsidRDefault="00920A0C" w:rsidP="0069176F">
      <w:pPr>
        <w:pStyle w:val="references"/>
        <w:ind w:start="17.70pt" w:hanging="17.70pt"/>
        <w:rPr>
          <w:noProof w:val="0"/>
          <w:lang w:val="en-GB"/>
        </w:rPr>
      </w:pPr>
      <w:r w:rsidRPr="00920A0C">
        <w:rPr>
          <w:noProof w:val="0"/>
          <w:lang w:val="en-GB"/>
        </w:rPr>
        <w:t xml:space="preserve">Cloud Security Alliance, "Top Threats to Cloud Computing Deep Dive 2025," April 2025, [Online]. Available: </w:t>
      </w:r>
      <w:hyperlink r:id="rId18" w:history="1">
        <w:r w:rsidR="00560554" w:rsidRPr="008A27DA">
          <w:rPr>
            <w:rStyle w:val="Hyperlink"/>
            <w:noProof w:val="0"/>
            <w:lang w:val="en-GB"/>
          </w:rPr>
          <w:t>https://s3.amazonaws.com/content-production.cloudsecurityalliance/yq80mabq1ixmi3ro7249q2n1ov3g?response-content-disposition=inline%3B%20filename%3D%22Final-Top-Threats-to-Cloud-Computing-Deep-Dive-2025%2020250515.pdf%22%3B%20filename%2A%3DUTF-8%27%27Final-Top-Threats-to-Cloud-Computing-Deep-Dive-2025%252020250515.pdf&amp;response-content-type=application%2Fpdf&amp;X-Amz-Algorithm=AWS4-HMAC-SHA256&amp;X-Amz-Credential=AKIAS6XDIRHKHO4F5SU4%2F20260726%2Fus-east-1%2Fs3%2Faws4_request&amp;X-Amz-Date=20260726T151909Z&amp;X-Amz-Expires=300&amp;X-Amz-SignedHeaders=host&amp;X-Amz-Signature=bf77aaddfb40d96e5285c7b53a35ebca081d79ce684ba6098ed38e5641f0ba0f</w:t>
        </w:r>
      </w:hyperlink>
    </w:p>
    <w:p w14:paraId="3AC08D6B" w14:textId="60C7AC33" w:rsidR="00560554" w:rsidRDefault="00560554" w:rsidP="0069176F">
      <w:pPr>
        <w:pStyle w:val="references"/>
        <w:ind w:start="17.70pt" w:hanging="17.70pt"/>
        <w:rPr>
          <w:noProof w:val="0"/>
          <w:lang w:val="en-GB"/>
        </w:rPr>
      </w:pPr>
      <w:r w:rsidRPr="00560554">
        <w:rPr>
          <w:noProof w:val="0"/>
          <w:lang w:val="en-GB"/>
        </w:rPr>
        <w:lastRenderedPageBreak/>
        <w:t>S. Khan, I. Kabanov, Y. Hua and S. Madnick, "A Systematic Analysis of the Capital One Data Breach: Critical Lessons Learned," </w:t>
      </w:r>
      <w:r w:rsidRPr="00560554">
        <w:rPr>
          <w:i/>
          <w:iCs/>
          <w:noProof w:val="0"/>
          <w:lang w:val="en-GB"/>
        </w:rPr>
        <w:t>ACM TOPS, </w:t>
      </w:r>
      <w:r w:rsidRPr="00560554">
        <w:rPr>
          <w:noProof w:val="0"/>
          <w:lang w:val="en-GB"/>
        </w:rPr>
        <w:t>vol. 26, no. 1, pp.1–29, 2022, doi: 10.1145/3546068.</w:t>
      </w:r>
    </w:p>
    <w:p w14:paraId="7E3E0112" w14:textId="13E71E6C" w:rsidR="00560554" w:rsidRDefault="00560554" w:rsidP="0069176F">
      <w:pPr>
        <w:pStyle w:val="references"/>
        <w:ind w:start="17.70pt" w:hanging="17.70pt"/>
        <w:rPr>
          <w:noProof w:val="0"/>
          <w:lang w:val="en-GB"/>
        </w:rPr>
      </w:pPr>
      <w:r w:rsidRPr="00560554">
        <w:rPr>
          <w:noProof w:val="0"/>
          <w:lang w:val="en-GB"/>
        </w:rPr>
        <w:t xml:space="preserve">M. Theimer. "Reflecting on the 2023 Toyota Data Breach | CSA." [Online]. Available: </w:t>
      </w:r>
      <w:hyperlink r:id="rId19" w:history="1">
        <w:r w:rsidRPr="008A27DA">
          <w:rPr>
            <w:rStyle w:val="Hyperlink"/>
            <w:noProof w:val="0"/>
            <w:lang w:val="en-GB"/>
          </w:rPr>
          <w:t>https://cloudsecurityalliance.org/blog/2025/07/21/reflecting-on-the-2023-toyota-data-breach</w:t>
        </w:r>
      </w:hyperlink>
    </w:p>
    <w:p w14:paraId="73CB0D8E" w14:textId="55EDA77A" w:rsidR="00560554" w:rsidRDefault="00560554" w:rsidP="0069176F">
      <w:pPr>
        <w:pStyle w:val="references"/>
        <w:ind w:start="17.70pt" w:hanging="17.70pt"/>
        <w:rPr>
          <w:noProof w:val="0"/>
          <w:lang w:val="en-GB"/>
        </w:rPr>
      </w:pPr>
      <w:r w:rsidRPr="00560554">
        <w:rPr>
          <w:noProof w:val="0"/>
          <w:lang w:val="en-GB"/>
        </w:rPr>
        <w:t xml:space="preserve">Mandiant. "Google Cloud Blog - Google: UNC5537 Targets Snowflake Customer Instances for Data Theft and Extortion." Google Cloud Blog. [Online]. Available: </w:t>
      </w:r>
      <w:hyperlink r:id="rId20" w:history="1">
        <w:r w:rsidRPr="008A27DA">
          <w:rPr>
            <w:rStyle w:val="Hyperlink"/>
            <w:noProof w:val="0"/>
            <w:lang w:val="en-GB"/>
          </w:rPr>
          <w:t>https://www.proquest.com/docview/3066005673</w:t>
        </w:r>
      </w:hyperlink>
    </w:p>
    <w:p w14:paraId="32C90DA2" w14:textId="466C2BD0" w:rsidR="00560554" w:rsidRDefault="00560554" w:rsidP="0069176F">
      <w:pPr>
        <w:pStyle w:val="references"/>
        <w:ind w:start="17.70pt" w:hanging="17.70pt"/>
        <w:rPr>
          <w:noProof w:val="0"/>
          <w:lang w:val="en-GB"/>
        </w:rPr>
      </w:pPr>
      <w:r w:rsidRPr="00560554">
        <w:rPr>
          <w:noProof w:val="0"/>
          <w:lang w:val="en-GB"/>
        </w:rPr>
        <w:t>Halcyon RISE. "Abusing AWS Native Services: Ransomware Encrypting S3 Buckets with SSE-C</w:t>
      </w:r>
      <w:r w:rsidR="0084074C">
        <w:rPr>
          <w:noProof w:val="0"/>
          <w:lang w:val="en-GB"/>
        </w:rPr>
        <w:t>,</w:t>
      </w:r>
      <w:r w:rsidRPr="00560554">
        <w:rPr>
          <w:noProof w:val="0"/>
          <w:lang w:val="en-GB"/>
        </w:rPr>
        <w:t>"</w:t>
      </w:r>
      <w:r w:rsidR="0084074C">
        <w:rPr>
          <w:noProof w:val="0"/>
          <w:lang w:val="en-GB"/>
        </w:rPr>
        <w:t xml:space="preserve"> Halcyon, Jan 2025</w:t>
      </w:r>
      <w:r w:rsidR="0039755D">
        <w:rPr>
          <w:noProof w:val="0"/>
          <w:lang w:val="en-GB"/>
        </w:rPr>
        <w:t>.</w:t>
      </w:r>
      <w:r w:rsidRPr="00560554">
        <w:rPr>
          <w:noProof w:val="0"/>
          <w:lang w:val="en-GB"/>
        </w:rPr>
        <w:t xml:space="preserve"> [Online]. Available: </w:t>
      </w:r>
      <w:hyperlink r:id="rId21" w:history="1">
        <w:r w:rsidRPr="008A27DA">
          <w:rPr>
            <w:rStyle w:val="Hyperlink"/>
            <w:noProof w:val="0"/>
            <w:lang w:val="en-GB"/>
          </w:rPr>
          <w:t>https://www.halcyon.ai/blog/abusing-aws-native-services-ransomware-encrypting-s3-buc</w:t>
        </w:r>
        <w:r w:rsidRPr="008A27DA">
          <w:rPr>
            <w:rStyle w:val="Hyperlink"/>
            <w:noProof w:val="0"/>
            <w:lang w:val="en-GB"/>
          </w:rPr>
          <w:t>k</w:t>
        </w:r>
        <w:r w:rsidRPr="008A27DA">
          <w:rPr>
            <w:rStyle w:val="Hyperlink"/>
            <w:noProof w:val="0"/>
            <w:lang w:val="en-GB"/>
          </w:rPr>
          <w:t>ets-with-sse-c</w:t>
        </w:r>
      </w:hyperlink>
    </w:p>
    <w:p w14:paraId="5D7183FD" w14:textId="40EAD430" w:rsidR="00560554" w:rsidRDefault="00560554" w:rsidP="0069176F">
      <w:pPr>
        <w:pStyle w:val="references"/>
        <w:ind w:start="17.70pt" w:hanging="17.70pt"/>
        <w:rPr>
          <w:noProof w:val="0"/>
          <w:lang w:val="en-GB"/>
        </w:rPr>
      </w:pPr>
      <w:r w:rsidRPr="00560554">
        <w:rPr>
          <w:noProof w:val="0"/>
          <w:lang w:val="en-GB"/>
        </w:rPr>
        <w:t>S. Moss, "Evaluating the Effectiveness of CSPM Tools in Detecting Cloud Misconfigurations," vol. 2026, no. 0220, 2026, doi: 10.36227/techrxiv.177162139.97797546/v1.</w:t>
      </w:r>
    </w:p>
    <w:p w14:paraId="074EC4DA" w14:textId="187798BC" w:rsidR="00D21DD9" w:rsidRDefault="00560554" w:rsidP="0069176F">
      <w:pPr>
        <w:pStyle w:val="references"/>
        <w:ind w:start="17.70pt" w:hanging="17.70pt"/>
        <w:rPr>
          <w:noProof w:val="0"/>
          <w:lang w:val="en-GB"/>
        </w:rPr>
      </w:pPr>
      <w:r w:rsidRPr="00560554">
        <w:rPr>
          <w:noProof w:val="0"/>
          <w:lang w:val="en-GB"/>
        </w:rPr>
        <w:t>National Institute of Standards and Technology, "The NIST Cybersecurity Framework (CSF) 2.0," February 2024, doi: 10.6028/NIST.CSWP.29.</w:t>
      </w:r>
    </w:p>
    <w:p w14:paraId="2903F916" w14:textId="04971BED" w:rsidR="00D21DD9" w:rsidRDefault="00D21DD9" w:rsidP="00D21DD9">
      <w:pPr>
        <w:jc w:val="start"/>
      </w:pPr>
      <w:r>
        <w:br w:type="page"/>
      </w:r>
    </w:p>
    <w:p w14:paraId="73B51297" w14:textId="281DDD28" w:rsidR="00560554" w:rsidRDefault="00614248" w:rsidP="00084AF1">
      <w:pPr>
        <w:pStyle w:val="Title"/>
      </w:pPr>
      <w:r>
        <w:lastRenderedPageBreak/>
        <w:t>Task 2: Work-Based Project: Chief Information Security Officer (CISO) Proposal</w:t>
      </w:r>
    </w:p>
    <w:p w14:paraId="2896EE1A" w14:textId="641BAE57" w:rsidR="00614248" w:rsidRDefault="00253C4D" w:rsidP="009265A2">
      <w:pPr>
        <w:pStyle w:val="Author"/>
        <w:spacing w:before="5pt" w:beforeAutospacing="1" w:after="5pt" w:afterAutospacing="1"/>
        <w:rPr>
          <w:noProof w:val="0"/>
          <w:sz w:val="16"/>
          <w:szCs w:val="16"/>
          <w:lang w:val="en-GB"/>
        </w:rPr>
      </w:pPr>
      <w:r w:rsidRPr="00575406">
        <w:rPr>
          <w:noProof w:val="0"/>
          <w:sz w:val="16"/>
          <w:szCs w:val="16"/>
          <w:lang w:val="en-GB"/>
        </w:rPr>
        <w:t xml:space="preserve">A </w:t>
      </w:r>
      <w:r w:rsidR="00A539E4" w:rsidRPr="00575406">
        <w:rPr>
          <w:noProof w:val="0"/>
          <w:sz w:val="16"/>
          <w:szCs w:val="16"/>
          <w:lang w:val="en-GB"/>
        </w:rPr>
        <w:t>Formal Proposal and Implementation</w:t>
      </w:r>
      <w:r w:rsidR="00A539E4">
        <w:t xml:space="preserve"> </w:t>
      </w:r>
      <w:r w:rsidR="00A539E4" w:rsidRPr="009265A2">
        <w:rPr>
          <w:noProof w:val="0"/>
          <w:sz w:val="16"/>
          <w:szCs w:val="16"/>
          <w:lang w:val="en-GB"/>
        </w:rPr>
        <w:t>Plan</w:t>
      </w:r>
      <w:r w:rsidR="00A539E4">
        <w:t xml:space="preserve"> </w:t>
      </w:r>
      <w:r w:rsidR="00A539E4" w:rsidRPr="00575406">
        <w:rPr>
          <w:noProof w:val="0"/>
          <w:sz w:val="16"/>
          <w:szCs w:val="16"/>
          <w:lang w:val="en-GB"/>
        </w:rPr>
        <w:t xml:space="preserve">for the </w:t>
      </w:r>
      <w:r w:rsidR="009265A2" w:rsidRPr="00575406">
        <w:rPr>
          <w:noProof w:val="0"/>
          <w:sz w:val="16"/>
          <w:szCs w:val="16"/>
          <w:lang w:val="en-GB"/>
        </w:rPr>
        <w:t>Executive</w:t>
      </w:r>
      <w:r w:rsidR="00A539E4" w:rsidRPr="00575406">
        <w:rPr>
          <w:noProof w:val="0"/>
          <w:sz w:val="16"/>
          <w:szCs w:val="16"/>
          <w:lang w:val="en-GB"/>
        </w:rPr>
        <w:t xml:space="preserve"> Boa</w:t>
      </w:r>
      <w:r w:rsidR="009265A2" w:rsidRPr="00575406">
        <w:rPr>
          <w:noProof w:val="0"/>
          <w:sz w:val="16"/>
          <w:szCs w:val="16"/>
          <w:lang w:val="en-GB"/>
        </w:rPr>
        <w:t>r</w:t>
      </w:r>
      <w:r w:rsidR="00A539E4" w:rsidRPr="00575406">
        <w:rPr>
          <w:noProof w:val="0"/>
          <w:sz w:val="16"/>
          <w:szCs w:val="16"/>
          <w:lang w:val="en-GB"/>
        </w:rPr>
        <w:t>d of Aegis FinTech Inno</w:t>
      </w:r>
      <w:r w:rsidR="009265A2" w:rsidRPr="00575406">
        <w:rPr>
          <w:noProof w:val="0"/>
          <w:sz w:val="16"/>
          <w:szCs w:val="16"/>
          <w:lang w:val="en-GB"/>
        </w:rPr>
        <w:t>vations Ltd</w:t>
      </w:r>
    </w:p>
    <w:p w14:paraId="7F8499ED" w14:textId="76DE4655" w:rsidR="00235BF0" w:rsidRDefault="00275250" w:rsidP="009265A2">
      <w:pPr>
        <w:pStyle w:val="Author"/>
        <w:spacing w:before="5pt" w:beforeAutospacing="1" w:after="5pt" w:afterAutospacing="1"/>
        <w:rPr>
          <w:noProof w:val="0"/>
          <w:sz w:val="16"/>
          <w:szCs w:val="16"/>
          <w:lang w:val="en-GB"/>
        </w:rPr>
      </w:pPr>
      <w:r>
        <w:rPr>
          <w:noProof w:val="0"/>
          <w:sz w:val="16"/>
          <w:szCs w:val="16"/>
          <w:lang w:val="en-GB"/>
        </w:rPr>
        <w:t xml:space="preserve">Prepared by: Carlos Augusto Yánez Báez, Chief Information </w:t>
      </w:r>
      <w:r w:rsidR="006E1E0E">
        <w:rPr>
          <w:noProof w:val="0"/>
          <w:sz w:val="16"/>
          <w:szCs w:val="16"/>
          <w:lang w:val="en-GB"/>
        </w:rPr>
        <w:t>Security Officer (CISO)</w:t>
      </w:r>
    </w:p>
    <w:p w14:paraId="74834306" w14:textId="58659189" w:rsidR="006E1E0E" w:rsidRDefault="00120223" w:rsidP="00DB4D61">
      <w:pPr>
        <w:pStyle w:val="Heading1"/>
        <w:numPr>
          <w:ilvl w:val="0"/>
          <w:numId w:val="28"/>
        </w:numPr>
      </w:pPr>
      <w:r>
        <w:t>E</w:t>
      </w:r>
      <w:r w:rsidR="005B2F7C">
        <w:t>xecutive Summary</w:t>
      </w:r>
    </w:p>
    <w:p w14:paraId="1D63A3C2" w14:textId="570B5551" w:rsidR="001770A2" w:rsidRDefault="005B2F7C" w:rsidP="008650F4">
      <w:pPr>
        <w:ind w:firstLine="10.80pt"/>
        <w:jc w:val="both"/>
      </w:pPr>
      <w:r>
        <w:t xml:space="preserve">Aegis FinTech is preparing for a Series B raise and expansion into the European Union while operating an artificial intelligence (AI) driven financial analytics platform on public cloud infrastructure. This exposes the company to precisely the risk profile </w:t>
      </w:r>
      <w:r w:rsidR="002270E2">
        <w:t xml:space="preserve">identified in the accompanying research paper: cloud compromise is overwhelmingly caused by customer-side configuration and identity failures rather than provider fault, and the financial sector is a priority target for ransomware </w:t>
      </w:r>
      <w:r w:rsidR="000677A7">
        <w:t>[1]. The financial stakes are significant; the research cited</w:t>
      </w:r>
      <w:r w:rsidR="008020FB">
        <w:t xml:space="preserve"> IBM’s finding that breaches spanning multiple environments cost an average of </w:t>
      </w:r>
      <w:r w:rsidR="002120F2">
        <w:t xml:space="preserve">USD 5.05 million [1], [2], a sum that would materially damage the Series B valuation. This proposal </w:t>
      </w:r>
      <w:r w:rsidR="00841B73">
        <w:t>sets out a practical plan to establish a dedicated Information Security Unit, adopting the NIST Cybersecurity Framework (CSF) 2.0 [3] as the governing operating model</w:t>
      </w:r>
      <w:r w:rsidR="00623962">
        <w:t xml:space="preserve"> and Zero Trust [4] as the architectural principle. It covers organisational design, a policy framework, a </w:t>
      </w:r>
      <w:r w:rsidR="00073113">
        <w:t xml:space="preserve">General Data Protection </w:t>
      </w:r>
      <w:r w:rsidR="00173C73">
        <w:t>Regulation (</w:t>
      </w:r>
      <w:r w:rsidR="00623962">
        <w:t>GDPR</w:t>
      </w:r>
      <w:r w:rsidR="00173C73">
        <w:t>)</w:t>
      </w:r>
      <w:r w:rsidR="00623962">
        <w:t xml:space="preserve"> and </w:t>
      </w:r>
      <w:r w:rsidR="00173C73">
        <w:t>Digital Operational Resilience Act (</w:t>
      </w:r>
      <w:r w:rsidR="00623962">
        <w:t>DORA</w:t>
      </w:r>
      <w:r w:rsidR="00173C73">
        <w:t>)</w:t>
      </w:r>
      <w:r w:rsidR="00623962">
        <w:t xml:space="preserve"> compliance roadmap, technical architecture, a strategic risk assessment, a ransomware response</w:t>
      </w:r>
      <w:r w:rsidR="00891136">
        <w:t xml:space="preserve"> capability, and a costed twelve-month roadmap with measurable outcomes</w:t>
      </w:r>
      <w:r w:rsidR="001770A2">
        <w:t>.</w:t>
      </w:r>
    </w:p>
    <w:p w14:paraId="527B8FD3" w14:textId="77777777" w:rsidR="00065B92" w:rsidRDefault="001770A2" w:rsidP="00065B92">
      <w:pPr>
        <w:pStyle w:val="Heading1"/>
      </w:pPr>
      <w:r>
        <w:t>Work-Stream 1: Organisational Design and Resourcing</w:t>
      </w:r>
    </w:p>
    <w:p w14:paraId="1D521A94" w14:textId="1C09BE50" w:rsidR="004E5717" w:rsidRDefault="00065B92" w:rsidP="00E30B1F">
      <w:pPr>
        <w:pStyle w:val="BodyText"/>
      </w:pPr>
      <w:r>
        <w:t>The unit</w:t>
      </w:r>
      <w:r w:rsidR="00891136">
        <w:t xml:space="preserve"> </w:t>
      </w:r>
      <w:r w:rsidR="008650F4">
        <w:t xml:space="preserve">is designed to </w:t>
      </w:r>
      <w:r w:rsidR="008650F4" w:rsidRPr="00E30B1F">
        <w:rPr>
          <w:lang w:val="en-GB"/>
        </w:rPr>
        <w:t>deliver</w:t>
      </w:r>
      <w:r w:rsidR="008650F4">
        <w:t xml:space="preserve"> the six functions of NIST CSF 2.0 – Govern, </w:t>
      </w:r>
      <w:r w:rsidR="00614783">
        <w:t xml:space="preserve">Identify, Protect, Detect, Respond and Recover [3]. I </w:t>
      </w:r>
      <w:r w:rsidR="00F87EDC">
        <w:t>propose a lean unit of sic specialists reporting to the CISO, structured as shown in Fig. 1. The roles are not generic: each addresses a specific failure mode evidenced in Task 1.</w:t>
      </w:r>
    </w:p>
    <w:p w14:paraId="60EB0AE8" w14:textId="7A72E429" w:rsidR="00E30B1F" w:rsidRDefault="00F85565" w:rsidP="00E30B1F">
      <w:pPr>
        <w:pStyle w:val="BodyText"/>
      </w:pPr>
      <w:r>
        <w:t>A Cloud Security Architect owns posture and Zero Trust design across the estate.</w:t>
      </w:r>
      <w:r w:rsidR="00BF25B3">
        <w:t xml:space="preserve"> Task 1 found misconfiguration and identity weakness to be the two leading causes of cloud intrusion, and that Cloud Security Posture Management (CSPM) is effective only when embedded in a governed operating </w:t>
      </w:r>
      <w:r w:rsidR="00C907E8">
        <w:t>model [1]; this role is accountable for that model. A DevSecOps Engineer embeds</w:t>
      </w:r>
      <w:r w:rsidR="00D872E6">
        <w:t xml:space="preserve"> policy-as-code and pre-deployment scanning into the delivery pipeline, operationalising Task 1’s central argument</w:t>
      </w:r>
      <w:r w:rsidR="00342ACB">
        <w:t xml:space="preserve"> that defects should be </w:t>
      </w:r>
      <w:r w:rsidR="007D03B8">
        <w:t>corrected at source rather than remediated repeat</w:t>
      </w:r>
      <w:r w:rsidR="00B63F61">
        <w:t>edly in production [1]. A Security Operations (SecOps) Analyst runs detection and response, closing the behavio</w:t>
      </w:r>
      <w:r w:rsidR="0065726E">
        <w:t xml:space="preserve">ural visibility gap that Task 1 identified as CSPM’s most fundamental limitation. A Data Protection Officer (DPO) is a statutory requirement under GDPR Article 37 </w:t>
      </w:r>
      <w:r w:rsidR="00792BB8">
        <w:t>given large-scale processing of personal financial data [5], and an AI Security Specialist governs model and training data integrity, addressing the AI data-pois</w:t>
      </w:r>
      <w:r w:rsidR="00E2158D">
        <w:t>o</w:t>
      </w:r>
      <w:r w:rsidR="00792BB8">
        <w:t>nin</w:t>
      </w:r>
      <w:r w:rsidR="00E2158D">
        <w:t>g risk that a conventional cloud team is not equipped to manage. A GRC Analyst maintains the DORA and GDPR evidence base.</w:t>
      </w:r>
    </w:p>
    <w:p w14:paraId="109E7B29" w14:textId="77777777" w:rsidR="00CB19F8" w:rsidRDefault="001F2095" w:rsidP="001F2095">
      <w:pPr>
        <w:pStyle w:val="BodyText"/>
        <w:ind w:firstLine="0pt"/>
        <w:rPr>
          <w:sz w:val="16"/>
          <w:szCs w:val="16"/>
          <w:lang w:val="en-GB"/>
        </w:rPr>
      </w:pPr>
      <w:r w:rsidRPr="001F2095">
        <w:rPr>
          <w:noProof/>
          <w:sz w:val="16"/>
          <w:szCs w:val="16"/>
          <w:lang w:val="en-GB"/>
        </w:rPr>
        <w:drawing>
          <wp:inline distT="0" distB="0" distL="0" distR="0" wp14:anchorId="28E6E782" wp14:editId="5EE6EEFF">
            <wp:extent cx="6408420" cy="2314575"/>
            <wp:effectExtent l="0" t="0" r="0" b="0"/>
            <wp:docPr id="152718682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8420" cy="2314575"/>
                    </a:xfrm>
                    <a:prstGeom prst="rect">
                      <a:avLst/>
                    </a:prstGeom>
                    <a:noFill/>
                    <a:ln>
                      <a:noFill/>
                    </a:ln>
                  </pic:spPr>
                </pic:pic>
              </a:graphicData>
            </a:graphic>
          </wp:inline>
        </w:drawing>
      </w:r>
    </w:p>
    <w:p w14:paraId="71554BFC" w14:textId="1DD41B40" w:rsidR="000A4241" w:rsidRDefault="000A4241" w:rsidP="00CB19F8">
      <w:pPr>
        <w:pStyle w:val="figurecaption"/>
        <w:numPr>
          <w:ilvl w:val="0"/>
          <w:numId w:val="30"/>
        </w:numPr>
        <w:rPr>
          <w:noProof w:val="0"/>
          <w:lang w:val="en-GB"/>
        </w:rPr>
      </w:pPr>
      <w:r w:rsidRPr="00CB19F8">
        <w:t>Proposed</w:t>
      </w:r>
      <w:r w:rsidRPr="00CB19F8">
        <w:rPr>
          <w:lang w:val="en-GB"/>
        </w:rPr>
        <w:t xml:space="preserve"> organisation chart for the Aegis FinTech Information Security Unit, with each role mapped to the NIST CSF 2.0 function it primarily delivers.</w:t>
      </w:r>
    </w:p>
    <w:p w14:paraId="5B2FF4EE" w14:textId="5B011130" w:rsidR="00E27961" w:rsidRDefault="00E27961" w:rsidP="00E27961">
      <w:pPr>
        <w:pStyle w:val="Heading1"/>
      </w:pPr>
      <w:r>
        <w:t>Work-Stream 2: Policy Framework Development</w:t>
      </w:r>
    </w:p>
    <w:p w14:paraId="5B13A30B" w14:textId="0020009C" w:rsidR="00E27961" w:rsidRDefault="00E27961" w:rsidP="00E27961">
      <w:pPr>
        <w:pStyle w:val="BodyText"/>
      </w:pPr>
      <w:r>
        <w:t xml:space="preserve">Three </w:t>
      </w:r>
      <w:r w:rsidR="00F74D76">
        <w:t>foundational policies are proposed for immediate board approval. Each is a direct response to a risk quantified in Task 1.</w:t>
      </w:r>
    </w:p>
    <w:p w14:paraId="0CFAB3D3" w14:textId="6100BFAE" w:rsidR="00F74D76" w:rsidRDefault="00F74D76" w:rsidP="00E27961">
      <w:pPr>
        <w:pStyle w:val="BodyText"/>
      </w:pPr>
      <w:r>
        <w:t>A</w:t>
      </w:r>
      <w:r w:rsidR="00BE220D">
        <w:t>cceptable Use Policy for AI and Cloud Services. This policy governs how staff provision cloud resources and use AI to</w:t>
      </w:r>
      <w:r w:rsidR="00D228C7">
        <w:t xml:space="preserve">oling. It mandates least-privilege access, prohibits the creation of publicly exposed data stores without documented exception, and </w:t>
      </w:r>
      <w:r w:rsidR="00D228C7">
        <w:lastRenderedPageBreak/>
        <w:t>forbids the entry of confidential client data into unsanctioned AI services. Justification: Task 1 reported that 74 per cent of organisations hold publicly exposed storage</w:t>
      </w:r>
      <w:r w:rsidR="00176213">
        <w:t xml:space="preserve"> and that a “toxic</w:t>
      </w:r>
      <w:r w:rsidR="009728C0">
        <w:t xml:space="preserve"> trilogy” of exposure, vulnerability and excessive privilege affects 38 per cent of estates [1], [6]; this policy attacks all three conditions at source.</w:t>
      </w:r>
    </w:p>
    <w:p w14:paraId="21DF2CAE" w14:textId="39BA2539" w:rsidR="00FE6DE0" w:rsidRDefault="00726878" w:rsidP="00E27961">
      <w:pPr>
        <w:pStyle w:val="BodyText"/>
      </w:pPr>
      <w:r>
        <w:t>Hybrid Work and Remote Access Security Policy. This policy mandates phishing-resistant multi-factor authentication (MFA) for all access, device compliance checks, and Zero Trust Network Access (ZTNA) in place of legacy virtual private networks. Justification: the Snowflake breach analysed in Task 1 succeeded</w:t>
      </w:r>
      <w:r w:rsidR="00F74EE5">
        <w:t xml:space="preserve"> specifically because accounts lacked MFA, credentials were unrotated and access was not restricted by location [1]. This policy makes each of those failures a compliance breach.</w:t>
      </w:r>
    </w:p>
    <w:p w14:paraId="77E4284C" w14:textId="45049ABF" w:rsidR="00F74EE5" w:rsidRDefault="00F74EE5" w:rsidP="00E27961">
      <w:pPr>
        <w:pStyle w:val="BodyText"/>
      </w:pPr>
      <w:r>
        <w:t xml:space="preserve">Third-party </w:t>
      </w:r>
      <w:r w:rsidR="00486AB0">
        <w:t xml:space="preserve">and Cloud Vendor Risk Management Policy. This policy requires a security assessment and a register entry for every </w:t>
      </w:r>
      <w:r w:rsidR="00176E47">
        <w:t>Information and Communications Technology (</w:t>
      </w:r>
      <w:r w:rsidR="00486AB0">
        <w:t>ICT</w:t>
      </w:r>
      <w:r w:rsidR="00176E47">
        <w:t>)</w:t>
      </w:r>
      <w:r w:rsidR="00486AB0">
        <w:t xml:space="preserve"> vendor before </w:t>
      </w:r>
      <w:r w:rsidR="00176E47">
        <w:t xml:space="preserve">onboarding, with contractual audit and incident-notification rights. Justification: Task 1 recorded the doubling of third-party involvement in breaches from 15 to 30 per cent [1], [7], and DORA’s third-party pillar makes such a register a </w:t>
      </w:r>
      <w:r w:rsidR="002B7387">
        <w:t>legal obligation [8]. The policy therefore satisfies a research finding and a regulatory requirement sim</w:t>
      </w:r>
      <w:r w:rsidR="000229E4">
        <w:t>ultaneously.</w:t>
      </w:r>
    </w:p>
    <w:p w14:paraId="1D4BC32B" w14:textId="3E4A9185" w:rsidR="000229E4" w:rsidRDefault="000229E4" w:rsidP="000229E4">
      <w:pPr>
        <w:pStyle w:val="Heading1"/>
      </w:pPr>
      <w:r>
        <w:t>Work-Stream 3: Regulatory Compliance Strategy</w:t>
      </w:r>
    </w:p>
    <w:p w14:paraId="75F42BD7" w14:textId="2A326229" w:rsidR="000229E4" w:rsidRDefault="000229E4" w:rsidP="000229E4">
      <w:pPr>
        <w:pStyle w:val="BodyText"/>
      </w:pPr>
      <w:r>
        <w:t xml:space="preserve">EU </w:t>
      </w:r>
      <w:r w:rsidR="00F21E88">
        <w:t xml:space="preserve">expansion brings Aegis within scope of both the General Data Protection Regulation </w:t>
      </w:r>
      <w:r w:rsidR="00002EE5">
        <w:t>(GDPR)</w:t>
      </w:r>
      <w:r w:rsidR="00410719">
        <w:t xml:space="preserve"> [5]</w:t>
      </w:r>
      <w:r w:rsidR="001A787A">
        <w:t xml:space="preserve"> and the Digital Operational Resilience Act (DORA), which has applied to financial entities since 17 Jan</w:t>
      </w:r>
      <w:r w:rsidR="002E5B8D">
        <w:t>uary 2025 and carries fines of up to 2 per cent of global annual turnover [8]. GDPR non-compliance</w:t>
      </w:r>
      <w:r w:rsidR="00975AC3">
        <w:t xml:space="preserve"> can additionally attract penalties of up to 4 per cent of global turnover [5], so for a pre-Series B company the </w:t>
      </w:r>
      <w:r w:rsidR="008218B2">
        <w:t>combined regulatory exposure is existential rather than administrative.</w:t>
      </w:r>
      <w:r w:rsidR="008066CF">
        <w:t xml:space="preserve"> The compliance roadmap in Table I sequences the two regimes across the expansion. GDPR priorities are records of processing (Article 30), a lawful security baseline (Article 32), a 72-hour breach-notification procedure (Article 33) and processor agreements (Article 28), with a Data Protection I</w:t>
      </w:r>
      <w:r w:rsidR="00961884">
        <w:t>mpact</w:t>
      </w:r>
      <w:r w:rsidR="00C6692F">
        <w:t xml:space="preserve"> Assessment (Article 35) required for the platform’s large-scale automated processing of personal financial data [5]. DORA priorities map to its five pillars: ICT risk management, incident reporting, resilience testing, third-party risk and information sharing [8]. Task 1’s finding that the shared-responsibility model allocates accountability without verify</w:t>
      </w:r>
      <w:r w:rsidR="00173158">
        <w:t>ing it directly motivates the DORA evidence programme proposed here, because the regulator will require documented proof of control rather than assertion [1].</w:t>
      </w:r>
    </w:p>
    <w:p w14:paraId="2855AF35" w14:textId="163BA9CA" w:rsidR="002462FB" w:rsidRDefault="002500DB" w:rsidP="007603D8">
      <w:pPr>
        <w:pStyle w:val="tablehead"/>
        <w:numPr>
          <w:ilvl w:val="0"/>
          <w:numId w:val="32"/>
        </w:numPr>
      </w:pPr>
      <w:r>
        <w:t xml:space="preserve">GDPR </w:t>
      </w:r>
      <w:r w:rsidR="007603D8">
        <w:t>and</w:t>
      </w:r>
      <w:r>
        <w:t xml:space="preserve"> DORA C</w:t>
      </w:r>
      <w:r w:rsidR="007603D8">
        <w:t>ompliance</w:t>
      </w:r>
      <w:r>
        <w:t xml:space="preserve"> R</w:t>
      </w:r>
      <w:r w:rsidR="007603D8">
        <w:t>oadmap</w:t>
      </w:r>
      <w:r>
        <w:t xml:space="preserve"> </w:t>
      </w:r>
      <w:r w:rsidR="007603D8">
        <w:t>for</w:t>
      </w:r>
      <w:r>
        <w:t xml:space="preserve"> EU E</w:t>
      </w:r>
      <w:r w:rsidR="007603D8">
        <w:t>xpansion</w:t>
      </w:r>
    </w:p>
    <w:tbl>
      <w:tblPr>
        <w:tblStyle w:val="TableGrid"/>
        <w:tblW w:w="507.45pt" w:type="dxa"/>
        <w:tblLayout w:type="fixed"/>
        <w:tblLook w:firstRow="0" w:lastRow="0" w:firstColumn="0" w:lastColumn="0" w:noHBand="0" w:noVBand="0"/>
      </w:tblPr>
      <w:tblGrid>
        <w:gridCol w:w="1555"/>
        <w:gridCol w:w="4297"/>
        <w:gridCol w:w="4297"/>
      </w:tblGrid>
      <w:tr w:rsidR="00EB6630" w:rsidRPr="00335B46" w14:paraId="36BFD6A5" w14:textId="77777777" w:rsidTr="00BF1CE3">
        <w:trPr>
          <w:trHeight w:val="227"/>
        </w:trPr>
        <w:tc>
          <w:tcPr>
            <w:tcW w:w="77.75pt" w:type="dxa"/>
            <w:shd w:val="clear" w:color="auto" w:fill="D0CECE" w:themeFill="background2" w:themeFillShade="E6"/>
          </w:tcPr>
          <w:p w14:paraId="5AA21CE0" w14:textId="331BA3FA" w:rsidR="00EB6630" w:rsidRPr="00335B46" w:rsidRDefault="00EB6630" w:rsidP="0034513E">
            <w:pPr>
              <w:pStyle w:val="tablecolhead"/>
            </w:pPr>
            <w:r>
              <w:t>Phase / Timeline</w:t>
            </w:r>
          </w:p>
        </w:tc>
        <w:tc>
          <w:tcPr>
            <w:tcW w:w="214.85pt" w:type="dxa"/>
            <w:shd w:val="clear" w:color="auto" w:fill="D0CECE" w:themeFill="background2" w:themeFillShade="E6"/>
          </w:tcPr>
          <w:p w14:paraId="183A90EC" w14:textId="63E13757" w:rsidR="00EB6630" w:rsidRPr="00335B46" w:rsidRDefault="00EB6630" w:rsidP="0034513E">
            <w:pPr>
              <w:pStyle w:val="tablecolhead"/>
            </w:pPr>
            <w:r>
              <w:t>GDPR Milestone</w:t>
            </w:r>
          </w:p>
        </w:tc>
        <w:tc>
          <w:tcPr>
            <w:tcW w:w="214.85pt" w:type="dxa"/>
            <w:shd w:val="clear" w:color="auto" w:fill="D0CECE" w:themeFill="background2" w:themeFillShade="E6"/>
          </w:tcPr>
          <w:p w14:paraId="19D67585" w14:textId="0C43EBDB" w:rsidR="00EB6630" w:rsidRPr="00335B46" w:rsidRDefault="00EB6630" w:rsidP="0034513E">
            <w:pPr>
              <w:pStyle w:val="tablecolhead"/>
            </w:pPr>
            <w:r>
              <w:t>DORA Milestone (pillar)</w:t>
            </w:r>
          </w:p>
        </w:tc>
      </w:tr>
      <w:tr w:rsidR="00EB6630" w:rsidRPr="00335B46" w14:paraId="33AAB2C7" w14:textId="77777777" w:rsidTr="00BF1CE3">
        <w:trPr>
          <w:trHeight w:val="227"/>
        </w:trPr>
        <w:tc>
          <w:tcPr>
            <w:tcW w:w="77.75pt" w:type="dxa"/>
          </w:tcPr>
          <w:p w14:paraId="584CD293" w14:textId="77777777" w:rsidR="00EB6630" w:rsidRDefault="00EB6630" w:rsidP="0034513E">
            <w:pPr>
              <w:pStyle w:val="tablecolhead"/>
              <w:jc w:val="start"/>
            </w:pPr>
            <w:r>
              <w:t>Q1 (Months 1-3)</w:t>
            </w:r>
          </w:p>
          <w:p w14:paraId="789A389A" w14:textId="55A4C704" w:rsidR="00EB6630" w:rsidRPr="00EB6630" w:rsidRDefault="00EB6630" w:rsidP="0034513E">
            <w:pPr>
              <w:pStyle w:val="tablecolhead"/>
              <w:jc w:val="start"/>
              <w:rPr>
                <w:b w:val="0"/>
                <w:bCs w:val="0"/>
              </w:rPr>
            </w:pPr>
            <w:r>
              <w:rPr>
                <w:b w:val="0"/>
                <w:bCs w:val="0"/>
              </w:rPr>
              <w:t>Foundation</w:t>
            </w:r>
          </w:p>
        </w:tc>
        <w:tc>
          <w:tcPr>
            <w:tcW w:w="214.85pt" w:type="dxa"/>
          </w:tcPr>
          <w:p w14:paraId="4F7A62C8" w14:textId="038631A0" w:rsidR="00EB6630" w:rsidRPr="004558E5" w:rsidRDefault="00EB6630" w:rsidP="0034513E">
            <w:pPr>
              <w:pStyle w:val="tablecolhead"/>
              <w:jc w:val="start"/>
              <w:rPr>
                <w:b w:val="0"/>
                <w:bCs w:val="0"/>
              </w:rPr>
            </w:pPr>
            <w:r>
              <w:rPr>
                <w:b w:val="0"/>
                <w:bCs w:val="0"/>
              </w:rPr>
              <w:t>Records of processing (Art. 30); appoint DPO (Art. 37)</w:t>
            </w:r>
          </w:p>
        </w:tc>
        <w:tc>
          <w:tcPr>
            <w:tcW w:w="214.85pt" w:type="dxa"/>
          </w:tcPr>
          <w:p w14:paraId="252C6FCB" w14:textId="02FAF2A2" w:rsidR="00EB6630" w:rsidRPr="004558E5" w:rsidRDefault="00247BD6" w:rsidP="0034513E">
            <w:pPr>
              <w:pStyle w:val="tablecolhead"/>
              <w:jc w:val="start"/>
              <w:rPr>
                <w:b w:val="0"/>
                <w:bCs w:val="0"/>
              </w:rPr>
            </w:pPr>
            <w:r>
              <w:rPr>
                <w:b w:val="0"/>
                <w:bCs w:val="0"/>
              </w:rPr>
              <w:t>ICT risk-management framework established (pillar 1)</w:t>
            </w:r>
          </w:p>
        </w:tc>
      </w:tr>
      <w:tr w:rsidR="00EB6630" w:rsidRPr="00335B46" w14:paraId="1941FD71" w14:textId="77777777" w:rsidTr="00BF1CE3">
        <w:trPr>
          <w:trHeight w:val="227"/>
        </w:trPr>
        <w:tc>
          <w:tcPr>
            <w:tcW w:w="77.75pt" w:type="dxa"/>
          </w:tcPr>
          <w:p w14:paraId="20C40C47" w14:textId="77777777" w:rsidR="00EB6630" w:rsidRDefault="00247BD6" w:rsidP="0034513E">
            <w:pPr>
              <w:pStyle w:val="tablecolhead"/>
              <w:jc w:val="start"/>
            </w:pPr>
            <w:r>
              <w:t>Q2 (Months 4-6)</w:t>
            </w:r>
          </w:p>
          <w:p w14:paraId="36995B01" w14:textId="65561F9A" w:rsidR="00247BD6" w:rsidRPr="00247BD6" w:rsidRDefault="00247BD6" w:rsidP="0034513E">
            <w:pPr>
              <w:pStyle w:val="tablecolhead"/>
              <w:jc w:val="start"/>
              <w:rPr>
                <w:b w:val="0"/>
                <w:bCs w:val="0"/>
              </w:rPr>
            </w:pPr>
            <w:r>
              <w:rPr>
                <w:b w:val="0"/>
                <w:bCs w:val="0"/>
              </w:rPr>
              <w:t>Controls</w:t>
            </w:r>
          </w:p>
        </w:tc>
        <w:tc>
          <w:tcPr>
            <w:tcW w:w="214.85pt" w:type="dxa"/>
          </w:tcPr>
          <w:p w14:paraId="3444FF9E" w14:textId="7C964BE3" w:rsidR="00EB6630" w:rsidRPr="003D45A5" w:rsidRDefault="00247BD6" w:rsidP="0034513E">
            <w:pPr>
              <w:pStyle w:val="tablecolhead"/>
              <w:jc w:val="start"/>
              <w:rPr>
                <w:b w:val="0"/>
                <w:bCs w:val="0"/>
              </w:rPr>
            </w:pPr>
            <w:r>
              <w:rPr>
                <w:b w:val="0"/>
                <w:bCs w:val="0"/>
              </w:rPr>
              <w:t>Security baseline (Art. 32); processor agreements (Art.28)</w:t>
            </w:r>
          </w:p>
        </w:tc>
        <w:tc>
          <w:tcPr>
            <w:tcW w:w="214.85pt" w:type="dxa"/>
          </w:tcPr>
          <w:p w14:paraId="560F2A76" w14:textId="404FD525" w:rsidR="00EB6630" w:rsidRPr="003D45A5" w:rsidRDefault="00247BD6" w:rsidP="0034513E">
            <w:pPr>
              <w:pStyle w:val="tablecolhead"/>
              <w:jc w:val="start"/>
              <w:rPr>
                <w:b w:val="0"/>
                <w:bCs w:val="0"/>
              </w:rPr>
            </w:pPr>
            <w:r>
              <w:rPr>
                <w:b w:val="0"/>
                <w:bCs w:val="0"/>
              </w:rPr>
              <w:t>ICT third-party register and vendor clauses (pillar 4)</w:t>
            </w:r>
          </w:p>
        </w:tc>
      </w:tr>
      <w:tr w:rsidR="00EB6630" w:rsidRPr="00335B46" w14:paraId="5BE67E2D" w14:textId="77777777" w:rsidTr="00BF1CE3">
        <w:trPr>
          <w:trHeight w:val="227"/>
        </w:trPr>
        <w:tc>
          <w:tcPr>
            <w:tcW w:w="77.75pt" w:type="dxa"/>
          </w:tcPr>
          <w:p w14:paraId="2F24E0D2" w14:textId="77777777" w:rsidR="00EB6630" w:rsidRDefault="00247BD6" w:rsidP="0034513E">
            <w:pPr>
              <w:pStyle w:val="tablecolhead"/>
              <w:jc w:val="start"/>
              <w:rPr>
                <w:b w:val="0"/>
                <w:bCs w:val="0"/>
              </w:rPr>
            </w:pPr>
            <w:r>
              <w:t>Q3 (Months 7-9)</w:t>
            </w:r>
          </w:p>
          <w:p w14:paraId="13A4A767" w14:textId="09E95828" w:rsidR="00247BD6" w:rsidRPr="00247BD6" w:rsidRDefault="00247BD6" w:rsidP="0034513E">
            <w:pPr>
              <w:pStyle w:val="tablecolhead"/>
              <w:jc w:val="start"/>
              <w:rPr>
                <w:b w:val="0"/>
                <w:bCs w:val="0"/>
              </w:rPr>
            </w:pPr>
            <w:r>
              <w:rPr>
                <w:b w:val="0"/>
                <w:bCs w:val="0"/>
              </w:rPr>
              <w:t>Assurance</w:t>
            </w:r>
          </w:p>
        </w:tc>
        <w:tc>
          <w:tcPr>
            <w:tcW w:w="214.85pt" w:type="dxa"/>
          </w:tcPr>
          <w:p w14:paraId="2EB6DB9B" w14:textId="250D25F3" w:rsidR="00EB6630" w:rsidRPr="003D45A5" w:rsidRDefault="00247BD6" w:rsidP="0034513E">
            <w:pPr>
              <w:pStyle w:val="tablecolhead"/>
              <w:jc w:val="start"/>
              <w:rPr>
                <w:b w:val="0"/>
                <w:bCs w:val="0"/>
              </w:rPr>
            </w:pPr>
            <w:r>
              <w:rPr>
                <w:b w:val="0"/>
                <w:bCs w:val="0"/>
              </w:rPr>
              <w:t>72-hour breach-notification procedure tested (Art. 33)</w:t>
            </w:r>
          </w:p>
        </w:tc>
        <w:tc>
          <w:tcPr>
            <w:tcW w:w="214.85pt" w:type="dxa"/>
          </w:tcPr>
          <w:p w14:paraId="3813A433" w14:textId="4C70D3C4" w:rsidR="00EB6630" w:rsidRPr="003D45A5" w:rsidRDefault="00247BD6" w:rsidP="0034513E">
            <w:pPr>
              <w:pStyle w:val="tablecolhead"/>
              <w:jc w:val="start"/>
              <w:rPr>
                <w:b w:val="0"/>
                <w:bCs w:val="0"/>
              </w:rPr>
            </w:pPr>
            <w:r>
              <w:rPr>
                <w:b w:val="0"/>
                <w:bCs w:val="0"/>
              </w:rPr>
              <w:t>Incident-reporting process live (pillar 2)</w:t>
            </w:r>
          </w:p>
        </w:tc>
      </w:tr>
      <w:tr w:rsidR="00EB6630" w:rsidRPr="00335B46" w14:paraId="46C0BE72" w14:textId="77777777" w:rsidTr="00BF1CE3">
        <w:trPr>
          <w:trHeight w:val="227"/>
        </w:trPr>
        <w:tc>
          <w:tcPr>
            <w:tcW w:w="77.75pt" w:type="dxa"/>
          </w:tcPr>
          <w:p w14:paraId="6B935860" w14:textId="77777777" w:rsidR="00EB6630" w:rsidRDefault="00247BD6" w:rsidP="0034513E">
            <w:pPr>
              <w:pStyle w:val="tablecolhead"/>
              <w:jc w:val="start"/>
            </w:pPr>
            <w:r>
              <w:t>Q4 (Months 10-12)</w:t>
            </w:r>
          </w:p>
          <w:p w14:paraId="34837E2F" w14:textId="65F18468" w:rsidR="00247BD6" w:rsidRPr="00247BD6" w:rsidRDefault="00247BD6" w:rsidP="0034513E">
            <w:pPr>
              <w:pStyle w:val="tablecolhead"/>
              <w:jc w:val="start"/>
              <w:rPr>
                <w:b w:val="0"/>
                <w:bCs w:val="0"/>
              </w:rPr>
            </w:pPr>
            <w:r>
              <w:rPr>
                <w:b w:val="0"/>
                <w:bCs w:val="0"/>
              </w:rPr>
              <w:t>Resilience</w:t>
            </w:r>
          </w:p>
        </w:tc>
        <w:tc>
          <w:tcPr>
            <w:tcW w:w="214.85pt" w:type="dxa"/>
          </w:tcPr>
          <w:p w14:paraId="338C91E3" w14:textId="67FE5163" w:rsidR="00EB6630" w:rsidRPr="003D45A5" w:rsidRDefault="00247BD6" w:rsidP="0034513E">
            <w:pPr>
              <w:pStyle w:val="tablecolhead"/>
              <w:jc w:val="start"/>
              <w:rPr>
                <w:b w:val="0"/>
                <w:bCs w:val="0"/>
              </w:rPr>
            </w:pPr>
            <w:r>
              <w:rPr>
                <w:b w:val="0"/>
                <w:bCs w:val="0"/>
              </w:rPr>
              <w:t>Data Protection Impact Assessment for AI processing (Art. 35)</w:t>
            </w:r>
          </w:p>
        </w:tc>
        <w:tc>
          <w:tcPr>
            <w:tcW w:w="214.85pt" w:type="dxa"/>
          </w:tcPr>
          <w:p w14:paraId="32C58FE0" w14:textId="48478B20" w:rsidR="00EB6630" w:rsidRPr="003D45A5" w:rsidRDefault="00247BD6" w:rsidP="0034513E">
            <w:pPr>
              <w:pStyle w:val="tablecolhead"/>
              <w:jc w:val="start"/>
              <w:rPr>
                <w:b w:val="0"/>
                <w:bCs w:val="0"/>
              </w:rPr>
            </w:pPr>
            <w:r>
              <w:rPr>
                <w:b w:val="0"/>
                <w:bCs w:val="0"/>
              </w:rPr>
              <w:t>Resilience testing and information-sharing (pillars 3, 5)</w:t>
            </w:r>
          </w:p>
        </w:tc>
      </w:tr>
    </w:tbl>
    <w:p w14:paraId="7410DD41" w14:textId="1CC61E79" w:rsidR="007603D8" w:rsidRDefault="00247BD6" w:rsidP="00247BD6">
      <w:pPr>
        <w:pStyle w:val="Heading1"/>
      </w:pPr>
      <w:r>
        <w:t>Work-Stream 4: Technical Standards and Architecture</w:t>
      </w:r>
    </w:p>
    <w:p w14:paraId="4B624C4A" w14:textId="73765397" w:rsidR="00247BD6" w:rsidRDefault="00247BD6" w:rsidP="00247BD6">
      <w:pPr>
        <w:pStyle w:val="BodyText"/>
      </w:pPr>
      <w:r>
        <w:t xml:space="preserve">I recommend </w:t>
      </w:r>
      <w:r w:rsidR="00CD7DA8">
        <w:t xml:space="preserve">NIST CSF 2.0 as the core framework rather than ISO/IEC </w:t>
      </w:r>
      <w:r w:rsidR="00FC6608">
        <w:t>27001:2022. Task 1 concluded that posture management delivers value only under accountable governance structure, and specifically identified the Govern function introduced in CSF 2.0 as that structure [1], [3]</w:t>
      </w:r>
      <w:r w:rsidR="009535FD">
        <w:t xml:space="preserve">; adopting CSF 2.0 therefore makes the proposal a continuation of the research rather than a departure from it. CSF 2.0 is also lighter to adopt </w:t>
      </w:r>
      <w:r w:rsidR="0019115F">
        <w:t>for a startup than a full certification programme. ISO/IEC 27001:2022 certification, with its 93 Annex A controls [9], is retained as a roadmap milestone (Work-Stream 7) to provide the external assurance that Series B investors and EU partners expect.</w:t>
      </w:r>
    </w:p>
    <w:p w14:paraId="2E5758C1" w14:textId="0765A890" w:rsidR="004D60BB" w:rsidRDefault="004378E6" w:rsidP="00247BD6">
      <w:pPr>
        <w:pStyle w:val="BodyText"/>
      </w:pPr>
      <w:r>
        <w:t>The proposed architecture, shown in Fig. 2</w:t>
      </w:r>
      <w:r w:rsidR="00846BD3">
        <w:t xml:space="preserve">, applies Zero Trust principles [4] end to end. Identity is the primary control plane, enforcing phishing-resistant MFA and </w:t>
      </w:r>
      <w:r w:rsidR="002F6ECE">
        <w:t>Zero Trust Network Access (ZTNA) so that no request is trusted by network location – the direct remedy for the Snowflake-class failure examined in Task 1</w:t>
      </w:r>
      <w:r w:rsidR="001100C4">
        <w:t xml:space="preserve"> </w:t>
      </w:r>
      <w:r w:rsidR="002F6ECE">
        <w:t>[1].</w:t>
      </w:r>
      <w:r w:rsidR="001100C4">
        <w:t xml:space="preserve"> CSPM and infrastructure-as-code scanning provide continuous, preventive configuration assurance across AWS, Azure and GCP, operationalising Task 1’s core recommendation. A Security Information and Even Management (SIEM) platform with automated response supplies the runtime behavioural detection that Task 1 showed CSPM alone cannot provide, and immutable, versioned backup underpins recovery.</w:t>
      </w:r>
    </w:p>
    <w:p w14:paraId="00FF02E0" w14:textId="1157D42F" w:rsidR="008A0026" w:rsidRDefault="008A0026" w:rsidP="008A0026">
      <w:pPr>
        <w:pStyle w:val="BodyText"/>
        <w:ind w:firstLine="0pt"/>
      </w:pPr>
      <w:r w:rsidRPr="008A0026">
        <w:rPr>
          <w:noProof/>
        </w:rPr>
        <w:lastRenderedPageBreak/>
        <w:drawing>
          <wp:inline distT="0" distB="0" distL="0" distR="0" wp14:anchorId="3C24D0F2" wp14:editId="475C551D">
            <wp:extent cx="6408420" cy="4241800"/>
            <wp:effectExtent l="0" t="0" r="0" b="6350"/>
            <wp:docPr id="1282310475"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08420" cy="4241800"/>
                    </a:xfrm>
                    <a:prstGeom prst="rect">
                      <a:avLst/>
                    </a:prstGeom>
                    <a:noFill/>
                    <a:ln>
                      <a:noFill/>
                    </a:ln>
                  </pic:spPr>
                </pic:pic>
              </a:graphicData>
            </a:graphic>
          </wp:inline>
        </w:drawing>
      </w:r>
    </w:p>
    <w:p w14:paraId="19205168" w14:textId="323F49D8" w:rsidR="008A0026" w:rsidRDefault="002C26C9" w:rsidP="008A0026">
      <w:pPr>
        <w:pStyle w:val="figurecaption"/>
        <w:numPr>
          <w:ilvl w:val="0"/>
          <w:numId w:val="30"/>
        </w:numPr>
      </w:pPr>
      <w:r>
        <w:t>Zero Trust technical architecture, showing identity as the primary control plane, CSOM and IaC scanning for preventive configuration assurance, SIEM/SOAR for runtime detection, and immutable backup for recovery.</w:t>
      </w:r>
    </w:p>
    <w:p w14:paraId="53295FDB" w14:textId="63001AB7" w:rsidR="00901859" w:rsidRDefault="00901859" w:rsidP="00901859">
      <w:pPr>
        <w:pStyle w:val="Heading1"/>
      </w:pPr>
      <w:r>
        <w:t>Work-Stream</w:t>
      </w:r>
      <w:r w:rsidR="002E26D0">
        <w:t xml:space="preserve"> 5: Strategic Risk Assessment</w:t>
      </w:r>
    </w:p>
    <w:p w14:paraId="2B92435A" w14:textId="7240F156" w:rsidR="002E26D0" w:rsidRDefault="002E26D0" w:rsidP="002E26D0">
      <w:pPr>
        <w:pStyle w:val="BodyText"/>
      </w:pPr>
      <w:r>
        <w:t>Table II presents a high-level r</w:t>
      </w:r>
      <w:r w:rsidR="00F155C5">
        <w:t>isk register for the top threats facing Aegis. The threats and their likelihood are drawn directly from the evidence in Task 1, and impact is expressed against the platform and the Series B timeline.</w:t>
      </w:r>
      <w:r w:rsidR="00093210">
        <w:t xml:space="preserve"> Cloud misconfiguration is rated the highest inherent risk, consistent with Task 1’s finding that it is </w:t>
      </w:r>
      <w:r w:rsidR="00C554FA">
        <w:t>the leading initial-access vector and that the Cloud Security Alliance ranked it the single greatest cloud threat in 2024 [1], [10], [11].</w:t>
      </w:r>
      <w:r w:rsidR="00E52BED">
        <w:t xml:space="preserve"> Supply-chain compromise reflects the doubling of third-party breach involvement [1], [7]; </w:t>
      </w:r>
      <w:r w:rsidR="00FC13D4">
        <w:t>ENISA further reports that compromise of digital services is now among the fastest-growing classes of initial access</w:t>
      </w:r>
      <w:r w:rsidR="00ED7223">
        <w:t xml:space="preserve">, making a heavy reliance on external SaaS and ICT vendors a material concern for </w:t>
      </w:r>
      <w:r w:rsidR="000577D0">
        <w:t xml:space="preserve">a small financial </w:t>
      </w:r>
      <w:r w:rsidR="000C78B7">
        <w:t xml:space="preserve">technology company. </w:t>
      </w:r>
      <w:r w:rsidR="00950918">
        <w:t>AI data poisoning is included because Ae</w:t>
      </w:r>
      <w:r w:rsidR="009D3F3F">
        <w:t xml:space="preserve">gis’s analytics models are a distinctive, high-value asset whose corruption </w:t>
      </w:r>
      <w:r w:rsidR="00CF4574">
        <w:t>is not detectable by cloud posture tooling and requires the dedicated governance recommended in the NIST AI Risk Management Framework [13]</w:t>
      </w:r>
      <w:r w:rsidR="00803FA3">
        <w:t xml:space="preserve">. </w:t>
      </w:r>
      <w:r w:rsidR="009E1CB9">
        <w:t>Quantifying</w:t>
      </w:r>
      <w:r w:rsidR="00803FA3">
        <w:t xml:space="preserve"> impact against the IBM benchmark cited in Task 1, a single multi-environment breach could cost on the order of USD 5 million and delay the funding round [1]. [2].</w:t>
      </w:r>
    </w:p>
    <w:p w14:paraId="7F4AB39B" w14:textId="2DAEA020" w:rsidR="009E1CB9" w:rsidRDefault="009E1CB9" w:rsidP="009E1CB9">
      <w:pPr>
        <w:pStyle w:val="tablehead"/>
        <w:numPr>
          <w:ilvl w:val="0"/>
          <w:numId w:val="32"/>
        </w:numPr>
      </w:pPr>
      <w:r>
        <w:t xml:space="preserve">Strategic </w:t>
      </w:r>
      <w:r w:rsidR="00E77E02">
        <w:t>Risk Register – Top Three Threats</w:t>
      </w:r>
    </w:p>
    <w:tbl>
      <w:tblPr>
        <w:tblStyle w:val="TableGrid"/>
        <w:tblW w:w="497.20pt" w:type="dxa"/>
        <w:tblLayout w:type="fixed"/>
        <w:tblLook w:firstRow="0" w:lastRow="0" w:firstColumn="0" w:lastColumn="0" w:noHBand="0" w:noVBand="0"/>
      </w:tblPr>
      <w:tblGrid>
        <w:gridCol w:w="1980"/>
        <w:gridCol w:w="2654"/>
        <w:gridCol w:w="2655"/>
        <w:gridCol w:w="2655"/>
      </w:tblGrid>
      <w:tr w:rsidR="00E77E02" w:rsidRPr="00335B46" w14:paraId="013EC637" w14:textId="77777777" w:rsidTr="00BF1CE3">
        <w:trPr>
          <w:trHeight w:val="231"/>
        </w:trPr>
        <w:tc>
          <w:tcPr>
            <w:tcW w:w="99pt" w:type="dxa"/>
            <w:shd w:val="clear" w:color="auto" w:fill="D0CECE" w:themeFill="background2" w:themeFillShade="E6"/>
          </w:tcPr>
          <w:p w14:paraId="630BDE1A" w14:textId="1A8DD211" w:rsidR="00E77E02" w:rsidRPr="00335B46" w:rsidRDefault="00E77E02" w:rsidP="0034513E">
            <w:pPr>
              <w:pStyle w:val="tablecolhead"/>
            </w:pPr>
            <w:r>
              <w:t>Threat</w:t>
            </w:r>
          </w:p>
        </w:tc>
        <w:tc>
          <w:tcPr>
            <w:tcW w:w="132.70pt" w:type="dxa"/>
            <w:shd w:val="clear" w:color="auto" w:fill="D0CECE" w:themeFill="background2" w:themeFillShade="E6"/>
          </w:tcPr>
          <w:p w14:paraId="59547FF5" w14:textId="7D2AE05C" w:rsidR="00E77E02" w:rsidRPr="00335B46" w:rsidRDefault="00E77E02" w:rsidP="0034513E">
            <w:pPr>
              <w:pStyle w:val="tablecolhead"/>
            </w:pPr>
            <w:r>
              <w:t>Likelihood / impact</w:t>
            </w:r>
          </w:p>
        </w:tc>
        <w:tc>
          <w:tcPr>
            <w:tcW w:w="132.75pt" w:type="dxa"/>
            <w:shd w:val="clear" w:color="auto" w:fill="D0CECE" w:themeFill="background2" w:themeFillShade="E6"/>
          </w:tcPr>
          <w:p w14:paraId="19BDC527" w14:textId="7845C45F" w:rsidR="00E77E02" w:rsidRPr="00335B46" w:rsidRDefault="00E77E02" w:rsidP="0034513E">
            <w:pPr>
              <w:pStyle w:val="tablecolhead"/>
            </w:pPr>
            <w:r>
              <w:t>Evidence</w:t>
            </w:r>
          </w:p>
        </w:tc>
        <w:tc>
          <w:tcPr>
            <w:tcW w:w="132.75pt" w:type="dxa"/>
            <w:shd w:val="clear" w:color="auto" w:fill="D0CECE" w:themeFill="background2" w:themeFillShade="E6"/>
          </w:tcPr>
          <w:p w14:paraId="20413945" w14:textId="268F4E37" w:rsidR="00E77E02" w:rsidRPr="00335B46" w:rsidRDefault="00E77E02" w:rsidP="0034513E">
            <w:pPr>
              <w:pStyle w:val="tablecolhead"/>
            </w:pPr>
            <w:r>
              <w:t>Recommended mitigation</w:t>
            </w:r>
          </w:p>
        </w:tc>
      </w:tr>
      <w:tr w:rsidR="00E77E02" w:rsidRPr="00335B46" w14:paraId="2839E8B6" w14:textId="77777777" w:rsidTr="00BF1CE3">
        <w:trPr>
          <w:trHeight w:val="231"/>
        </w:trPr>
        <w:tc>
          <w:tcPr>
            <w:tcW w:w="99pt" w:type="dxa"/>
          </w:tcPr>
          <w:p w14:paraId="6046DDA8" w14:textId="3D2BFA64" w:rsidR="00E77E02" w:rsidRPr="004558E5" w:rsidRDefault="00E77E02" w:rsidP="0034513E">
            <w:pPr>
              <w:pStyle w:val="tablecolhead"/>
              <w:jc w:val="start"/>
              <w:rPr>
                <w:b w:val="0"/>
                <w:bCs w:val="0"/>
              </w:rPr>
            </w:pPr>
            <w:r>
              <w:rPr>
                <w:b w:val="0"/>
                <w:bCs w:val="0"/>
              </w:rPr>
              <w:t>Cloud misconfiguration</w:t>
            </w:r>
          </w:p>
        </w:tc>
        <w:tc>
          <w:tcPr>
            <w:tcW w:w="132.70pt" w:type="dxa"/>
          </w:tcPr>
          <w:p w14:paraId="19B26049" w14:textId="1ABD366A" w:rsidR="00E77E02" w:rsidRPr="004558E5" w:rsidRDefault="00E77E02" w:rsidP="0034513E">
            <w:pPr>
              <w:pStyle w:val="tablecolhead"/>
              <w:jc w:val="start"/>
              <w:rPr>
                <w:b w:val="0"/>
                <w:bCs w:val="0"/>
              </w:rPr>
            </w:pPr>
            <w:r>
              <w:rPr>
                <w:b w:val="0"/>
                <w:bCs w:val="0"/>
              </w:rPr>
              <w:t>High / High – public exposure of client data; Series B and reputational damage</w:t>
            </w:r>
          </w:p>
        </w:tc>
        <w:tc>
          <w:tcPr>
            <w:tcW w:w="132.75pt" w:type="dxa"/>
          </w:tcPr>
          <w:p w14:paraId="6B247ED3" w14:textId="381867EE" w:rsidR="00E77E02" w:rsidRPr="004558E5" w:rsidRDefault="00F34591" w:rsidP="0034513E">
            <w:pPr>
              <w:pStyle w:val="tablecolhead"/>
              <w:jc w:val="start"/>
              <w:rPr>
                <w:b w:val="0"/>
                <w:bCs w:val="0"/>
              </w:rPr>
            </w:pPr>
            <w:r>
              <w:rPr>
                <w:b w:val="0"/>
                <w:bCs w:val="0"/>
              </w:rPr>
              <w:t>Leading initial-access vector; 74% hold exposed storage; 38% “toxic cloud trilogy” [1]</w:t>
            </w:r>
          </w:p>
        </w:tc>
        <w:tc>
          <w:tcPr>
            <w:tcW w:w="132.75pt" w:type="dxa"/>
          </w:tcPr>
          <w:p w14:paraId="7222483B" w14:textId="4D851CF7" w:rsidR="00E77E02" w:rsidRPr="004558E5" w:rsidRDefault="00F34591" w:rsidP="0034513E">
            <w:pPr>
              <w:pStyle w:val="tablecolhead"/>
              <w:jc w:val="start"/>
              <w:rPr>
                <w:b w:val="0"/>
                <w:bCs w:val="0"/>
              </w:rPr>
            </w:pPr>
            <w:r>
              <w:rPr>
                <w:b w:val="0"/>
                <w:bCs w:val="0"/>
              </w:rPr>
              <w:t>CSPM with preventive policy-as-code; IaC scanning; drift detection; least privilege</w:t>
            </w:r>
          </w:p>
        </w:tc>
      </w:tr>
      <w:tr w:rsidR="00E77E02" w:rsidRPr="00335B46" w14:paraId="52F830E7" w14:textId="77777777" w:rsidTr="00BF1CE3">
        <w:trPr>
          <w:trHeight w:val="231"/>
        </w:trPr>
        <w:tc>
          <w:tcPr>
            <w:tcW w:w="99pt" w:type="dxa"/>
          </w:tcPr>
          <w:p w14:paraId="50A14989" w14:textId="3CDC9343" w:rsidR="00E77E02" w:rsidRPr="003D45A5" w:rsidRDefault="008437DE" w:rsidP="0034513E">
            <w:pPr>
              <w:pStyle w:val="tablecolhead"/>
              <w:jc w:val="start"/>
              <w:rPr>
                <w:b w:val="0"/>
                <w:bCs w:val="0"/>
              </w:rPr>
            </w:pPr>
            <w:r>
              <w:rPr>
                <w:b w:val="0"/>
                <w:bCs w:val="0"/>
              </w:rPr>
              <w:t>Supply-chain / third-party compromise</w:t>
            </w:r>
          </w:p>
        </w:tc>
        <w:tc>
          <w:tcPr>
            <w:tcW w:w="132.70pt" w:type="dxa"/>
          </w:tcPr>
          <w:p w14:paraId="568EE82E" w14:textId="08C77B24" w:rsidR="00E77E02" w:rsidRPr="008437DE" w:rsidRDefault="008437DE" w:rsidP="0034513E">
            <w:pPr>
              <w:pStyle w:val="tablecolhead"/>
              <w:jc w:val="start"/>
              <w:rPr>
                <w:b w:val="0"/>
                <w:bCs w:val="0"/>
                <w:lang w:val="pt-PT"/>
              </w:rPr>
            </w:pPr>
            <w:r w:rsidRPr="008437DE">
              <w:rPr>
                <w:b w:val="0"/>
                <w:bCs w:val="0"/>
                <w:lang w:val="pt-PT"/>
              </w:rPr>
              <w:t>Medium / High – cascade via S</w:t>
            </w:r>
            <w:r>
              <w:rPr>
                <w:b w:val="0"/>
                <w:bCs w:val="0"/>
                <w:lang w:val="pt-PT"/>
              </w:rPr>
              <w:t>aaS and ICT vendors</w:t>
            </w:r>
          </w:p>
        </w:tc>
        <w:tc>
          <w:tcPr>
            <w:tcW w:w="132.75pt" w:type="dxa"/>
          </w:tcPr>
          <w:p w14:paraId="436E1DA1" w14:textId="35A778F3" w:rsidR="00E77E02" w:rsidRPr="003D45A5" w:rsidRDefault="008437DE" w:rsidP="0034513E">
            <w:pPr>
              <w:pStyle w:val="tablecolhead"/>
              <w:jc w:val="start"/>
              <w:rPr>
                <w:b w:val="0"/>
                <w:bCs w:val="0"/>
              </w:rPr>
            </w:pPr>
            <w:r>
              <w:rPr>
                <w:b w:val="0"/>
                <w:bCs w:val="0"/>
              </w:rPr>
              <w:t xml:space="preserve">Third-party breach involvement doubled 15% </w:t>
            </w:r>
            <w:r w:rsidRPr="008437DE">
              <w:rPr>
                <w:b w:val="0"/>
                <w:bCs w:val="0"/>
              </w:rPr>
              <w:sym w:font="Wingdings" w:char="F0E0"/>
            </w:r>
            <w:r>
              <w:rPr>
                <w:b w:val="0"/>
                <w:bCs w:val="0"/>
              </w:rPr>
              <w:t xml:space="preserve"> </w:t>
            </w:r>
            <w:r w:rsidR="00365996">
              <w:rPr>
                <w:b w:val="0"/>
                <w:bCs w:val="0"/>
              </w:rPr>
              <w:t>30% [1]</w:t>
            </w:r>
          </w:p>
        </w:tc>
        <w:tc>
          <w:tcPr>
            <w:tcW w:w="132.75pt" w:type="dxa"/>
          </w:tcPr>
          <w:p w14:paraId="7273790F" w14:textId="177F5E71" w:rsidR="00E77E02" w:rsidRPr="003D45A5" w:rsidRDefault="00365996" w:rsidP="0034513E">
            <w:pPr>
              <w:pStyle w:val="tablecolhead"/>
              <w:jc w:val="start"/>
              <w:rPr>
                <w:b w:val="0"/>
                <w:bCs w:val="0"/>
              </w:rPr>
            </w:pPr>
            <w:r>
              <w:rPr>
                <w:b w:val="0"/>
                <w:bCs w:val="0"/>
              </w:rPr>
              <w:t>Vendor risk policy and register (DORA Pillar 4); contractual audit and notification rights</w:t>
            </w:r>
          </w:p>
        </w:tc>
      </w:tr>
      <w:tr w:rsidR="00E77E02" w:rsidRPr="00335B46" w14:paraId="06F91DA9" w14:textId="77777777" w:rsidTr="00BF1CE3">
        <w:trPr>
          <w:trHeight w:val="231"/>
        </w:trPr>
        <w:tc>
          <w:tcPr>
            <w:tcW w:w="99pt" w:type="dxa"/>
          </w:tcPr>
          <w:p w14:paraId="167902E2" w14:textId="7B3DB449" w:rsidR="00E77E02" w:rsidRPr="003D45A5" w:rsidRDefault="00365996" w:rsidP="0034513E">
            <w:pPr>
              <w:pStyle w:val="tablecolhead"/>
              <w:jc w:val="start"/>
              <w:rPr>
                <w:b w:val="0"/>
                <w:bCs w:val="0"/>
              </w:rPr>
            </w:pPr>
            <w:r>
              <w:rPr>
                <w:b w:val="0"/>
                <w:bCs w:val="0"/>
              </w:rPr>
              <w:t>AI data poisoning</w:t>
            </w:r>
          </w:p>
        </w:tc>
        <w:tc>
          <w:tcPr>
            <w:tcW w:w="132.70pt" w:type="dxa"/>
          </w:tcPr>
          <w:p w14:paraId="3B706055" w14:textId="76D36A51" w:rsidR="00E77E02" w:rsidRPr="003D45A5" w:rsidRDefault="00365996" w:rsidP="0034513E">
            <w:pPr>
              <w:pStyle w:val="tablecolhead"/>
              <w:jc w:val="start"/>
              <w:rPr>
                <w:b w:val="0"/>
                <w:bCs w:val="0"/>
              </w:rPr>
            </w:pPr>
            <w:r>
              <w:rPr>
                <w:b w:val="0"/>
                <w:bCs w:val="0"/>
              </w:rPr>
              <w:t>Medium / High – corrupted analytics erode client trust and model integrity</w:t>
            </w:r>
          </w:p>
        </w:tc>
        <w:tc>
          <w:tcPr>
            <w:tcW w:w="132.75pt" w:type="dxa"/>
          </w:tcPr>
          <w:p w14:paraId="612C7A9D" w14:textId="0F0D6680" w:rsidR="00E77E02" w:rsidRPr="003D45A5" w:rsidRDefault="00365996" w:rsidP="0034513E">
            <w:pPr>
              <w:pStyle w:val="tablecolhead"/>
              <w:jc w:val="start"/>
              <w:rPr>
                <w:b w:val="0"/>
                <w:bCs w:val="0"/>
              </w:rPr>
            </w:pPr>
            <w:r>
              <w:rPr>
                <w:b w:val="0"/>
                <w:bCs w:val="0"/>
              </w:rPr>
              <w:t>Not detectable by posture tooling; behavioural blind spot [1]</w:t>
            </w:r>
          </w:p>
        </w:tc>
        <w:tc>
          <w:tcPr>
            <w:tcW w:w="132.75pt" w:type="dxa"/>
          </w:tcPr>
          <w:p w14:paraId="0268BBCB" w14:textId="011129AC" w:rsidR="00E77E02" w:rsidRPr="003D45A5" w:rsidRDefault="0014123F" w:rsidP="0034513E">
            <w:pPr>
              <w:pStyle w:val="tablecolhead"/>
              <w:jc w:val="start"/>
              <w:rPr>
                <w:b w:val="0"/>
                <w:bCs w:val="0"/>
              </w:rPr>
            </w:pPr>
            <w:r>
              <w:rPr>
                <w:b w:val="0"/>
                <w:bCs w:val="0"/>
              </w:rPr>
              <w:t>AI Security Specialist; training-data provenance and validation per NIST AI RMF [13]</w:t>
            </w:r>
          </w:p>
        </w:tc>
      </w:tr>
    </w:tbl>
    <w:p w14:paraId="39829E9E" w14:textId="5F41AE0B" w:rsidR="00E77E02" w:rsidRDefault="0014123F" w:rsidP="0014123F">
      <w:pPr>
        <w:pStyle w:val="Heading1"/>
      </w:pPr>
      <w:r>
        <w:t>Work-Stream 6: Incident Response and Business Continuity</w:t>
      </w:r>
    </w:p>
    <w:p w14:paraId="115BA96B" w14:textId="532CB41B" w:rsidR="003C7BCF" w:rsidRDefault="003C7BCF" w:rsidP="003C7BCF">
      <w:pPr>
        <w:pStyle w:val="BodyText"/>
      </w:pPr>
      <w:r>
        <w:t xml:space="preserve">Given board concern over ransomware, a Ransomware Response Playbook is proposed, </w:t>
      </w:r>
      <w:r w:rsidR="00762A9F">
        <w:t xml:space="preserve">structured on the CSF Respond and Recover functions [3]. The playbook is designed around the tactics, techniques and procedures analysed in Task 1: adversaries increasingly rely on valid, stolen credentials rather than malware, as seen in both the Snowflake campaign, where absent MFA enabled infostealer-harvested credentials to be reused [1], [14], and the Codefinger campaign, </w:t>
      </w:r>
      <w:r w:rsidR="008C3981">
        <w:t xml:space="preserve">where valid keys were abused to encrypt storage using the provider’s own encryption feature [1], [15]. On detection, the SecOps Analyst isolates affected workloads and immediately revokes suspect credentials and access keys – directly countering that credential-abuse pattern. A </w:t>
      </w:r>
      <w:r w:rsidR="008C3981">
        <w:lastRenderedPageBreak/>
        <w:t>pre-approved communication plan governs notification: the supervisory authority within GDPR’s 72-hour window [5], DORA incident reporting to the regulator [8], and briefings to the board</w:t>
      </w:r>
      <w:r w:rsidR="009B1B4F">
        <w:t>, clients and, where required, law enforcement.</w:t>
      </w:r>
    </w:p>
    <w:p w14:paraId="0BC8C80D" w14:textId="28246D13" w:rsidR="009B1B4F" w:rsidRPr="003C7BCF" w:rsidRDefault="009B1B4F" w:rsidP="003C7BCF">
      <w:pPr>
        <w:pStyle w:val="BodyText"/>
      </w:pPr>
      <w:r>
        <w:t>Recovery relies on the 3-2-1-1-0 backup strategy – three copies, two media, one off-site, one immutable or air-gapped, and zero recovery errors verified by regular restore testing [16]. Immutability is enforced through write-once-</w:t>
      </w:r>
      <w:r w:rsidR="0090431F">
        <w:t>read-many object-lock storage so that backups cannot be encrypted or deleted by an attacker who has obtained valid credentials, the failure mode Task 1 showed conventional control</w:t>
      </w:r>
      <w:r w:rsidR="00486744">
        <w:t>s</w:t>
      </w:r>
      <w:r w:rsidR="0090431F">
        <w:t xml:space="preserve"> miss.</w:t>
      </w:r>
      <w:r w:rsidR="00486744">
        <w:t xml:space="preserve"> Ransom payment is not a recovery strategy; verified immutable restore is.</w:t>
      </w:r>
    </w:p>
    <w:p w14:paraId="41FBFA8F" w14:textId="51E84157" w:rsidR="003C7BCF" w:rsidRPr="003C7BCF" w:rsidRDefault="003C7BCF" w:rsidP="003C7BCF">
      <w:pPr>
        <w:pStyle w:val="Heading1"/>
      </w:pPr>
      <w:r>
        <w:t>Work-Stream 7: Governance and Strategic Roadmap</w:t>
      </w:r>
    </w:p>
    <w:p w14:paraId="409173D1" w14:textId="64FB0E16" w:rsidR="004C0270" w:rsidRDefault="004C0270" w:rsidP="004C0270">
      <w:pPr>
        <w:pStyle w:val="BodyText"/>
      </w:pPr>
      <w:r>
        <w:t xml:space="preserve">A </w:t>
      </w:r>
      <w:r w:rsidR="005C0131">
        <w:t>Cyber Security Steering Committee is proposed to embody the CSF Govern function [3] and to ensure security is a board-level accountability rather than a technical afterthought, as Task 1 argued</w:t>
      </w:r>
      <w:r w:rsidR="00B6202B">
        <w:t xml:space="preserve"> it must be [1]. The committee is chaired by the CISO and comprises the Chief Executive Officer, the Chief Financial Officer, the Head of Legal, the DPO and the Chief Technology Officer, meeting quarterly to own risk appetite, approve policy and oversee the roadmap.</w:t>
      </w:r>
    </w:p>
    <w:p w14:paraId="6CCDAB96" w14:textId="5B5A13F1" w:rsidR="00B6202B" w:rsidRDefault="00B6202B" w:rsidP="004C0270">
      <w:pPr>
        <w:pStyle w:val="BodyText"/>
      </w:pPr>
      <w:r>
        <w:t>The twelve-month roadmap in Table</w:t>
      </w:r>
      <w:r w:rsidR="00F41FCA">
        <w:t xml:space="preserve"> III sequences delivery across four quarters, with the first quarter deliberately targeting the highest-rated risks from Work-Stream 5</w:t>
      </w:r>
      <w:r w:rsidR="00EB1B0D">
        <w:t xml:space="preserve"> – misconfiguration and identity – in line with Task 1’s conclusion</w:t>
      </w:r>
      <w:r w:rsidR="00F853B2">
        <w:t xml:space="preserve"> that preventive, identity-first controls yield the greatest early risk reduction [1]. Progress is measured by key performance indicators</w:t>
      </w:r>
      <w:r w:rsidR="00957008">
        <w:t xml:space="preserve"> (KPIs): MFA coverage, mean time to remediate </w:t>
      </w:r>
      <w:r w:rsidR="0002063D">
        <w:t>critical misconfigurations, percentage of infrastructure deployed through scanned pipelines, vendor-assessment completion, and backup restore-test success rate. These indicators translate the research findings of Task 1 into board-visible measures of security improvement.</w:t>
      </w:r>
    </w:p>
    <w:p w14:paraId="29495D3E" w14:textId="4A6BAE6A" w:rsidR="0002063D" w:rsidRDefault="0002063D" w:rsidP="0002063D">
      <w:pPr>
        <w:pStyle w:val="tablehead"/>
        <w:numPr>
          <w:ilvl w:val="0"/>
          <w:numId w:val="32"/>
        </w:numPr>
      </w:pPr>
      <w:r>
        <w:t>Twelve-month Strategic Roadmap with KPIs</w:t>
      </w:r>
    </w:p>
    <w:tbl>
      <w:tblPr>
        <w:tblStyle w:val="TableGrid"/>
        <w:tblW w:w="497.20pt" w:type="dxa"/>
        <w:tblLayout w:type="fixed"/>
        <w:tblLook w:firstRow="0" w:lastRow="0" w:firstColumn="0" w:lastColumn="0" w:noHBand="0" w:noVBand="0"/>
      </w:tblPr>
      <w:tblGrid>
        <w:gridCol w:w="846"/>
        <w:gridCol w:w="3032"/>
        <w:gridCol w:w="3033"/>
        <w:gridCol w:w="3033"/>
      </w:tblGrid>
      <w:tr w:rsidR="009011B7" w:rsidRPr="00335B46" w14:paraId="4EA6C198" w14:textId="77777777" w:rsidTr="00A6094C">
        <w:trPr>
          <w:trHeight w:val="231"/>
        </w:trPr>
        <w:tc>
          <w:tcPr>
            <w:tcW w:w="42.30pt" w:type="dxa"/>
            <w:shd w:val="clear" w:color="auto" w:fill="D0CECE" w:themeFill="background2" w:themeFillShade="E6"/>
          </w:tcPr>
          <w:p w14:paraId="6A4B00E3" w14:textId="57A79572" w:rsidR="009011B7" w:rsidRPr="00335B46" w:rsidRDefault="009011B7" w:rsidP="0034513E">
            <w:pPr>
              <w:pStyle w:val="tablecolhead"/>
            </w:pPr>
            <w:r>
              <w:t>Quarter</w:t>
            </w:r>
          </w:p>
        </w:tc>
        <w:tc>
          <w:tcPr>
            <w:tcW w:w="151.60pt" w:type="dxa"/>
            <w:shd w:val="clear" w:color="auto" w:fill="D0CECE" w:themeFill="background2" w:themeFillShade="E6"/>
          </w:tcPr>
          <w:p w14:paraId="5A6DFB4D" w14:textId="645DB39A" w:rsidR="009011B7" w:rsidRPr="00335B46" w:rsidRDefault="009011B7" w:rsidP="0034513E">
            <w:pPr>
              <w:pStyle w:val="tablecolhead"/>
            </w:pPr>
            <w:r>
              <w:t>Priority initiative</w:t>
            </w:r>
          </w:p>
        </w:tc>
        <w:tc>
          <w:tcPr>
            <w:tcW w:w="151.65pt" w:type="dxa"/>
            <w:shd w:val="clear" w:color="auto" w:fill="D0CECE" w:themeFill="background2" w:themeFillShade="E6"/>
          </w:tcPr>
          <w:p w14:paraId="484E95F5" w14:textId="371F09A2" w:rsidR="009011B7" w:rsidRPr="00335B46" w:rsidRDefault="009011B7" w:rsidP="0034513E">
            <w:pPr>
              <w:pStyle w:val="tablecolhead"/>
            </w:pPr>
            <w:r>
              <w:t>Key deliverable</w:t>
            </w:r>
          </w:p>
        </w:tc>
        <w:tc>
          <w:tcPr>
            <w:tcW w:w="151.65pt" w:type="dxa"/>
            <w:shd w:val="clear" w:color="auto" w:fill="D0CECE" w:themeFill="background2" w:themeFillShade="E6"/>
          </w:tcPr>
          <w:p w14:paraId="09DBC1CE" w14:textId="66B91FD8" w:rsidR="009011B7" w:rsidRPr="00335B46" w:rsidRDefault="009011B7" w:rsidP="0034513E">
            <w:pPr>
              <w:pStyle w:val="tablecolhead"/>
            </w:pPr>
            <w:r>
              <w:t>KPI / success metric</w:t>
            </w:r>
          </w:p>
        </w:tc>
      </w:tr>
      <w:tr w:rsidR="009011B7" w:rsidRPr="00335B46" w14:paraId="7E893120" w14:textId="77777777" w:rsidTr="00A6094C">
        <w:trPr>
          <w:trHeight w:val="368"/>
        </w:trPr>
        <w:tc>
          <w:tcPr>
            <w:tcW w:w="42.30pt" w:type="dxa"/>
          </w:tcPr>
          <w:p w14:paraId="6E5DC22D" w14:textId="05BA5D88" w:rsidR="009011B7" w:rsidRPr="004558E5" w:rsidRDefault="009011B7" w:rsidP="0034513E">
            <w:pPr>
              <w:pStyle w:val="tablecolhead"/>
              <w:jc w:val="start"/>
              <w:rPr>
                <w:b w:val="0"/>
                <w:bCs w:val="0"/>
              </w:rPr>
            </w:pPr>
            <w:r>
              <w:rPr>
                <w:b w:val="0"/>
                <w:bCs w:val="0"/>
              </w:rPr>
              <w:t>Q1</w:t>
            </w:r>
          </w:p>
        </w:tc>
        <w:tc>
          <w:tcPr>
            <w:tcW w:w="151.60pt" w:type="dxa"/>
          </w:tcPr>
          <w:p w14:paraId="1DEF3003" w14:textId="7DD44C63" w:rsidR="009011B7" w:rsidRPr="004558E5" w:rsidRDefault="009011B7" w:rsidP="0034513E">
            <w:pPr>
              <w:pStyle w:val="tablecolhead"/>
              <w:jc w:val="start"/>
              <w:rPr>
                <w:b w:val="0"/>
                <w:bCs w:val="0"/>
              </w:rPr>
            </w:pPr>
            <w:r>
              <w:rPr>
                <w:b w:val="0"/>
                <w:bCs w:val="0"/>
              </w:rPr>
              <w:t>Identity and posture foundation (highest-rated risks)</w:t>
            </w:r>
          </w:p>
        </w:tc>
        <w:tc>
          <w:tcPr>
            <w:tcW w:w="151.65pt" w:type="dxa"/>
          </w:tcPr>
          <w:p w14:paraId="7C1199B6" w14:textId="103D3BA7" w:rsidR="009011B7" w:rsidRPr="009011B7" w:rsidRDefault="009011B7" w:rsidP="0034513E">
            <w:pPr>
              <w:pStyle w:val="tablecolhead"/>
              <w:jc w:val="start"/>
              <w:rPr>
                <w:b w:val="0"/>
                <w:bCs w:val="0"/>
              </w:rPr>
            </w:pPr>
            <w:r w:rsidRPr="009011B7">
              <w:rPr>
                <w:b w:val="0"/>
                <w:bCs w:val="0"/>
              </w:rPr>
              <w:t>MFA/ZTNA enforced; CSPM dep</w:t>
            </w:r>
            <w:r>
              <w:rPr>
                <w:b w:val="0"/>
                <w:bCs w:val="0"/>
              </w:rPr>
              <w:t>loyed across all clouds</w:t>
            </w:r>
          </w:p>
        </w:tc>
        <w:tc>
          <w:tcPr>
            <w:tcW w:w="151.65pt" w:type="dxa"/>
          </w:tcPr>
          <w:p w14:paraId="4A42C4EA" w14:textId="22216F12" w:rsidR="009011B7" w:rsidRPr="004558E5" w:rsidRDefault="009011B7" w:rsidP="0034513E">
            <w:pPr>
              <w:pStyle w:val="tablecolhead"/>
              <w:jc w:val="start"/>
              <w:rPr>
                <w:b w:val="0"/>
                <w:bCs w:val="0"/>
              </w:rPr>
            </w:pPr>
            <w:r>
              <w:rPr>
                <w:b w:val="0"/>
                <w:bCs w:val="0"/>
              </w:rPr>
              <w:t>100% MFA coverage; critical misconfigurations remediated &lt; 24h</w:t>
            </w:r>
          </w:p>
        </w:tc>
      </w:tr>
      <w:tr w:rsidR="009011B7" w:rsidRPr="00335B46" w14:paraId="3BC9AF5E" w14:textId="77777777" w:rsidTr="00A6094C">
        <w:trPr>
          <w:trHeight w:val="368"/>
        </w:trPr>
        <w:tc>
          <w:tcPr>
            <w:tcW w:w="42.30pt" w:type="dxa"/>
          </w:tcPr>
          <w:p w14:paraId="702E9CF2" w14:textId="31655238" w:rsidR="009011B7" w:rsidRPr="003D45A5" w:rsidRDefault="000A7E5C" w:rsidP="0034513E">
            <w:pPr>
              <w:pStyle w:val="tablecolhead"/>
              <w:jc w:val="start"/>
              <w:rPr>
                <w:b w:val="0"/>
                <w:bCs w:val="0"/>
              </w:rPr>
            </w:pPr>
            <w:r>
              <w:rPr>
                <w:b w:val="0"/>
                <w:bCs w:val="0"/>
              </w:rPr>
              <w:t>Q2</w:t>
            </w:r>
          </w:p>
        </w:tc>
        <w:tc>
          <w:tcPr>
            <w:tcW w:w="151.60pt" w:type="dxa"/>
          </w:tcPr>
          <w:p w14:paraId="4747E7B9" w14:textId="7A4C9917" w:rsidR="009011B7" w:rsidRPr="000A7E5C" w:rsidRDefault="000A7E5C" w:rsidP="0034513E">
            <w:pPr>
              <w:pStyle w:val="tablecolhead"/>
              <w:jc w:val="start"/>
              <w:rPr>
                <w:b w:val="0"/>
                <w:bCs w:val="0"/>
              </w:rPr>
            </w:pPr>
            <w:r w:rsidRPr="000A7E5C">
              <w:rPr>
                <w:b w:val="0"/>
                <w:bCs w:val="0"/>
              </w:rPr>
              <w:t>Preventive pipeline and vendor c</w:t>
            </w:r>
            <w:r>
              <w:rPr>
                <w:b w:val="0"/>
                <w:bCs w:val="0"/>
              </w:rPr>
              <w:t>ontrol</w:t>
            </w:r>
          </w:p>
        </w:tc>
        <w:tc>
          <w:tcPr>
            <w:tcW w:w="151.65pt" w:type="dxa"/>
          </w:tcPr>
          <w:p w14:paraId="2C918F22" w14:textId="03923ED0" w:rsidR="009011B7" w:rsidRPr="003D45A5" w:rsidRDefault="000A7E5C" w:rsidP="0034513E">
            <w:pPr>
              <w:pStyle w:val="tablecolhead"/>
              <w:jc w:val="start"/>
              <w:rPr>
                <w:b w:val="0"/>
                <w:bCs w:val="0"/>
              </w:rPr>
            </w:pPr>
            <w:r>
              <w:rPr>
                <w:b w:val="0"/>
                <w:bCs w:val="0"/>
              </w:rPr>
              <w:t>Policy-as-code in CI/CD; ICT third-</w:t>
            </w:r>
            <w:r w:rsidR="00E014C3">
              <w:rPr>
                <w:b w:val="0"/>
                <w:bCs w:val="0"/>
              </w:rPr>
              <w:t>party register</w:t>
            </w:r>
          </w:p>
        </w:tc>
        <w:tc>
          <w:tcPr>
            <w:tcW w:w="151.65pt" w:type="dxa"/>
          </w:tcPr>
          <w:p w14:paraId="672CC68B" w14:textId="4E0241CB" w:rsidR="009011B7" w:rsidRPr="003D45A5" w:rsidRDefault="00D410AD" w:rsidP="0034513E">
            <w:pPr>
              <w:pStyle w:val="tablecolhead"/>
              <w:jc w:val="start"/>
              <w:rPr>
                <w:b w:val="0"/>
                <w:bCs w:val="0"/>
              </w:rPr>
            </w:pPr>
            <w:r>
              <w:rPr>
                <w:b w:val="0"/>
                <w:bCs w:val="0"/>
              </w:rPr>
              <w:t>≥ 90% infrastructure via scanned pipelines; 100% vendors assessed</w:t>
            </w:r>
          </w:p>
        </w:tc>
      </w:tr>
      <w:tr w:rsidR="009011B7" w:rsidRPr="00335B46" w14:paraId="33BB3ADC" w14:textId="77777777" w:rsidTr="00A6094C">
        <w:trPr>
          <w:trHeight w:val="368"/>
        </w:trPr>
        <w:tc>
          <w:tcPr>
            <w:tcW w:w="42.30pt" w:type="dxa"/>
          </w:tcPr>
          <w:p w14:paraId="43598011" w14:textId="654D729B" w:rsidR="009011B7" w:rsidRPr="003D45A5" w:rsidRDefault="00D410AD" w:rsidP="0034513E">
            <w:pPr>
              <w:pStyle w:val="tablecolhead"/>
              <w:jc w:val="start"/>
              <w:rPr>
                <w:b w:val="0"/>
                <w:bCs w:val="0"/>
              </w:rPr>
            </w:pPr>
            <w:r>
              <w:rPr>
                <w:b w:val="0"/>
                <w:bCs w:val="0"/>
              </w:rPr>
              <w:t>Q3</w:t>
            </w:r>
          </w:p>
        </w:tc>
        <w:tc>
          <w:tcPr>
            <w:tcW w:w="151.60pt" w:type="dxa"/>
          </w:tcPr>
          <w:p w14:paraId="5B92DAA0" w14:textId="774E05FF" w:rsidR="009011B7" w:rsidRPr="003D45A5" w:rsidRDefault="00D410AD" w:rsidP="0034513E">
            <w:pPr>
              <w:pStyle w:val="tablecolhead"/>
              <w:jc w:val="start"/>
              <w:rPr>
                <w:b w:val="0"/>
                <w:bCs w:val="0"/>
              </w:rPr>
            </w:pPr>
            <w:r>
              <w:rPr>
                <w:b w:val="0"/>
                <w:bCs w:val="0"/>
              </w:rPr>
              <w:t>Detection and response capability</w:t>
            </w:r>
          </w:p>
        </w:tc>
        <w:tc>
          <w:tcPr>
            <w:tcW w:w="151.65pt" w:type="dxa"/>
          </w:tcPr>
          <w:p w14:paraId="2BDA0CC9" w14:textId="6139E713" w:rsidR="009011B7" w:rsidRPr="003D45A5" w:rsidRDefault="00D410AD" w:rsidP="0034513E">
            <w:pPr>
              <w:pStyle w:val="tablecolhead"/>
              <w:jc w:val="start"/>
              <w:rPr>
                <w:b w:val="0"/>
                <w:bCs w:val="0"/>
              </w:rPr>
            </w:pPr>
            <w:r>
              <w:rPr>
                <w:b w:val="0"/>
                <w:bCs w:val="0"/>
              </w:rPr>
              <w:t>SIEM/SOAR live; ransomware playbook tested</w:t>
            </w:r>
          </w:p>
        </w:tc>
        <w:tc>
          <w:tcPr>
            <w:tcW w:w="151.65pt" w:type="dxa"/>
          </w:tcPr>
          <w:p w14:paraId="67293AA2" w14:textId="34A7DC85" w:rsidR="009011B7" w:rsidRPr="003D45A5" w:rsidRDefault="00D410AD" w:rsidP="0034513E">
            <w:pPr>
              <w:pStyle w:val="tablecolhead"/>
              <w:jc w:val="start"/>
              <w:rPr>
                <w:b w:val="0"/>
                <w:bCs w:val="0"/>
              </w:rPr>
            </w:pPr>
            <w:r>
              <w:rPr>
                <w:b w:val="0"/>
                <w:bCs w:val="0"/>
              </w:rPr>
              <w:t>Mean time to detect &lt; 1h; playbook exercise completed</w:t>
            </w:r>
          </w:p>
        </w:tc>
      </w:tr>
      <w:tr w:rsidR="00D410AD" w:rsidRPr="00335B46" w14:paraId="0BDEFE2D" w14:textId="77777777" w:rsidTr="00A6094C">
        <w:trPr>
          <w:trHeight w:val="368"/>
        </w:trPr>
        <w:tc>
          <w:tcPr>
            <w:tcW w:w="42.30pt" w:type="dxa"/>
          </w:tcPr>
          <w:p w14:paraId="58E73EC7" w14:textId="49EB87D5" w:rsidR="00D410AD" w:rsidRDefault="00D410AD" w:rsidP="0034513E">
            <w:pPr>
              <w:pStyle w:val="tablecolhead"/>
              <w:jc w:val="start"/>
              <w:rPr>
                <w:b w:val="0"/>
                <w:bCs w:val="0"/>
              </w:rPr>
            </w:pPr>
            <w:r>
              <w:rPr>
                <w:b w:val="0"/>
                <w:bCs w:val="0"/>
              </w:rPr>
              <w:t>Q4</w:t>
            </w:r>
          </w:p>
        </w:tc>
        <w:tc>
          <w:tcPr>
            <w:tcW w:w="151.60pt" w:type="dxa"/>
          </w:tcPr>
          <w:p w14:paraId="3A60350E" w14:textId="473E11C8" w:rsidR="00D410AD" w:rsidRDefault="00D410AD" w:rsidP="0034513E">
            <w:pPr>
              <w:pStyle w:val="tablecolhead"/>
              <w:jc w:val="start"/>
              <w:rPr>
                <w:b w:val="0"/>
                <w:bCs w:val="0"/>
              </w:rPr>
            </w:pPr>
            <w:r>
              <w:rPr>
                <w:b w:val="0"/>
                <w:bCs w:val="0"/>
              </w:rPr>
              <w:t>Resilience and external assurance</w:t>
            </w:r>
          </w:p>
        </w:tc>
        <w:tc>
          <w:tcPr>
            <w:tcW w:w="151.65pt" w:type="dxa"/>
          </w:tcPr>
          <w:p w14:paraId="17E02EFC" w14:textId="1EABFA92" w:rsidR="00D410AD" w:rsidRDefault="00D410AD" w:rsidP="0034513E">
            <w:pPr>
              <w:pStyle w:val="tablecolhead"/>
              <w:jc w:val="start"/>
              <w:rPr>
                <w:b w:val="0"/>
                <w:bCs w:val="0"/>
              </w:rPr>
            </w:pPr>
            <w:r>
              <w:rPr>
                <w:b w:val="0"/>
                <w:bCs w:val="0"/>
              </w:rPr>
              <w:t>Immutable backup verified; ISO 27001/2022 gap assessment</w:t>
            </w:r>
          </w:p>
        </w:tc>
        <w:tc>
          <w:tcPr>
            <w:tcW w:w="151.65pt" w:type="dxa"/>
          </w:tcPr>
          <w:p w14:paraId="0E77254F" w14:textId="07650D8F" w:rsidR="00D410AD" w:rsidRDefault="00D410AD" w:rsidP="0034513E">
            <w:pPr>
              <w:pStyle w:val="tablecolhead"/>
              <w:jc w:val="start"/>
              <w:rPr>
                <w:b w:val="0"/>
                <w:bCs w:val="0"/>
              </w:rPr>
            </w:pPr>
            <w:r>
              <w:rPr>
                <w:b w:val="0"/>
                <w:bCs w:val="0"/>
              </w:rPr>
              <w:t>100% restore-test success; certification readiness ≥ 80%</w:t>
            </w:r>
          </w:p>
        </w:tc>
      </w:tr>
    </w:tbl>
    <w:p w14:paraId="1E954062" w14:textId="7E2CF52C" w:rsidR="009011B7" w:rsidRDefault="00BF1CE3" w:rsidP="00BF1CE3">
      <w:pPr>
        <w:pStyle w:val="Heading1"/>
      </w:pPr>
      <w:r>
        <w:t>Conclusion</w:t>
      </w:r>
    </w:p>
    <w:p w14:paraId="63FB9A1F" w14:textId="06E7B2E4" w:rsidR="00BF1CE3" w:rsidRDefault="00BF1CE3" w:rsidP="00BF1CE3">
      <w:pPr>
        <w:pStyle w:val="BodyText"/>
      </w:pPr>
      <w:r>
        <w:t xml:space="preserve">This </w:t>
      </w:r>
      <w:r w:rsidR="00D12506">
        <w:t>proposal converts the analysis of Task 1 into an actionable operating model for Aegis FinTech. By resourcing a role-matched unit, enforcing preventive policy, sequencing GDPR</w:t>
      </w:r>
      <w:r w:rsidR="007828CD">
        <w:t xml:space="preserve"> and DORA compliance, adopting NIST CSF 2.0 and Zero Trust, and building verified ransomware recovery, the company can enter the EU market and approach Series B with a defensible, evidence-based security posture. The recommended first-quarter priorities address the misconfiguration and </w:t>
      </w:r>
      <w:r w:rsidR="00DB3C3B">
        <w:t xml:space="preserve">identity risks that </w:t>
      </w:r>
      <w:r w:rsidR="00A44FB9">
        <w:t>the research identified as most consequential, providing the board with early, measurable assurance.</w:t>
      </w:r>
    </w:p>
    <w:p w14:paraId="35D3DEEE" w14:textId="0FD3F226" w:rsidR="00752EBD" w:rsidRDefault="00752EBD" w:rsidP="00752EBD">
      <w:pPr>
        <w:pStyle w:val="Heading5"/>
      </w:pPr>
      <w:r>
        <w:t>References</w:t>
      </w:r>
    </w:p>
    <w:p w14:paraId="20AC30C5" w14:textId="353C55B2" w:rsidR="00752EBD" w:rsidRDefault="00983C25" w:rsidP="000D14F4">
      <w:pPr>
        <w:pStyle w:val="references"/>
        <w:numPr>
          <w:ilvl w:val="0"/>
          <w:numId w:val="37"/>
        </w:numPr>
      </w:pPr>
      <w:r>
        <w:t>C. A. Yánez Báez</w:t>
      </w:r>
      <w:r w:rsidR="00944E76">
        <w:t>, “</w:t>
      </w:r>
      <w:r w:rsidR="00944E76" w:rsidRPr="00944E76">
        <w:t>Task 1: Securing the Modern Enterprise: From Zero Trust to AI Governance</w:t>
      </w:r>
      <w:r w:rsidR="00944E76">
        <w:t>” University of Wales Trinity Saint David, 2026.</w:t>
      </w:r>
    </w:p>
    <w:p w14:paraId="69BB5ECB" w14:textId="77777777" w:rsidR="001709A7" w:rsidRDefault="001709A7" w:rsidP="001709A7">
      <w:pPr>
        <w:pStyle w:val="references"/>
        <w:numPr>
          <w:ilvl w:val="0"/>
          <w:numId w:val="37"/>
        </w:numPr>
      </w:pPr>
      <w:r>
        <w:t xml:space="preserve">IBM Security and Ponemon Institute, "Cost of a Data Breach Report 2025," IBM Corporation, 2025. [Online]. Available: </w:t>
      </w:r>
      <w:hyperlink r:id="rId24" w:history="1">
        <w:r w:rsidRPr="008A27DA">
          <w:rPr>
            <w:rStyle w:val="Hyperlink"/>
          </w:rPr>
          <w:t>https://www-api.ibm.com/adobe/assets/urn:aaid:aem:607b9590-38e0-4c91-b433-aa8a17f5b5e8/original/as/cost-of-a-data-breach-2025-full-report.pdf</w:t>
        </w:r>
      </w:hyperlink>
    </w:p>
    <w:p w14:paraId="64976CDF" w14:textId="77777777" w:rsidR="00A313C1" w:rsidRPr="00A313C1" w:rsidRDefault="00A313C1" w:rsidP="00A313C1">
      <w:pPr>
        <w:pStyle w:val="references"/>
        <w:numPr>
          <w:ilvl w:val="0"/>
          <w:numId w:val="37"/>
        </w:numPr>
      </w:pPr>
      <w:r w:rsidRPr="00A313C1">
        <w:t>National Institute of Standards and Technology, "The NIST Cybersecurity Framework (CSF) 2.0," February 2024, doi: 10.6028/NIST.CSWP.29.</w:t>
      </w:r>
    </w:p>
    <w:p w14:paraId="7A5579D0" w14:textId="77777777" w:rsidR="003677AF" w:rsidRPr="003677AF" w:rsidRDefault="003677AF" w:rsidP="003677AF">
      <w:pPr>
        <w:pStyle w:val="references"/>
        <w:numPr>
          <w:ilvl w:val="0"/>
          <w:numId w:val="37"/>
        </w:numPr>
      </w:pPr>
      <w:r w:rsidRPr="003677AF">
        <w:t>S. Rose, O. Borchert, S. Mitchell and S. Connelly, "Zero trust architecture," NIST Special Publication vol. 800, no. 207, pp.1–52, 2020, doi: 10.6028.</w:t>
      </w:r>
    </w:p>
    <w:p w14:paraId="72F59AB0" w14:textId="018FB0A0" w:rsidR="000D14F4" w:rsidRDefault="00BD5821" w:rsidP="000D14F4">
      <w:pPr>
        <w:pStyle w:val="references"/>
        <w:numPr>
          <w:ilvl w:val="0"/>
          <w:numId w:val="37"/>
        </w:numPr>
      </w:pPr>
      <w:r w:rsidRPr="00BD5821">
        <w:t>European Parliament and Council of the European Union, “Regulation (EU) 2016/679 of the European Parliament and of the Council of 27 April 2016 on the protection of natural persons with regard to the processing of personal data and on the free movement of such data, and repealing Directive 95/46/EC (General Data Protection Regulation),” Official Journal of the European Union, vol. L 119, pp. 1–88, May 4, 2016.</w:t>
      </w:r>
    </w:p>
    <w:p w14:paraId="5B545819" w14:textId="64229CB5" w:rsidR="00B746B6" w:rsidRDefault="00B746B6" w:rsidP="00B746B6">
      <w:pPr>
        <w:pStyle w:val="references"/>
        <w:numPr>
          <w:ilvl w:val="0"/>
          <w:numId w:val="37"/>
        </w:numPr>
      </w:pPr>
      <w:r w:rsidRPr="00B746B6">
        <w:t xml:space="preserve">Tenable, "Tenable Cloud Risk Report 2024," Tenable Cloud Research, 2024, [Online]. Available: </w:t>
      </w:r>
      <w:hyperlink r:id="rId25" w:history="1">
        <w:r w:rsidRPr="008A27DA">
          <w:rPr>
            <w:rStyle w:val="Hyperlink"/>
          </w:rPr>
          <w:t>https://dam.tenable.com/23e27766-3065-4904-95d7-b1fe015e7d59/tenable-cloud-risk-report-2024.pdf</w:t>
        </w:r>
      </w:hyperlink>
    </w:p>
    <w:p w14:paraId="7E2F5D51" w14:textId="77777777" w:rsidR="00E51305" w:rsidRPr="00E51305" w:rsidRDefault="00E51305" w:rsidP="00E51305">
      <w:pPr>
        <w:pStyle w:val="references"/>
        <w:numPr>
          <w:ilvl w:val="0"/>
          <w:numId w:val="37"/>
        </w:numPr>
        <w:rPr>
          <w:noProof w:val="0"/>
          <w:lang w:val="en-GB"/>
        </w:rPr>
      </w:pPr>
      <w:r w:rsidRPr="00E51305">
        <w:rPr>
          <w:noProof w:val="0"/>
          <w:lang w:val="en-GB"/>
        </w:rPr>
        <w:t xml:space="preserve">Verizon, "2025 Data Breach Investigations Report," 2025, [Online]. Available: </w:t>
      </w:r>
      <w:hyperlink r:id="rId26" w:history="1">
        <w:r w:rsidRPr="00E51305">
          <w:rPr>
            <w:rStyle w:val="Hyperlink"/>
            <w:noProof w:val="0"/>
            <w:lang w:val="en-GB"/>
          </w:rPr>
          <w:t>https://www.verizon.com/business/resources/reports/2025-dbir-data-breach-investigations-report.pdf</w:t>
        </w:r>
      </w:hyperlink>
    </w:p>
    <w:p w14:paraId="03155190" w14:textId="272D3FD4" w:rsidR="00BD5821" w:rsidRDefault="009906C3" w:rsidP="00E51305">
      <w:pPr>
        <w:pStyle w:val="references"/>
        <w:numPr>
          <w:ilvl w:val="0"/>
          <w:numId w:val="37"/>
        </w:numPr>
      </w:pPr>
      <w:r w:rsidRPr="009906C3">
        <w:t>European Parliament and Council, "Regulation (EU) 2022/2554 of the European Parliament and of the Council of 14 December 2022 on digital operational resilience for the financial sector and amending Regulations (EC) No 1060/2009, (EU) No 648/2012, (EU) No 600/2014, (EU) No 909/2014 and (EU) 2016/1011," Official Journal of the European Union, L 333, Dec. 27, 2022, pp. 1–79.</w:t>
      </w:r>
    </w:p>
    <w:p w14:paraId="687912A7" w14:textId="0E5281B0" w:rsidR="009906C3" w:rsidRDefault="00250413" w:rsidP="00250413">
      <w:pPr>
        <w:pStyle w:val="references"/>
        <w:numPr>
          <w:ilvl w:val="0"/>
          <w:numId w:val="37"/>
        </w:numPr>
      </w:pPr>
      <w:r>
        <w:t>International Organization for Standardization</w:t>
      </w:r>
      <w:r w:rsidR="0045267B">
        <w:t>,</w:t>
      </w:r>
      <w:r>
        <w:t xml:space="preserve"> </w:t>
      </w:r>
      <w:r w:rsidR="0045267B">
        <w:t>“</w:t>
      </w:r>
      <w:r>
        <w:t>ISO/IEC 27001:2022 Information security, cybersecurity and privacy protection — Information</w:t>
      </w:r>
      <w:r>
        <w:t xml:space="preserve"> </w:t>
      </w:r>
      <w:r>
        <w:t>security management systems — Requirements</w:t>
      </w:r>
      <w:r w:rsidR="0045267B">
        <w:t>,”</w:t>
      </w:r>
      <w:r>
        <w:t xml:space="preserve"> 2022</w:t>
      </w:r>
      <w:r w:rsidR="00201C9B">
        <w:t>.</w:t>
      </w:r>
    </w:p>
    <w:p w14:paraId="1B15695F" w14:textId="3EF054EF" w:rsidR="00A73C93" w:rsidRDefault="00A73C93" w:rsidP="00A73C93">
      <w:pPr>
        <w:pStyle w:val="references"/>
        <w:numPr>
          <w:ilvl w:val="0"/>
          <w:numId w:val="37"/>
        </w:numPr>
      </w:pPr>
      <w:r w:rsidRPr="00A73C93">
        <w:t xml:space="preserve">Google Cloud, "Cloud Threat Horizons Report, H2 2025," 2025, [Online]. Available: </w:t>
      </w:r>
      <w:hyperlink r:id="rId27" w:history="1">
        <w:r w:rsidRPr="008A27DA">
          <w:rPr>
            <w:rStyle w:val="Hyperlink"/>
          </w:rPr>
          <w:t>https://services.google.com/fh/files/misc/cloud_threat_horizons_report_h22025.pdf</w:t>
        </w:r>
      </w:hyperlink>
    </w:p>
    <w:p w14:paraId="7C3EE006" w14:textId="1E785015" w:rsidR="00CB75E7" w:rsidRDefault="00CB75E7" w:rsidP="00CB75E7">
      <w:pPr>
        <w:pStyle w:val="references"/>
        <w:numPr>
          <w:ilvl w:val="0"/>
          <w:numId w:val="37"/>
        </w:numPr>
      </w:pPr>
      <w:r w:rsidRPr="00CB75E7">
        <w:t xml:space="preserve">Cloud Security Alliance, "Top Threats to Cloud Computing 2024," 2024, [Online]. Available: </w:t>
      </w:r>
      <w:hyperlink r:id="rId28" w:history="1">
        <w:r w:rsidRPr="008A27DA">
          <w:rPr>
            <w:rStyle w:val="Hyperlink"/>
          </w:rPr>
          <w: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w:t>
        </w:r>
      </w:hyperlink>
    </w:p>
    <w:p w14:paraId="11E0FD69" w14:textId="77777777" w:rsidR="00B26927" w:rsidRPr="00FE7065" w:rsidRDefault="00B26927" w:rsidP="00B26927">
      <w:pPr>
        <w:pStyle w:val="references"/>
        <w:numPr>
          <w:ilvl w:val="0"/>
          <w:numId w:val="37"/>
        </w:numPr>
      </w:pPr>
      <w:r w:rsidRPr="00B26927">
        <w:rPr>
          <w:lang w:val="en-GB"/>
        </w:rPr>
        <w:t xml:space="preserve">European Union Agency for Cybersecurity (ENISA), "ENISA Threat Landscape 2025," ENISA, 2025. [Online]. Available: </w:t>
      </w:r>
      <w:hyperlink r:id="rId29" w:history="1">
        <w:r w:rsidRPr="00B26927">
          <w:rPr>
            <w:rStyle w:val="Hyperlink"/>
            <w:lang w:val="en-GB"/>
          </w:rPr>
          <w:t>https://www.enisa.europa.eu/sites/default/files/2026-01/ENISA%20Threat%20Landscape%202025_v1.2.pdf</w:t>
        </w:r>
      </w:hyperlink>
    </w:p>
    <w:p w14:paraId="3094CBDD" w14:textId="665CE3BD" w:rsidR="00CB75E7" w:rsidRPr="00CB75E7" w:rsidRDefault="000B7ADE" w:rsidP="00CB75E7">
      <w:pPr>
        <w:pStyle w:val="references"/>
        <w:numPr>
          <w:ilvl w:val="0"/>
          <w:numId w:val="37"/>
        </w:numPr>
      </w:pPr>
      <w:r w:rsidRPr="000B7ADE">
        <w:lastRenderedPageBreak/>
        <w:t>National Institute of Standards and Technology, “Artificial Intelligence Risk Management Framework (AI RMF 1.0),” NIST AI 100-1, Jan. 2023, doi: 10.6028/NIST.AI.100-1.</w:t>
      </w:r>
    </w:p>
    <w:p w14:paraId="319EEA31" w14:textId="46F6DB1D" w:rsidR="00A26698" w:rsidRDefault="00A26698" w:rsidP="00A26698">
      <w:pPr>
        <w:pStyle w:val="references"/>
        <w:numPr>
          <w:ilvl w:val="0"/>
          <w:numId w:val="37"/>
        </w:numPr>
      </w:pPr>
      <w:r w:rsidRPr="00A26698">
        <w:t xml:space="preserve">Mandiant. "Google Cloud Blog - Google: UNC5537 Targets Snowflake Customer Instances for Data Theft and Extortion." Google Cloud Blog. [Online]. Available: </w:t>
      </w:r>
      <w:hyperlink r:id="rId30" w:history="1">
        <w:r w:rsidRPr="008A27DA">
          <w:rPr>
            <w:rStyle w:val="Hyperlink"/>
          </w:rPr>
          <w:t>https://www.proquest.com/docview/3066005673</w:t>
        </w:r>
      </w:hyperlink>
    </w:p>
    <w:p w14:paraId="02723D78" w14:textId="77777777" w:rsidR="00FA734D" w:rsidRPr="00FA734D" w:rsidRDefault="00FA734D" w:rsidP="00FA734D">
      <w:pPr>
        <w:pStyle w:val="references"/>
        <w:numPr>
          <w:ilvl w:val="0"/>
          <w:numId w:val="37"/>
        </w:numPr>
        <w:rPr>
          <w:noProof w:val="0"/>
          <w:lang w:val="en-GB"/>
        </w:rPr>
      </w:pPr>
      <w:r w:rsidRPr="00FA734D">
        <w:rPr>
          <w:noProof w:val="0"/>
          <w:lang w:val="en-GB"/>
        </w:rPr>
        <w:t xml:space="preserve">Halcyon RISE. "Abusing AWS Native Services: Ransomware Encrypting S3 Buckets with SSE-C," Halcyon, Jan 2025. [Online]. Available: </w:t>
      </w:r>
      <w:hyperlink r:id="rId31" w:history="1">
        <w:r w:rsidRPr="00FA734D">
          <w:rPr>
            <w:rStyle w:val="Hyperlink"/>
            <w:noProof w:val="0"/>
            <w:lang w:val="en-GB"/>
          </w:rPr>
          <w:t>https://www.halcyon.ai/blog/abusing-aws-native-services-ransomware-encrypting-s3-buckets-with-sse-c</w:t>
        </w:r>
      </w:hyperlink>
    </w:p>
    <w:p w14:paraId="22D7B875" w14:textId="1A291801" w:rsidR="00C65B46" w:rsidRPr="00752EBD" w:rsidRDefault="00C65B46" w:rsidP="00C65B46">
      <w:pPr>
        <w:pStyle w:val="references"/>
        <w:numPr>
          <w:ilvl w:val="0"/>
          <w:numId w:val="37"/>
        </w:numPr>
      </w:pPr>
      <w:r w:rsidRPr="00C65B46">
        <w:t xml:space="preserve">J. F. Morgado. "3-2-1 Backup Rule Explained: Do I Need One?" Veeam Software Official Blog. </w:t>
      </w:r>
      <w:r w:rsidR="00063FF8">
        <w:t>Feb</w:t>
      </w:r>
      <w:r w:rsidRPr="00C65B46">
        <w:t xml:space="preserve">, 2024. Available at: </w:t>
      </w:r>
      <w:hyperlink r:id="rId32" w:history="1">
        <w:r w:rsidR="006859F7" w:rsidRPr="008A27DA">
          <w:rPr>
            <w:rStyle w:val="Hyperlink"/>
          </w:rPr>
          <w:t>https://www.veeam.com/blog/321-backup-rule.html</w:t>
        </w:r>
      </w:hyperlink>
      <w:r w:rsidR="006859F7">
        <w:t xml:space="preserve"> </w:t>
      </w:r>
    </w:p>
    <w:sectPr w:rsidR="00C65B46" w:rsidRPr="00752EBD" w:rsidSect="00614248">
      <w:type w:val="continuous"/>
      <w:pgSz w:w="595.30pt" w:h="841.90pt" w:code="9"/>
      <w:pgMar w:top="54pt" w:right="45.35pt" w:bottom="72pt" w:left="45.35pt" w:header="36pt" w:footer="36pt" w:gutter="0pt"/>
      <w:cols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29FBD18" w14:textId="77777777" w:rsidR="00480919" w:rsidRPr="00335B46" w:rsidRDefault="00480919" w:rsidP="001A3B3D">
      <w:r w:rsidRPr="00335B46">
        <w:separator/>
      </w:r>
    </w:p>
  </w:endnote>
  <w:endnote w:type="continuationSeparator" w:id="0">
    <w:p w14:paraId="7E0B1C03" w14:textId="77777777" w:rsidR="00480919" w:rsidRPr="00335B46" w:rsidRDefault="00480919" w:rsidP="001A3B3D">
      <w:r w:rsidRPr="00335B46">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77777777" w:rsidR="001A3B3D" w:rsidRPr="00335B46" w:rsidRDefault="001A3B3D" w:rsidP="0056610F">
    <w:pPr>
      <w:pStyle w:val="Footer"/>
      <w:jc w:val="start"/>
      <w:rPr>
        <w:sz w:val="16"/>
        <w:szCs w:val="16"/>
      </w:rPr>
    </w:pPr>
    <w:r w:rsidRPr="00335B46">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23390302" w14:textId="77777777" w:rsidR="00480919" w:rsidRPr="00335B46" w:rsidRDefault="00480919" w:rsidP="001A3B3D">
      <w:r w:rsidRPr="00335B46">
        <w:separator/>
      </w:r>
    </w:p>
  </w:footnote>
  <w:footnote w:type="continuationSeparator" w:id="0">
    <w:p w14:paraId="5DF51BF1" w14:textId="77777777" w:rsidR="00480919" w:rsidRPr="00335B46" w:rsidRDefault="00480919" w:rsidP="001A3B3D">
      <w:r w:rsidRPr="00335B46">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7CA748E"/>
    <w:multiLevelType w:val="hybridMultilevel"/>
    <w:tmpl w:val="7394636E"/>
    <w:lvl w:ilvl="0" w:tplc="08090001">
      <w:start w:val="1"/>
      <w:numFmt w:val="bullet"/>
      <w:lvlText w:val=""/>
      <w:lvlJc w:val="start"/>
      <w:pPr>
        <w:ind w:start="32.40pt" w:hanging="18pt"/>
      </w:pPr>
      <w:rPr>
        <w:rFonts w:ascii="Symbol" w:hAnsi="Symbol" w:hint="default"/>
      </w:rPr>
    </w:lvl>
    <w:lvl w:ilvl="1" w:tplc="08090003" w:tentative="1">
      <w:start w:val="1"/>
      <w:numFmt w:val="bullet"/>
      <w:lvlText w:val="o"/>
      <w:lvlJc w:val="start"/>
      <w:pPr>
        <w:ind w:start="68.40pt" w:hanging="18pt"/>
      </w:pPr>
      <w:rPr>
        <w:rFonts w:ascii="Courier New" w:hAnsi="Courier New" w:cs="Courier New" w:hint="default"/>
      </w:rPr>
    </w:lvl>
    <w:lvl w:ilvl="2" w:tplc="08090005" w:tentative="1">
      <w:start w:val="1"/>
      <w:numFmt w:val="bullet"/>
      <w:lvlText w:val=""/>
      <w:lvlJc w:val="start"/>
      <w:pPr>
        <w:ind w:start="104.40pt" w:hanging="18pt"/>
      </w:pPr>
      <w:rPr>
        <w:rFonts w:ascii="Wingdings" w:hAnsi="Wingdings" w:hint="default"/>
      </w:rPr>
    </w:lvl>
    <w:lvl w:ilvl="3" w:tplc="08090001" w:tentative="1">
      <w:start w:val="1"/>
      <w:numFmt w:val="bullet"/>
      <w:lvlText w:val=""/>
      <w:lvlJc w:val="start"/>
      <w:pPr>
        <w:ind w:start="140.40pt" w:hanging="18pt"/>
      </w:pPr>
      <w:rPr>
        <w:rFonts w:ascii="Symbol" w:hAnsi="Symbol" w:hint="default"/>
      </w:rPr>
    </w:lvl>
    <w:lvl w:ilvl="4" w:tplc="08090003" w:tentative="1">
      <w:start w:val="1"/>
      <w:numFmt w:val="bullet"/>
      <w:lvlText w:val="o"/>
      <w:lvlJc w:val="start"/>
      <w:pPr>
        <w:ind w:start="176.40pt" w:hanging="18pt"/>
      </w:pPr>
      <w:rPr>
        <w:rFonts w:ascii="Courier New" w:hAnsi="Courier New" w:cs="Courier New" w:hint="default"/>
      </w:rPr>
    </w:lvl>
    <w:lvl w:ilvl="5" w:tplc="08090005" w:tentative="1">
      <w:start w:val="1"/>
      <w:numFmt w:val="bullet"/>
      <w:lvlText w:val=""/>
      <w:lvlJc w:val="start"/>
      <w:pPr>
        <w:ind w:start="212.40pt" w:hanging="18pt"/>
      </w:pPr>
      <w:rPr>
        <w:rFonts w:ascii="Wingdings" w:hAnsi="Wingdings" w:hint="default"/>
      </w:rPr>
    </w:lvl>
    <w:lvl w:ilvl="6" w:tplc="08090001" w:tentative="1">
      <w:start w:val="1"/>
      <w:numFmt w:val="bullet"/>
      <w:lvlText w:val=""/>
      <w:lvlJc w:val="start"/>
      <w:pPr>
        <w:ind w:start="248.40pt" w:hanging="18pt"/>
      </w:pPr>
      <w:rPr>
        <w:rFonts w:ascii="Symbol" w:hAnsi="Symbol" w:hint="default"/>
      </w:rPr>
    </w:lvl>
    <w:lvl w:ilvl="7" w:tplc="08090003" w:tentative="1">
      <w:start w:val="1"/>
      <w:numFmt w:val="bullet"/>
      <w:lvlText w:val="o"/>
      <w:lvlJc w:val="start"/>
      <w:pPr>
        <w:ind w:start="284.40pt" w:hanging="18pt"/>
      </w:pPr>
      <w:rPr>
        <w:rFonts w:ascii="Courier New" w:hAnsi="Courier New" w:cs="Courier New" w:hint="default"/>
      </w:rPr>
    </w:lvl>
    <w:lvl w:ilvl="8" w:tplc="08090005" w:tentative="1">
      <w:start w:val="1"/>
      <w:numFmt w:val="bullet"/>
      <w:lvlText w:val=""/>
      <w:lvlJc w:val="start"/>
      <w:pPr>
        <w:ind w:start="320.40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7" w15:restartNumberingAfterBreak="0">
    <w:nsid w:val="4189603E"/>
    <w:multiLevelType w:val="multilevel"/>
    <w:tmpl w:val="91B67C0E"/>
    <w:lvl w:ilvl="0">
      <w:start w:val="1"/>
      <w:numFmt w:val="upperRoman"/>
      <w:pStyle w:val="Heading1"/>
      <w:lvlText w:val="%1."/>
      <w:lvlJc w:val="center"/>
      <w:pPr>
        <w:tabs>
          <w:tab w:val="num" w:pos="28.80pt"/>
        </w:tabs>
        <w:ind w:start="0pt"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lang w:val="x-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start="0pt"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start="0pt"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firstLine="0pt"/>
      </w:pPr>
      <w:rPr>
        <w:rFonts w:cs="Times New Roman" w:hint="default"/>
      </w:rPr>
    </w:lvl>
    <w:lvl w:ilvl="5">
      <w:start w:val="1"/>
      <w:numFmt w:val="lowerLetter"/>
      <w:lvlText w:val="(%6)"/>
      <w:lvlJc w:val="start"/>
      <w:pPr>
        <w:tabs>
          <w:tab w:val="num" w:pos="198pt"/>
        </w:tabs>
        <w:ind w:start="180pt" w:firstLine="0pt"/>
      </w:pPr>
      <w:rPr>
        <w:rFonts w:cs="Times New Roman" w:hint="default"/>
      </w:rPr>
    </w:lvl>
    <w:lvl w:ilvl="6">
      <w:start w:val="1"/>
      <w:numFmt w:val="lowerRoman"/>
      <w:lvlText w:val="(%7)"/>
      <w:lvlJc w:val="start"/>
      <w:pPr>
        <w:tabs>
          <w:tab w:val="num" w:pos="234pt"/>
        </w:tabs>
        <w:ind w:start="216pt" w:firstLine="0pt"/>
      </w:pPr>
      <w:rPr>
        <w:rFonts w:cs="Times New Roman" w:hint="default"/>
      </w:rPr>
    </w:lvl>
    <w:lvl w:ilvl="7">
      <w:start w:val="1"/>
      <w:numFmt w:val="lowerLetter"/>
      <w:lvlText w:val="(%8)"/>
      <w:lvlJc w:val="start"/>
      <w:pPr>
        <w:tabs>
          <w:tab w:val="num" w:pos="270pt"/>
        </w:tabs>
        <w:ind w:start="252pt" w:firstLine="0pt"/>
      </w:pPr>
      <w:rPr>
        <w:rFonts w:cs="Times New Roman" w:hint="default"/>
      </w:rPr>
    </w:lvl>
    <w:lvl w:ilvl="8">
      <w:start w:val="1"/>
      <w:numFmt w:val="lowerRoman"/>
      <w:lvlText w:val="(%9)"/>
      <w:lvlJc w:val="start"/>
      <w:pPr>
        <w:tabs>
          <w:tab w:val="num" w:pos="306pt"/>
        </w:tabs>
        <w:ind w:start="288pt" w:firstLine="0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0"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5"/>
  </w:num>
  <w:num w:numId="2" w16cid:durableId="568543031">
    <w:abstractNumId w:val="20"/>
  </w:num>
  <w:num w:numId="3" w16cid:durableId="1207790780">
    <w:abstractNumId w:val="14"/>
  </w:num>
  <w:num w:numId="4" w16cid:durableId="629168631">
    <w:abstractNumId w:val="17"/>
  </w:num>
  <w:num w:numId="5" w16cid:durableId="1032806882">
    <w:abstractNumId w:val="17"/>
  </w:num>
  <w:num w:numId="6" w16cid:durableId="1614826021">
    <w:abstractNumId w:val="17"/>
  </w:num>
  <w:num w:numId="7" w16cid:durableId="1871990542">
    <w:abstractNumId w:val="17"/>
  </w:num>
  <w:num w:numId="8" w16cid:durableId="2088458160">
    <w:abstractNumId w:val="19"/>
  </w:num>
  <w:num w:numId="9" w16cid:durableId="231694775">
    <w:abstractNumId w:val="21"/>
  </w:num>
  <w:num w:numId="10" w16cid:durableId="2126189682">
    <w:abstractNumId w:val="16"/>
  </w:num>
  <w:num w:numId="11" w16cid:durableId="771515552">
    <w:abstractNumId w:val="13"/>
  </w:num>
  <w:num w:numId="12" w16cid:durableId="1603688421">
    <w:abstractNumId w:val="12"/>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8"/>
  </w:num>
  <w:num w:numId="25" w16cid:durableId="348459312">
    <w:abstractNumId w:val="11"/>
  </w:num>
  <w:num w:numId="26" w16cid:durableId="1677071744">
    <w:abstractNumId w:val="20"/>
  </w:num>
  <w:num w:numId="27" w16cid:durableId="1003976491">
    <w:abstractNumId w:val="21"/>
  </w:num>
  <w:num w:numId="28" w16cid:durableId="144905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4381522">
    <w:abstractNumId w:val="20"/>
  </w:num>
  <w:num w:numId="30" w16cid:durableId="1700352074">
    <w:abstractNumId w:val="20"/>
    <w:lvlOverride w:ilvl="0">
      <w:startOverride w:val="1"/>
    </w:lvlOverride>
  </w:num>
  <w:num w:numId="31" w16cid:durableId="1552881884">
    <w:abstractNumId w:val="21"/>
  </w:num>
  <w:num w:numId="32" w16cid:durableId="1037705087">
    <w:abstractNumId w:val="21"/>
    <w:lvlOverride w:ilvl="0">
      <w:startOverride w:val="1"/>
    </w:lvlOverride>
  </w:num>
  <w:num w:numId="33" w16cid:durableId="1890142195">
    <w:abstractNumId w:val="20"/>
  </w:num>
  <w:num w:numId="34" w16cid:durableId="1570994702">
    <w:abstractNumId w:val="21"/>
  </w:num>
  <w:num w:numId="35" w16cid:durableId="1459956977">
    <w:abstractNumId w:val="21"/>
  </w:num>
  <w:num w:numId="36" w16cid:durableId="608052927">
    <w:abstractNumId w:val="19"/>
  </w:num>
  <w:num w:numId="37" w16cid:durableId="835802422">
    <w:abstractNumId w:val="19"/>
    <w:lvlOverride w:ilvl="0">
      <w:startOverride w:val="1"/>
    </w:lvlOverride>
  </w:num>
  <w:num w:numId="38" w16cid:durableId="1047336913">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962"/>
    <w:rsid w:val="000028A6"/>
    <w:rsid w:val="00002EE5"/>
    <w:rsid w:val="00012B80"/>
    <w:rsid w:val="0002063D"/>
    <w:rsid w:val="0002291C"/>
    <w:rsid w:val="000229E4"/>
    <w:rsid w:val="000239F6"/>
    <w:rsid w:val="000347DF"/>
    <w:rsid w:val="0004781E"/>
    <w:rsid w:val="00047D77"/>
    <w:rsid w:val="000501A1"/>
    <w:rsid w:val="0005091B"/>
    <w:rsid w:val="000526D6"/>
    <w:rsid w:val="000577D0"/>
    <w:rsid w:val="00063FF8"/>
    <w:rsid w:val="00065B92"/>
    <w:rsid w:val="000677A7"/>
    <w:rsid w:val="00073113"/>
    <w:rsid w:val="0008302E"/>
    <w:rsid w:val="00084AF1"/>
    <w:rsid w:val="00084F1C"/>
    <w:rsid w:val="0008758A"/>
    <w:rsid w:val="0009083F"/>
    <w:rsid w:val="00091828"/>
    <w:rsid w:val="00093210"/>
    <w:rsid w:val="00097A5A"/>
    <w:rsid w:val="000A2C1F"/>
    <w:rsid w:val="000A4241"/>
    <w:rsid w:val="000A58A9"/>
    <w:rsid w:val="000A7E5C"/>
    <w:rsid w:val="000B7ADE"/>
    <w:rsid w:val="000C1E68"/>
    <w:rsid w:val="000C31E3"/>
    <w:rsid w:val="000C78B7"/>
    <w:rsid w:val="000D14F4"/>
    <w:rsid w:val="000D2BEE"/>
    <w:rsid w:val="000E0126"/>
    <w:rsid w:val="000E0C82"/>
    <w:rsid w:val="000E1873"/>
    <w:rsid w:val="000F2B8F"/>
    <w:rsid w:val="000F2DA2"/>
    <w:rsid w:val="000F4CC4"/>
    <w:rsid w:val="000F520D"/>
    <w:rsid w:val="001100C4"/>
    <w:rsid w:val="00120223"/>
    <w:rsid w:val="00124633"/>
    <w:rsid w:val="00126215"/>
    <w:rsid w:val="0012759A"/>
    <w:rsid w:val="0014123F"/>
    <w:rsid w:val="00164D9D"/>
    <w:rsid w:val="001709A7"/>
    <w:rsid w:val="00171CD9"/>
    <w:rsid w:val="0017293A"/>
    <w:rsid w:val="00173158"/>
    <w:rsid w:val="001733F3"/>
    <w:rsid w:val="00173984"/>
    <w:rsid w:val="00173C73"/>
    <w:rsid w:val="0017597E"/>
    <w:rsid w:val="00176213"/>
    <w:rsid w:val="00176E47"/>
    <w:rsid w:val="001770A2"/>
    <w:rsid w:val="0019115F"/>
    <w:rsid w:val="0019502B"/>
    <w:rsid w:val="0019644D"/>
    <w:rsid w:val="001A2EFD"/>
    <w:rsid w:val="001A3B3D"/>
    <w:rsid w:val="001A787A"/>
    <w:rsid w:val="001B3149"/>
    <w:rsid w:val="001B67DC"/>
    <w:rsid w:val="001C4CF4"/>
    <w:rsid w:val="001D6CA1"/>
    <w:rsid w:val="001E25C4"/>
    <w:rsid w:val="001E635E"/>
    <w:rsid w:val="001F2095"/>
    <w:rsid w:val="002012E9"/>
    <w:rsid w:val="00201C9B"/>
    <w:rsid w:val="00204219"/>
    <w:rsid w:val="00211016"/>
    <w:rsid w:val="002120F2"/>
    <w:rsid w:val="0021486F"/>
    <w:rsid w:val="0021751E"/>
    <w:rsid w:val="00222498"/>
    <w:rsid w:val="002231E0"/>
    <w:rsid w:val="00224324"/>
    <w:rsid w:val="002252A0"/>
    <w:rsid w:val="002254A9"/>
    <w:rsid w:val="002270E2"/>
    <w:rsid w:val="00230A2E"/>
    <w:rsid w:val="002338BA"/>
    <w:rsid w:val="00233D97"/>
    <w:rsid w:val="002347A2"/>
    <w:rsid w:val="00234DFE"/>
    <w:rsid w:val="00235BF0"/>
    <w:rsid w:val="0024508E"/>
    <w:rsid w:val="00245468"/>
    <w:rsid w:val="002462FB"/>
    <w:rsid w:val="00247BD6"/>
    <w:rsid w:val="002500DB"/>
    <w:rsid w:val="00250413"/>
    <w:rsid w:val="00253C4D"/>
    <w:rsid w:val="00254E7E"/>
    <w:rsid w:val="0025543F"/>
    <w:rsid w:val="00263C60"/>
    <w:rsid w:val="0026681C"/>
    <w:rsid w:val="00275250"/>
    <w:rsid w:val="002775D7"/>
    <w:rsid w:val="00277E99"/>
    <w:rsid w:val="00280076"/>
    <w:rsid w:val="002814C8"/>
    <w:rsid w:val="0028217A"/>
    <w:rsid w:val="002850E3"/>
    <w:rsid w:val="00285B48"/>
    <w:rsid w:val="00295C1F"/>
    <w:rsid w:val="002A57BD"/>
    <w:rsid w:val="002A6733"/>
    <w:rsid w:val="002B0B0C"/>
    <w:rsid w:val="002B2F0C"/>
    <w:rsid w:val="002B7387"/>
    <w:rsid w:val="002B75A8"/>
    <w:rsid w:val="002B75E9"/>
    <w:rsid w:val="002B7646"/>
    <w:rsid w:val="002B7A60"/>
    <w:rsid w:val="002C0D43"/>
    <w:rsid w:val="002C26C9"/>
    <w:rsid w:val="002C731E"/>
    <w:rsid w:val="002D0F15"/>
    <w:rsid w:val="002D5E8D"/>
    <w:rsid w:val="002D7F48"/>
    <w:rsid w:val="002E1BC6"/>
    <w:rsid w:val="002E26D0"/>
    <w:rsid w:val="002E5624"/>
    <w:rsid w:val="002E5B8D"/>
    <w:rsid w:val="002F2FDF"/>
    <w:rsid w:val="002F485D"/>
    <w:rsid w:val="002F6ECE"/>
    <w:rsid w:val="00300461"/>
    <w:rsid w:val="00313E2B"/>
    <w:rsid w:val="00315847"/>
    <w:rsid w:val="00330C1B"/>
    <w:rsid w:val="00331169"/>
    <w:rsid w:val="0033246A"/>
    <w:rsid w:val="00335406"/>
    <w:rsid w:val="00335B46"/>
    <w:rsid w:val="00342ACB"/>
    <w:rsid w:val="003436BF"/>
    <w:rsid w:val="003446B0"/>
    <w:rsid w:val="00345D62"/>
    <w:rsid w:val="00350CFB"/>
    <w:rsid w:val="00354FCF"/>
    <w:rsid w:val="0036082A"/>
    <w:rsid w:val="003640D2"/>
    <w:rsid w:val="003646BC"/>
    <w:rsid w:val="00365996"/>
    <w:rsid w:val="00367149"/>
    <w:rsid w:val="003677AF"/>
    <w:rsid w:val="00367D8F"/>
    <w:rsid w:val="00373956"/>
    <w:rsid w:val="00374FB0"/>
    <w:rsid w:val="003751D1"/>
    <w:rsid w:val="00385978"/>
    <w:rsid w:val="0039755D"/>
    <w:rsid w:val="003A19E2"/>
    <w:rsid w:val="003A60C6"/>
    <w:rsid w:val="003B2B40"/>
    <w:rsid w:val="003B31C2"/>
    <w:rsid w:val="003B4065"/>
    <w:rsid w:val="003B4229"/>
    <w:rsid w:val="003B4E04"/>
    <w:rsid w:val="003B751B"/>
    <w:rsid w:val="003C3FA7"/>
    <w:rsid w:val="003C7BCF"/>
    <w:rsid w:val="003D45A5"/>
    <w:rsid w:val="003E36B7"/>
    <w:rsid w:val="003F36D4"/>
    <w:rsid w:val="003F5A08"/>
    <w:rsid w:val="003F6085"/>
    <w:rsid w:val="00401D40"/>
    <w:rsid w:val="00402DE9"/>
    <w:rsid w:val="00406B51"/>
    <w:rsid w:val="00410719"/>
    <w:rsid w:val="00413626"/>
    <w:rsid w:val="004178E4"/>
    <w:rsid w:val="00420716"/>
    <w:rsid w:val="0042206D"/>
    <w:rsid w:val="00422DFB"/>
    <w:rsid w:val="004325FB"/>
    <w:rsid w:val="004378E6"/>
    <w:rsid w:val="004432BA"/>
    <w:rsid w:val="0044407E"/>
    <w:rsid w:val="004454AD"/>
    <w:rsid w:val="00447BB9"/>
    <w:rsid w:val="00450CCD"/>
    <w:rsid w:val="0045267B"/>
    <w:rsid w:val="00454520"/>
    <w:rsid w:val="004558E5"/>
    <w:rsid w:val="0046031D"/>
    <w:rsid w:val="00462C9C"/>
    <w:rsid w:val="00464D08"/>
    <w:rsid w:val="00470EAD"/>
    <w:rsid w:val="00471039"/>
    <w:rsid w:val="00473AC9"/>
    <w:rsid w:val="00474B1A"/>
    <w:rsid w:val="00476BC7"/>
    <w:rsid w:val="00477DD5"/>
    <w:rsid w:val="00480919"/>
    <w:rsid w:val="004842D2"/>
    <w:rsid w:val="004844FB"/>
    <w:rsid w:val="00485899"/>
    <w:rsid w:val="00486744"/>
    <w:rsid w:val="00486AB0"/>
    <w:rsid w:val="00487C3C"/>
    <w:rsid w:val="004940E7"/>
    <w:rsid w:val="004A0D66"/>
    <w:rsid w:val="004B193D"/>
    <w:rsid w:val="004C0270"/>
    <w:rsid w:val="004C1CAB"/>
    <w:rsid w:val="004D60BB"/>
    <w:rsid w:val="004D72B5"/>
    <w:rsid w:val="004E1773"/>
    <w:rsid w:val="004E5717"/>
    <w:rsid w:val="004E63B5"/>
    <w:rsid w:val="004F0C3A"/>
    <w:rsid w:val="004F14F0"/>
    <w:rsid w:val="004F1CDC"/>
    <w:rsid w:val="004F1E8B"/>
    <w:rsid w:val="00504626"/>
    <w:rsid w:val="005118D1"/>
    <w:rsid w:val="00524ACE"/>
    <w:rsid w:val="005363E3"/>
    <w:rsid w:val="00536B77"/>
    <w:rsid w:val="005451D8"/>
    <w:rsid w:val="00550466"/>
    <w:rsid w:val="00551B5A"/>
    <w:rsid w:val="00551B7F"/>
    <w:rsid w:val="00560554"/>
    <w:rsid w:val="00561C87"/>
    <w:rsid w:val="00565C1D"/>
    <w:rsid w:val="0056610F"/>
    <w:rsid w:val="0057428B"/>
    <w:rsid w:val="00575406"/>
    <w:rsid w:val="00575BCA"/>
    <w:rsid w:val="005806A8"/>
    <w:rsid w:val="0058584A"/>
    <w:rsid w:val="00593B0B"/>
    <w:rsid w:val="005B0344"/>
    <w:rsid w:val="005B2F7C"/>
    <w:rsid w:val="005B520E"/>
    <w:rsid w:val="005C0131"/>
    <w:rsid w:val="005C030A"/>
    <w:rsid w:val="005C589E"/>
    <w:rsid w:val="005D14E1"/>
    <w:rsid w:val="005E0C03"/>
    <w:rsid w:val="005E2800"/>
    <w:rsid w:val="005F0F4D"/>
    <w:rsid w:val="005F4B59"/>
    <w:rsid w:val="005F5023"/>
    <w:rsid w:val="00605825"/>
    <w:rsid w:val="00614248"/>
    <w:rsid w:val="00614783"/>
    <w:rsid w:val="00616095"/>
    <w:rsid w:val="0062072B"/>
    <w:rsid w:val="0062268B"/>
    <w:rsid w:val="00623962"/>
    <w:rsid w:val="00623F46"/>
    <w:rsid w:val="006266CE"/>
    <w:rsid w:val="00630A5B"/>
    <w:rsid w:val="006354F6"/>
    <w:rsid w:val="00637304"/>
    <w:rsid w:val="00640035"/>
    <w:rsid w:val="00642654"/>
    <w:rsid w:val="006442F7"/>
    <w:rsid w:val="00645D22"/>
    <w:rsid w:val="00651A08"/>
    <w:rsid w:val="00654204"/>
    <w:rsid w:val="00656A2C"/>
    <w:rsid w:val="0065726E"/>
    <w:rsid w:val="00666A88"/>
    <w:rsid w:val="00670434"/>
    <w:rsid w:val="006737F0"/>
    <w:rsid w:val="00682ACF"/>
    <w:rsid w:val="006859F7"/>
    <w:rsid w:val="0068735F"/>
    <w:rsid w:val="0069176F"/>
    <w:rsid w:val="0069608A"/>
    <w:rsid w:val="006A19CE"/>
    <w:rsid w:val="006A1C7B"/>
    <w:rsid w:val="006A2ACD"/>
    <w:rsid w:val="006A5D82"/>
    <w:rsid w:val="006A7923"/>
    <w:rsid w:val="006B16BF"/>
    <w:rsid w:val="006B6B66"/>
    <w:rsid w:val="006B7B67"/>
    <w:rsid w:val="006C0057"/>
    <w:rsid w:val="006C0DF1"/>
    <w:rsid w:val="006C44FF"/>
    <w:rsid w:val="006C7788"/>
    <w:rsid w:val="006D6C78"/>
    <w:rsid w:val="006E1E0E"/>
    <w:rsid w:val="006E3E7F"/>
    <w:rsid w:val="006E7165"/>
    <w:rsid w:val="006F111E"/>
    <w:rsid w:val="006F67C3"/>
    <w:rsid w:val="006F6D3D"/>
    <w:rsid w:val="00701E71"/>
    <w:rsid w:val="00710128"/>
    <w:rsid w:val="00715BEA"/>
    <w:rsid w:val="007239A2"/>
    <w:rsid w:val="00724E4B"/>
    <w:rsid w:val="00726878"/>
    <w:rsid w:val="007367E7"/>
    <w:rsid w:val="00740EEA"/>
    <w:rsid w:val="0074595A"/>
    <w:rsid w:val="007461F2"/>
    <w:rsid w:val="00747646"/>
    <w:rsid w:val="00752EBD"/>
    <w:rsid w:val="00755FF5"/>
    <w:rsid w:val="007603D8"/>
    <w:rsid w:val="00762A9F"/>
    <w:rsid w:val="007828CD"/>
    <w:rsid w:val="00783E89"/>
    <w:rsid w:val="007872DA"/>
    <w:rsid w:val="007873E5"/>
    <w:rsid w:val="00792BB8"/>
    <w:rsid w:val="00794804"/>
    <w:rsid w:val="007A03F1"/>
    <w:rsid w:val="007A622D"/>
    <w:rsid w:val="007B33F1"/>
    <w:rsid w:val="007B3CC7"/>
    <w:rsid w:val="007B6782"/>
    <w:rsid w:val="007B6DDA"/>
    <w:rsid w:val="007B734C"/>
    <w:rsid w:val="007C0308"/>
    <w:rsid w:val="007C0958"/>
    <w:rsid w:val="007C0B1C"/>
    <w:rsid w:val="007C1F49"/>
    <w:rsid w:val="007C2BA2"/>
    <w:rsid w:val="007C2FF2"/>
    <w:rsid w:val="007C681D"/>
    <w:rsid w:val="007D012F"/>
    <w:rsid w:val="007D02B1"/>
    <w:rsid w:val="007D03B8"/>
    <w:rsid w:val="007D223B"/>
    <w:rsid w:val="007D29C7"/>
    <w:rsid w:val="007D3D2A"/>
    <w:rsid w:val="007D4686"/>
    <w:rsid w:val="007D6232"/>
    <w:rsid w:val="007D6C6E"/>
    <w:rsid w:val="007E0F39"/>
    <w:rsid w:val="007E37CA"/>
    <w:rsid w:val="007E49C0"/>
    <w:rsid w:val="007E5ADA"/>
    <w:rsid w:val="007F1F99"/>
    <w:rsid w:val="007F3769"/>
    <w:rsid w:val="007F768F"/>
    <w:rsid w:val="008020FB"/>
    <w:rsid w:val="00803FA3"/>
    <w:rsid w:val="008066CF"/>
    <w:rsid w:val="0080791D"/>
    <w:rsid w:val="0081082B"/>
    <w:rsid w:val="008128C2"/>
    <w:rsid w:val="008147B5"/>
    <w:rsid w:val="00820BEC"/>
    <w:rsid w:val="008218B2"/>
    <w:rsid w:val="00823972"/>
    <w:rsid w:val="00830F17"/>
    <w:rsid w:val="00836367"/>
    <w:rsid w:val="008368F5"/>
    <w:rsid w:val="00837999"/>
    <w:rsid w:val="0084074C"/>
    <w:rsid w:val="00840ACE"/>
    <w:rsid w:val="00841B73"/>
    <w:rsid w:val="008437DE"/>
    <w:rsid w:val="00846BD3"/>
    <w:rsid w:val="00850FDF"/>
    <w:rsid w:val="00852EE3"/>
    <w:rsid w:val="00854038"/>
    <w:rsid w:val="008650F4"/>
    <w:rsid w:val="00873603"/>
    <w:rsid w:val="00873E4D"/>
    <w:rsid w:val="00883A1A"/>
    <w:rsid w:val="00890B6A"/>
    <w:rsid w:val="00891042"/>
    <w:rsid w:val="00891136"/>
    <w:rsid w:val="00895903"/>
    <w:rsid w:val="008A0026"/>
    <w:rsid w:val="008A0D32"/>
    <w:rsid w:val="008A2C7D"/>
    <w:rsid w:val="008B6524"/>
    <w:rsid w:val="008C06EE"/>
    <w:rsid w:val="008C2DBF"/>
    <w:rsid w:val="008C3981"/>
    <w:rsid w:val="008C4B23"/>
    <w:rsid w:val="008D0382"/>
    <w:rsid w:val="008D269A"/>
    <w:rsid w:val="008D2B9A"/>
    <w:rsid w:val="008D33C8"/>
    <w:rsid w:val="008D7443"/>
    <w:rsid w:val="008E550D"/>
    <w:rsid w:val="008F094D"/>
    <w:rsid w:val="008F6E2C"/>
    <w:rsid w:val="009011B7"/>
    <w:rsid w:val="00901533"/>
    <w:rsid w:val="00901859"/>
    <w:rsid w:val="0090431F"/>
    <w:rsid w:val="009047C1"/>
    <w:rsid w:val="009107D1"/>
    <w:rsid w:val="00914DF8"/>
    <w:rsid w:val="00920A0C"/>
    <w:rsid w:val="00922B0F"/>
    <w:rsid w:val="00922E89"/>
    <w:rsid w:val="009265A2"/>
    <w:rsid w:val="0092667A"/>
    <w:rsid w:val="009303D9"/>
    <w:rsid w:val="00933C64"/>
    <w:rsid w:val="00935AD2"/>
    <w:rsid w:val="00944D44"/>
    <w:rsid w:val="00944E76"/>
    <w:rsid w:val="00950918"/>
    <w:rsid w:val="00952AAA"/>
    <w:rsid w:val="00952AD9"/>
    <w:rsid w:val="009535FD"/>
    <w:rsid w:val="00956384"/>
    <w:rsid w:val="00957008"/>
    <w:rsid w:val="00961884"/>
    <w:rsid w:val="00966778"/>
    <w:rsid w:val="00972203"/>
    <w:rsid w:val="009728C0"/>
    <w:rsid w:val="00975043"/>
    <w:rsid w:val="00975AC3"/>
    <w:rsid w:val="00983C25"/>
    <w:rsid w:val="00986C91"/>
    <w:rsid w:val="009906C3"/>
    <w:rsid w:val="009A0211"/>
    <w:rsid w:val="009A237C"/>
    <w:rsid w:val="009A6342"/>
    <w:rsid w:val="009B0A66"/>
    <w:rsid w:val="009B0CFD"/>
    <w:rsid w:val="009B1B4F"/>
    <w:rsid w:val="009B5E7E"/>
    <w:rsid w:val="009C7C72"/>
    <w:rsid w:val="009D19B7"/>
    <w:rsid w:val="009D3F3F"/>
    <w:rsid w:val="009D551B"/>
    <w:rsid w:val="009D61D0"/>
    <w:rsid w:val="009E1722"/>
    <w:rsid w:val="009E1CB9"/>
    <w:rsid w:val="009E5E44"/>
    <w:rsid w:val="009F1D79"/>
    <w:rsid w:val="009F41CA"/>
    <w:rsid w:val="009F5B16"/>
    <w:rsid w:val="009F6FDD"/>
    <w:rsid w:val="00A059B3"/>
    <w:rsid w:val="00A05CD5"/>
    <w:rsid w:val="00A10A2D"/>
    <w:rsid w:val="00A2511A"/>
    <w:rsid w:val="00A2562B"/>
    <w:rsid w:val="00A26698"/>
    <w:rsid w:val="00A313C1"/>
    <w:rsid w:val="00A40B9F"/>
    <w:rsid w:val="00A44FB9"/>
    <w:rsid w:val="00A4590B"/>
    <w:rsid w:val="00A50F7E"/>
    <w:rsid w:val="00A539E4"/>
    <w:rsid w:val="00A561EF"/>
    <w:rsid w:val="00A6094C"/>
    <w:rsid w:val="00A62B15"/>
    <w:rsid w:val="00A62B8A"/>
    <w:rsid w:val="00A62C8E"/>
    <w:rsid w:val="00A64C26"/>
    <w:rsid w:val="00A66CEE"/>
    <w:rsid w:val="00A73C93"/>
    <w:rsid w:val="00A7530A"/>
    <w:rsid w:val="00A77B7C"/>
    <w:rsid w:val="00A909ED"/>
    <w:rsid w:val="00AA719C"/>
    <w:rsid w:val="00AB1773"/>
    <w:rsid w:val="00AB1AC5"/>
    <w:rsid w:val="00AB7ED6"/>
    <w:rsid w:val="00AC08F5"/>
    <w:rsid w:val="00AC54A1"/>
    <w:rsid w:val="00AE0E2A"/>
    <w:rsid w:val="00AE14D0"/>
    <w:rsid w:val="00AE3409"/>
    <w:rsid w:val="00AF6C78"/>
    <w:rsid w:val="00B0147F"/>
    <w:rsid w:val="00B01FB9"/>
    <w:rsid w:val="00B112CE"/>
    <w:rsid w:val="00B11A60"/>
    <w:rsid w:val="00B147A1"/>
    <w:rsid w:val="00B22613"/>
    <w:rsid w:val="00B25094"/>
    <w:rsid w:val="00B26927"/>
    <w:rsid w:val="00B338C7"/>
    <w:rsid w:val="00B44A76"/>
    <w:rsid w:val="00B47E65"/>
    <w:rsid w:val="00B55168"/>
    <w:rsid w:val="00B6202B"/>
    <w:rsid w:val="00B63D86"/>
    <w:rsid w:val="00B63F61"/>
    <w:rsid w:val="00B663BE"/>
    <w:rsid w:val="00B6662A"/>
    <w:rsid w:val="00B746B6"/>
    <w:rsid w:val="00B7623B"/>
    <w:rsid w:val="00B768D1"/>
    <w:rsid w:val="00B814B2"/>
    <w:rsid w:val="00B829DE"/>
    <w:rsid w:val="00B83FD0"/>
    <w:rsid w:val="00B85DA9"/>
    <w:rsid w:val="00B90B33"/>
    <w:rsid w:val="00B9530C"/>
    <w:rsid w:val="00B95EE6"/>
    <w:rsid w:val="00BA1025"/>
    <w:rsid w:val="00BA7A42"/>
    <w:rsid w:val="00BB3116"/>
    <w:rsid w:val="00BB324C"/>
    <w:rsid w:val="00BB36E6"/>
    <w:rsid w:val="00BB5D61"/>
    <w:rsid w:val="00BC18A8"/>
    <w:rsid w:val="00BC1BBF"/>
    <w:rsid w:val="00BC3420"/>
    <w:rsid w:val="00BC3DB1"/>
    <w:rsid w:val="00BC64A4"/>
    <w:rsid w:val="00BD1F24"/>
    <w:rsid w:val="00BD357F"/>
    <w:rsid w:val="00BD5821"/>
    <w:rsid w:val="00BD670B"/>
    <w:rsid w:val="00BE0A35"/>
    <w:rsid w:val="00BE16A1"/>
    <w:rsid w:val="00BE1F56"/>
    <w:rsid w:val="00BE220D"/>
    <w:rsid w:val="00BE76AA"/>
    <w:rsid w:val="00BE7D3C"/>
    <w:rsid w:val="00BE7E58"/>
    <w:rsid w:val="00BF0722"/>
    <w:rsid w:val="00BF1CE3"/>
    <w:rsid w:val="00BF25B3"/>
    <w:rsid w:val="00BF357F"/>
    <w:rsid w:val="00BF5FF6"/>
    <w:rsid w:val="00C0109F"/>
    <w:rsid w:val="00C0207F"/>
    <w:rsid w:val="00C06257"/>
    <w:rsid w:val="00C16117"/>
    <w:rsid w:val="00C20FAC"/>
    <w:rsid w:val="00C275A8"/>
    <w:rsid w:val="00C27DAE"/>
    <w:rsid w:val="00C3075A"/>
    <w:rsid w:val="00C32AD8"/>
    <w:rsid w:val="00C366DD"/>
    <w:rsid w:val="00C376BD"/>
    <w:rsid w:val="00C4079D"/>
    <w:rsid w:val="00C464AE"/>
    <w:rsid w:val="00C54563"/>
    <w:rsid w:val="00C55498"/>
    <w:rsid w:val="00C554FA"/>
    <w:rsid w:val="00C618FD"/>
    <w:rsid w:val="00C65B46"/>
    <w:rsid w:val="00C6692F"/>
    <w:rsid w:val="00C757FB"/>
    <w:rsid w:val="00C8016A"/>
    <w:rsid w:val="00C81CBF"/>
    <w:rsid w:val="00C82151"/>
    <w:rsid w:val="00C83AC0"/>
    <w:rsid w:val="00C86946"/>
    <w:rsid w:val="00C879CE"/>
    <w:rsid w:val="00C907E8"/>
    <w:rsid w:val="00C919A4"/>
    <w:rsid w:val="00C9250E"/>
    <w:rsid w:val="00C957E5"/>
    <w:rsid w:val="00C95FE4"/>
    <w:rsid w:val="00C9790C"/>
    <w:rsid w:val="00CA4392"/>
    <w:rsid w:val="00CA5215"/>
    <w:rsid w:val="00CB19F8"/>
    <w:rsid w:val="00CB5CDB"/>
    <w:rsid w:val="00CB75E7"/>
    <w:rsid w:val="00CC393F"/>
    <w:rsid w:val="00CC4556"/>
    <w:rsid w:val="00CC613D"/>
    <w:rsid w:val="00CC746E"/>
    <w:rsid w:val="00CD0512"/>
    <w:rsid w:val="00CD7DA8"/>
    <w:rsid w:val="00CE34B3"/>
    <w:rsid w:val="00CE39ED"/>
    <w:rsid w:val="00CE647F"/>
    <w:rsid w:val="00CE6BFC"/>
    <w:rsid w:val="00CF0D27"/>
    <w:rsid w:val="00CF4574"/>
    <w:rsid w:val="00CF4A2E"/>
    <w:rsid w:val="00CF64D0"/>
    <w:rsid w:val="00CF7554"/>
    <w:rsid w:val="00D03EFC"/>
    <w:rsid w:val="00D11CED"/>
    <w:rsid w:val="00D12506"/>
    <w:rsid w:val="00D143BE"/>
    <w:rsid w:val="00D2176E"/>
    <w:rsid w:val="00D21DD9"/>
    <w:rsid w:val="00D228C7"/>
    <w:rsid w:val="00D23AF0"/>
    <w:rsid w:val="00D24407"/>
    <w:rsid w:val="00D246AE"/>
    <w:rsid w:val="00D30053"/>
    <w:rsid w:val="00D410AD"/>
    <w:rsid w:val="00D43F11"/>
    <w:rsid w:val="00D5457F"/>
    <w:rsid w:val="00D60B60"/>
    <w:rsid w:val="00D62D12"/>
    <w:rsid w:val="00D632BE"/>
    <w:rsid w:val="00D706E0"/>
    <w:rsid w:val="00D72316"/>
    <w:rsid w:val="00D72D06"/>
    <w:rsid w:val="00D72F26"/>
    <w:rsid w:val="00D7522C"/>
    <w:rsid w:val="00D7536F"/>
    <w:rsid w:val="00D75622"/>
    <w:rsid w:val="00D765C0"/>
    <w:rsid w:val="00D76668"/>
    <w:rsid w:val="00D806DD"/>
    <w:rsid w:val="00D872E6"/>
    <w:rsid w:val="00D93BD0"/>
    <w:rsid w:val="00D95A9E"/>
    <w:rsid w:val="00D97A05"/>
    <w:rsid w:val="00DA6CDA"/>
    <w:rsid w:val="00DB0F63"/>
    <w:rsid w:val="00DB3C3B"/>
    <w:rsid w:val="00DB4D61"/>
    <w:rsid w:val="00DB6714"/>
    <w:rsid w:val="00DB6F86"/>
    <w:rsid w:val="00DB7883"/>
    <w:rsid w:val="00DD12BC"/>
    <w:rsid w:val="00DE65C6"/>
    <w:rsid w:val="00DF0FCA"/>
    <w:rsid w:val="00DF1173"/>
    <w:rsid w:val="00DF3717"/>
    <w:rsid w:val="00DF38ED"/>
    <w:rsid w:val="00DF3B9B"/>
    <w:rsid w:val="00DF597F"/>
    <w:rsid w:val="00E014A6"/>
    <w:rsid w:val="00E014C3"/>
    <w:rsid w:val="00E0253F"/>
    <w:rsid w:val="00E07383"/>
    <w:rsid w:val="00E124D0"/>
    <w:rsid w:val="00E165BC"/>
    <w:rsid w:val="00E2158D"/>
    <w:rsid w:val="00E276BE"/>
    <w:rsid w:val="00E27961"/>
    <w:rsid w:val="00E30B1F"/>
    <w:rsid w:val="00E316DA"/>
    <w:rsid w:val="00E36210"/>
    <w:rsid w:val="00E36F56"/>
    <w:rsid w:val="00E4053E"/>
    <w:rsid w:val="00E42676"/>
    <w:rsid w:val="00E51305"/>
    <w:rsid w:val="00E52BED"/>
    <w:rsid w:val="00E60D89"/>
    <w:rsid w:val="00E61E12"/>
    <w:rsid w:val="00E62802"/>
    <w:rsid w:val="00E66670"/>
    <w:rsid w:val="00E66FD9"/>
    <w:rsid w:val="00E67A81"/>
    <w:rsid w:val="00E712D2"/>
    <w:rsid w:val="00E7596C"/>
    <w:rsid w:val="00E77E02"/>
    <w:rsid w:val="00E878F2"/>
    <w:rsid w:val="00E902F1"/>
    <w:rsid w:val="00E914B0"/>
    <w:rsid w:val="00E93313"/>
    <w:rsid w:val="00EA2BD3"/>
    <w:rsid w:val="00EA3A5B"/>
    <w:rsid w:val="00EB1B0D"/>
    <w:rsid w:val="00EB334B"/>
    <w:rsid w:val="00EB6630"/>
    <w:rsid w:val="00EC261E"/>
    <w:rsid w:val="00EC60C1"/>
    <w:rsid w:val="00ED0149"/>
    <w:rsid w:val="00ED7223"/>
    <w:rsid w:val="00EE1F27"/>
    <w:rsid w:val="00EE7B12"/>
    <w:rsid w:val="00EF1F6A"/>
    <w:rsid w:val="00EF4919"/>
    <w:rsid w:val="00EF7289"/>
    <w:rsid w:val="00EF7DE3"/>
    <w:rsid w:val="00F03103"/>
    <w:rsid w:val="00F06A43"/>
    <w:rsid w:val="00F155C5"/>
    <w:rsid w:val="00F21E88"/>
    <w:rsid w:val="00F2468D"/>
    <w:rsid w:val="00F26D15"/>
    <w:rsid w:val="00F271DE"/>
    <w:rsid w:val="00F316C1"/>
    <w:rsid w:val="00F34591"/>
    <w:rsid w:val="00F35BBC"/>
    <w:rsid w:val="00F40272"/>
    <w:rsid w:val="00F406DA"/>
    <w:rsid w:val="00F41D8D"/>
    <w:rsid w:val="00F41FCA"/>
    <w:rsid w:val="00F627DA"/>
    <w:rsid w:val="00F655BF"/>
    <w:rsid w:val="00F65A76"/>
    <w:rsid w:val="00F7288F"/>
    <w:rsid w:val="00F74D76"/>
    <w:rsid w:val="00F74EE5"/>
    <w:rsid w:val="00F770E2"/>
    <w:rsid w:val="00F811B3"/>
    <w:rsid w:val="00F82121"/>
    <w:rsid w:val="00F847A6"/>
    <w:rsid w:val="00F853B2"/>
    <w:rsid w:val="00F85565"/>
    <w:rsid w:val="00F87EDC"/>
    <w:rsid w:val="00F921B8"/>
    <w:rsid w:val="00F9441B"/>
    <w:rsid w:val="00FA2462"/>
    <w:rsid w:val="00FA4C32"/>
    <w:rsid w:val="00FA734D"/>
    <w:rsid w:val="00FB17D1"/>
    <w:rsid w:val="00FB4815"/>
    <w:rsid w:val="00FC13D4"/>
    <w:rsid w:val="00FC3194"/>
    <w:rsid w:val="00FC6608"/>
    <w:rsid w:val="00FD0CA3"/>
    <w:rsid w:val="00FD245D"/>
    <w:rsid w:val="00FD30D4"/>
    <w:rsid w:val="00FE41FC"/>
    <w:rsid w:val="00FE6DE0"/>
    <w:rsid w:val="00FE7065"/>
    <w:rsid w:val="00FE7114"/>
    <w:rsid w:val="00FF0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GB"/>
    </w:rPr>
  </w:style>
  <w:style w:type="paragraph" w:styleId="Heading1">
    <w:name w:val="heading 1"/>
    <w:basedOn w:val="Normal"/>
    <w:next w:val="Normal"/>
    <w:link w:val="Heading1Char"/>
    <w:qFormat/>
    <w:rsid w:val="006B6B66"/>
    <w:pPr>
      <w:keepNext/>
      <w:keepLines/>
      <w:numPr>
        <w:numId w:val="4"/>
      </w:numPr>
      <w:tabs>
        <w:tab w:val="start" w:pos="10.80pt"/>
      </w:tabs>
      <w:spacing w:before="8pt" w:after="4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jc w:val="both"/>
      <w:outlineLvl w:val="2"/>
    </w:pPr>
    <w:rPr>
      <w:i/>
      <w:iCs/>
      <w:noProof/>
    </w:rPr>
  </w:style>
  <w:style w:type="paragraph" w:styleId="Heading4">
    <w:name w:val="heading 4"/>
    <w:basedOn w:val="Normal"/>
    <w:next w:val="Normal"/>
    <w:link w:val="Heading4Char"/>
    <w:qFormat/>
    <w:rsid w:val="00794804"/>
    <w:pPr>
      <w:numPr>
        <w:ilvl w:val="3"/>
        <w:numId w:val="4"/>
      </w:numPr>
      <w:tabs>
        <w:tab w:val="start" w:pos="36pt"/>
      </w:tabs>
      <w:spacing w:before="2pt" w:after="2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Hyperlink">
    <w:name w:val="Hyperlink"/>
    <w:basedOn w:val="DefaultParagraphFont"/>
    <w:uiPriority w:val="99"/>
    <w:rsid w:val="003F36D4"/>
    <w:rPr>
      <w:color w:val="0563C1" w:themeColor="hyperlink"/>
      <w:u w:val="single"/>
    </w:rPr>
  </w:style>
  <w:style w:type="character" w:styleId="UnresolvedMention">
    <w:name w:val="Unresolved Mention"/>
    <w:basedOn w:val="DefaultParagraphFont"/>
    <w:uiPriority w:val="99"/>
    <w:semiHidden/>
    <w:unhideWhenUsed/>
    <w:rsid w:val="003F36D4"/>
    <w:rPr>
      <w:color w:val="605E5C"/>
      <w:shd w:val="clear" w:color="auto" w:fill="E1DFDD"/>
    </w:rPr>
  </w:style>
  <w:style w:type="character" w:customStyle="1" w:styleId="Heading1Char">
    <w:name w:val="Heading 1 Char"/>
    <w:basedOn w:val="DefaultParagraphFont"/>
    <w:link w:val="Heading1"/>
    <w:rsid w:val="00895903"/>
    <w:rPr>
      <w:smallCaps/>
      <w:noProof/>
    </w:rPr>
  </w:style>
  <w:style w:type="character" w:customStyle="1" w:styleId="Heading4Char">
    <w:name w:val="Heading 4 Char"/>
    <w:basedOn w:val="DefaultParagraphFont"/>
    <w:link w:val="Heading4"/>
    <w:rsid w:val="00895903"/>
    <w:rPr>
      <w:i/>
      <w:iCs/>
      <w:noProof/>
    </w:rPr>
  </w:style>
  <w:style w:type="character" w:styleId="CommentReference">
    <w:name w:val="annotation reference"/>
    <w:basedOn w:val="DefaultParagraphFont"/>
    <w:rsid w:val="00C83AC0"/>
    <w:rPr>
      <w:sz w:val="16"/>
      <w:szCs w:val="16"/>
    </w:rPr>
  </w:style>
  <w:style w:type="paragraph" w:styleId="CommentText">
    <w:name w:val="annotation text"/>
    <w:basedOn w:val="Normal"/>
    <w:link w:val="CommentTextChar"/>
    <w:rsid w:val="00C83AC0"/>
  </w:style>
  <w:style w:type="character" w:customStyle="1" w:styleId="CommentTextChar">
    <w:name w:val="Comment Text Char"/>
    <w:basedOn w:val="DefaultParagraphFont"/>
    <w:link w:val="CommentText"/>
    <w:rsid w:val="00C83AC0"/>
  </w:style>
  <w:style w:type="paragraph" w:styleId="CommentSubject">
    <w:name w:val="annotation subject"/>
    <w:basedOn w:val="CommentText"/>
    <w:next w:val="CommentText"/>
    <w:link w:val="CommentSubjectChar"/>
    <w:rsid w:val="00C83AC0"/>
    <w:rPr>
      <w:b/>
      <w:bCs/>
    </w:rPr>
  </w:style>
  <w:style w:type="character" w:customStyle="1" w:styleId="CommentSubjectChar">
    <w:name w:val="Comment Subject Char"/>
    <w:basedOn w:val="CommentTextChar"/>
    <w:link w:val="CommentSubject"/>
    <w:rsid w:val="00C83AC0"/>
    <w:rPr>
      <w:b/>
      <w:bCs/>
    </w:rPr>
  </w:style>
  <w:style w:type="table" w:styleId="TableGrid">
    <w:name w:val="Table Grid"/>
    <w:basedOn w:val="TableNormal"/>
    <w:rsid w:val="00616095"/>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85DA9"/>
    <w:rPr>
      <w:color w:val="666666"/>
    </w:rPr>
  </w:style>
  <w:style w:type="paragraph" w:styleId="NormalWeb">
    <w:name w:val="Normal (Web)"/>
    <w:basedOn w:val="Normal"/>
    <w:uiPriority w:val="99"/>
    <w:unhideWhenUsed/>
    <w:rsid w:val="006E3E7F"/>
    <w:pPr>
      <w:spacing w:before="5pt" w:beforeAutospacing="1" w:after="5pt" w:afterAutospacing="1"/>
      <w:jc w:val="start"/>
    </w:pPr>
    <w:rPr>
      <w:rFonts w:eastAsiaTheme="minorEastAsia"/>
      <w:sz w:val="24"/>
      <w:szCs w:val="24"/>
      <w:lang w:eastAsia="en-GB"/>
    </w:rPr>
  </w:style>
  <w:style w:type="paragraph" w:customStyle="1" w:styleId="hanging-indent">
    <w:name w:val="hanging-indent"/>
    <w:basedOn w:val="Normal"/>
    <w:rsid w:val="00EF1F6A"/>
    <w:pPr>
      <w:spacing w:before="5pt" w:beforeAutospacing="1" w:after="5pt" w:afterAutospacing="1"/>
      <w:jc w:val="start"/>
    </w:pPr>
    <w:rPr>
      <w:rFonts w:eastAsia="Times New Roman"/>
      <w:sz w:val="24"/>
      <w:szCs w:val="24"/>
      <w:lang w:eastAsia="en-GB"/>
    </w:rPr>
  </w:style>
  <w:style w:type="paragraph" w:styleId="Title">
    <w:name w:val="Title"/>
    <w:basedOn w:val="Normal"/>
    <w:next w:val="Normal"/>
    <w:link w:val="TitleChar"/>
    <w:qFormat/>
    <w:rsid w:val="00084AF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84AF1"/>
    <w:rPr>
      <w:rFonts w:asciiTheme="majorHAnsi" w:eastAsiaTheme="majorEastAsia" w:hAnsiTheme="majorHAnsi" w:cstheme="majorBidi"/>
      <w:spacing w:val="-10"/>
      <w:kern w:val="28"/>
      <w:sz w:val="56"/>
      <w:szCs w:val="56"/>
      <w:lang w:val="en-GB"/>
    </w:rPr>
  </w:style>
  <w:style w:type="character" w:styleId="FollowedHyperlink">
    <w:name w:val="FollowedHyperlink"/>
    <w:basedOn w:val="DefaultParagraphFont"/>
    <w:rsid w:val="0039755D"/>
    <w:rPr>
      <w:color w:val="954F72" w:themeColor="followedHyperlink"/>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purl.oclc.org/ooxml/officeDocument/relationships/hyperlink" Target="https://www.cybersecurity-insiders.com/state-of-cloud-security-report-cybersecurity-insiders-fortinet/" TargetMode="External"/><Relationship Id="rId18" Type="http://purl.oclc.org/ooxml/officeDocument/relationships/hyperlink" Target="https://s3.amazonaws.com/content-production.cloudsecurityalliance/yq80mabq1ixmi3ro7249q2n1ov3g?response-content-disposition=inline%3B%20filename%3D%22Final-Top-Threats-to-Cloud-Computing-Deep-Dive-2025%2020250515.pdf%22%3B%20filename%2A%3DUTF-8%27%27Final-Top-Threats-to-Cloud-Computing-Deep-Dive-2025%252020250515.pdf&amp;response-content-type=application%2Fpdf&amp;X-Amz-Algorithm=AWS4-HMAC-SHA256&amp;X-Amz-Credential=AKIAS6XDIRHKHO4F5SU4%2F20260726%2Fus-east-1%2Fs3%2Faws4_request&amp;X-Amz-Date=20260726T151909Z&amp;X-Amz-Expires=300&amp;X-Amz-SignedHeaders=host&amp;X-Amz-Signature=bf77aaddfb40d96e5285c7b53a35ebca081d79ce684ba6098ed38e5641f0ba0f" TargetMode="External"/><Relationship Id="rId26" Type="http://purl.oclc.org/ooxml/officeDocument/relationships/hyperlink" Target="https://www.verizon.com/business/resources/reports/2025-dbir-data-breach-investigations-report.pdf" TargetMode="External"/><Relationship Id="rId3" Type="http://purl.oclc.org/ooxml/officeDocument/relationships/styles" Target="styles.xml"/><Relationship Id="rId21" Type="http://purl.oclc.org/ooxml/officeDocument/relationships/hyperlink" Target="https://www.halcyon.ai/blog/abusing-aws-native-services-ransomware-encrypting-s3-buckets-with-sse-c" TargetMode="External"/><Relationship Id="rId34" Type="http://purl.oclc.org/ooxml/officeDocument/relationships/glossaryDocument" Target="glossary/document.xml"/><Relationship Id="rId7" Type="http://purl.oclc.org/ooxml/officeDocument/relationships/endnotes" Target="endnotes.xml"/><Relationship Id="rId12" Type="http://purl.oclc.org/ooxml/officeDocument/relationships/hyperlink" Targe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 TargetMode="External"/><Relationship Id="rId17" Type="http://purl.oclc.org/ooxml/officeDocument/relationships/hyperlink" Target="https://www.enisa.europa.eu/sites/default/files/2026-01/ENISA%20Threat%20Landscape%202025_v1.2.pdf" TargetMode="External"/><Relationship Id="rId25" Type="http://purl.oclc.org/ooxml/officeDocument/relationships/hyperlink" Target="https://dam.tenable.com/23e27766-3065-4904-95d7-b1fe015e7d59/tenable-cloud-risk-report-2024.pdf" TargetMode="External"/><Relationship Id="rId33" Type="http://purl.oclc.org/ooxml/officeDocument/relationships/fontTable" Target="fontTable.xml"/><Relationship Id="rId2" Type="http://purl.oclc.org/ooxml/officeDocument/relationships/numbering" Target="numbering.xml"/><Relationship Id="rId16" Type="http://purl.oclc.org/ooxml/officeDocument/relationships/hyperlink" Target="https://www-api.ibm.com/adobe/assets/urn:aaid:aem:607b9590-38e0-4c91-b433-aa8a17f5b5e8/original/as/cost-of-a-data-breach-2025-full-report.pdf" TargetMode="External"/><Relationship Id="rId20" Type="http://purl.oclc.org/ooxml/officeDocument/relationships/hyperlink" Target="https://www.proquest.com/docview/3066005673" TargetMode="External"/><Relationship Id="rId29" Type="http://purl.oclc.org/ooxml/officeDocument/relationships/hyperlink" Target="https://www.enisa.europa.eu/sites/default/files/2026-01/ENISA%20Threat%20Landscape%202025_v1.2.pdf"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services.google.com/fh/files/misc/cloud_threat_horizons_report_h22025.pdf" TargetMode="External"/><Relationship Id="rId24" Type="http://purl.oclc.org/ooxml/officeDocument/relationships/hyperlink" Target="https://www-api.ibm.com/adobe/assets/urn:aaid:aem:607b9590-38e0-4c91-b433-aa8a17f5b5e8/original/as/cost-of-a-data-breach-2025-full-report.pdf" TargetMode="External"/><Relationship Id="rId32" Type="http://purl.oclc.org/ooxml/officeDocument/relationships/hyperlink" Target="https://www.veeam.com/blog/321-backup-rule.html" TargetMode="External"/><Relationship Id="rId5" Type="http://purl.oclc.org/ooxml/officeDocument/relationships/webSettings" Target="webSettings.xml"/><Relationship Id="rId15" Type="http://purl.oclc.org/ooxml/officeDocument/relationships/hyperlink" Target="https://dam.tenable.com/23e27766-3065-4904-95d7-b1fe015e7d59/tenable-cloud-risk-report-2024.pdf" TargetMode="External"/><Relationship Id="rId23" Type="http://purl.oclc.org/ooxml/officeDocument/relationships/image" Target="media/image3.emf"/><Relationship Id="rId28" Type="http://purl.oclc.org/ooxml/officeDocument/relationships/hyperlink" Target="https://s3.amazonaws.com/content-production.cloudsecurityalliance/ibtzvpx449p2pcwj4zmhoy9fo7st?response-content-disposition=inline%3B%20filename%3D%22Top%20Threats%20to%20Cloud%20Computing%202024%2020250106.pdf%22%3B%20filename%2A%3DUTF-8%27%27Top%2520Threats%2520to%2520Cloud%2520Computing%25202024%252020250106.pdf&amp;response-content-type=application%2Fpdf&amp;X-Amz-Algorithm=AWS4-HMAC-SHA256&amp;X-Amz-Credential=AKIAS6XDIRHKHO4F5SU4%2F20260726%2Fus-east-1%2Fs3%2Faws4_request&amp;X-Amz-Date=20260726T132214Z&amp;X-Amz-Expires=300&amp;X-Amz-SignedHeaders=host&amp;X-Amz-Signature=273d8d2adaf825cd4bc05fe7f64201dd3bbb5c0f070daf74d669188d04c83fb1" TargetMode="External"/><Relationship Id="rId10" Type="http://purl.oclc.org/ooxml/officeDocument/relationships/image" Target="media/image1.png"/><Relationship Id="rId19" Type="http://purl.oclc.org/ooxml/officeDocument/relationships/hyperlink" Target="https://cloudsecurityalliance.org/blog/2025/07/21/reflecting-on-the-2023-toyota-data-breach" TargetMode="External"/><Relationship Id="rId31" Type="http://purl.oclc.org/ooxml/officeDocument/relationships/hyperlink" Target="https://www.halcyon.ai/blog/abusing-aws-native-services-ransomware-encrypting-s3-buckets-with-sse-c" TargetMode="External"/><Relationship Id="rId4" Type="http://purl.oclc.org/ooxml/officeDocument/relationships/settings" Target="settings.xml"/><Relationship Id="rId9" Type="http://purl.oclc.org/ooxml/officeDocument/relationships/hyperlink" Target="mailto:2413875@student.uwtsd.ac.uk" TargetMode="External"/><Relationship Id="rId14" Type="http://purl.oclc.org/ooxml/officeDocument/relationships/hyperlink" Target="https://www.verizon.com/business/resources/reports/2025-dbir-data-breach-investigations-report.pdf" TargetMode="External"/><Relationship Id="rId22" Type="http://purl.oclc.org/ooxml/officeDocument/relationships/image" Target="media/image2.emf"/><Relationship Id="rId27" Type="http://purl.oclc.org/ooxml/officeDocument/relationships/hyperlink" Target="https://services.google.com/fh/files/misc/cloud_threat_horizons_report_h22025.pdf" TargetMode="External"/><Relationship Id="rId30" Type="http://purl.oclc.org/ooxml/officeDocument/relationships/hyperlink" Target="https://www.proquest.com/docview/3066005673" TargetMode="External"/><Relationship Id="rId35" Type="http://purl.oclc.org/ooxml/officeDocument/relationships/theme" Target="theme/theme1.xml"/><Relationship Id="rId8" Type="http://purl.oclc.org/ooxml/officeDocument/relationships/footer" Target="footer1.xml"/></Relationships>
</file>

<file path=word/glossary/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4" Type="http://purl.oclc.org/ooxml/officeDocument/relationships/fontTable" Target="fontTable.xml"/></Relationships>
</file>

<file path=word/glossary/document.xml><?xml version="1.0" encoding="utf-8"?>
<w:glossary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docParts>
    <w:docPart>
      <w:docPartPr>
        <w:name w:val="3CB786C035294D44A44B722FF3B2772A"/>
        <w:category>
          <w:name w:val="General"/>
          <w:gallery w:val="placeholder"/>
        </w:category>
        <w:types>
          <w:type w:val="bbPlcHdr"/>
        </w:types>
        <w:behaviors>
          <w:behavior w:val="content"/>
        </w:behaviors>
        <w:guid w:val="{DBD696BC-2215-47A3-84B4-11E45EECC2E7}"/>
      </w:docPartPr>
      <w:docPartBody>
        <w:p w:rsidR="00BB23FE" w:rsidRDefault="00793647">
          <w:r w:rsidRPr="008A27DA">
            <w:rPr>
              <w:rStyle w:val="PlaceholderText"/>
              <w:lang w:val="en-US"/>
            </w:rPr>
            <w:t>Formatting...</w:t>
          </w:r>
        </w:p>
      </w:docPartBody>
    </w:docPart>
    <w:docPart>
      <w:docPartPr>
        <w:name w:val="4870E7B8312E4B52840AA9E5FBF6ED19"/>
        <w:category>
          <w:name w:val="General"/>
          <w:gallery w:val="placeholder"/>
        </w:category>
        <w:types>
          <w:type w:val="bbPlcHdr"/>
        </w:types>
        <w:behaviors>
          <w:behavior w:val="content"/>
        </w:behaviors>
        <w:guid w:val="{BE305BBF-386A-4A14-B792-A08C7E69B15D}"/>
      </w:docPartPr>
      <w:docPartBody>
        <w:p w:rsidR="00BB23FE" w:rsidRDefault="00793647">
          <w:r w:rsidRPr="008A27DA">
            <w:rPr>
              <w:rStyle w:val="PlaceholderText"/>
              <w:lang w:val="en-US"/>
            </w:rPr>
            <w:t>Formatting...</w:t>
          </w:r>
        </w:p>
      </w:docPartBody>
    </w:docPart>
    <w:docPart>
      <w:docPartPr>
        <w:name w:val="3DF50090D95D4D94BE3044E6D7FCD0CD"/>
        <w:category>
          <w:name w:val="General"/>
          <w:gallery w:val="placeholder"/>
        </w:category>
        <w:types>
          <w:type w:val="bbPlcHdr"/>
        </w:types>
        <w:behaviors>
          <w:behavior w:val="content"/>
        </w:behaviors>
        <w:guid w:val="{81706D1C-F4C2-4AA5-A912-029C012BC6F7}"/>
      </w:docPartPr>
      <w:docPartBody>
        <w:p w:rsidR="00BB23FE" w:rsidRDefault="00793647">
          <w:r w:rsidRPr="008A27DA">
            <w:rPr>
              <w:rStyle w:val="PlaceholderText"/>
              <w:lang w:val="en-US"/>
            </w:rPr>
            <w:t>Formatting...</w:t>
          </w:r>
        </w:p>
      </w:docPartBody>
    </w:docPart>
    <w:docPart>
      <w:docPartPr>
        <w:name w:val="6F5BF3D798B84E98B85114A8FEE3DFED"/>
        <w:category>
          <w:name w:val="General"/>
          <w:gallery w:val="placeholder"/>
        </w:category>
        <w:types>
          <w:type w:val="bbPlcHdr"/>
        </w:types>
        <w:behaviors>
          <w:behavior w:val="content"/>
        </w:behaviors>
        <w:guid w:val="{A0B5A46B-9F79-4F78-948B-A84787216A32}"/>
      </w:docPartPr>
      <w:docPartBody>
        <w:p w:rsidR="00BB23FE" w:rsidRDefault="00793647">
          <w:r w:rsidRPr="008A27DA">
            <w:rPr>
              <w:rStyle w:val="PlaceholderText"/>
              <w:lang w:val="en-US"/>
            </w:rPr>
            <w:t>Formatting...</w:t>
          </w:r>
        </w:p>
      </w:docPartBody>
    </w:docPart>
    <w:docPart>
      <w:docPartPr>
        <w:name w:val="15774CEEEB0C407185CFC7298CB6C4D1"/>
        <w:category>
          <w:name w:val="General"/>
          <w:gallery w:val="placeholder"/>
        </w:category>
        <w:types>
          <w:type w:val="bbPlcHdr"/>
        </w:types>
        <w:behaviors>
          <w:behavior w:val="content"/>
        </w:behaviors>
        <w:guid w:val="{1F6AEF49-49CF-4D6A-A004-306E1B1C5C6C}"/>
      </w:docPartPr>
      <w:docPartBody>
        <w:p w:rsidR="00BB23FE" w:rsidRDefault="00793647">
          <w:r w:rsidRPr="008A27DA">
            <w:rPr>
              <w:rStyle w:val="PlaceholderText"/>
              <w:lang w:val="en-US"/>
            </w:rPr>
            <w:t>Formatting...</w:t>
          </w:r>
        </w:p>
      </w:docPartBody>
    </w:docPart>
    <w:docPart>
      <w:docPartPr>
        <w:name w:val="8157C309C4F140BE8F0F008E41231535"/>
        <w:category>
          <w:name w:val="General"/>
          <w:gallery w:val="placeholder"/>
        </w:category>
        <w:types>
          <w:type w:val="bbPlcHdr"/>
        </w:types>
        <w:behaviors>
          <w:behavior w:val="content"/>
        </w:behaviors>
        <w:guid w:val="{D98B27DB-3E9F-41D2-A990-1BC954D15543}"/>
      </w:docPartPr>
      <w:docPartBody>
        <w:p w:rsidR="00BB23FE" w:rsidRDefault="00793647">
          <w:r w:rsidRPr="008A27DA">
            <w:rPr>
              <w:rStyle w:val="PlaceholderText"/>
              <w:lang w:val="en-US"/>
            </w:rPr>
            <w:t>Formatting...</w:t>
          </w:r>
        </w:p>
      </w:docPartBody>
    </w:docPart>
    <w:docPart>
      <w:docPartPr>
        <w:name w:val="EC0F671A7EBC4CCC8294CDDAC4AC312E"/>
        <w:category>
          <w:name w:val="General"/>
          <w:gallery w:val="placeholder"/>
        </w:category>
        <w:types>
          <w:type w:val="bbPlcHdr"/>
        </w:types>
        <w:behaviors>
          <w:behavior w:val="content"/>
        </w:behaviors>
        <w:guid w:val="{C12E11B5-8D69-4E83-A295-A85379B7B4B1}"/>
      </w:docPartPr>
      <w:docPartBody>
        <w:p w:rsidR="00BB23FE" w:rsidRDefault="00793647">
          <w:r w:rsidRPr="008A27DA">
            <w:rPr>
              <w:rStyle w:val="PlaceholderText"/>
              <w:lang w:val="en-US"/>
            </w:rPr>
            <w:t>Formatting...</w:t>
          </w:r>
        </w:p>
      </w:docPartBody>
    </w:docPart>
    <w:docPart>
      <w:docPartPr>
        <w:name w:val="2FF8D9579E7F42F6B0746E68135EE51A"/>
        <w:category>
          <w:name w:val="General"/>
          <w:gallery w:val="placeholder"/>
        </w:category>
        <w:types>
          <w:type w:val="bbPlcHdr"/>
        </w:types>
        <w:behaviors>
          <w:behavior w:val="content"/>
        </w:behaviors>
        <w:guid w:val="{DA88CE0E-836C-4608-AF07-CA139ADDD588}"/>
      </w:docPartPr>
      <w:docPartBody>
        <w:p w:rsidR="00BB23FE" w:rsidRDefault="00793647">
          <w:r w:rsidRPr="008A27DA">
            <w:rPr>
              <w:rStyle w:val="PlaceholderText"/>
              <w:lang w:val="en-US"/>
            </w:rPr>
            <w:t>Formatting...</w:t>
          </w:r>
        </w:p>
      </w:docPartBody>
    </w:docPart>
    <w:docPart>
      <w:docPartPr>
        <w:name w:val="7908B2FB637644FDACA203F07F1D0AC8"/>
        <w:category>
          <w:name w:val="General"/>
          <w:gallery w:val="placeholder"/>
        </w:category>
        <w:types>
          <w:type w:val="bbPlcHdr"/>
        </w:types>
        <w:behaviors>
          <w:behavior w:val="content"/>
        </w:behaviors>
        <w:guid w:val="{E377A78C-ED55-4DA0-87C2-C3325BE690F5}"/>
      </w:docPartPr>
      <w:docPartBody>
        <w:p w:rsidR="00BB23FE" w:rsidRDefault="00793647">
          <w:r w:rsidRPr="008A27DA">
            <w:rPr>
              <w:rStyle w:val="PlaceholderText"/>
              <w:lang w:val="en-US"/>
            </w:rPr>
            <w:t>Formatting...</w:t>
          </w:r>
        </w:p>
      </w:docPartBody>
    </w:docPart>
    <w:docPart>
      <w:docPartPr>
        <w:name w:val="BC91D3799CE84A2B9C7C1238253B1385"/>
        <w:category>
          <w:name w:val="General"/>
          <w:gallery w:val="placeholder"/>
        </w:category>
        <w:types>
          <w:type w:val="bbPlcHdr"/>
        </w:types>
        <w:behaviors>
          <w:behavior w:val="content"/>
        </w:behaviors>
        <w:guid w:val="{0626F7FE-6A2C-4304-A095-5CE1E40647D2}"/>
      </w:docPartPr>
      <w:docPartBody>
        <w:p w:rsidR="00BB23FE" w:rsidRDefault="00793647">
          <w:r w:rsidRPr="008A27DA">
            <w:rPr>
              <w:rStyle w:val="PlaceholderText"/>
              <w:lang w:val="en-US"/>
            </w:rPr>
            <w:t>Formatting...</w:t>
          </w:r>
        </w:p>
      </w:docPartBody>
    </w:docPart>
    <w:docPart>
      <w:docPartPr>
        <w:name w:val="74D89975B9864BE38507D1386E0F2E37"/>
        <w:category>
          <w:name w:val="General"/>
          <w:gallery w:val="placeholder"/>
        </w:category>
        <w:types>
          <w:type w:val="bbPlcHdr"/>
        </w:types>
        <w:behaviors>
          <w:behavior w:val="content"/>
        </w:behaviors>
        <w:guid w:val="{B7FC7D55-5C27-4A41-89F7-FCEB15D4B945}"/>
      </w:docPartPr>
      <w:docPartBody>
        <w:p w:rsidR="00BB23FE" w:rsidRDefault="00793647">
          <w:r w:rsidRPr="008A27DA">
            <w:rPr>
              <w:rStyle w:val="PlaceholderText"/>
              <w:lang w:val="en-US"/>
            </w:rPr>
            <w:t>Formatting...</w:t>
          </w:r>
        </w:p>
      </w:docPartBody>
    </w:docPart>
    <w:docPart>
      <w:docPartPr>
        <w:name w:val="6365634FF3E04EB38956B5784B34A5E0"/>
        <w:category>
          <w:name w:val="General"/>
          <w:gallery w:val="placeholder"/>
        </w:category>
        <w:types>
          <w:type w:val="bbPlcHdr"/>
        </w:types>
        <w:behaviors>
          <w:behavior w:val="content"/>
        </w:behaviors>
        <w:guid w:val="{C36BAD8D-7657-4453-8CA5-D205FB1213BE}"/>
      </w:docPartPr>
      <w:docPartBody>
        <w:p w:rsidR="00BB23FE" w:rsidRDefault="00793647">
          <w:r w:rsidRPr="008A27DA">
            <w:rPr>
              <w:rStyle w:val="PlaceholderText"/>
              <w:lang w:val="en-US"/>
            </w:rPr>
            <w:t>Formatting...</w:t>
          </w:r>
        </w:p>
      </w:docPartBody>
    </w:docPart>
    <w:docPart>
      <w:docPartPr>
        <w:name w:val="943D3A5A3E88407F9797C45A007DD83D"/>
        <w:category>
          <w:name w:val="General"/>
          <w:gallery w:val="placeholder"/>
        </w:category>
        <w:types>
          <w:type w:val="bbPlcHdr"/>
        </w:types>
        <w:behaviors>
          <w:behavior w:val="content"/>
        </w:behaviors>
        <w:guid w:val="{9A3352A7-890E-4D28-BC30-640A40F8C4C8}"/>
      </w:docPartPr>
      <w:docPartBody>
        <w:p w:rsidR="00BB23FE" w:rsidRDefault="00793647">
          <w:r w:rsidRPr="008A27DA">
            <w:rPr>
              <w:rStyle w:val="PlaceholderText"/>
              <w:lang w:val="en-US"/>
            </w:rPr>
            <w:t>Formatting...</w:t>
          </w:r>
        </w:p>
      </w:docPartBody>
    </w:docPart>
    <w:docPart>
      <w:docPartPr>
        <w:name w:val="151B32A4E1484998931FD0B015775C3C"/>
        <w:category>
          <w:name w:val="General"/>
          <w:gallery w:val="placeholder"/>
        </w:category>
        <w:types>
          <w:type w:val="bbPlcHdr"/>
        </w:types>
        <w:behaviors>
          <w:behavior w:val="content"/>
        </w:behaviors>
        <w:guid w:val="{A9CFD7DE-2D90-49C7-AC34-0628E56D983A}"/>
      </w:docPartPr>
      <w:docPartBody>
        <w:p w:rsidR="00BB23FE" w:rsidRDefault="00793647">
          <w:r w:rsidRPr="008A27DA">
            <w:rPr>
              <w:rStyle w:val="PlaceholderText"/>
              <w:lang w:val="en-US"/>
            </w:rPr>
            <w:t>Formatting...</w:t>
          </w:r>
        </w:p>
      </w:docPartBody>
    </w:docPart>
    <w:docPart>
      <w:docPartPr>
        <w:name w:val="6F1C930EF720443DBEEB609B198C43C6"/>
        <w:category>
          <w:name w:val="General"/>
          <w:gallery w:val="placeholder"/>
        </w:category>
        <w:types>
          <w:type w:val="bbPlcHdr"/>
        </w:types>
        <w:behaviors>
          <w:behavior w:val="content"/>
        </w:behaviors>
        <w:guid w:val="{C06AC616-D69A-4357-A74E-6A3266D4958E}"/>
      </w:docPartPr>
      <w:docPartBody>
        <w:p w:rsidR="00BB23FE" w:rsidRDefault="00793647">
          <w:r w:rsidRPr="008A27DA">
            <w:rPr>
              <w:rStyle w:val="PlaceholderText"/>
              <w:lang w:val="en-US"/>
            </w:rPr>
            <w:t>Formatting...</w:t>
          </w:r>
        </w:p>
      </w:docPartBody>
    </w:docPart>
    <w:docPart>
      <w:docPartPr>
        <w:name w:val="769B9A77B7034F8FB62BF5FFFF6B9F89"/>
        <w:category>
          <w:name w:val="General"/>
          <w:gallery w:val="placeholder"/>
        </w:category>
        <w:types>
          <w:type w:val="bbPlcHdr"/>
        </w:types>
        <w:behaviors>
          <w:behavior w:val="content"/>
        </w:behaviors>
        <w:guid w:val="{50DE2ED0-68E5-4B65-8468-BE2C8E6F8D69}"/>
      </w:docPartPr>
      <w:docPartBody>
        <w:p w:rsidR="00BB23FE" w:rsidRDefault="00793647">
          <w:r w:rsidRPr="008A27DA">
            <w:rPr>
              <w:rStyle w:val="PlaceholderText"/>
              <w:lang w:val="en-US"/>
            </w:rPr>
            <w:t>Formatting...</w:t>
          </w:r>
        </w:p>
      </w:docPartBody>
    </w:docPart>
    <w:docPart>
      <w:docPartPr>
        <w:name w:val="2572E5F8FD434F2CAEAE4157EC1B934E"/>
        <w:category>
          <w:name w:val="General"/>
          <w:gallery w:val="placeholder"/>
        </w:category>
        <w:types>
          <w:type w:val="bbPlcHdr"/>
        </w:types>
        <w:behaviors>
          <w:behavior w:val="content"/>
        </w:behaviors>
        <w:guid w:val="{3F6534B8-2EA6-45FE-80ED-73B4177DEB15}"/>
      </w:docPartPr>
      <w:docPartBody>
        <w:p w:rsidR="00BB23FE" w:rsidRDefault="00793647">
          <w:r w:rsidRPr="008A27DA">
            <w:rPr>
              <w:rStyle w:val="PlaceholderText"/>
              <w:lang w:val="en-US"/>
            </w:rPr>
            <w:t>Formatting...</w:t>
          </w:r>
        </w:p>
      </w:docPartBody>
    </w:docPart>
    <w:docPart>
      <w:docPartPr>
        <w:name w:val="874CF44495814BD7BEBAC48AE0446668"/>
        <w:category>
          <w:name w:val="General"/>
          <w:gallery w:val="placeholder"/>
        </w:category>
        <w:types>
          <w:type w:val="bbPlcHdr"/>
        </w:types>
        <w:behaviors>
          <w:behavior w:val="content"/>
        </w:behaviors>
        <w:guid w:val="{A71CFC82-1328-4BBA-B8F4-43813FB24174}"/>
      </w:docPartPr>
      <w:docPartBody>
        <w:p w:rsidR="00BB23FE" w:rsidRDefault="00793647">
          <w:r w:rsidRPr="008A27DA">
            <w:rPr>
              <w:rStyle w:val="PlaceholderText"/>
              <w:lang w:val="en-US"/>
            </w:rPr>
            <w:t>Formatting...</w:t>
          </w:r>
        </w:p>
      </w:docPartBody>
    </w:docPart>
    <w:docPart>
      <w:docPartPr>
        <w:name w:val="DCF47F5963694328B5709D5395EE7C5C"/>
        <w:category>
          <w:name w:val="General"/>
          <w:gallery w:val="placeholder"/>
        </w:category>
        <w:types>
          <w:type w:val="bbPlcHdr"/>
        </w:types>
        <w:behaviors>
          <w:behavior w:val="content"/>
        </w:behaviors>
        <w:guid w:val="{E210DB31-3F5A-4927-B7F4-557BFBC13C75}"/>
      </w:docPartPr>
      <w:docPartBody>
        <w:p w:rsidR="00BB23FE" w:rsidRDefault="00793647">
          <w:r w:rsidRPr="008A27DA">
            <w:rPr>
              <w:rStyle w:val="PlaceholderText"/>
              <w:lang w:val="en-US"/>
            </w:rPr>
            <w:t>Formatting...</w:t>
          </w:r>
        </w:p>
      </w:docPartBody>
    </w:docPart>
    <w:docPart>
      <w:docPartPr>
        <w:name w:val="10B811F9D1E649EF98AC8672CF1DEF3F"/>
        <w:category>
          <w:name w:val="General"/>
          <w:gallery w:val="placeholder"/>
        </w:category>
        <w:types>
          <w:type w:val="bbPlcHdr"/>
        </w:types>
        <w:behaviors>
          <w:behavior w:val="content"/>
        </w:behaviors>
        <w:guid w:val="{61CFCF6B-7F73-4634-A4CB-E4EFB9AB8C5F}"/>
      </w:docPartPr>
      <w:docPartBody>
        <w:p w:rsidR="00BB23FE" w:rsidRDefault="00793647">
          <w:r w:rsidRPr="008A27DA">
            <w:rPr>
              <w:rStyle w:val="PlaceholderText"/>
              <w:lang w:val="en-US"/>
            </w:rPr>
            <w:t>Formatting...</w:t>
          </w:r>
        </w:p>
      </w:docPartBody>
    </w:docPart>
    <w:docPart>
      <w:docPartPr>
        <w:name w:val="2C3678357D65471FACCF4EF824AEE375"/>
        <w:category>
          <w:name w:val="General"/>
          <w:gallery w:val="placeholder"/>
        </w:category>
        <w:types>
          <w:type w:val="bbPlcHdr"/>
        </w:types>
        <w:behaviors>
          <w:behavior w:val="content"/>
        </w:behaviors>
        <w:guid w:val="{8F79FBF2-1905-4C33-BD08-EE355C985216}"/>
      </w:docPartPr>
      <w:docPartBody>
        <w:p w:rsidR="00BB23FE" w:rsidRDefault="00793647">
          <w:r w:rsidRPr="008A27DA">
            <w:rPr>
              <w:rStyle w:val="PlaceholderText"/>
              <w:lang w:val="en-US"/>
            </w:rPr>
            <w:t>Formatting...</w:t>
          </w:r>
        </w:p>
      </w:docPartBody>
    </w:docPart>
    <w:docPart>
      <w:docPartPr>
        <w:name w:val="FF68262F399E4570A4167CA720080C17"/>
        <w:category>
          <w:name w:val="General"/>
          <w:gallery w:val="placeholder"/>
        </w:category>
        <w:types>
          <w:type w:val="bbPlcHdr"/>
        </w:types>
        <w:behaviors>
          <w:behavior w:val="content"/>
        </w:behaviors>
        <w:guid w:val="{E182E9A7-F93E-48C1-ACAE-815C68CFA084}"/>
      </w:docPartPr>
      <w:docPartBody>
        <w:p w:rsidR="00BB23FE" w:rsidRDefault="00793647">
          <w:r w:rsidRPr="008A27DA">
            <w:rPr>
              <w:rStyle w:val="PlaceholderText"/>
              <w:lang w:val="en-US"/>
            </w:rPr>
            <w:t>Formatting...</w:t>
          </w:r>
        </w:p>
      </w:docPartBody>
    </w:docPart>
    <w:docPart>
      <w:docPartPr>
        <w:name w:val="CBE412E7FAD24ACEBABCFA8B90819953"/>
        <w:category>
          <w:name w:val="General"/>
          <w:gallery w:val="placeholder"/>
        </w:category>
        <w:types>
          <w:type w:val="bbPlcHdr"/>
        </w:types>
        <w:behaviors>
          <w:behavior w:val="content"/>
        </w:behaviors>
        <w:guid w:val="{3CCB7713-473B-4AF6-B6F6-6C34BDD4E3A6}"/>
      </w:docPartPr>
      <w:docPartBody>
        <w:p w:rsidR="00BB23FE" w:rsidRDefault="00793647">
          <w:r w:rsidRPr="008A27DA">
            <w:rPr>
              <w:rStyle w:val="PlaceholderText"/>
              <w:lang w:val="en-US"/>
            </w:rPr>
            <w:t>Formatting...</w:t>
          </w:r>
        </w:p>
      </w:docPartBody>
    </w:docPart>
    <w:docPart>
      <w:docPartPr>
        <w:name w:val="E4EFBF6644B94F8D9368B1361703CFCD"/>
        <w:category>
          <w:name w:val="General"/>
          <w:gallery w:val="placeholder"/>
        </w:category>
        <w:types>
          <w:type w:val="bbPlcHdr"/>
        </w:types>
        <w:behaviors>
          <w:behavior w:val="content"/>
        </w:behaviors>
        <w:guid w:val="{35CF233F-B14B-468C-88C3-66014FC85A3A}"/>
      </w:docPartPr>
      <w:docPartBody>
        <w:p w:rsidR="00BB23FE" w:rsidRDefault="00793647">
          <w:r w:rsidRPr="008A27DA">
            <w:rPr>
              <w:rStyle w:val="PlaceholderText"/>
              <w:lang w:val="en-US"/>
            </w:rPr>
            <w:t>Formatting...</w:t>
          </w:r>
        </w:p>
      </w:docPartBody>
    </w:docPart>
    <w:docPart>
      <w:docPartPr>
        <w:name w:val="D74C7EDA9C0B45A2920A2A447BBFE371"/>
        <w:category>
          <w:name w:val="General"/>
          <w:gallery w:val="placeholder"/>
        </w:category>
        <w:types>
          <w:type w:val="bbPlcHdr"/>
        </w:types>
        <w:behaviors>
          <w:behavior w:val="content"/>
        </w:behaviors>
        <w:guid w:val="{08219B9C-8478-406A-9CD7-F7FCE4023790}"/>
      </w:docPartPr>
      <w:docPartBody>
        <w:p w:rsidR="00BB23FE" w:rsidRDefault="00793647">
          <w:r w:rsidRPr="008A27DA">
            <w:rPr>
              <w:rStyle w:val="PlaceholderText"/>
              <w:lang w:val="en-US"/>
            </w:rPr>
            <w:t>Formatting...</w:t>
          </w:r>
        </w:p>
      </w:docPartBody>
    </w:docPart>
    <w:docPart>
      <w:docPartPr>
        <w:name w:val="3BF8DCDC728A48278390336916636886"/>
        <w:category>
          <w:name w:val="General"/>
          <w:gallery w:val="placeholder"/>
        </w:category>
        <w:types>
          <w:type w:val="bbPlcHdr"/>
        </w:types>
        <w:behaviors>
          <w:behavior w:val="content"/>
        </w:behaviors>
        <w:guid w:val="{CD3F8C69-165D-4D7D-8BFE-974121ABB687}"/>
      </w:docPartPr>
      <w:docPartBody>
        <w:p w:rsidR="00BB23FE" w:rsidRDefault="00793647">
          <w:r w:rsidRPr="008A27DA">
            <w:rPr>
              <w:rStyle w:val="PlaceholderText"/>
              <w:lang w:val="en-US"/>
            </w:rPr>
            <w:t>Formatting...</w:t>
          </w:r>
        </w:p>
      </w:docPartBody>
    </w:docPart>
    <w:docPart>
      <w:docPartPr>
        <w:name w:val="335352F4077E4DDD98E5FD8F9FA0935F"/>
        <w:category>
          <w:name w:val="General"/>
          <w:gallery w:val="placeholder"/>
        </w:category>
        <w:types>
          <w:type w:val="bbPlcHdr"/>
        </w:types>
        <w:behaviors>
          <w:behavior w:val="content"/>
        </w:behaviors>
        <w:guid w:val="{378BA6FC-9775-42CC-BFD2-373BBB41E154}"/>
      </w:docPartPr>
      <w:docPartBody>
        <w:p w:rsidR="00BB23FE" w:rsidRDefault="00793647">
          <w:r w:rsidRPr="008A27DA">
            <w:rPr>
              <w:rStyle w:val="PlaceholderText"/>
              <w:lang w:val="en-US"/>
            </w:rPr>
            <w:t>Formatting...</w:t>
          </w:r>
        </w:p>
      </w:docPartBody>
    </w:docPart>
    <w:docPart>
      <w:docPartPr>
        <w:name w:val="7ECA9C7535384F698CFC96FA4C5539AB"/>
        <w:category>
          <w:name w:val="General"/>
          <w:gallery w:val="placeholder"/>
        </w:category>
        <w:types>
          <w:type w:val="bbPlcHdr"/>
        </w:types>
        <w:behaviors>
          <w:behavior w:val="content"/>
        </w:behaviors>
        <w:guid w:val="{86A1EB89-7D59-45B6-8E1B-F39F5CBF46D5}"/>
      </w:docPartPr>
      <w:docPartBody>
        <w:p w:rsidR="00BB23FE" w:rsidRDefault="00793647">
          <w:r w:rsidRPr="008A27DA">
            <w:rPr>
              <w:rStyle w:val="PlaceholderText"/>
              <w:lang w:val="en-US"/>
            </w:rPr>
            <w:t>Formatting...</w:t>
          </w:r>
        </w:p>
      </w:docPartBody>
    </w:docPart>
    <w:docPart>
      <w:docPartPr>
        <w:name w:val="6426B314DF1440C8BEBF0664A71F5A0A"/>
        <w:category>
          <w:name w:val="General"/>
          <w:gallery w:val="placeholder"/>
        </w:category>
        <w:types>
          <w:type w:val="bbPlcHdr"/>
        </w:types>
        <w:behaviors>
          <w:behavior w:val="content"/>
        </w:behaviors>
        <w:guid w:val="{5DEF19BD-BCB9-4338-BCBA-8A6B074FB59E}"/>
      </w:docPartPr>
      <w:docPartBody>
        <w:p w:rsidR="00BB23FE" w:rsidRDefault="00793647">
          <w:r w:rsidRPr="008A27DA">
            <w:rPr>
              <w:rStyle w:val="PlaceholderText"/>
              <w:lang w:val="en-US"/>
            </w:rPr>
            <w:t>Formatting...</w:t>
          </w:r>
        </w:p>
      </w:docPartBody>
    </w:docPart>
    <w:docPart>
      <w:docPartPr>
        <w:name w:val="8D44BB0F29B34594A8499FD4439036D7"/>
        <w:category>
          <w:name w:val="General"/>
          <w:gallery w:val="placeholder"/>
        </w:category>
        <w:types>
          <w:type w:val="bbPlcHdr"/>
        </w:types>
        <w:behaviors>
          <w:behavior w:val="content"/>
        </w:behaviors>
        <w:guid w:val="{0CEC3CCA-844C-4773-A894-AD22A29D1161}"/>
      </w:docPartPr>
      <w:docPartBody>
        <w:p w:rsidR="00BB23FE" w:rsidRDefault="00793647">
          <w:r w:rsidRPr="008A27DA">
            <w:rPr>
              <w:rStyle w:val="PlaceholderText"/>
              <w:lang w:val="en-US"/>
            </w:rPr>
            <w:t>Formatting...</w:t>
          </w:r>
        </w:p>
      </w:docPartBody>
    </w:docPart>
    <w:docPart>
      <w:docPartPr>
        <w:name w:val="F988D4109BFC4450A978E3A4BBF5A012"/>
        <w:category>
          <w:name w:val="General"/>
          <w:gallery w:val="placeholder"/>
        </w:category>
        <w:types>
          <w:type w:val="bbPlcHdr"/>
        </w:types>
        <w:behaviors>
          <w:behavior w:val="content"/>
        </w:behaviors>
        <w:guid w:val="{3C317176-08C3-4E66-9485-06E27B6579FB}"/>
      </w:docPartPr>
      <w:docPartBody>
        <w:p w:rsidR="00BB23FE" w:rsidRDefault="00793647">
          <w:r w:rsidRPr="008A27DA">
            <w:rPr>
              <w:rStyle w:val="PlaceholderText"/>
              <w:lang w:val="en-US"/>
            </w:rPr>
            <w:t>Formatting...</w:t>
          </w:r>
        </w:p>
      </w:docPartBody>
    </w:docPart>
  </w:docParts>
</w:glossaryDocument>
</file>

<file path=word/glossary/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647"/>
    <w:rsid w:val="006147FF"/>
    <w:rsid w:val="00793647"/>
    <w:rsid w:val="00BB23FE"/>
    <w:rsid w:val="00C9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3647"/>
    <w:rPr>
      <w:color w:val="666666"/>
    </w:rPr>
  </w:style>
</w:styles>
</file>

<file path=word/glossary/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purl.oclc.org/ooxml/officeDocument/relationships" r:id="rId1"/>
  </wetp:taskpane>
</wetp:taskpanes>
</file>

<file path=word/webextensions/webextension1.xml><?xml version="1.0" encoding="utf-8"?>
<we:webextension xmlns:we="http://schemas.microsoft.com/office/webextensions/webextension/2010/11" id="{EEB45F8B-5B2D-4D39-90D7-0FED1BBA5EF1}">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itations" value="{&quot;29851652&quot;:{&quot;referencesIds&quot;:[&quot;doc:6a635148f9bb4c25fd2b0e13&quot;],&quot;referencesOptions&quot;:{&quot;doc:6a635148f9bb4c25fd2b0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51652,&quot;citationText&quot;:&quot;&lt;span style=\&quot;font-family:Times New Roman;font-size:13.333333333333332px;color:#000000\&quot;&gt;[1]&lt;/span&gt;&quot;},&quot;116877801&quot;:{&quot;referencesIds&quot;:[&quot;doc:6a661bbccdea073dee0645f2&quot;],&quot;referencesOptions&quot;:{&quot;doc:6a661bbccdea073dee0645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77801,&quot;citationText&quot;:&quot;&lt;span style=\&quot;font-family:Times New Roman;font-size:13.333333333333332px;color:#000000\&quot;&gt;[14]&lt;/span&gt;&quot;},&quot;219882007&quot;:{&quot;referencesIds&quot;:[&quot;doc:6a66170cbc44602a2a77d0f4&quot;],&quot;referencesOptions&quot;:{&quot;doc:6a66170cbc44602a2a77d0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882007,&quot;citationText&quot;:&quot;&lt;span style=\&quot;font-family:Times New Roman;font-size:13.333333333333332px;color:#000000\&quot;&gt;[5]&lt;/span&gt;&quot;},&quot;423695769&quot;:{&quot;referencesIds&quot;:[&quot;doc:6a66299d7b91ef02af374045&quot;],&quot;referencesOptions&quot;:{&quot;doc:6a66299d7b91ef02af3740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3695769,&quot;citationText&quot;:&quot;&lt;span style=\&quot;font-family:Times New Roman;font-size:13.333333333333332px;color:#000000\&quot;&gt;[24]&lt;/span&gt;&quot;},&quot;475650447&quot;:{&quot;referencesIds&quot;:[&quot;doc:6a66199e846cf85db3cc2d3e&quot;],&quot;referencesOptions&quot;:{&quot;doc:6a66199e846cf85db3cc2d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5650447,&quot;citationText&quot;:&quot;&lt;span style=\&quot;font-family:Times New Roman;font-size:13.333333333333332px;color:#000000\&quot;&gt;[9]&lt;/span&gt;&quot;},&quot;557599199&quot;:{&quot;referencesIds&quot;:[&quot;doc:6a63bd0bd2e2292ff29395e7&quot;],&quot;referencesOptions&quot;:{&quot;doc:6a63bd0bd2e2292ff2939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599199,&quot;citationText&quot;:&quot;&lt;span style=\&quot;font-family:Times New Roman;font-size:13.333333333333332px;color:#000000\&quot;&gt;[2]&lt;/span&gt;&quot;},&quot;589512713&quot;:{&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9512713,&quot;citationText&quot;:&quot;&lt;span style=\&quot;font-family:Times New Roman;font-size:13.333333333333332px;color:#000000\&quot;&gt;[16]&lt;/span&gt;&quot;},&quot;699440436&quot;:{&quot;referencesIds&quot;:[&quot;doc:6a661b3ab973893f31f8d850&quot;],&quot;referencesOptions&quot;:{&quot;doc:6a661b3ab973893f31f8d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440436,&quot;citationText&quot;:&quot;&lt;span style=\&quot;font-family:Times New Roman;font-size:13.333333333333332px;color:#000000\&quot;&gt;[12]&lt;/span&gt;&quot;},&quot;867961440&quot;:{&quot;referencesIds&quot;:[&quot;doc:6a6608328ae2f118ec1a3cd0&quot;],&quot;referencesOptions&quot;:{&quot;doc:6a6608328ae2f118ec1a3c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7961440,&quot;citationText&quot;:&quot;&lt;span style=\&quot;font-family:Times New Roman;font-size:13.333333333333332px;color:#000000\&quot;&gt;[3]&lt;/span&gt;&quot;},&quot;1350455062&quot;:{&quot;referencesIds&quot;:[&quot;doc:6a6610adb7030730d60236a1&quot;],&quot;referencesOptions&quot;:{&quot;doc:6a6610adb7030730d60236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455062,&quot;citationText&quot;:&quot;&lt;span style=\&quot;font-family:Times New Roman;font-size:13.333333333333332px;color:#000000\&quot;&gt;[4]&lt;/span&gt;&quot;},&quot;1392151992&quot;:{&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2151992,&quot;citationText&quot;:&quot;&lt;span style=\&quot;font-family:Times New Roman;font-size:13.333333333333332px;color:#000000\&quot;&gt;[16]&lt;/span&gt;&quot;},&quot;1523130386&quot;:{&quot;referencesIds&quot;:[&quot;doc:6a66186cb7030730d60237b3&quot;],&quot;referencesOptions&quot;:{&quot;doc:6a66186cb7030730d60237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3130386,&quot;citationText&quot;:&quot;&lt;span style=\&quot;font-family:Times New Roman;font-size:13.333333333333332px;color:#000000\&quot;&gt;[8]&lt;/span&gt;&quot;},&quot;1824234398&quot;:{&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234398,&quot;citationText&quot;:&quot;&lt;span style=\&quot;font-family:Times New Roman;font-size:13.333333333333332px;color:#000000\&quot;&gt;[6]&lt;/span&gt;&quot;},&quot;1979178927&quot;:{&quot;referencesIds&quot;:[&quot;doc:6a6628f2a799961e1e6163a4&quot;],&quot;referencesOptions&quot;:{&quot;doc:6a6628f2a799961e1e6163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178927,&quot;citationText&quot;:&quot;&lt;span style=\&quot;font-family:Times New Roman;font-size:13.333333333333332px;color:#000000\&quot;&gt;[23]&lt;/span&gt;&quot;},&quot;2109769433&quot;:{&quot;referencesIds&quot;:[&quot;doc:6a662235d590294f46a9e62c&quot;],&quot;referencesOptions&quot;:{&quot;doc:6a662235d590294f46a9e6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769433,&quot;citationText&quot;:&quot;&lt;span style=\&quot;font-family:Times New Roman;font-size:13.333333333333332px;color:#000000\&quot;&gt;[16]&lt;/span&gt;&quot;},&quot;-1087150452&quot;:{&quot;referencesIds&quot;:[&quot;doc:6a635148f9bb4c25fd2b0e13&quot;],&quot;referencesOptions&quot;:{&quot;doc:6a635148f9bb4c25fd2b0e1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7150452,&quot;citationText&quot;:&quot;&lt;span style=\&quot;font-family:Times New Roman;font-size:13.333333333333332px;color:#000000\&quot;&gt;[1]&lt;/span&gt;&quot;},&quot;-1342463644&quot;:{&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463644,&quot;citationText&quot;:&quot;&lt;span style=\&quot;font-family:Times New Roman;font-size:13.333333333333332px;color:#000000\&quot;&gt;[7]&lt;/span&gt;&quot;},&quot;-1988926470&quot;:{&quot;referencesIds&quot;:[&quot;doc:6a661780bc44602a2a77d0f5&quot;],&quot;referencesOptions&quot;:{&quot;doc:6a661780bc44602a2a77d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8926470,&quot;citationText&quot;:&quot;&lt;span style=\&quot;font-family:Times New Roman;font-size:13.333333333333332px;color:#000000\&quot;&gt;[6]&lt;/span&gt;&quot;},&quot;-1430032591&quot;:{&quot;referencesIds&quot;:[&quot;doc:6a661a4da799961e1e616349&quot;],&quot;referencesOptions&quot;:{&quot;doc:6a661a4da799961e1e616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032591,&quot;citationText&quot;:&quot;&lt;span style=\&quot;font-family:Times New Roman;font-size:13.333333333333332px;color:#000000\&quot;&gt;[10]&lt;/span&gt;&quot;},&quot;-1201394710&quot;:{&quot;referencesIds&quot;:[&quot;doc:6a661a8ab7030730d60237da&quot;],&quot;referencesOptions&quot;:{&quot;doc:6a661a8ab7030730d6023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394710,&quot;citationText&quot;:&quot;&lt;span style=\&quot;font-family:Times New Roman;font-size:13.333333333333332px;color:#000000\&quot;&gt;[11]&lt;/span&gt;&quot;},&quot;-311329823&quot;:{&quot;referencesIds&quot;:[&quot;doc:6a661b90f4ea0903916f05a1&quot;],&quot;referencesOptions&quot;:{&quot;doc:6a661b90f4ea0903916f0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1329823,&quot;citationText&quot;:&quot;&lt;span style=\&quot;font-family:Times New Roman;font-size:13.333333333333332px;color:#000000\&quot;&gt;[13]&lt;/span&gt;&quot;},&quot;-906686369&quot;:{&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6686369,&quot;citationText&quot;:&quot;&lt;span style=\&quot;font-family:Times New Roman;font-size:13.333333333333332px;color:#000000\&quot;&gt;[15]&lt;/span&gt;&quot;},&quot;-1707556520&quot;:{&quot;referencesIds&quot;:[&quot;doc:6a662378bc44602a2a77d168&quot;],&quot;referencesOptions&quot;:{&quot;doc:6a662378bc44602a2a77d1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7556520,&quot;citationText&quot;:&quot;&lt;span style=\&quot;font-family:Times New Roman;font-size:13.333333333333332px;color:#000000\&quot;&gt;[17]&lt;/span&gt;&quot;},&quot;-1641495418&quot;:{&quot;referencesIds&quot;:[&quot;doc:6a662436b973893f31f8d88b&quot;],&quot;referencesOptions&quot;:{&quot;doc:6a662436b973893f31f8d8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1495418,&quot;citationText&quot;:&quot;&lt;span style=\&quot;font-family:Times New Roman;font-size:13.333333333333332px;color:#000000\&quot;&gt;[18]&lt;/span&gt;&quot;},&quot;-374387471&quot;:{&quot;referencesIds&quot;:[&quot;doc:6a6621ae717b550ceb932567&quot;],&quot;referencesOptions&quot;:{&quot;doc:6a6621ae717b550ceb9325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4387471,&quot;citationText&quot;:&quot;&lt;span style=\&quot;font-family:Times New Roman;font-size:13.333333333333332px;color:#000000\&quot;&gt;[15]&lt;/span&gt;&quot;},&quot;-456871847&quot;:{&quot;referencesIds&quot;:[&quot;doc:6a6625db7b91ef02af373fb8&quot;],&quot;referencesOptions&quot;:{&quot;doc:6a6625db7b91ef02af373f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871847,&quot;citationText&quot;:&quot;&lt;span style=\&quot;font-family:Times New Roman;font-size:13.333333333333332px;color:#000000\&quot;&gt;[19]&lt;/span&gt;&quot;},&quot;-1897816080&quot;:{&quot;referencesIds&quot;:[&quot;doc:6a6626243853b670f11821dc&quot;],&quot;referencesOptions&quot;:{&quot;doc:6a6626243853b670f11821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816080,&quot;citationText&quot;:&quot;&lt;span style=\&quot;font-family:Times New Roman;font-size:13.333333333333332px;color:#000000\&quot;&gt;[20]&lt;/span&gt;&quot;},&quot;-1338002636&quot;:{&quot;referencesIds&quot;:[&quot;doc:6a66273f4bad1318faefce18&quot;],&quot;referencesOptions&quot;:{&quot;doc:6a66273f4bad1318faefc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8002636,&quot;citationText&quot;:&quot;&lt;span style=\&quot;font-family:Times New Roman;font-size:13.333333333333332px;color:#000000\&quot;&gt;[21]&lt;/span&gt;&quot;},&quot;-1763137391&quot;:{&quot;referencesIds&quot;:[&quot;doc:6a6627e3a799961e1e6163a1&quot;],&quot;referencesOptions&quot;:{&quot;doc:6a6627e3a799961e1e616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137391,&quot;citationText&quot;:&quot;&lt;span style=\&quot;font-family:Times New Roman;font-size:13.333333333333332px;color:#000000\&quot;&gt;[22]&lt;/span&gt;&quot;},&quot;-845857790&quot;:{&quot;referencesIds&quot;:[&quot;doc:6a66182e82b2d05ff00912a4&quot;],&quot;referencesOptions&quot;:{&quot;doc:6a66182e82b2d05ff0091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857790,&quot;citationText&quot;:&quot;&lt;span style=\&quot;font-family:Times New Roman;font-size:13.333333333333332px;color:#000000\&quot;&gt;[7]&lt;/span&gt;&quot;},&quot;-919022201&quot;:{&quot;referencesIds&quot;:[&quot;doc:6a662c4eb7030730d6023878&quot;],&quot;referencesOptions&quot;:{&quot;doc:6a662c4eb7030730d6023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022201,&quot;citationText&quot;:&quot;&lt;span style=\&quot;font-family:Times New Roman;font-size:13.333333333333332px;color:#000000\&quot;&gt;[25]&lt;/span&gt;&quot;}}"/>
    <we:property name="currentFolder" value="{&quot;id&quot;:&quot;project:6a63513aa54071785d127080&quot;,&quot;userId&quot;:&quot;user:670d17c183c12f6f67551428&quot;,&quot;projectId&quot;:&quot;ap:670d17c183c12f6f67551429&quot;,&quot;name&quot;:&quot;Data Security and Compliance&quot;,&quot;created&quot;:1784893754347,&quot;lastModified&quot;:1784893754347,&quot;position&quot;:3,&quot;isShared&quot;:false,&quot;parentId&quot;:&quot;project:693ec23c2c42c82fcec99a92&quot;,&quot;isExampleCollection&quot;:false,&quot;isMyPublicationsCollection&quot;:false,&quot;notInFolder&quot;:false,&quot;isFavorite&quot;:true,&quot;totalReferences&quot;:25,&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purl.oclc.org/ooxml/officeDocument/relationships"/>
</we:webextension>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purl.oclc.org/ooxml/officeDocument/customXml" ds:itemID="{E2001FF1-0759-4DFA-B891-4B77DA304D3C}">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2265</TotalTime>
  <Pages>11</Pages>
  <Words>7699</Words>
  <Characters>43889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51486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Carlos Yanez Baez (2413875)</cp:lastModifiedBy>
  <cp:revision>620</cp:revision>
  <dcterms:created xsi:type="dcterms:W3CDTF">2024-07-16T13:42:00Z</dcterms:created>
  <dcterms:modified xsi:type="dcterms:W3CDTF">2026-07-27T14:41:00Z</dcterms:modified>
</cp:coreProperties>
</file>