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020D94"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1E1FA835"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CB07F3">
        <w:rPr>
          <w:rFonts w:ascii="Arial" w:hAnsi="Arial" w:cs="Arial"/>
          <w:sz w:val="28"/>
          <w:szCs w:val="28"/>
          <w:lang w:val="nl-NL"/>
        </w:rPr>
        <w:t>Introduction to Independent Research Skills</w:t>
      </w:r>
    </w:p>
    <w:p w14:paraId="537571AF" w14:textId="2956DE5D"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CB07F3">
        <w:rPr>
          <w:rFonts w:ascii="Arial" w:hAnsi="Arial" w:cs="Arial"/>
          <w:sz w:val="28"/>
          <w:szCs w:val="28"/>
        </w:rPr>
        <w:t>BMHP5019</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77147E16" w14:textId="7DDAB488" w:rsidR="00CB07F3" w:rsidRPr="00CD33A8" w:rsidRDefault="00074402" w:rsidP="00CB07F3">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CB07F3" w:rsidRPr="00CB07F3">
        <w:rPr>
          <w:rFonts w:ascii="Arial" w:hAnsi="Arial" w:cs="Arial"/>
          <w:sz w:val="28"/>
          <w:szCs w:val="28"/>
          <w:lang w:val="nl-NL"/>
        </w:rPr>
        <w:t xml:space="preserve"> </w:t>
      </w:r>
      <w:r w:rsidR="00CB07F3">
        <w:rPr>
          <w:rFonts w:ascii="Arial" w:hAnsi="Arial" w:cs="Arial"/>
          <w:sz w:val="28"/>
          <w:szCs w:val="28"/>
          <w:lang w:val="nl-NL"/>
        </w:rPr>
        <w:t>Margarida Ferreira</w:t>
      </w:r>
    </w:p>
    <w:p w14:paraId="0A48766D" w14:textId="68361544" w:rsidR="00074402" w:rsidRPr="00CD33A8" w:rsidRDefault="00074402" w:rsidP="00CD33A8">
      <w:pPr>
        <w:tabs>
          <w:tab w:val="left" w:pos="6540"/>
        </w:tabs>
        <w:spacing w:line="360" w:lineRule="auto"/>
        <w:rPr>
          <w:rFonts w:ascii="Arial" w:hAnsi="Arial" w:cs="Arial"/>
          <w:sz w:val="28"/>
          <w:szCs w:val="28"/>
          <w:lang w:val="nl-NL"/>
        </w:rPr>
      </w:pPr>
    </w:p>
    <w:p w14:paraId="39AA4413" w14:textId="035A3386"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CB07F3">
        <w:rPr>
          <w:rFonts w:ascii="Arial" w:hAnsi="Arial" w:cs="Arial"/>
          <w:sz w:val="28"/>
          <w:szCs w:val="28"/>
          <w:lang w:val="nl-NL"/>
        </w:rPr>
        <w:t>2415797</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4CD43CB7" w:rsidR="00074402" w:rsidRPr="00CD33A8" w:rsidRDefault="00B8304B"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CB07F3">
        <w:rPr>
          <w:rFonts w:ascii="Arial" w:hAnsi="Arial" w:cs="Arial"/>
          <w:sz w:val="28"/>
          <w:szCs w:val="28"/>
        </w:rPr>
        <w:t>Muhammed Khan</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bookmarkStart w:id="0" w:name="_Toc237285857"/>
      <w:r w:rsidRPr="00CD33A8">
        <w:lastRenderedPageBreak/>
        <w:t>Table of contents</w:t>
      </w:r>
      <w:bookmarkEnd w:id="0"/>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sdt>
      <w:sdtPr>
        <w:rPr>
          <w:rFonts w:ascii="Times New Roman" w:eastAsiaTheme="minorHAnsi" w:hAnsi="Times New Roman" w:cstheme="minorBidi"/>
          <w:color w:val="auto"/>
          <w:sz w:val="24"/>
          <w:szCs w:val="22"/>
          <w:lang w:val="en-GB"/>
        </w:rPr>
        <w:id w:val="-1358876706"/>
        <w:docPartObj>
          <w:docPartGallery w:val="Table of Contents"/>
          <w:docPartUnique/>
        </w:docPartObj>
      </w:sdtPr>
      <w:sdtEndPr>
        <w:rPr>
          <w:b/>
          <w:bCs/>
          <w:noProof/>
        </w:rPr>
      </w:sdtEndPr>
      <w:sdtContent>
        <w:p w14:paraId="66CE1851" w14:textId="401CB932" w:rsidR="000429ED" w:rsidRDefault="000429ED">
          <w:pPr>
            <w:pStyle w:val="TOCHeading"/>
          </w:pPr>
        </w:p>
        <w:p w14:paraId="72AE3331" w14:textId="6E1BEB55" w:rsidR="00CF31C1" w:rsidRDefault="000429ED">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37285857" w:history="1">
            <w:r w:rsidR="00CF31C1" w:rsidRPr="00993178">
              <w:rPr>
                <w:rStyle w:val="Hyperlink"/>
                <w:noProof/>
              </w:rPr>
              <w:t>Table of contents</w:t>
            </w:r>
            <w:r w:rsidR="00CF31C1">
              <w:rPr>
                <w:noProof/>
                <w:webHidden/>
              </w:rPr>
              <w:tab/>
            </w:r>
            <w:r w:rsidR="00CF31C1">
              <w:rPr>
                <w:noProof/>
                <w:webHidden/>
              </w:rPr>
              <w:fldChar w:fldCharType="begin"/>
            </w:r>
            <w:r w:rsidR="00CF31C1">
              <w:rPr>
                <w:noProof/>
                <w:webHidden/>
              </w:rPr>
              <w:instrText xml:space="preserve"> PAGEREF _Toc237285857 \h </w:instrText>
            </w:r>
            <w:r w:rsidR="00CF31C1">
              <w:rPr>
                <w:noProof/>
                <w:webHidden/>
              </w:rPr>
            </w:r>
            <w:r w:rsidR="00CF31C1">
              <w:rPr>
                <w:noProof/>
                <w:webHidden/>
              </w:rPr>
              <w:fldChar w:fldCharType="separate"/>
            </w:r>
            <w:r w:rsidR="00CF31C1">
              <w:rPr>
                <w:noProof/>
                <w:webHidden/>
              </w:rPr>
              <w:t>2</w:t>
            </w:r>
            <w:r w:rsidR="00CF31C1">
              <w:rPr>
                <w:noProof/>
                <w:webHidden/>
              </w:rPr>
              <w:fldChar w:fldCharType="end"/>
            </w:r>
          </w:hyperlink>
        </w:p>
        <w:p w14:paraId="1FEEDF9B" w14:textId="294715CC" w:rsidR="00CF31C1" w:rsidRDefault="00CF31C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285858" w:history="1">
            <w:r w:rsidRPr="00993178">
              <w:rPr>
                <w:rStyle w:val="Hyperlink"/>
                <w:noProof/>
              </w:rPr>
              <w:t xml:space="preserve">Topic: </w:t>
            </w:r>
            <w:r w:rsidRPr="00993178">
              <w:rPr>
                <w:rStyle w:val="Hyperlink"/>
                <w:bCs/>
                <w:noProof/>
              </w:rPr>
              <w:t>Digital exclusion and older adults’ access to NHS digital health services in the UK</w:t>
            </w:r>
            <w:r>
              <w:rPr>
                <w:noProof/>
                <w:webHidden/>
              </w:rPr>
              <w:tab/>
            </w:r>
            <w:r>
              <w:rPr>
                <w:noProof/>
                <w:webHidden/>
              </w:rPr>
              <w:fldChar w:fldCharType="begin"/>
            </w:r>
            <w:r>
              <w:rPr>
                <w:noProof/>
                <w:webHidden/>
              </w:rPr>
              <w:instrText xml:space="preserve"> PAGEREF _Toc237285858 \h </w:instrText>
            </w:r>
            <w:r>
              <w:rPr>
                <w:noProof/>
                <w:webHidden/>
              </w:rPr>
            </w:r>
            <w:r>
              <w:rPr>
                <w:noProof/>
                <w:webHidden/>
              </w:rPr>
              <w:fldChar w:fldCharType="separate"/>
            </w:r>
            <w:r>
              <w:rPr>
                <w:noProof/>
                <w:webHidden/>
              </w:rPr>
              <w:t>3</w:t>
            </w:r>
            <w:r>
              <w:rPr>
                <w:noProof/>
                <w:webHidden/>
              </w:rPr>
              <w:fldChar w:fldCharType="end"/>
            </w:r>
          </w:hyperlink>
        </w:p>
        <w:p w14:paraId="2A04FA14" w14:textId="766C6303" w:rsidR="00CF31C1" w:rsidRDefault="00CF31C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285859" w:history="1">
            <w:r w:rsidRPr="00993178">
              <w:rPr>
                <w:rStyle w:val="Hyperlink"/>
                <w:noProof/>
              </w:rPr>
              <w:t>Abstract</w:t>
            </w:r>
            <w:r>
              <w:rPr>
                <w:noProof/>
                <w:webHidden/>
              </w:rPr>
              <w:tab/>
            </w:r>
            <w:r>
              <w:rPr>
                <w:noProof/>
                <w:webHidden/>
              </w:rPr>
              <w:fldChar w:fldCharType="begin"/>
            </w:r>
            <w:r>
              <w:rPr>
                <w:noProof/>
                <w:webHidden/>
              </w:rPr>
              <w:instrText xml:space="preserve"> PAGEREF _Toc237285859 \h </w:instrText>
            </w:r>
            <w:r>
              <w:rPr>
                <w:noProof/>
                <w:webHidden/>
              </w:rPr>
            </w:r>
            <w:r>
              <w:rPr>
                <w:noProof/>
                <w:webHidden/>
              </w:rPr>
              <w:fldChar w:fldCharType="separate"/>
            </w:r>
            <w:r>
              <w:rPr>
                <w:noProof/>
                <w:webHidden/>
              </w:rPr>
              <w:t>3</w:t>
            </w:r>
            <w:r>
              <w:rPr>
                <w:noProof/>
                <w:webHidden/>
              </w:rPr>
              <w:fldChar w:fldCharType="end"/>
            </w:r>
          </w:hyperlink>
        </w:p>
        <w:p w14:paraId="1BFA90A8" w14:textId="49DC00D3" w:rsidR="00CF31C1" w:rsidRDefault="00CF31C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285860" w:history="1">
            <w:r w:rsidRPr="00993178">
              <w:rPr>
                <w:rStyle w:val="Hyperlink"/>
                <w:noProof/>
              </w:rPr>
              <w:t>Introduction</w:t>
            </w:r>
            <w:r>
              <w:rPr>
                <w:noProof/>
                <w:webHidden/>
              </w:rPr>
              <w:tab/>
            </w:r>
            <w:r>
              <w:rPr>
                <w:noProof/>
                <w:webHidden/>
              </w:rPr>
              <w:fldChar w:fldCharType="begin"/>
            </w:r>
            <w:r>
              <w:rPr>
                <w:noProof/>
                <w:webHidden/>
              </w:rPr>
              <w:instrText xml:space="preserve"> PAGEREF _Toc237285860 \h </w:instrText>
            </w:r>
            <w:r>
              <w:rPr>
                <w:noProof/>
                <w:webHidden/>
              </w:rPr>
            </w:r>
            <w:r>
              <w:rPr>
                <w:noProof/>
                <w:webHidden/>
              </w:rPr>
              <w:fldChar w:fldCharType="separate"/>
            </w:r>
            <w:r>
              <w:rPr>
                <w:noProof/>
                <w:webHidden/>
              </w:rPr>
              <w:t>3</w:t>
            </w:r>
            <w:r>
              <w:rPr>
                <w:noProof/>
                <w:webHidden/>
              </w:rPr>
              <w:fldChar w:fldCharType="end"/>
            </w:r>
          </w:hyperlink>
        </w:p>
        <w:p w14:paraId="768C4A21" w14:textId="7EFB5E1F" w:rsidR="00CF31C1" w:rsidRDefault="00CF31C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285861" w:history="1">
            <w:r w:rsidRPr="00993178">
              <w:rPr>
                <w:rStyle w:val="Hyperlink"/>
                <w:noProof/>
              </w:rPr>
              <w:t>Background</w:t>
            </w:r>
            <w:r>
              <w:rPr>
                <w:noProof/>
                <w:webHidden/>
              </w:rPr>
              <w:tab/>
            </w:r>
            <w:r>
              <w:rPr>
                <w:noProof/>
                <w:webHidden/>
              </w:rPr>
              <w:fldChar w:fldCharType="begin"/>
            </w:r>
            <w:r>
              <w:rPr>
                <w:noProof/>
                <w:webHidden/>
              </w:rPr>
              <w:instrText xml:space="preserve"> PAGEREF _Toc237285861 \h </w:instrText>
            </w:r>
            <w:r>
              <w:rPr>
                <w:noProof/>
                <w:webHidden/>
              </w:rPr>
            </w:r>
            <w:r>
              <w:rPr>
                <w:noProof/>
                <w:webHidden/>
              </w:rPr>
              <w:fldChar w:fldCharType="separate"/>
            </w:r>
            <w:r>
              <w:rPr>
                <w:noProof/>
                <w:webHidden/>
              </w:rPr>
              <w:t>5</w:t>
            </w:r>
            <w:r>
              <w:rPr>
                <w:noProof/>
                <w:webHidden/>
              </w:rPr>
              <w:fldChar w:fldCharType="end"/>
            </w:r>
          </w:hyperlink>
        </w:p>
        <w:p w14:paraId="7F04D0AA" w14:textId="78584AF1" w:rsidR="00CF31C1" w:rsidRDefault="00CF31C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285862" w:history="1">
            <w:r w:rsidRPr="00993178">
              <w:rPr>
                <w:rStyle w:val="Hyperlink"/>
                <w:noProof/>
              </w:rPr>
              <w:t>Methods</w:t>
            </w:r>
            <w:r>
              <w:rPr>
                <w:noProof/>
                <w:webHidden/>
              </w:rPr>
              <w:tab/>
            </w:r>
            <w:r>
              <w:rPr>
                <w:noProof/>
                <w:webHidden/>
              </w:rPr>
              <w:fldChar w:fldCharType="begin"/>
            </w:r>
            <w:r>
              <w:rPr>
                <w:noProof/>
                <w:webHidden/>
              </w:rPr>
              <w:instrText xml:space="preserve"> PAGEREF _Toc237285862 \h </w:instrText>
            </w:r>
            <w:r>
              <w:rPr>
                <w:noProof/>
                <w:webHidden/>
              </w:rPr>
            </w:r>
            <w:r>
              <w:rPr>
                <w:noProof/>
                <w:webHidden/>
              </w:rPr>
              <w:fldChar w:fldCharType="separate"/>
            </w:r>
            <w:r>
              <w:rPr>
                <w:noProof/>
                <w:webHidden/>
              </w:rPr>
              <w:t>6</w:t>
            </w:r>
            <w:r>
              <w:rPr>
                <w:noProof/>
                <w:webHidden/>
              </w:rPr>
              <w:fldChar w:fldCharType="end"/>
            </w:r>
          </w:hyperlink>
        </w:p>
        <w:p w14:paraId="76C6138C" w14:textId="2948F52B" w:rsidR="00CF31C1" w:rsidRDefault="00CF31C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285863" w:history="1">
            <w:r w:rsidRPr="00993178">
              <w:rPr>
                <w:rStyle w:val="Hyperlink"/>
                <w:noProof/>
              </w:rPr>
              <w:t>Results</w:t>
            </w:r>
            <w:r>
              <w:rPr>
                <w:noProof/>
                <w:webHidden/>
              </w:rPr>
              <w:tab/>
            </w:r>
            <w:r>
              <w:rPr>
                <w:noProof/>
                <w:webHidden/>
              </w:rPr>
              <w:fldChar w:fldCharType="begin"/>
            </w:r>
            <w:r>
              <w:rPr>
                <w:noProof/>
                <w:webHidden/>
              </w:rPr>
              <w:instrText xml:space="preserve"> PAGEREF _Toc237285863 \h </w:instrText>
            </w:r>
            <w:r>
              <w:rPr>
                <w:noProof/>
                <w:webHidden/>
              </w:rPr>
            </w:r>
            <w:r>
              <w:rPr>
                <w:noProof/>
                <w:webHidden/>
              </w:rPr>
              <w:fldChar w:fldCharType="separate"/>
            </w:r>
            <w:r>
              <w:rPr>
                <w:noProof/>
                <w:webHidden/>
              </w:rPr>
              <w:t>8</w:t>
            </w:r>
            <w:r>
              <w:rPr>
                <w:noProof/>
                <w:webHidden/>
              </w:rPr>
              <w:fldChar w:fldCharType="end"/>
            </w:r>
          </w:hyperlink>
        </w:p>
        <w:p w14:paraId="27E8E390" w14:textId="5DFF3879" w:rsidR="00CF31C1" w:rsidRDefault="00CF31C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285864" w:history="1">
            <w:r w:rsidRPr="00993178">
              <w:rPr>
                <w:rStyle w:val="Hyperlink"/>
                <w:noProof/>
              </w:rPr>
              <w:t>Discussion</w:t>
            </w:r>
            <w:r>
              <w:rPr>
                <w:noProof/>
                <w:webHidden/>
              </w:rPr>
              <w:tab/>
            </w:r>
            <w:r>
              <w:rPr>
                <w:noProof/>
                <w:webHidden/>
              </w:rPr>
              <w:fldChar w:fldCharType="begin"/>
            </w:r>
            <w:r>
              <w:rPr>
                <w:noProof/>
                <w:webHidden/>
              </w:rPr>
              <w:instrText xml:space="preserve"> PAGEREF _Toc237285864 \h </w:instrText>
            </w:r>
            <w:r>
              <w:rPr>
                <w:noProof/>
                <w:webHidden/>
              </w:rPr>
            </w:r>
            <w:r>
              <w:rPr>
                <w:noProof/>
                <w:webHidden/>
              </w:rPr>
              <w:fldChar w:fldCharType="separate"/>
            </w:r>
            <w:r>
              <w:rPr>
                <w:noProof/>
                <w:webHidden/>
              </w:rPr>
              <w:t>11</w:t>
            </w:r>
            <w:r>
              <w:rPr>
                <w:noProof/>
                <w:webHidden/>
              </w:rPr>
              <w:fldChar w:fldCharType="end"/>
            </w:r>
          </w:hyperlink>
        </w:p>
        <w:p w14:paraId="2C6ECEF9" w14:textId="1188FDDA" w:rsidR="00CF31C1" w:rsidRDefault="00CF31C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285865" w:history="1">
            <w:r w:rsidRPr="00993178">
              <w:rPr>
                <w:rStyle w:val="Hyperlink"/>
                <w:noProof/>
              </w:rPr>
              <w:t>Conclusion and Recommendations</w:t>
            </w:r>
            <w:r>
              <w:rPr>
                <w:noProof/>
                <w:webHidden/>
              </w:rPr>
              <w:tab/>
            </w:r>
            <w:r>
              <w:rPr>
                <w:noProof/>
                <w:webHidden/>
              </w:rPr>
              <w:fldChar w:fldCharType="begin"/>
            </w:r>
            <w:r>
              <w:rPr>
                <w:noProof/>
                <w:webHidden/>
              </w:rPr>
              <w:instrText xml:space="preserve"> PAGEREF _Toc237285865 \h </w:instrText>
            </w:r>
            <w:r>
              <w:rPr>
                <w:noProof/>
                <w:webHidden/>
              </w:rPr>
            </w:r>
            <w:r>
              <w:rPr>
                <w:noProof/>
                <w:webHidden/>
              </w:rPr>
              <w:fldChar w:fldCharType="separate"/>
            </w:r>
            <w:r>
              <w:rPr>
                <w:noProof/>
                <w:webHidden/>
              </w:rPr>
              <w:t>12</w:t>
            </w:r>
            <w:r>
              <w:rPr>
                <w:noProof/>
                <w:webHidden/>
              </w:rPr>
              <w:fldChar w:fldCharType="end"/>
            </w:r>
          </w:hyperlink>
        </w:p>
        <w:p w14:paraId="3207011F" w14:textId="625792DC" w:rsidR="00CF31C1" w:rsidRDefault="00CF31C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7285866" w:history="1">
            <w:r w:rsidRPr="00993178">
              <w:rPr>
                <w:rStyle w:val="Hyperlink"/>
                <w:noProof/>
              </w:rPr>
              <w:t>References</w:t>
            </w:r>
            <w:r>
              <w:rPr>
                <w:noProof/>
                <w:webHidden/>
              </w:rPr>
              <w:tab/>
            </w:r>
            <w:r>
              <w:rPr>
                <w:noProof/>
                <w:webHidden/>
              </w:rPr>
              <w:fldChar w:fldCharType="begin"/>
            </w:r>
            <w:r>
              <w:rPr>
                <w:noProof/>
                <w:webHidden/>
              </w:rPr>
              <w:instrText xml:space="preserve"> PAGEREF _Toc237285866 \h </w:instrText>
            </w:r>
            <w:r>
              <w:rPr>
                <w:noProof/>
                <w:webHidden/>
              </w:rPr>
            </w:r>
            <w:r>
              <w:rPr>
                <w:noProof/>
                <w:webHidden/>
              </w:rPr>
              <w:fldChar w:fldCharType="separate"/>
            </w:r>
            <w:r>
              <w:rPr>
                <w:noProof/>
                <w:webHidden/>
              </w:rPr>
              <w:t>14</w:t>
            </w:r>
            <w:r>
              <w:rPr>
                <w:noProof/>
                <w:webHidden/>
              </w:rPr>
              <w:fldChar w:fldCharType="end"/>
            </w:r>
          </w:hyperlink>
        </w:p>
        <w:p w14:paraId="0B87DC3B" w14:textId="51C2D3DC" w:rsidR="000429ED" w:rsidRDefault="000429ED">
          <w:r>
            <w:rPr>
              <w:b/>
              <w:bCs/>
              <w:noProof/>
            </w:rPr>
            <w:fldChar w:fldCharType="end"/>
          </w:r>
        </w:p>
      </w:sdtContent>
    </w:sdt>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2CF27283" w14:textId="6EFA4DAB" w:rsidR="00B8304B" w:rsidRDefault="00B8304B" w:rsidP="00B8304B">
      <w:pPr>
        <w:pStyle w:val="Heading1"/>
      </w:pPr>
      <w:bookmarkStart w:id="1" w:name="_Toc237285858"/>
      <w:r>
        <w:lastRenderedPageBreak/>
        <w:t xml:space="preserve">Topic: </w:t>
      </w:r>
      <w:r w:rsidR="006B7283" w:rsidRPr="006B7283">
        <w:rPr>
          <w:b w:val="0"/>
          <w:bCs/>
        </w:rPr>
        <w:t xml:space="preserve">Digital exclusion and older </w:t>
      </w:r>
      <w:r w:rsidR="00D932C6" w:rsidRPr="006B7283">
        <w:rPr>
          <w:b w:val="0"/>
          <w:bCs/>
        </w:rPr>
        <w:t>adults’</w:t>
      </w:r>
      <w:r w:rsidR="006B7283" w:rsidRPr="006B7283">
        <w:rPr>
          <w:b w:val="0"/>
          <w:bCs/>
        </w:rPr>
        <w:t xml:space="preserve"> access to NHS digital health services in the UK</w:t>
      </w:r>
      <w:bookmarkEnd w:id="1"/>
    </w:p>
    <w:p w14:paraId="3914D9AE" w14:textId="6D95F55A" w:rsidR="00CD33A8" w:rsidRDefault="00CD33A8" w:rsidP="00E620E7">
      <w:pPr>
        <w:pStyle w:val="Heading1"/>
      </w:pPr>
      <w:bookmarkStart w:id="2" w:name="_Toc237285859"/>
      <w:r>
        <w:t>Abstract</w:t>
      </w:r>
      <w:bookmarkEnd w:id="2"/>
    </w:p>
    <w:p w14:paraId="01974B97" w14:textId="77777777" w:rsidR="006B7283" w:rsidRPr="006B7283" w:rsidRDefault="006B7283" w:rsidP="006B7283">
      <w:pPr>
        <w:rPr>
          <w:rFonts w:ascii="Arial" w:hAnsi="Arial" w:cs="Arial"/>
          <w:sz w:val="22"/>
        </w:rPr>
      </w:pPr>
      <w:r w:rsidRPr="006B7283">
        <w:rPr>
          <w:rFonts w:ascii="Arial" w:hAnsi="Arial" w:cs="Arial"/>
          <w:sz w:val="22"/>
        </w:rPr>
        <w:t>Digital health services are now an important part of NHS care in the UK, including the NHS App, online appointment booking, remote consultations, electronic prescriptions and access to test results. Although digital healthcare can improve convenience and patient choice, it may also create barriers for people who are unable, unsupported or unwilling to use online services. This is particularly relevant for older adults, as digital exclusion increases with age and may be affected by limited internet access, low digital skills, disability, cost, language needs, confidence and trust (Age UK, 2024; NHS England, 2023).</w:t>
      </w:r>
    </w:p>
    <w:p w14:paraId="243B89E4" w14:textId="77777777" w:rsidR="006B7283" w:rsidRPr="006B7283" w:rsidRDefault="006B7283" w:rsidP="006B7283">
      <w:pPr>
        <w:rPr>
          <w:rFonts w:ascii="Arial" w:hAnsi="Arial" w:cs="Arial"/>
          <w:sz w:val="22"/>
        </w:rPr>
      </w:pPr>
      <w:r w:rsidRPr="006B7283">
        <w:rPr>
          <w:rFonts w:ascii="Arial" w:hAnsi="Arial" w:cs="Arial"/>
          <w:sz w:val="22"/>
        </w:rPr>
        <w:t>This scoping review explored the question: What barriers and support needs affect older adults’ access to NHS digital health services in the UK? The objectives were to identify key barriers, examine how digital exclusion may affect access and health inequalities, and consider recommendations for inclusive health and social care practice. A scoping review approach was used to map current evidence and identify key themes from peer-reviewed research studies relevant to UK health services.</w:t>
      </w:r>
    </w:p>
    <w:p w14:paraId="1B25C5D9" w14:textId="77777777" w:rsidR="006B7283" w:rsidRPr="006B7283" w:rsidRDefault="006B7283" w:rsidP="006B7283">
      <w:pPr>
        <w:rPr>
          <w:rFonts w:ascii="Arial" w:hAnsi="Arial" w:cs="Arial"/>
          <w:sz w:val="22"/>
        </w:rPr>
      </w:pPr>
      <w:r w:rsidRPr="006B7283">
        <w:rPr>
          <w:rFonts w:ascii="Arial" w:hAnsi="Arial" w:cs="Arial"/>
          <w:sz w:val="22"/>
        </w:rPr>
        <w:t>The findings suggest that digital exclusion is not caused by age alone, but by a combination of personal, social and service-related factors. Studies show that older adults may experience barriers linked to digital confidence, limited support networks, poverty, frailty, language, disability and low health or system literacy (Money et al., 2024; Husain et al., 2024; Shorthose et al., 2023). The review also found that digital health can worsen inequalities if services become digital-first without accessible alternatives (Farre et al., 2023). Recommendations include maintaining non-digital routes, improving digital support, and designing NHS services around patients’ different abilities, preferences and circumstances.</w:t>
      </w:r>
    </w:p>
    <w:p w14:paraId="313ED97C" w14:textId="5C7CFD11" w:rsidR="00CD33A8" w:rsidRPr="00CD33A8" w:rsidRDefault="00CD33A8" w:rsidP="00CD33A8">
      <w:pPr>
        <w:rPr>
          <w:rFonts w:ascii="Arial" w:hAnsi="Arial" w:cs="Arial"/>
          <w:sz w:val="22"/>
        </w:rPr>
      </w:pPr>
    </w:p>
    <w:p w14:paraId="46C3E29E" w14:textId="77777777" w:rsidR="00CD33A8" w:rsidRPr="00CD33A8" w:rsidRDefault="00CD33A8" w:rsidP="00CD33A8">
      <w:pPr>
        <w:rPr>
          <w:rFonts w:ascii="Arial" w:hAnsi="Arial" w:cs="Arial"/>
          <w:sz w:val="22"/>
        </w:rPr>
      </w:pPr>
    </w:p>
    <w:p w14:paraId="12D76753" w14:textId="5785821F" w:rsidR="00B87E75" w:rsidRPr="00CD33A8" w:rsidRDefault="00B87E75" w:rsidP="00E620E7">
      <w:pPr>
        <w:pStyle w:val="Heading1"/>
      </w:pPr>
      <w:bookmarkStart w:id="3" w:name="_Toc237285860"/>
      <w:r w:rsidRPr="00CD33A8">
        <w:t>Introduction</w:t>
      </w:r>
      <w:bookmarkEnd w:id="3"/>
    </w:p>
    <w:p w14:paraId="215F18AB" w14:textId="77777777" w:rsidR="006B7283" w:rsidRPr="006B7283" w:rsidRDefault="006B7283" w:rsidP="006B7283">
      <w:pPr>
        <w:tabs>
          <w:tab w:val="left" w:pos="6540"/>
        </w:tabs>
        <w:spacing w:line="360" w:lineRule="auto"/>
        <w:rPr>
          <w:rFonts w:ascii="Arial" w:hAnsi="Arial" w:cs="Arial"/>
          <w:sz w:val="22"/>
        </w:rPr>
      </w:pPr>
      <w:r w:rsidRPr="006B7283">
        <w:rPr>
          <w:rFonts w:ascii="Arial" w:hAnsi="Arial" w:cs="Arial"/>
          <w:sz w:val="22"/>
        </w:rPr>
        <w:t>Digital health has become an increasingly important part of health and social care delivery in the UK. Within the NHS, patients are now encouraged to use digital services such as the NHS App, online appointment booking, electronic prescriptions, remote consultations, and access to test results. These services can make healthcare more convenient by helping patients manage appointments, communicate with professionals and access information without always needing to attend services in person. However, digital healthcare also raises concerns about whether all patients can access and benefit from these services equally.</w:t>
      </w:r>
    </w:p>
    <w:p w14:paraId="58422BE4" w14:textId="180CA0DC" w:rsidR="006B7283" w:rsidRPr="006B7283" w:rsidRDefault="006B7283" w:rsidP="006B7283">
      <w:pPr>
        <w:tabs>
          <w:tab w:val="left" w:pos="6540"/>
        </w:tabs>
        <w:spacing w:line="360" w:lineRule="auto"/>
        <w:rPr>
          <w:rFonts w:ascii="Arial" w:hAnsi="Arial" w:cs="Arial"/>
          <w:sz w:val="22"/>
        </w:rPr>
      </w:pPr>
      <w:r w:rsidRPr="006B7283">
        <w:rPr>
          <w:rFonts w:ascii="Arial" w:hAnsi="Arial" w:cs="Arial"/>
          <w:sz w:val="22"/>
        </w:rPr>
        <w:t xml:space="preserve">This report focuses on digital exclusion and older adults access to NHS digital health services in the UK. Digital exclusion refers to the barriers that prevent individuals or groups from accessing and using digital technologies effectively. These barriers may include lack of internet access, limited digital skills, inability to afford devices or data, disability, language </w:t>
      </w:r>
      <w:r w:rsidRPr="006B7283">
        <w:rPr>
          <w:rFonts w:ascii="Arial" w:hAnsi="Arial" w:cs="Arial"/>
          <w:sz w:val="22"/>
        </w:rPr>
        <w:lastRenderedPageBreak/>
        <w:t>needs, low confidence, privacy concerns, or lack of support (NHS England, 2023; Age UK, 2024). In this report, older adults are mainly understood as people aged 65 years and over, although it is important to recognise that older people are not a single homogenous group. Some older adults use digital technology confidently, while others may be excluded due to personal, social, economic or health-related factors.</w:t>
      </w:r>
    </w:p>
    <w:p w14:paraId="7D9AA683" w14:textId="77777777" w:rsidR="006B7283" w:rsidRPr="006B7283" w:rsidRDefault="006B7283" w:rsidP="006B7283">
      <w:pPr>
        <w:tabs>
          <w:tab w:val="left" w:pos="6540"/>
        </w:tabs>
        <w:spacing w:line="360" w:lineRule="auto"/>
        <w:rPr>
          <w:rFonts w:ascii="Arial" w:hAnsi="Arial" w:cs="Arial"/>
          <w:sz w:val="22"/>
        </w:rPr>
      </w:pPr>
      <w:r w:rsidRPr="006B7283">
        <w:rPr>
          <w:rFonts w:ascii="Arial" w:hAnsi="Arial" w:cs="Arial"/>
          <w:sz w:val="22"/>
        </w:rPr>
        <w:t>The rationale for this topic is that NHS services are becoming more digital, but access to digital healthcare is not evenly shared. NHS England (2023) states that digital healthcare should be inclusive and should complement, rather than replace, non-digital services and support. This is important because digital-first systems may improve access for some patients, but create additional barriers for others. Age UK (2024) highlights that many older people continue to experience difficulties with digital access and basic online skills. These difficulties may affect their ability to book appointments, order prescriptions, use the NHS App, attend online consultations, or access health information. The King’s Fund (2023) also argues that digital exclusion in health and care often overlaps with wider social disadvantage, meaning that digital transformation could increase health inequalities if inclusion is not considered.</w:t>
      </w:r>
    </w:p>
    <w:p w14:paraId="30F2E3E1" w14:textId="77777777" w:rsidR="006B7283" w:rsidRPr="006B7283" w:rsidRDefault="006B7283" w:rsidP="006B7283">
      <w:pPr>
        <w:tabs>
          <w:tab w:val="left" w:pos="6540"/>
        </w:tabs>
        <w:spacing w:line="360" w:lineRule="auto"/>
        <w:rPr>
          <w:rFonts w:ascii="Arial" w:hAnsi="Arial" w:cs="Arial"/>
          <w:sz w:val="22"/>
        </w:rPr>
      </w:pPr>
      <w:r w:rsidRPr="006B7283">
        <w:rPr>
          <w:rFonts w:ascii="Arial" w:hAnsi="Arial" w:cs="Arial"/>
          <w:sz w:val="22"/>
        </w:rPr>
        <w:t>This issue is highly relevant to health and social care practice because older adults may already experience barriers linked to long-term conditions, frailty, disability, social isolation or reduced access to support. If services become too dependent on digital systems, some older people may experience reduced patient choice, delayed access, poorer communication with professionals and lower confidence in managing their own health. Research by Farre et al. (2023) suggests that digital health technologies can support access and service delivery, but they may also worsen inequalities when barriers faced by disadvantaged groups are not addressed.</w:t>
      </w:r>
    </w:p>
    <w:p w14:paraId="711D04FA" w14:textId="3783E506" w:rsidR="006B7283" w:rsidRPr="006B7283" w:rsidRDefault="006B7283" w:rsidP="006B7283">
      <w:pPr>
        <w:tabs>
          <w:tab w:val="left" w:pos="6540"/>
        </w:tabs>
        <w:spacing w:line="360" w:lineRule="auto"/>
        <w:rPr>
          <w:rFonts w:ascii="Arial" w:hAnsi="Arial" w:cs="Arial"/>
          <w:sz w:val="22"/>
        </w:rPr>
      </w:pPr>
      <w:r w:rsidRPr="006B7283">
        <w:rPr>
          <w:rFonts w:ascii="Arial" w:hAnsi="Arial" w:cs="Arial"/>
          <w:sz w:val="22"/>
        </w:rPr>
        <w:t>The review question for this scoping review is: What barriers and support needs affect older adults access to NHS digital health services in the UK?</w:t>
      </w:r>
    </w:p>
    <w:p w14:paraId="0154EDA6" w14:textId="77777777" w:rsidR="006B7283" w:rsidRPr="006B7283" w:rsidRDefault="006B7283" w:rsidP="006B7283">
      <w:pPr>
        <w:tabs>
          <w:tab w:val="left" w:pos="6540"/>
        </w:tabs>
        <w:spacing w:line="360" w:lineRule="auto"/>
        <w:rPr>
          <w:rFonts w:ascii="Arial" w:hAnsi="Arial" w:cs="Arial"/>
          <w:sz w:val="22"/>
        </w:rPr>
      </w:pPr>
      <w:r w:rsidRPr="006B7283">
        <w:rPr>
          <w:rFonts w:ascii="Arial" w:hAnsi="Arial" w:cs="Arial"/>
          <w:sz w:val="22"/>
        </w:rPr>
        <w:t>The objectives are:</w:t>
      </w:r>
    </w:p>
    <w:p w14:paraId="322DB27A" w14:textId="77777777" w:rsidR="006B7283" w:rsidRPr="006B7283" w:rsidRDefault="006B7283" w:rsidP="006B7283">
      <w:pPr>
        <w:numPr>
          <w:ilvl w:val="0"/>
          <w:numId w:val="1"/>
        </w:numPr>
        <w:tabs>
          <w:tab w:val="left" w:pos="6540"/>
        </w:tabs>
        <w:spacing w:line="360" w:lineRule="auto"/>
        <w:rPr>
          <w:rFonts w:ascii="Arial" w:hAnsi="Arial" w:cs="Arial"/>
          <w:sz w:val="22"/>
        </w:rPr>
      </w:pPr>
      <w:r w:rsidRPr="006B7283">
        <w:rPr>
          <w:rFonts w:ascii="Arial" w:hAnsi="Arial" w:cs="Arial"/>
          <w:sz w:val="22"/>
        </w:rPr>
        <w:t>To identify the main barriers experienced by older adults when accessing NHS digital health services in the UK.</w:t>
      </w:r>
    </w:p>
    <w:p w14:paraId="1E24BC81" w14:textId="77777777" w:rsidR="006B7283" w:rsidRPr="006B7283" w:rsidRDefault="006B7283" w:rsidP="006B7283">
      <w:pPr>
        <w:numPr>
          <w:ilvl w:val="0"/>
          <w:numId w:val="1"/>
        </w:numPr>
        <w:tabs>
          <w:tab w:val="left" w:pos="6540"/>
        </w:tabs>
        <w:spacing w:line="360" w:lineRule="auto"/>
        <w:rPr>
          <w:rFonts w:ascii="Arial" w:hAnsi="Arial" w:cs="Arial"/>
          <w:sz w:val="22"/>
        </w:rPr>
      </w:pPr>
      <w:r w:rsidRPr="006B7283">
        <w:rPr>
          <w:rFonts w:ascii="Arial" w:hAnsi="Arial" w:cs="Arial"/>
          <w:sz w:val="22"/>
        </w:rPr>
        <w:t>To explore how digital exclusion may affect access, patient experience and health inequalities.</w:t>
      </w:r>
    </w:p>
    <w:p w14:paraId="0260591A" w14:textId="77777777" w:rsidR="006B7283" w:rsidRPr="006B7283" w:rsidRDefault="006B7283" w:rsidP="006B7283">
      <w:pPr>
        <w:numPr>
          <w:ilvl w:val="0"/>
          <w:numId w:val="1"/>
        </w:numPr>
        <w:tabs>
          <w:tab w:val="left" w:pos="6540"/>
        </w:tabs>
        <w:spacing w:line="360" w:lineRule="auto"/>
        <w:rPr>
          <w:rFonts w:ascii="Arial" w:hAnsi="Arial" w:cs="Arial"/>
          <w:sz w:val="22"/>
        </w:rPr>
      </w:pPr>
      <w:r w:rsidRPr="006B7283">
        <w:rPr>
          <w:rFonts w:ascii="Arial" w:hAnsi="Arial" w:cs="Arial"/>
          <w:sz w:val="22"/>
        </w:rPr>
        <w:t>To identify support needs and recommendations for more inclusive digital health and social care practice.</w:t>
      </w:r>
    </w:p>
    <w:p w14:paraId="52010A5E" w14:textId="77777777" w:rsidR="0026393A" w:rsidRPr="00CD33A8" w:rsidRDefault="0026393A" w:rsidP="00CD33A8">
      <w:pPr>
        <w:tabs>
          <w:tab w:val="left" w:pos="6540"/>
        </w:tabs>
        <w:spacing w:line="360" w:lineRule="auto"/>
        <w:rPr>
          <w:rFonts w:ascii="Arial" w:hAnsi="Arial" w:cs="Arial"/>
          <w:sz w:val="22"/>
        </w:rPr>
      </w:pPr>
    </w:p>
    <w:p w14:paraId="0F7D7609" w14:textId="43B44D47" w:rsidR="0026393A" w:rsidRPr="00CD33A8" w:rsidRDefault="0026393A" w:rsidP="00E620E7">
      <w:pPr>
        <w:pStyle w:val="Heading1"/>
      </w:pPr>
      <w:bookmarkStart w:id="4" w:name="_Toc237285861"/>
      <w:r w:rsidRPr="00CD33A8">
        <w:t>Background</w:t>
      </w:r>
      <w:bookmarkEnd w:id="4"/>
    </w:p>
    <w:p w14:paraId="5991AA7E" w14:textId="4C00FFBA" w:rsidR="004D1201" w:rsidRPr="004D1201" w:rsidRDefault="004D1201" w:rsidP="004D1201">
      <w:pPr>
        <w:tabs>
          <w:tab w:val="left" w:pos="6540"/>
        </w:tabs>
        <w:spacing w:line="360" w:lineRule="auto"/>
        <w:rPr>
          <w:rFonts w:asciiTheme="minorBidi" w:hAnsiTheme="minorBidi"/>
          <w:sz w:val="22"/>
        </w:rPr>
      </w:pPr>
      <w:r w:rsidRPr="004D1201">
        <w:rPr>
          <w:rFonts w:asciiTheme="minorBidi" w:hAnsiTheme="minorBidi"/>
          <w:sz w:val="22"/>
        </w:rPr>
        <w:t xml:space="preserve">Digital transformation is a major priority within the NHS and wider UK health and social care system. NHS services now include a range of digital options, such as the NHS App, GP online services, online appointment booking, repeat prescription requests, access to test results, patient records, NHS 111 online and remote consultations. These services are intended to improve convenience, efficiency and patient access by allowing people to manage parts of their healthcare without needing to contact services in traditional ways (NHS England, 2023). For some older adults, digital healthcare can support independence, reduce unnecessary travel and make it easier to access information. </w:t>
      </w:r>
    </w:p>
    <w:p w14:paraId="44469417" w14:textId="00A1559D" w:rsidR="004D1201" w:rsidRPr="004D1201" w:rsidRDefault="004D1201" w:rsidP="004D1201">
      <w:pPr>
        <w:tabs>
          <w:tab w:val="left" w:pos="6540"/>
        </w:tabs>
        <w:spacing w:line="360" w:lineRule="auto"/>
        <w:rPr>
          <w:rFonts w:asciiTheme="minorBidi" w:hAnsiTheme="minorBidi"/>
          <w:sz w:val="22"/>
        </w:rPr>
      </w:pPr>
      <w:r w:rsidRPr="004D1201">
        <w:rPr>
          <w:rFonts w:asciiTheme="minorBidi" w:hAnsiTheme="minorBidi"/>
          <w:sz w:val="22"/>
        </w:rPr>
        <w:t xml:space="preserve">Digital exclusion is a key concern because it can affect people’s ability to access essential services. NHS England (2023) explains that digital exclusion may be linked to lack of access to devices or internet, low digital skills, disability, language barriers, poverty, low confidence, poor service design, or fear about privacy and security. This is particularly relevant for older adults because age can interact with other factors such as frailty, sensory impairment, long-term conditions, cognitive decline, social isolation, low income and reliance on carers or family members. </w:t>
      </w:r>
    </w:p>
    <w:p w14:paraId="62AC1AE8" w14:textId="5D5F6A7F" w:rsidR="004D1201" w:rsidRPr="004D1201" w:rsidRDefault="004D1201" w:rsidP="004D1201">
      <w:pPr>
        <w:tabs>
          <w:tab w:val="left" w:pos="6540"/>
        </w:tabs>
        <w:spacing w:line="360" w:lineRule="auto"/>
        <w:rPr>
          <w:rFonts w:asciiTheme="minorBidi" w:hAnsiTheme="minorBidi"/>
          <w:sz w:val="22"/>
        </w:rPr>
      </w:pPr>
      <w:r w:rsidRPr="004D1201">
        <w:rPr>
          <w:rFonts w:asciiTheme="minorBidi" w:hAnsiTheme="minorBidi"/>
          <w:sz w:val="22"/>
        </w:rPr>
        <w:t xml:space="preserve">In the UK, digital inclusion is connected to wider health inequalities. Health inequalities refer to unfair and avoidable differences in health outcomes and access to care between different groups. The King’s Fund (2023) argues that digital exclusion is often linked to wider social exclusion, including poverty, disability, language needs and reduced access to support. Therefore, digital transformation must be planned carefully so that it does not widen existing inequalities. </w:t>
      </w:r>
    </w:p>
    <w:p w14:paraId="7F912D57" w14:textId="77777777" w:rsidR="004D1201" w:rsidRPr="004D1201" w:rsidRDefault="004D1201" w:rsidP="004D1201">
      <w:pPr>
        <w:tabs>
          <w:tab w:val="left" w:pos="6540"/>
        </w:tabs>
        <w:spacing w:line="360" w:lineRule="auto"/>
        <w:rPr>
          <w:rFonts w:asciiTheme="minorBidi" w:hAnsiTheme="minorBidi"/>
          <w:sz w:val="22"/>
        </w:rPr>
      </w:pPr>
      <w:r w:rsidRPr="004D1201">
        <w:rPr>
          <w:rFonts w:asciiTheme="minorBidi" w:hAnsiTheme="minorBidi"/>
          <w:sz w:val="22"/>
        </w:rPr>
        <w:t xml:space="preserve">Several UK policies and standards are relevant to this topic. NHS England’s (2023) inclusive digital healthcare framework states that digital services should complement, rather than replace, non-digital routes. This is important because patients should still be able to access healthcare by telephone, face-to-face appointments or supported routes when digital access is not suitable. The Equality Act 2010 is also relevant because health and social care services must avoid discrimination and make reasonable adjustments for people with protected characteristics, including disability and age. In addition, the Accessible Information Standard requires NHS and publicly funded adult social care services to identify, record and meet the communication and information needs of people with a disability, impairment or sensory loss (NHS England, 2016). These requirements are important when considering </w:t>
      </w:r>
      <w:r w:rsidRPr="004D1201">
        <w:rPr>
          <w:rFonts w:asciiTheme="minorBidi" w:hAnsiTheme="minorBidi"/>
          <w:sz w:val="22"/>
        </w:rPr>
        <w:lastRenderedPageBreak/>
        <w:t>older adults who may have hearing loss, visual impairment, cognitive difficulties or other support needs.</w:t>
      </w:r>
    </w:p>
    <w:p w14:paraId="0537CEF5" w14:textId="30856181" w:rsidR="003E4ECF" w:rsidRPr="00B8304B" w:rsidRDefault="004D1201" w:rsidP="00CD33A8">
      <w:pPr>
        <w:tabs>
          <w:tab w:val="left" w:pos="6540"/>
        </w:tabs>
        <w:spacing w:line="360" w:lineRule="auto"/>
        <w:rPr>
          <w:rFonts w:asciiTheme="minorBidi" w:hAnsiTheme="minorBidi"/>
          <w:sz w:val="22"/>
        </w:rPr>
      </w:pPr>
      <w:r w:rsidRPr="004D1201">
        <w:rPr>
          <w:rFonts w:asciiTheme="minorBidi" w:hAnsiTheme="minorBidi"/>
          <w:sz w:val="22"/>
        </w:rPr>
        <w:t>Organisations such as Age UK, Good Things Foundation and The King’s Fund have also highlighted the importance of digital inclusion in health and care. Good Things Foundation (2024) reports that digital exclusion can make it harder for people to interact with NHS services, particularly for those who are offline or lack confidence. This shows that digital inclusion is not only about providing online systems, but also about ensuring people have meaningful access, support and choice. For older adults, this may include digital skills training, accessible service design, family or carer involvement, community support, and clear alternatives for people who cannot or do not want to use digital services.</w:t>
      </w:r>
    </w:p>
    <w:p w14:paraId="60B2CDC3" w14:textId="7AC48417" w:rsidR="00B87E75" w:rsidRPr="00CD33A8" w:rsidRDefault="00B87E75" w:rsidP="00E620E7">
      <w:pPr>
        <w:pStyle w:val="Heading1"/>
      </w:pPr>
      <w:bookmarkStart w:id="5" w:name="_Toc237285862"/>
      <w:r w:rsidRPr="00CD33A8">
        <w:t>Method</w:t>
      </w:r>
      <w:r w:rsidR="003E4ECF" w:rsidRPr="00CD33A8">
        <w:t>s</w:t>
      </w:r>
      <w:bookmarkEnd w:id="5"/>
    </w:p>
    <w:p w14:paraId="27C81EBC" w14:textId="77777777"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sz w:val="22"/>
        </w:rPr>
        <w:t>This report used a scoping review approach to explore the barriers and support needs affecting older adults’ access to NHS digital health services in the UK. A scoping review was chosen because it is suitable for mapping a broad topic, identifying key concepts, summarising different types of evidence and highlighting gaps in existing knowledge (Arksey and O’Malley, 2005; Peters et al., 2020). This approach was appropriate because digital exclusion is a complex issue that can be affected by personal, social, economic and service-related factors. The review was guided by recognised scoping review principles and informed by PRISMA-ScR guidance to support transparency in the reporting process (Tricco et al., 2018).</w:t>
      </w:r>
    </w:p>
    <w:p w14:paraId="13D0A7B8" w14:textId="77777777" w:rsidR="004E1260" w:rsidRDefault="004E1260" w:rsidP="004E1260">
      <w:pPr>
        <w:tabs>
          <w:tab w:val="left" w:pos="6540"/>
        </w:tabs>
        <w:spacing w:line="360" w:lineRule="auto"/>
        <w:rPr>
          <w:rFonts w:asciiTheme="minorBidi" w:hAnsiTheme="minorBidi"/>
          <w:b/>
          <w:bCs/>
          <w:sz w:val="22"/>
        </w:rPr>
      </w:pPr>
    </w:p>
    <w:p w14:paraId="434FD2E3" w14:textId="350B7693"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b/>
          <w:bCs/>
          <w:sz w:val="22"/>
        </w:rPr>
        <w:t>Data collection / Search strategy</w:t>
      </w:r>
    </w:p>
    <w:p w14:paraId="685A17F8" w14:textId="77777777"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sz w:val="22"/>
        </w:rPr>
        <w:t>A structured search strategy was used to identify relevant peer-reviewed literature. Searches were carried out using CINAHL, PubMed/MEDLINE, Google Scholar and the university library database. These databases were selected because they include health, nursing, social care and public health research relevant to the review question. The search focused on studies related to older adults, digital exclusion and access to digital health services in the UK.</w:t>
      </w:r>
    </w:p>
    <w:p w14:paraId="63566633" w14:textId="77777777"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sz w:val="22"/>
        </w:rPr>
        <w:t xml:space="preserve">The main search terms included: “digital exclusion”, “digital inclusion”, “older adults”, “elderly”, “older people”, “NHS App”, “online consultations”, “remote consultations”, “digital health”, “health inequalities”, “primary care” and “UK”. Boolean operators were used to combine key terms, for example: “older adults” AND “digital exclusion” AND “healthcare” AND “UK”; “older people” AND “online consultations” AND “NHS”; and “digital health” AND </w:t>
      </w:r>
      <w:r w:rsidRPr="004E1260">
        <w:rPr>
          <w:rFonts w:asciiTheme="minorBidi" w:hAnsiTheme="minorBidi"/>
          <w:sz w:val="22"/>
        </w:rPr>
        <w:lastRenderedPageBreak/>
        <w:t>“health inequalities” AND “UK”. The search was limited to studies published between 2019 and 2026 to ensure the evidence reflected recent developments in NHS digital healthcare, particularly following the expansion of remote and online services during and after the COVID-19 pandemic.</w:t>
      </w:r>
    </w:p>
    <w:p w14:paraId="049B9BF5" w14:textId="77777777"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sz w:val="22"/>
        </w:rPr>
        <w:t>The inclusion criteria were peer-reviewed primary or secondary research studies, published in English, focused on older adults or groups including older adults, and related to digital access to health or social care services in the UK. Studies were included if they discussed barriers, support needs, health inequalities, patient experience, online consultations, remote care or digital health technologies. Policy documents and reports from organisations such as NHS England, Age UK and The King’s Fund were used to support the background and discussion, but they were not counted as selected studies for the scoping review results.</w:t>
      </w:r>
    </w:p>
    <w:p w14:paraId="60BAA8EB" w14:textId="77777777"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sz w:val="22"/>
        </w:rPr>
        <w:t>The exclusion criteria were studies focused only on children or young adults, studies based outside the UK where the findings were not clearly relevant to the NHS, opinion pieces, editorials, commentaries and articles not directly related to health or social care access. Studies focused only on general internet use without a clear link to healthcare were also excluded.</w:t>
      </w:r>
    </w:p>
    <w:p w14:paraId="73EF31EF" w14:textId="77777777"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sz w:val="22"/>
        </w:rPr>
        <w:t>The literature was screened in stages. First, titles were reviewed to remove clearly irrelevant studies. Secondly, abstracts were screened against the inclusion and exclusion criteria. Finally, full texts were reviewed to confirm relevance to the review question. Five studies were selected for the final review because they were the most relevant to older adults, digital exclusion, remote or digital healthcare, and health inequalities in the UK.</w:t>
      </w:r>
    </w:p>
    <w:p w14:paraId="24CF98E3" w14:textId="77777777" w:rsidR="004E1260" w:rsidRDefault="004E1260" w:rsidP="004E1260">
      <w:pPr>
        <w:tabs>
          <w:tab w:val="left" w:pos="6540"/>
        </w:tabs>
        <w:spacing w:line="360" w:lineRule="auto"/>
        <w:rPr>
          <w:rFonts w:asciiTheme="minorBidi" w:hAnsiTheme="minorBidi"/>
          <w:b/>
          <w:bCs/>
          <w:sz w:val="22"/>
        </w:rPr>
      </w:pPr>
    </w:p>
    <w:p w14:paraId="3A5B939D" w14:textId="46BEE7CE"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b/>
          <w:bCs/>
          <w:sz w:val="22"/>
        </w:rPr>
        <w:t>Data analysis</w:t>
      </w:r>
    </w:p>
    <w:p w14:paraId="663AB630" w14:textId="77777777"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sz w:val="22"/>
        </w:rPr>
        <w:t>Data from the selected studies were extracted and organised into a study summary table. The table included the author, year, study aim, design, setting, population, key findings and limitations. This helped compare the evidence and identify similarities and differences between the studies.</w:t>
      </w:r>
    </w:p>
    <w:p w14:paraId="756C4C91" w14:textId="77777777"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sz w:val="22"/>
        </w:rPr>
        <w:t>A thematic analysis approach was used to synthesise the findings. Thematic analysis is useful for identifying repeated patterns across qualitative and mixed evidence (Braun and Clarke, 2006). The findings from each study were read and grouped into key themes linked to the review question. The main themes identified were: practical access barriers; digital skills, confidence and trust; support networks and service design; and the risk of widening health inequalities. These themes were then used to structure the results and discussion sections of the report.</w:t>
      </w:r>
    </w:p>
    <w:p w14:paraId="4FC14C6B" w14:textId="77777777" w:rsidR="00B87E75" w:rsidRPr="00CD33A8" w:rsidRDefault="00B87E75" w:rsidP="00CD33A8">
      <w:pPr>
        <w:tabs>
          <w:tab w:val="left" w:pos="6540"/>
        </w:tabs>
        <w:spacing w:line="360" w:lineRule="auto"/>
        <w:rPr>
          <w:rFonts w:asciiTheme="minorBidi" w:hAnsiTheme="minorBidi"/>
          <w:sz w:val="22"/>
        </w:rPr>
      </w:pPr>
    </w:p>
    <w:p w14:paraId="581C99BF" w14:textId="7E814FDC" w:rsidR="00B87E75" w:rsidRPr="00CD33A8" w:rsidRDefault="00B87E75" w:rsidP="00E620E7">
      <w:pPr>
        <w:pStyle w:val="Heading1"/>
      </w:pPr>
      <w:bookmarkStart w:id="6" w:name="_Toc237285863"/>
      <w:r w:rsidRPr="00CD33A8">
        <w:t>Results</w:t>
      </w:r>
      <w:bookmarkEnd w:id="6"/>
    </w:p>
    <w:p w14:paraId="12640E3C" w14:textId="77777777" w:rsidR="004E1260" w:rsidRDefault="004E1260" w:rsidP="004E1260">
      <w:pPr>
        <w:tabs>
          <w:tab w:val="left" w:pos="6540"/>
        </w:tabs>
        <w:spacing w:line="360" w:lineRule="auto"/>
        <w:rPr>
          <w:rFonts w:asciiTheme="minorBidi" w:hAnsiTheme="minorBidi"/>
          <w:sz w:val="22"/>
        </w:rPr>
      </w:pPr>
      <w:r w:rsidRPr="004E1260">
        <w:rPr>
          <w:rFonts w:asciiTheme="minorBidi" w:hAnsiTheme="minorBidi"/>
          <w:sz w:val="22"/>
        </w:rPr>
        <w:t>Following the screening process, five studies were selected for inclusion in the scoping review. These studies were chosen because they were relevant to older adults, digital exclusion, digital or remote healthcare access, UK health services and health inequalities. The selected studies included qualitative research, a cross-sectional observational study and a scoping review. Together, they provided evidence about the barriers older adults may face when accessing NHS digital health services and the types of support that may improve inclusion.</w:t>
      </w:r>
    </w:p>
    <w:p w14:paraId="4FB389CE"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b/>
          <w:bCs/>
          <w:sz w:val="22"/>
        </w:rPr>
        <w:t>Table 1: Summary of selected studies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90"/>
        <w:gridCol w:w="1888"/>
        <w:gridCol w:w="2555"/>
        <w:gridCol w:w="3393"/>
      </w:tblGrid>
      <w:tr w:rsidR="0005746E" w:rsidRPr="0005746E" w14:paraId="23D2D9EE" w14:textId="77777777">
        <w:trPr>
          <w:tblHeader/>
          <w:tblCellSpacing w:w="15" w:type="dxa"/>
        </w:trPr>
        <w:tc>
          <w:tcPr>
            <w:tcW w:w="0" w:type="auto"/>
            <w:vAlign w:val="center"/>
            <w:hideMark/>
          </w:tcPr>
          <w:p w14:paraId="35BA8A44" w14:textId="77777777" w:rsidR="0005746E" w:rsidRPr="0005746E" w:rsidRDefault="0005746E" w:rsidP="0005746E">
            <w:pPr>
              <w:tabs>
                <w:tab w:val="left" w:pos="6540"/>
              </w:tabs>
              <w:spacing w:line="360" w:lineRule="auto"/>
              <w:rPr>
                <w:rFonts w:asciiTheme="minorBidi" w:hAnsiTheme="minorBidi"/>
                <w:b/>
                <w:bCs/>
                <w:sz w:val="22"/>
              </w:rPr>
            </w:pPr>
            <w:r w:rsidRPr="0005746E">
              <w:rPr>
                <w:rFonts w:asciiTheme="minorBidi" w:hAnsiTheme="minorBidi"/>
                <w:b/>
                <w:bCs/>
                <w:sz w:val="22"/>
              </w:rPr>
              <w:t>Study</w:t>
            </w:r>
          </w:p>
        </w:tc>
        <w:tc>
          <w:tcPr>
            <w:tcW w:w="0" w:type="auto"/>
            <w:vAlign w:val="center"/>
            <w:hideMark/>
          </w:tcPr>
          <w:p w14:paraId="505711CB" w14:textId="77777777" w:rsidR="0005746E" w:rsidRPr="0005746E" w:rsidRDefault="0005746E" w:rsidP="0005746E">
            <w:pPr>
              <w:tabs>
                <w:tab w:val="left" w:pos="6540"/>
              </w:tabs>
              <w:spacing w:line="360" w:lineRule="auto"/>
              <w:rPr>
                <w:rFonts w:asciiTheme="minorBidi" w:hAnsiTheme="minorBidi"/>
                <w:b/>
                <w:bCs/>
                <w:sz w:val="22"/>
              </w:rPr>
            </w:pPr>
            <w:r w:rsidRPr="0005746E">
              <w:rPr>
                <w:rFonts w:asciiTheme="minorBidi" w:hAnsiTheme="minorBidi"/>
                <w:b/>
                <w:bCs/>
                <w:sz w:val="22"/>
              </w:rPr>
              <w:t>Design and setting</w:t>
            </w:r>
          </w:p>
        </w:tc>
        <w:tc>
          <w:tcPr>
            <w:tcW w:w="0" w:type="auto"/>
            <w:vAlign w:val="center"/>
            <w:hideMark/>
          </w:tcPr>
          <w:p w14:paraId="37527057" w14:textId="77777777" w:rsidR="0005746E" w:rsidRPr="0005746E" w:rsidRDefault="0005746E" w:rsidP="0005746E">
            <w:pPr>
              <w:tabs>
                <w:tab w:val="left" w:pos="6540"/>
              </w:tabs>
              <w:spacing w:line="360" w:lineRule="auto"/>
              <w:rPr>
                <w:rFonts w:asciiTheme="minorBidi" w:hAnsiTheme="minorBidi"/>
                <w:b/>
                <w:bCs/>
                <w:sz w:val="22"/>
              </w:rPr>
            </w:pPr>
            <w:r w:rsidRPr="0005746E">
              <w:rPr>
                <w:rFonts w:asciiTheme="minorBidi" w:hAnsiTheme="minorBidi"/>
                <w:b/>
                <w:bCs/>
                <w:sz w:val="22"/>
              </w:rPr>
              <w:t>Population / focus</w:t>
            </w:r>
          </w:p>
        </w:tc>
        <w:tc>
          <w:tcPr>
            <w:tcW w:w="0" w:type="auto"/>
            <w:vAlign w:val="center"/>
            <w:hideMark/>
          </w:tcPr>
          <w:p w14:paraId="70AC7A0B" w14:textId="77777777" w:rsidR="0005746E" w:rsidRPr="0005746E" w:rsidRDefault="0005746E" w:rsidP="0005746E">
            <w:pPr>
              <w:tabs>
                <w:tab w:val="left" w:pos="6540"/>
              </w:tabs>
              <w:spacing w:line="360" w:lineRule="auto"/>
              <w:rPr>
                <w:rFonts w:asciiTheme="minorBidi" w:hAnsiTheme="minorBidi"/>
                <w:b/>
                <w:bCs/>
                <w:sz w:val="22"/>
              </w:rPr>
            </w:pPr>
            <w:r w:rsidRPr="0005746E">
              <w:rPr>
                <w:rFonts w:asciiTheme="minorBidi" w:hAnsiTheme="minorBidi"/>
                <w:b/>
                <w:bCs/>
                <w:sz w:val="22"/>
              </w:rPr>
              <w:t>Key findings relevant to review question</w:t>
            </w:r>
          </w:p>
        </w:tc>
      </w:tr>
      <w:tr w:rsidR="0005746E" w:rsidRPr="0005746E" w14:paraId="3D67452B" w14:textId="77777777">
        <w:trPr>
          <w:tblCellSpacing w:w="15" w:type="dxa"/>
        </w:trPr>
        <w:tc>
          <w:tcPr>
            <w:tcW w:w="0" w:type="auto"/>
            <w:vAlign w:val="center"/>
            <w:hideMark/>
          </w:tcPr>
          <w:p w14:paraId="6AFF4285"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Money et al. (2024)</w:t>
            </w:r>
          </w:p>
        </w:tc>
        <w:tc>
          <w:tcPr>
            <w:tcW w:w="0" w:type="auto"/>
            <w:vAlign w:val="center"/>
            <w:hideMark/>
          </w:tcPr>
          <w:p w14:paraId="5DA7D7F5"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Qualitative study in Greater Manchester</w:t>
            </w:r>
          </w:p>
        </w:tc>
        <w:tc>
          <w:tcPr>
            <w:tcW w:w="0" w:type="auto"/>
            <w:vAlign w:val="center"/>
            <w:hideMark/>
          </w:tcPr>
          <w:p w14:paraId="0B14C4B9"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Adults aged over 75 using web-based services</w:t>
            </w:r>
          </w:p>
        </w:tc>
        <w:tc>
          <w:tcPr>
            <w:tcW w:w="0" w:type="auto"/>
            <w:vAlign w:val="center"/>
            <w:hideMark/>
          </w:tcPr>
          <w:p w14:paraId="36CBA435"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Older adults faced barriers linked to access, confidence, digital skills, motivation, trust and usability. Support from family, professionals or trusted people helped engagement with digital services.</w:t>
            </w:r>
          </w:p>
        </w:tc>
      </w:tr>
      <w:tr w:rsidR="0005746E" w:rsidRPr="0005746E" w14:paraId="7FFE3097" w14:textId="77777777">
        <w:trPr>
          <w:tblCellSpacing w:w="15" w:type="dxa"/>
        </w:trPr>
        <w:tc>
          <w:tcPr>
            <w:tcW w:w="0" w:type="auto"/>
            <w:vAlign w:val="center"/>
            <w:hideMark/>
          </w:tcPr>
          <w:p w14:paraId="3DD55A23"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Husain et al. (2024)</w:t>
            </w:r>
          </w:p>
        </w:tc>
        <w:tc>
          <w:tcPr>
            <w:tcW w:w="0" w:type="auto"/>
            <w:vAlign w:val="center"/>
            <w:hideMark/>
          </w:tcPr>
          <w:p w14:paraId="3CEFD08C"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Qualitative study using interviews and user personas in UK primary care</w:t>
            </w:r>
          </w:p>
        </w:tc>
        <w:tc>
          <w:tcPr>
            <w:tcW w:w="0" w:type="auto"/>
            <w:vAlign w:val="center"/>
            <w:hideMark/>
          </w:tcPr>
          <w:p w14:paraId="572070E9"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Disadvantaged older patients, including people affected by poverty, limited English, health conditions and low digital/system literacy</w:t>
            </w:r>
          </w:p>
        </w:tc>
        <w:tc>
          <w:tcPr>
            <w:tcW w:w="0" w:type="auto"/>
            <w:vAlign w:val="center"/>
            <w:hideMark/>
          </w:tcPr>
          <w:p w14:paraId="1298839F"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Digital and remote primary care created difficulties for older patients facing multiple disadvantages. The study showed that digital exclusion is often linked to wider social, economic and communication barriers, not age alone.</w:t>
            </w:r>
          </w:p>
        </w:tc>
      </w:tr>
      <w:tr w:rsidR="0005746E" w:rsidRPr="0005746E" w14:paraId="517317C2" w14:textId="77777777">
        <w:trPr>
          <w:tblCellSpacing w:w="15" w:type="dxa"/>
        </w:trPr>
        <w:tc>
          <w:tcPr>
            <w:tcW w:w="0" w:type="auto"/>
            <w:vAlign w:val="center"/>
            <w:hideMark/>
          </w:tcPr>
          <w:p w14:paraId="559B1C25"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Shorthose et al. (2023)</w:t>
            </w:r>
          </w:p>
        </w:tc>
        <w:tc>
          <w:tcPr>
            <w:tcW w:w="0" w:type="auto"/>
            <w:vAlign w:val="center"/>
            <w:hideMark/>
          </w:tcPr>
          <w:p w14:paraId="3A93AB0E"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Multicentre cross-sectional observational study</w:t>
            </w:r>
          </w:p>
        </w:tc>
        <w:tc>
          <w:tcPr>
            <w:tcW w:w="0" w:type="auto"/>
            <w:vAlign w:val="center"/>
            <w:hideMark/>
          </w:tcPr>
          <w:p w14:paraId="4E161C57"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Older adults living with and without frailty using video consultations</w:t>
            </w:r>
          </w:p>
        </w:tc>
        <w:tc>
          <w:tcPr>
            <w:tcW w:w="0" w:type="auto"/>
            <w:vAlign w:val="center"/>
            <w:hideMark/>
          </w:tcPr>
          <w:p w14:paraId="414A10CB"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 xml:space="preserve">Frailty was linked to digital exclusion from video consultations, especially when patients lacked family, carer or social support. This highlights the </w:t>
            </w:r>
            <w:r w:rsidRPr="0005746E">
              <w:rPr>
                <w:rFonts w:asciiTheme="minorBidi" w:hAnsiTheme="minorBidi"/>
                <w:sz w:val="22"/>
              </w:rPr>
              <w:lastRenderedPageBreak/>
              <w:t>importance of support networks when offering digital appointments.</w:t>
            </w:r>
          </w:p>
        </w:tc>
      </w:tr>
      <w:tr w:rsidR="0005746E" w:rsidRPr="0005746E" w14:paraId="3E4AAD29" w14:textId="77777777">
        <w:trPr>
          <w:tblCellSpacing w:w="15" w:type="dxa"/>
        </w:trPr>
        <w:tc>
          <w:tcPr>
            <w:tcW w:w="0" w:type="auto"/>
            <w:vAlign w:val="center"/>
            <w:hideMark/>
          </w:tcPr>
          <w:p w14:paraId="4763496A"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lastRenderedPageBreak/>
              <w:t>Turner et al. (2022)</w:t>
            </w:r>
          </w:p>
        </w:tc>
        <w:tc>
          <w:tcPr>
            <w:tcW w:w="0" w:type="auto"/>
            <w:vAlign w:val="center"/>
            <w:hideMark/>
          </w:tcPr>
          <w:p w14:paraId="47043C7A"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Qualitative study in UK general practice</w:t>
            </w:r>
          </w:p>
        </w:tc>
        <w:tc>
          <w:tcPr>
            <w:tcW w:w="0" w:type="auto"/>
            <w:vAlign w:val="center"/>
            <w:hideMark/>
          </w:tcPr>
          <w:p w14:paraId="0890ED6A"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Patients and general practice staff using online consultations</w:t>
            </w:r>
          </w:p>
        </w:tc>
        <w:tc>
          <w:tcPr>
            <w:tcW w:w="0" w:type="auto"/>
            <w:vAlign w:val="center"/>
            <w:hideMark/>
          </w:tcPr>
          <w:p w14:paraId="3AF0ADDC"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Online consultations improved access for some patients but created barriers for others, particularly those who found digital communication difficult or needed more personal contact with GP services.</w:t>
            </w:r>
          </w:p>
        </w:tc>
      </w:tr>
      <w:tr w:rsidR="0005746E" w:rsidRPr="0005746E" w14:paraId="7E359C89" w14:textId="77777777">
        <w:trPr>
          <w:tblCellSpacing w:w="15" w:type="dxa"/>
        </w:trPr>
        <w:tc>
          <w:tcPr>
            <w:tcW w:w="0" w:type="auto"/>
            <w:vAlign w:val="center"/>
            <w:hideMark/>
          </w:tcPr>
          <w:p w14:paraId="51E1C85F"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Farre et al. (2023)</w:t>
            </w:r>
          </w:p>
        </w:tc>
        <w:tc>
          <w:tcPr>
            <w:tcW w:w="0" w:type="auto"/>
            <w:vAlign w:val="center"/>
            <w:hideMark/>
          </w:tcPr>
          <w:p w14:paraId="5DD0D37B"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UK scoping review</w:t>
            </w:r>
          </w:p>
        </w:tc>
        <w:tc>
          <w:tcPr>
            <w:tcW w:w="0" w:type="auto"/>
            <w:vAlign w:val="center"/>
            <w:hideMark/>
          </w:tcPr>
          <w:p w14:paraId="2F4DEFE6"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Digital healthcare technologies and health inequalities in UK settings</w:t>
            </w:r>
          </w:p>
        </w:tc>
        <w:tc>
          <w:tcPr>
            <w:tcW w:w="0" w:type="auto"/>
            <w:vAlign w:val="center"/>
            <w:hideMark/>
          </w:tcPr>
          <w:p w14:paraId="5BF918B4"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Digital healthcare may improve access and convenience, but it can also widen inequalities if barriers such as digital access, skills, accessibility, trust and service support are not addressed.</w:t>
            </w:r>
          </w:p>
        </w:tc>
      </w:tr>
    </w:tbl>
    <w:p w14:paraId="579F5AB9" w14:textId="77777777" w:rsidR="0005746E" w:rsidRPr="004E1260" w:rsidRDefault="0005746E" w:rsidP="004E1260">
      <w:pPr>
        <w:tabs>
          <w:tab w:val="left" w:pos="6540"/>
        </w:tabs>
        <w:spacing w:line="360" w:lineRule="auto"/>
        <w:rPr>
          <w:rFonts w:asciiTheme="minorBidi" w:hAnsiTheme="minorBidi"/>
          <w:sz w:val="22"/>
        </w:rPr>
      </w:pPr>
    </w:p>
    <w:p w14:paraId="341D12FB" w14:textId="77777777"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b/>
          <w:bCs/>
          <w:sz w:val="22"/>
        </w:rPr>
        <w:t>Thematic analysis</w:t>
      </w:r>
    </w:p>
    <w:p w14:paraId="5A6DF435" w14:textId="77777777"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sz w:val="22"/>
        </w:rPr>
        <w:t>The findings from the selected studies were grouped into four main themes: practical access barriers; digital skills, confidence and trust; support networks and service design; and the risk of widening health inequalities.</w:t>
      </w:r>
    </w:p>
    <w:p w14:paraId="473E8AF7" w14:textId="77777777"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b/>
          <w:bCs/>
          <w:sz w:val="22"/>
        </w:rPr>
        <w:t>Theme 1: Practical access barriers</w:t>
      </w:r>
    </w:p>
    <w:p w14:paraId="45660D48" w14:textId="77777777"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sz w:val="22"/>
        </w:rPr>
        <w:t>A common finding across the studies was that older adults may face practical barriers when accessing digital health services. These barriers included lack of suitable devices, unreliable internet access, cost of data or broadband, difficulty using websites or apps, and problems with accessibility. Money et al. (2024) found that some adults aged over 75 experienced difficulties engaging with web-based services because they lacked confidence, found systems difficult to use, or depended on others for help. These barriers are important because NHS digital services often require patients to have a smartphone, email address, internet connection and the ability to complete online forms or manage passwords.</w:t>
      </w:r>
    </w:p>
    <w:p w14:paraId="7CDCB27F" w14:textId="77777777"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b/>
          <w:bCs/>
          <w:sz w:val="22"/>
        </w:rPr>
        <w:lastRenderedPageBreak/>
        <w:t>Theme 2: Digital skills, confidence and trust</w:t>
      </w:r>
    </w:p>
    <w:p w14:paraId="39B89E8F" w14:textId="77777777"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sz w:val="22"/>
        </w:rPr>
        <w:t>The second theme was digital skills, confidence and trust. Several studies found that older adults may avoid digital services because they feel unsure, anxious or worried about making mistakes. Money et al. (2024) identified confidence, motivation, trust and usability as important factors in older people’s engagement with web-based services. This means that even when digital access is available, some older adults may still feel excluded if they do not feel safe or capable using it.</w:t>
      </w:r>
    </w:p>
    <w:p w14:paraId="7AA7A77E" w14:textId="07FA63C3"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sz w:val="22"/>
        </w:rPr>
        <w:t xml:space="preserve">Trust was also important in relation to privacy and communication. Older adults may worry about entering personal information online, misunderstanding digital instructions, or not receiving a response from health professionals. Turner et al. (2022) found that online consultations could make communication with GPs more difficult for some patients. </w:t>
      </w:r>
    </w:p>
    <w:p w14:paraId="0CD17AEC" w14:textId="77777777"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b/>
          <w:bCs/>
          <w:sz w:val="22"/>
        </w:rPr>
        <w:t>Theme 3: Support networks and service design</w:t>
      </w:r>
    </w:p>
    <w:p w14:paraId="5B6563CF" w14:textId="77777777"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sz w:val="22"/>
        </w:rPr>
        <w:t>The third theme was the importance of support networks and service design. The findings suggest that digital inclusion is not only the responsibility of the patient. Services also need to be designed in ways that recognise different levels of ability, confidence and support. Shorthose et al. (2023) found that access to video consultations was affected by frailty and by whether patients had support from carers, family members or other people. This shows that some older adults may be able to use digital services if appropriate support is available.</w:t>
      </w:r>
    </w:p>
    <w:p w14:paraId="5BB2DF41" w14:textId="311B28CB"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sz w:val="22"/>
        </w:rPr>
        <w:t>Husain et al. (2024) also suggested that older patients facing multiple disadvantages may need more personalised support when accessing remote and digital primary care. This could include help from reception staff, community organisations, family members, carers or digital support services.</w:t>
      </w:r>
    </w:p>
    <w:p w14:paraId="782B9F65" w14:textId="77777777"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b/>
          <w:bCs/>
          <w:sz w:val="22"/>
        </w:rPr>
        <w:t>Theme 4: Risk of widening health inequalities</w:t>
      </w:r>
    </w:p>
    <w:p w14:paraId="3C8EDD47" w14:textId="77777777" w:rsidR="004E1260" w:rsidRPr="004E1260" w:rsidRDefault="004E1260" w:rsidP="004E1260">
      <w:pPr>
        <w:tabs>
          <w:tab w:val="left" w:pos="6540"/>
        </w:tabs>
        <w:spacing w:line="360" w:lineRule="auto"/>
        <w:rPr>
          <w:rFonts w:asciiTheme="minorBidi" w:hAnsiTheme="minorBidi"/>
          <w:sz w:val="22"/>
        </w:rPr>
      </w:pPr>
      <w:r w:rsidRPr="004E1260">
        <w:rPr>
          <w:rFonts w:asciiTheme="minorBidi" w:hAnsiTheme="minorBidi"/>
          <w:sz w:val="22"/>
        </w:rPr>
        <w:t>The final theme was the risk that digital healthcare may widen existing health inequalities. Farre et al. (2023) found that digital health technologies can improve access for some people but may worsen inequalities if barriers are not addressed. This was also reflected in Husain et al. (2024), where older adults facing poverty, language barriers, health problems and low digital literacy experienced greater difficulty navigating digital primary care.</w:t>
      </w:r>
    </w:p>
    <w:p w14:paraId="0B299BAA" w14:textId="79F8C09F" w:rsidR="00B87E75" w:rsidRPr="00322499" w:rsidRDefault="004E1260" w:rsidP="00CD33A8">
      <w:pPr>
        <w:tabs>
          <w:tab w:val="left" w:pos="6540"/>
        </w:tabs>
        <w:spacing w:line="360" w:lineRule="auto"/>
        <w:rPr>
          <w:rFonts w:asciiTheme="minorBidi" w:hAnsiTheme="minorBidi"/>
          <w:sz w:val="22"/>
        </w:rPr>
      </w:pPr>
      <w:r w:rsidRPr="004E1260">
        <w:rPr>
          <w:rFonts w:asciiTheme="minorBidi" w:hAnsiTheme="minorBidi"/>
          <w:sz w:val="22"/>
        </w:rPr>
        <w:t>The evidence suggests that older adults are not digitally excluded because of age alone. Instead, digital exclusion is shaped by several overlapping factors, including income, education, disability, language, social isolation, frailty and availability of support. Therefore, digital-first services may benefit confident and connected patients while creating additional barriers for those who are already disadvantaged.</w:t>
      </w:r>
    </w:p>
    <w:p w14:paraId="5C43254D" w14:textId="6A327DC7" w:rsidR="00B87E75" w:rsidRPr="00CD33A8" w:rsidRDefault="00B87E75" w:rsidP="00E620E7">
      <w:pPr>
        <w:pStyle w:val="Heading1"/>
      </w:pPr>
      <w:bookmarkStart w:id="7" w:name="_Toc237285864"/>
      <w:r w:rsidRPr="00CD33A8">
        <w:lastRenderedPageBreak/>
        <w:t>Discussion</w:t>
      </w:r>
      <w:bookmarkEnd w:id="7"/>
    </w:p>
    <w:p w14:paraId="3294977F" w14:textId="57027B89"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 xml:space="preserve">This scoping review explored the question: What barriers and support needs affect older adults’ access to NHS digital health services in the UK? The findings suggest that older adults’ access to digital healthcare is influenced by a combination of practical, personal, social and service-related factors. </w:t>
      </w:r>
    </w:p>
    <w:p w14:paraId="0984B3EA" w14:textId="154A26A4"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 xml:space="preserve">A key finding was that digital exclusion is not caused by age alone. Although older age can increase the risk of exclusion, the evidence shows that barriers are often connected to wider circumstances such as poverty, disability, frailty, language needs, health conditions, social isolation and lack of support. Money et al. (2024) found that adults aged over 75 had different levels of digital engagement, with some using online services confidently while others used the internet only for limited tasks or avoided online services altogether. </w:t>
      </w:r>
    </w:p>
    <w:p w14:paraId="0FCF7265" w14:textId="50805F36"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 xml:space="preserve">Another important finding was the role of confidence, trust and communication. Some older adults may feel anxious about using online systems, worry about making mistakes, or be unsure whether their request has been received or understood. Turner et al. (2022) found that online consultations in UK primary care could improve access for some patients, but could also restrict access for others, particularly when patients found it difficult to explain their concerns through online forms. </w:t>
      </w:r>
    </w:p>
    <w:p w14:paraId="246453F3" w14:textId="6CB9977C"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Support networks were also important. Shorthose et al. (2024) found that frailty was linked to individual digital exclusion from video consultations when support networks were not considered. However, when family, carers or other support were available, complete digital exclusion was less common. Health services should therefore ask patients about their digital access, confidence and support before assuming that video or online appointments are suitable.</w:t>
      </w:r>
    </w:p>
    <w:p w14:paraId="37F56127"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The findings are important for health and social care because digital-first services may unintentionally widen health inequalities. Farre et al. (2023) found that digital health technologies in UK settings can improve access for some groups, but may worsen inequalities if barriers are not properly addressed. This links closely with NHS England’s (2023) inclusive digital healthcare framework, which states that digital approaches should complement, rather than replace, non-digital services and support. Age UK (2024) also highlights that some older people remain offline or lack the basic digital skills needed to use online services confidently. Therefore, removing telephone, face-to-face or supported access routes could reduce patient choice and make healthcare less accessible for some older adults.</w:t>
      </w:r>
    </w:p>
    <w:p w14:paraId="5B9CE0C5" w14:textId="67D18A42"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lastRenderedPageBreak/>
        <w:t xml:space="preserve">The findings suggest that inclusive digital healthcare requires more than simply offering online services. Services should be designed around patients’ different needs and should include accessible websites and apps, clear instructions, staff support, community digital support, carer involvement and non-digital alternatives. The King’s Fund (2023) argues that health and care services should move from digital exclusion towards digital inclusion by recognising people’s different digital capabilities and designing services around their needs and preferences. </w:t>
      </w:r>
    </w:p>
    <w:p w14:paraId="2C67C9F9" w14:textId="6CB1F88A"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 xml:space="preserve">There are some limitations to this scoping review. Firstly, only five studies were included, so the findings cannot represent the full range of older adults’ experiences across the UK. Secondly, some selected studies focused specifically on older adults, while others focused more broadly on digital healthcare, primary care or health inequalities. This means that not all findings are directly about people aged 65 and over. Thirdly, some studies had small or local samples, such as Money et al. (2024), which focused on Greater Manchester and had limited ethnic diversity. </w:t>
      </w:r>
    </w:p>
    <w:p w14:paraId="24BC1838" w14:textId="221E6DDA"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 xml:space="preserve">Despite these limitations, the review provides useful evidence that older adults’ access to NHS digital health services depends on more than availability of technology. Access is shaped by skills, confidence, trust, affordability, health needs, service design and support. </w:t>
      </w:r>
    </w:p>
    <w:p w14:paraId="682D1769" w14:textId="77777777" w:rsidR="003E4ECF" w:rsidRPr="00CD33A8" w:rsidRDefault="003E4ECF" w:rsidP="00CD33A8">
      <w:pPr>
        <w:tabs>
          <w:tab w:val="left" w:pos="6540"/>
        </w:tabs>
        <w:spacing w:line="360" w:lineRule="auto"/>
        <w:rPr>
          <w:rFonts w:asciiTheme="minorBidi" w:hAnsiTheme="minorBidi"/>
          <w:sz w:val="22"/>
        </w:rPr>
      </w:pPr>
    </w:p>
    <w:p w14:paraId="16FAF0EA" w14:textId="137B574D" w:rsidR="00B87E75" w:rsidRPr="00CD33A8" w:rsidRDefault="00B87E75" w:rsidP="00E620E7">
      <w:pPr>
        <w:pStyle w:val="Heading1"/>
      </w:pPr>
      <w:bookmarkStart w:id="8" w:name="_Toc237285865"/>
      <w:r w:rsidRPr="00CD33A8">
        <w:t>Conclusion</w:t>
      </w:r>
      <w:r w:rsidR="00CD33A8">
        <w:t xml:space="preserve"> and Recommendations</w:t>
      </w:r>
      <w:bookmarkEnd w:id="8"/>
    </w:p>
    <w:p w14:paraId="370AF76C"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This scoping review explored the barriers and support needs affecting older adults’ access to NHS digital health services in the UK. Overall, the findings show that digital health services can improve convenience, independence and patient choice for some older adults. However, they can also create barriers for people who do not have the devices, internet access, digital skills, confidence, trust or support needed to use them effectively. The evidence suggests that digital exclusion is not caused by age alone, but by a combination of factors including poverty, disability, frailty, language needs, long-term health conditions, social isolation and poor service design.</w:t>
      </w:r>
    </w:p>
    <w:p w14:paraId="3AC2C845" w14:textId="5D41030A"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 xml:space="preserve">The review also found that older adults are a diverse group. Some older people are confident users of digital technology, while others may need support or may prefer non-digital routes. This is important because digital-first healthcare may worsen health inequalities if telephone, face-to-face and supported access options are reduced. The findings support NHS England’s (2023) view that digital healthcare should complement, rather than replace, non-digital services. They also reflect concerns raised by Age UK (2024) </w:t>
      </w:r>
      <w:r w:rsidRPr="0005746E">
        <w:rPr>
          <w:rFonts w:asciiTheme="minorBidi" w:hAnsiTheme="minorBidi"/>
          <w:sz w:val="22"/>
        </w:rPr>
        <w:lastRenderedPageBreak/>
        <w:t>and The King’s Fund (2023) that digital exclusion can leave some people behind as services move online.</w:t>
      </w:r>
    </w:p>
    <w:p w14:paraId="5D89D755"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b/>
          <w:bCs/>
          <w:sz w:val="22"/>
        </w:rPr>
        <w:t>Recommendations for health and social care practice</w:t>
      </w:r>
    </w:p>
    <w:p w14:paraId="0C16B0AC"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Health and social care services should continue to offer non-digital access routes, including telephone booking, face-to-face appointments and support from staff where needed. Services should also ask older adults about their digital access, confidence and support needs before offering online or video appointments. Digital services should be simple, accessible and designed around patients with different abilities, including those with sensory impairment, cognitive difficulties, limited English or low digital literacy. Community-based digital support, such as help from libraries, voluntary organisations, carers and social prescribing services, may also help older adults use NHS digital services more confidently.</w:t>
      </w:r>
    </w:p>
    <w:p w14:paraId="5D847353"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b/>
          <w:bCs/>
          <w:sz w:val="22"/>
        </w:rPr>
        <w:t>Recommendations for policy</w:t>
      </w:r>
    </w:p>
    <w:p w14:paraId="3D4923E0"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Policy should continue to promote digital inclusion as part of reducing health inequalities. NHS organisations should monitor whether digital services are excluding particular groups, including older adults, people with disabilities, people on low incomes and those with language barriers. Digital transformation should be measured not only by how many services move online, but also by whether patients can access care safely and equally.</w:t>
      </w:r>
    </w:p>
    <w:p w14:paraId="0F20786D" w14:textId="77777777" w:rsidR="0005746E" w:rsidRDefault="0005746E" w:rsidP="0005746E">
      <w:pPr>
        <w:tabs>
          <w:tab w:val="left" w:pos="6540"/>
        </w:tabs>
        <w:spacing w:line="360" w:lineRule="auto"/>
        <w:rPr>
          <w:rFonts w:asciiTheme="minorBidi" w:hAnsiTheme="minorBidi"/>
          <w:b/>
          <w:bCs/>
          <w:sz w:val="22"/>
        </w:rPr>
      </w:pPr>
    </w:p>
    <w:p w14:paraId="39F2115B" w14:textId="72D5CCD8"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b/>
          <w:bCs/>
          <w:sz w:val="22"/>
        </w:rPr>
        <w:t>Recommendations for future research</w:t>
      </w:r>
    </w:p>
    <w:p w14:paraId="1690A6C1"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Future research should include more diverse groups of older adults, including people from minority ethnic communities, people living alone, people with dementia or sensory impairment, and those in rural areas. More research is also needed on the effectiveness of digital support interventions and whether they improve access, confidence and health outcomes for older adults.</w:t>
      </w:r>
    </w:p>
    <w:p w14:paraId="4659F3A8" w14:textId="77777777" w:rsidR="0005746E" w:rsidRPr="0005746E" w:rsidRDefault="0005746E" w:rsidP="0005746E">
      <w:pPr>
        <w:tabs>
          <w:tab w:val="left" w:pos="6540"/>
        </w:tabs>
        <w:spacing w:line="360" w:lineRule="auto"/>
        <w:rPr>
          <w:rFonts w:asciiTheme="minorBidi" w:hAnsiTheme="minorBidi"/>
          <w:sz w:val="22"/>
        </w:rPr>
      </w:pPr>
      <w:r w:rsidRPr="0005746E">
        <w:rPr>
          <w:rFonts w:asciiTheme="minorBidi" w:hAnsiTheme="minorBidi"/>
          <w:sz w:val="22"/>
        </w:rPr>
        <w:t>In conclusion, NHS digital health services have the potential to improve access, but only if they remain inclusive, flexible and supported by non-digital alternatives.</w:t>
      </w:r>
    </w:p>
    <w:p w14:paraId="6812580D" w14:textId="47452A39" w:rsidR="0090040D" w:rsidRPr="00CD33A8" w:rsidRDefault="0090040D" w:rsidP="00CD33A8">
      <w:pPr>
        <w:tabs>
          <w:tab w:val="left" w:pos="6540"/>
        </w:tabs>
        <w:spacing w:line="360" w:lineRule="auto"/>
        <w:rPr>
          <w:rFonts w:asciiTheme="minorBidi" w:hAnsiTheme="minorBidi"/>
          <w:sz w:val="22"/>
        </w:rPr>
      </w:pPr>
    </w:p>
    <w:p w14:paraId="4371A9C5" w14:textId="7A8AB4F8" w:rsidR="00F66E1B" w:rsidRPr="00CD33A8" w:rsidRDefault="00F66E1B" w:rsidP="00CD33A8">
      <w:pPr>
        <w:tabs>
          <w:tab w:val="left" w:pos="6540"/>
        </w:tabs>
        <w:spacing w:line="360" w:lineRule="auto"/>
        <w:rPr>
          <w:rFonts w:asciiTheme="minorBidi" w:hAnsiTheme="minorBidi"/>
          <w:sz w:val="22"/>
        </w:rPr>
      </w:pPr>
    </w:p>
    <w:p w14:paraId="364D7618" w14:textId="54B8550D" w:rsidR="00F66E1B" w:rsidRPr="00CD33A8" w:rsidRDefault="00F66E1B" w:rsidP="00CD33A8">
      <w:pPr>
        <w:tabs>
          <w:tab w:val="left" w:pos="6540"/>
        </w:tabs>
        <w:spacing w:line="360" w:lineRule="auto"/>
        <w:rPr>
          <w:rFonts w:asciiTheme="minorBidi" w:hAnsiTheme="minorBidi"/>
          <w:sz w:val="22"/>
        </w:rPr>
      </w:pPr>
    </w:p>
    <w:p w14:paraId="2E01B28F" w14:textId="77777777" w:rsidR="00814A9E" w:rsidRPr="00CD33A8" w:rsidRDefault="00814A9E" w:rsidP="00CD33A8">
      <w:pPr>
        <w:tabs>
          <w:tab w:val="left" w:pos="6540"/>
        </w:tabs>
        <w:spacing w:line="360" w:lineRule="auto"/>
        <w:rPr>
          <w:rFonts w:asciiTheme="minorBidi" w:hAnsiTheme="minorBidi"/>
          <w:sz w:val="22"/>
        </w:rPr>
      </w:pPr>
    </w:p>
    <w:p w14:paraId="0F4E47A5" w14:textId="77777777" w:rsidR="00771793" w:rsidRDefault="00771793" w:rsidP="00771793">
      <w:pPr>
        <w:rPr>
          <w:rFonts w:asciiTheme="minorBidi" w:hAnsiTheme="minorBidi"/>
          <w:sz w:val="22"/>
        </w:rPr>
      </w:pPr>
    </w:p>
    <w:p w14:paraId="33F8F0BD" w14:textId="240C84C5" w:rsidR="00B87E75" w:rsidRPr="00771793" w:rsidRDefault="00B87E75" w:rsidP="000429ED">
      <w:pPr>
        <w:pStyle w:val="Heading1"/>
        <w:rPr>
          <w:rFonts w:asciiTheme="minorBidi" w:hAnsiTheme="minorBidi"/>
          <w:sz w:val="28"/>
        </w:rPr>
      </w:pPr>
      <w:bookmarkStart w:id="9" w:name="_Toc237285866"/>
      <w:r w:rsidRPr="000429ED">
        <w:lastRenderedPageBreak/>
        <w:t>References</w:t>
      </w:r>
      <w:bookmarkEnd w:id="9"/>
    </w:p>
    <w:p w14:paraId="25B069FE" w14:textId="77777777" w:rsidR="00D92765" w:rsidRPr="00D92765" w:rsidRDefault="00D92765" w:rsidP="00D92765">
      <w:pPr>
        <w:tabs>
          <w:tab w:val="left" w:pos="6540"/>
        </w:tabs>
        <w:spacing w:line="360" w:lineRule="auto"/>
        <w:rPr>
          <w:rFonts w:asciiTheme="minorBidi" w:hAnsiTheme="minorBidi"/>
          <w:sz w:val="22"/>
        </w:rPr>
      </w:pPr>
      <w:r w:rsidRPr="00D92765">
        <w:rPr>
          <w:rFonts w:asciiTheme="minorBidi" w:hAnsiTheme="minorBidi"/>
          <w:sz w:val="22"/>
        </w:rPr>
        <w:t xml:space="preserve">Age UK (2024) </w:t>
      </w:r>
      <w:r w:rsidRPr="00D92765">
        <w:rPr>
          <w:rFonts w:asciiTheme="minorBidi" w:hAnsiTheme="minorBidi"/>
          <w:i/>
          <w:iCs/>
          <w:sz w:val="22"/>
        </w:rPr>
        <w:t>Facts and figures about digital inclusion and older people</w:t>
      </w:r>
      <w:r w:rsidRPr="00D92765">
        <w:rPr>
          <w:rFonts w:asciiTheme="minorBidi" w:hAnsiTheme="minorBidi"/>
          <w:sz w:val="22"/>
        </w:rPr>
        <w:t>. London: Age UK.</w:t>
      </w:r>
    </w:p>
    <w:p w14:paraId="7BDF0059" w14:textId="77777777" w:rsidR="00D92765" w:rsidRPr="00D92765" w:rsidRDefault="00D92765" w:rsidP="00D92765">
      <w:pPr>
        <w:tabs>
          <w:tab w:val="left" w:pos="6540"/>
        </w:tabs>
        <w:spacing w:line="360" w:lineRule="auto"/>
        <w:rPr>
          <w:rFonts w:asciiTheme="minorBidi" w:hAnsiTheme="minorBidi"/>
          <w:sz w:val="22"/>
        </w:rPr>
      </w:pPr>
      <w:r w:rsidRPr="00D92765">
        <w:rPr>
          <w:rFonts w:asciiTheme="minorBidi" w:hAnsiTheme="minorBidi"/>
          <w:sz w:val="22"/>
        </w:rPr>
        <w:t xml:space="preserve">Arksey, H. and O’Malley, L. (2005) ‘Scoping studies: towards a methodological framework’, </w:t>
      </w:r>
      <w:r w:rsidRPr="00D92765">
        <w:rPr>
          <w:rFonts w:asciiTheme="minorBidi" w:hAnsiTheme="minorBidi"/>
          <w:i/>
          <w:iCs/>
          <w:sz w:val="22"/>
        </w:rPr>
        <w:t>International Journal of Social Research Methodology</w:t>
      </w:r>
      <w:r w:rsidRPr="00D92765">
        <w:rPr>
          <w:rFonts w:asciiTheme="minorBidi" w:hAnsiTheme="minorBidi"/>
          <w:sz w:val="22"/>
        </w:rPr>
        <w:t>, 8(1), pp. 19–32.</w:t>
      </w:r>
    </w:p>
    <w:p w14:paraId="351D56AF" w14:textId="77777777" w:rsidR="00D92765" w:rsidRPr="00D92765" w:rsidRDefault="00D92765" w:rsidP="00D92765">
      <w:pPr>
        <w:tabs>
          <w:tab w:val="left" w:pos="6540"/>
        </w:tabs>
        <w:spacing w:line="360" w:lineRule="auto"/>
        <w:rPr>
          <w:rFonts w:asciiTheme="minorBidi" w:hAnsiTheme="minorBidi"/>
          <w:sz w:val="22"/>
        </w:rPr>
      </w:pPr>
      <w:r w:rsidRPr="00D92765">
        <w:rPr>
          <w:rFonts w:asciiTheme="minorBidi" w:hAnsiTheme="minorBidi"/>
          <w:sz w:val="22"/>
        </w:rPr>
        <w:t xml:space="preserve">Braun, V. and Clarke, V. (2006) ‘Using thematic analysis in psychology’, </w:t>
      </w:r>
      <w:r w:rsidRPr="00D92765">
        <w:rPr>
          <w:rFonts w:asciiTheme="minorBidi" w:hAnsiTheme="minorBidi"/>
          <w:i/>
          <w:iCs/>
          <w:sz w:val="22"/>
        </w:rPr>
        <w:t>Qualitative Research in Psychology</w:t>
      </w:r>
      <w:r w:rsidRPr="00D92765">
        <w:rPr>
          <w:rFonts w:asciiTheme="minorBidi" w:hAnsiTheme="minorBidi"/>
          <w:sz w:val="22"/>
        </w:rPr>
        <w:t>, 3(2), pp. 77–101. doi: 10.1191/1478088706qp063oa.</w:t>
      </w:r>
    </w:p>
    <w:p w14:paraId="41935742" w14:textId="77777777" w:rsidR="00D92765" w:rsidRPr="00D92765" w:rsidRDefault="00D92765" w:rsidP="00D92765">
      <w:pPr>
        <w:tabs>
          <w:tab w:val="left" w:pos="6540"/>
        </w:tabs>
        <w:spacing w:line="360" w:lineRule="auto"/>
        <w:rPr>
          <w:rFonts w:asciiTheme="minorBidi" w:hAnsiTheme="minorBidi"/>
          <w:sz w:val="22"/>
        </w:rPr>
      </w:pPr>
      <w:r w:rsidRPr="00D92765">
        <w:rPr>
          <w:rFonts w:asciiTheme="minorBidi" w:hAnsiTheme="minorBidi"/>
          <w:sz w:val="22"/>
        </w:rPr>
        <w:t>Equality Act 2010, c.15. London: The Stationery Office.</w:t>
      </w:r>
    </w:p>
    <w:p w14:paraId="4C875717" w14:textId="77777777" w:rsidR="00D92765" w:rsidRPr="00D92765" w:rsidRDefault="00D92765" w:rsidP="00D92765">
      <w:pPr>
        <w:tabs>
          <w:tab w:val="left" w:pos="6540"/>
        </w:tabs>
        <w:spacing w:line="360" w:lineRule="auto"/>
        <w:rPr>
          <w:rFonts w:asciiTheme="minorBidi" w:hAnsiTheme="minorBidi"/>
          <w:sz w:val="22"/>
        </w:rPr>
      </w:pPr>
      <w:r w:rsidRPr="00D92765">
        <w:rPr>
          <w:rFonts w:asciiTheme="minorBidi" w:hAnsiTheme="minorBidi"/>
          <w:sz w:val="22"/>
        </w:rPr>
        <w:t xml:space="preserve">Farre, A., Fang, M., Hannah, B., Makita, M., McFadden, A., Menezes, D., Rodriguez, A., Sixsmith, J. and Gray, N.M. (2023) ‘Exploring the use of digital technology to deliver healthcare services with explicit consideration of health inequalities in UK settings: a scoping review’, </w:t>
      </w:r>
      <w:r w:rsidRPr="00D92765">
        <w:rPr>
          <w:rFonts w:asciiTheme="minorBidi" w:hAnsiTheme="minorBidi"/>
          <w:i/>
          <w:iCs/>
          <w:sz w:val="22"/>
        </w:rPr>
        <w:t>Digital Health</w:t>
      </w:r>
      <w:r w:rsidRPr="00D92765">
        <w:rPr>
          <w:rFonts w:asciiTheme="minorBidi" w:hAnsiTheme="minorBidi"/>
          <w:sz w:val="22"/>
        </w:rPr>
        <w:t>, 9, pp. 1–13. doi: 10.1177/20552076231185442.</w:t>
      </w:r>
    </w:p>
    <w:p w14:paraId="7F24FE92" w14:textId="77777777" w:rsidR="00D92765" w:rsidRPr="00D92765" w:rsidRDefault="00D92765" w:rsidP="00D92765">
      <w:pPr>
        <w:tabs>
          <w:tab w:val="left" w:pos="6540"/>
        </w:tabs>
        <w:spacing w:line="360" w:lineRule="auto"/>
        <w:rPr>
          <w:rFonts w:asciiTheme="minorBidi" w:hAnsiTheme="minorBidi"/>
          <w:sz w:val="22"/>
        </w:rPr>
      </w:pPr>
      <w:r w:rsidRPr="00D92765">
        <w:rPr>
          <w:rFonts w:asciiTheme="minorBidi" w:hAnsiTheme="minorBidi"/>
          <w:sz w:val="22"/>
        </w:rPr>
        <w:t xml:space="preserve">Good Things Foundation (2024) </w:t>
      </w:r>
      <w:r w:rsidRPr="00D92765">
        <w:rPr>
          <w:rFonts w:asciiTheme="minorBidi" w:hAnsiTheme="minorBidi"/>
          <w:i/>
          <w:iCs/>
          <w:sz w:val="22"/>
        </w:rPr>
        <w:t>Digital inclusion and health statistics</w:t>
      </w:r>
      <w:r w:rsidRPr="00D92765">
        <w:rPr>
          <w:rFonts w:asciiTheme="minorBidi" w:hAnsiTheme="minorBidi"/>
          <w:sz w:val="22"/>
        </w:rPr>
        <w:t>. London: Good Things Foundation.</w:t>
      </w:r>
    </w:p>
    <w:p w14:paraId="4947127C" w14:textId="77777777" w:rsidR="00D92765" w:rsidRPr="00D92765" w:rsidRDefault="00D92765" w:rsidP="00D92765">
      <w:pPr>
        <w:tabs>
          <w:tab w:val="left" w:pos="6540"/>
        </w:tabs>
        <w:spacing w:line="360" w:lineRule="auto"/>
        <w:rPr>
          <w:rFonts w:asciiTheme="minorBidi" w:hAnsiTheme="minorBidi"/>
          <w:sz w:val="22"/>
        </w:rPr>
      </w:pPr>
      <w:r w:rsidRPr="00D92765">
        <w:rPr>
          <w:rFonts w:asciiTheme="minorBidi" w:hAnsiTheme="minorBidi"/>
          <w:sz w:val="22"/>
        </w:rPr>
        <w:t xml:space="preserve">Husain, L., Finlay, T., Husain, A., Wherton, J., Hughes, G. and Greenhalgh, T. (2024) ‘Developing user personas to capture intersecting dimensions of disadvantage in older patients who are marginalised: a qualitative study’, </w:t>
      </w:r>
      <w:r w:rsidRPr="00D92765">
        <w:rPr>
          <w:rFonts w:asciiTheme="minorBidi" w:hAnsiTheme="minorBidi"/>
          <w:i/>
          <w:iCs/>
          <w:sz w:val="22"/>
        </w:rPr>
        <w:t>British Journal of General Practice</w:t>
      </w:r>
      <w:r w:rsidRPr="00D92765">
        <w:rPr>
          <w:rFonts w:asciiTheme="minorBidi" w:hAnsiTheme="minorBidi"/>
          <w:sz w:val="22"/>
        </w:rPr>
        <w:t>, 74(741), pp. e250–e257. doi: 10.3399/BJGP.2023.0412.</w:t>
      </w:r>
    </w:p>
    <w:p w14:paraId="469D0B2B" w14:textId="77777777" w:rsidR="00D92765" w:rsidRPr="00D92765" w:rsidRDefault="00D92765" w:rsidP="00D92765">
      <w:pPr>
        <w:tabs>
          <w:tab w:val="left" w:pos="6540"/>
        </w:tabs>
        <w:spacing w:line="360" w:lineRule="auto"/>
        <w:rPr>
          <w:rFonts w:asciiTheme="minorBidi" w:hAnsiTheme="minorBidi"/>
          <w:sz w:val="22"/>
        </w:rPr>
      </w:pPr>
      <w:r w:rsidRPr="00D92765">
        <w:rPr>
          <w:rFonts w:asciiTheme="minorBidi" w:hAnsiTheme="minorBidi"/>
          <w:sz w:val="22"/>
        </w:rPr>
        <w:t xml:space="preserve">Money, A., Hall, A., Harris, D., Eost-Telling, C., McDermott, J. and Todd, C. (2024) ‘Barriers to and facilitators of older people’s engagement with web-based services: qualitative study of adults aged &gt;75 years’, </w:t>
      </w:r>
      <w:r w:rsidRPr="00D92765">
        <w:rPr>
          <w:rFonts w:asciiTheme="minorBidi" w:hAnsiTheme="minorBidi"/>
          <w:i/>
          <w:iCs/>
          <w:sz w:val="22"/>
        </w:rPr>
        <w:t>JMIR Aging</w:t>
      </w:r>
      <w:r w:rsidRPr="00D92765">
        <w:rPr>
          <w:rFonts w:asciiTheme="minorBidi" w:hAnsiTheme="minorBidi"/>
          <w:sz w:val="22"/>
        </w:rPr>
        <w:t>, 7, e46522. doi: 10.2196/46522.</w:t>
      </w:r>
    </w:p>
    <w:p w14:paraId="11C24E96" w14:textId="77777777" w:rsidR="00D92765" w:rsidRPr="00D92765" w:rsidRDefault="00D92765" w:rsidP="00D92765">
      <w:pPr>
        <w:tabs>
          <w:tab w:val="left" w:pos="6540"/>
        </w:tabs>
        <w:spacing w:line="360" w:lineRule="auto"/>
        <w:rPr>
          <w:rFonts w:asciiTheme="minorBidi" w:hAnsiTheme="minorBidi"/>
          <w:sz w:val="22"/>
        </w:rPr>
      </w:pPr>
      <w:r w:rsidRPr="00D92765">
        <w:rPr>
          <w:rFonts w:asciiTheme="minorBidi" w:hAnsiTheme="minorBidi"/>
          <w:sz w:val="22"/>
        </w:rPr>
        <w:t xml:space="preserve">NHS England (2023) </w:t>
      </w:r>
      <w:r w:rsidRPr="00D92765">
        <w:rPr>
          <w:rFonts w:asciiTheme="minorBidi" w:hAnsiTheme="minorBidi"/>
          <w:i/>
          <w:iCs/>
          <w:sz w:val="22"/>
        </w:rPr>
        <w:t>Inclusive digital healthcare: a framework for NHS action on digital inclusion</w:t>
      </w:r>
      <w:r w:rsidRPr="00D92765">
        <w:rPr>
          <w:rFonts w:asciiTheme="minorBidi" w:hAnsiTheme="minorBidi"/>
          <w:sz w:val="22"/>
        </w:rPr>
        <w:t>. London: NHS England.</w:t>
      </w:r>
    </w:p>
    <w:p w14:paraId="664D7B6D" w14:textId="77777777" w:rsidR="00D92765" w:rsidRPr="00D92765" w:rsidRDefault="00D92765" w:rsidP="00D92765">
      <w:pPr>
        <w:tabs>
          <w:tab w:val="left" w:pos="6540"/>
        </w:tabs>
        <w:spacing w:line="360" w:lineRule="auto"/>
        <w:rPr>
          <w:rFonts w:asciiTheme="minorBidi" w:hAnsiTheme="minorBidi"/>
          <w:sz w:val="22"/>
        </w:rPr>
      </w:pPr>
      <w:r w:rsidRPr="00D92765">
        <w:rPr>
          <w:rFonts w:asciiTheme="minorBidi" w:hAnsiTheme="minorBidi"/>
          <w:sz w:val="22"/>
        </w:rPr>
        <w:t xml:space="preserve">NHS England (2025) </w:t>
      </w:r>
      <w:r w:rsidRPr="00D92765">
        <w:rPr>
          <w:rFonts w:asciiTheme="minorBidi" w:hAnsiTheme="minorBidi"/>
          <w:i/>
          <w:iCs/>
          <w:sz w:val="22"/>
        </w:rPr>
        <w:t>Accessible Information Standard – requirements (DAPB1605)</w:t>
      </w:r>
      <w:r w:rsidRPr="00D92765">
        <w:rPr>
          <w:rFonts w:asciiTheme="minorBidi" w:hAnsiTheme="minorBidi"/>
          <w:sz w:val="22"/>
        </w:rPr>
        <w:t>. London: NHS England.</w:t>
      </w:r>
    </w:p>
    <w:p w14:paraId="4584E182" w14:textId="77777777" w:rsidR="00D92765" w:rsidRPr="00D92765" w:rsidRDefault="00D92765" w:rsidP="00D92765">
      <w:pPr>
        <w:tabs>
          <w:tab w:val="left" w:pos="6540"/>
        </w:tabs>
        <w:spacing w:line="360" w:lineRule="auto"/>
        <w:rPr>
          <w:rFonts w:asciiTheme="minorBidi" w:hAnsiTheme="minorBidi"/>
          <w:sz w:val="22"/>
        </w:rPr>
      </w:pPr>
      <w:r w:rsidRPr="00D92765">
        <w:rPr>
          <w:rFonts w:asciiTheme="minorBidi" w:hAnsiTheme="minorBidi"/>
          <w:sz w:val="22"/>
        </w:rPr>
        <w:t xml:space="preserve">Peters, M.D.J., Marnie, C., Tricco, A.C., Pollock, D., Munn, Z., Alexander, L., McInerney, P., Godfrey, C.M. and Khalil, H. (2020) ‘Updated methodological guidance for the conduct of scoping reviews’, </w:t>
      </w:r>
      <w:r w:rsidRPr="00D92765">
        <w:rPr>
          <w:rFonts w:asciiTheme="minorBidi" w:hAnsiTheme="minorBidi"/>
          <w:i/>
          <w:iCs/>
          <w:sz w:val="22"/>
        </w:rPr>
        <w:t>JBI Evidence Synthesis</w:t>
      </w:r>
      <w:r w:rsidRPr="00D92765">
        <w:rPr>
          <w:rFonts w:asciiTheme="minorBidi" w:hAnsiTheme="minorBidi"/>
          <w:sz w:val="22"/>
        </w:rPr>
        <w:t>, 18(10), pp. 2119–2126. doi: 10.11124/JBIES-20-00167.</w:t>
      </w:r>
    </w:p>
    <w:p w14:paraId="15CC1B0F" w14:textId="77777777" w:rsidR="00D92765" w:rsidRPr="00D92765" w:rsidRDefault="00D92765" w:rsidP="00D92765">
      <w:pPr>
        <w:tabs>
          <w:tab w:val="left" w:pos="6540"/>
        </w:tabs>
        <w:spacing w:line="360" w:lineRule="auto"/>
        <w:rPr>
          <w:rFonts w:asciiTheme="minorBidi" w:hAnsiTheme="minorBidi"/>
          <w:sz w:val="22"/>
        </w:rPr>
      </w:pPr>
      <w:r w:rsidRPr="00D92765">
        <w:rPr>
          <w:rFonts w:asciiTheme="minorBidi" w:hAnsiTheme="minorBidi"/>
          <w:sz w:val="22"/>
        </w:rPr>
        <w:t xml:space="preserve">Shorthose, M.F., Carter, B., Laidlaw, J., Watts, N., Wensley, S., Srivastava, S., Joughin, A., Thorman, E., Mitchell, C., Evans, R. and Braude, P. (2024) ‘A multicentre cross-sectional observational study to determine the effect of living with frailty on digital exclusion from video </w:t>
      </w:r>
      <w:r w:rsidRPr="00D92765">
        <w:rPr>
          <w:rFonts w:asciiTheme="minorBidi" w:hAnsiTheme="minorBidi"/>
          <w:sz w:val="22"/>
        </w:rPr>
        <w:lastRenderedPageBreak/>
        <w:t xml:space="preserve">consultations: Access-VIGIL’, </w:t>
      </w:r>
      <w:r w:rsidRPr="00D92765">
        <w:rPr>
          <w:rFonts w:asciiTheme="minorBidi" w:hAnsiTheme="minorBidi"/>
          <w:i/>
          <w:iCs/>
          <w:sz w:val="22"/>
        </w:rPr>
        <w:t>Journal of the American Medical Directors Association</w:t>
      </w:r>
      <w:r w:rsidRPr="00D92765">
        <w:rPr>
          <w:rFonts w:asciiTheme="minorBidi" w:hAnsiTheme="minorBidi"/>
          <w:sz w:val="22"/>
        </w:rPr>
        <w:t>, 25(4), pp. 676–682. doi: 10.1016/j.jamda.2023.08.028.</w:t>
      </w:r>
    </w:p>
    <w:p w14:paraId="5236D854" w14:textId="77777777" w:rsidR="00D92765" w:rsidRPr="00D92765" w:rsidRDefault="00D92765" w:rsidP="00D92765">
      <w:pPr>
        <w:tabs>
          <w:tab w:val="left" w:pos="6540"/>
        </w:tabs>
        <w:spacing w:line="360" w:lineRule="auto"/>
        <w:rPr>
          <w:rFonts w:asciiTheme="minorBidi" w:hAnsiTheme="minorBidi"/>
          <w:sz w:val="22"/>
        </w:rPr>
      </w:pPr>
      <w:r w:rsidRPr="00D92765">
        <w:rPr>
          <w:rFonts w:asciiTheme="minorBidi" w:hAnsiTheme="minorBidi"/>
          <w:sz w:val="22"/>
        </w:rPr>
        <w:t xml:space="preserve">The King’s Fund (2023) </w:t>
      </w:r>
      <w:r w:rsidRPr="00D92765">
        <w:rPr>
          <w:rFonts w:asciiTheme="minorBidi" w:hAnsiTheme="minorBidi"/>
          <w:i/>
          <w:iCs/>
          <w:sz w:val="22"/>
        </w:rPr>
        <w:t>Moving from exclusion to inclusion in digital health and care</w:t>
      </w:r>
      <w:r w:rsidRPr="00D92765">
        <w:rPr>
          <w:rFonts w:asciiTheme="minorBidi" w:hAnsiTheme="minorBidi"/>
          <w:sz w:val="22"/>
        </w:rPr>
        <w:t>. London: The King’s Fund.</w:t>
      </w:r>
    </w:p>
    <w:p w14:paraId="1D15EC1B" w14:textId="77777777" w:rsidR="00D92765" w:rsidRPr="00D92765" w:rsidRDefault="00D92765" w:rsidP="00D92765">
      <w:pPr>
        <w:tabs>
          <w:tab w:val="left" w:pos="6540"/>
        </w:tabs>
        <w:spacing w:line="360" w:lineRule="auto"/>
        <w:rPr>
          <w:rFonts w:asciiTheme="minorBidi" w:hAnsiTheme="minorBidi"/>
          <w:sz w:val="22"/>
        </w:rPr>
      </w:pPr>
      <w:r w:rsidRPr="00D92765">
        <w:rPr>
          <w:rFonts w:asciiTheme="minorBidi" w:hAnsiTheme="minorBidi"/>
          <w:sz w:val="22"/>
        </w:rPr>
        <w:t xml:space="preserve">Tricco, A.C., Lillie, E., Zarin, W., O’Brien, K.K., Colquhoun, H., Levac, D., Moher, D., Peters, M.D.J., Horsley, T., Weeks, L., Hempel, S., Akl, E.A., Chang, C., McGowan, J., Stewart, L., Hartling, L., Aldcroft, A., Wilson, M.G., Garritty, C., Lewin, S., Godfrey, C.M., Macdonald, M.T., Langlois, E.V., Soares-Weiser, K., Moriarty, J., Clifford, T., Tunçalp, Ö. and Straus, S.E. (2018) ‘PRISMA Extension for Scoping Reviews (PRISMA-ScR): checklist and explanation’, </w:t>
      </w:r>
      <w:r w:rsidRPr="00D92765">
        <w:rPr>
          <w:rFonts w:asciiTheme="minorBidi" w:hAnsiTheme="minorBidi"/>
          <w:i/>
          <w:iCs/>
          <w:sz w:val="22"/>
        </w:rPr>
        <w:t>Annals of Internal Medicine</w:t>
      </w:r>
      <w:r w:rsidRPr="00D92765">
        <w:rPr>
          <w:rFonts w:asciiTheme="minorBidi" w:hAnsiTheme="minorBidi"/>
          <w:sz w:val="22"/>
        </w:rPr>
        <w:t>, 169(7), pp. 467–473. doi: 10.7326/M18-0850.</w:t>
      </w:r>
    </w:p>
    <w:p w14:paraId="6D0F7643" w14:textId="77777777" w:rsidR="00D92765" w:rsidRPr="00D92765" w:rsidRDefault="00D92765" w:rsidP="00D92765">
      <w:pPr>
        <w:tabs>
          <w:tab w:val="left" w:pos="6540"/>
        </w:tabs>
        <w:spacing w:line="360" w:lineRule="auto"/>
        <w:rPr>
          <w:rFonts w:asciiTheme="minorBidi" w:hAnsiTheme="minorBidi"/>
          <w:sz w:val="22"/>
        </w:rPr>
      </w:pPr>
      <w:r w:rsidRPr="00D92765">
        <w:rPr>
          <w:rFonts w:asciiTheme="minorBidi" w:hAnsiTheme="minorBidi"/>
          <w:sz w:val="22"/>
        </w:rPr>
        <w:t xml:space="preserve">Turner, A.J., Morris, R.L., Rakhra, D., Stevenson, F., McDonagh, L., Hamilton, F., Atherton, H., Farr, M.C., Blake, S.E., Banks, J.P., Lasseter, G., Ziebland, S., Hyde, E., Powell, J. and Horwood, J. (2022) ‘Unintended consequences of online consultations: a qualitative study in UK primary care’, </w:t>
      </w:r>
      <w:r w:rsidRPr="00D92765">
        <w:rPr>
          <w:rFonts w:asciiTheme="minorBidi" w:hAnsiTheme="minorBidi"/>
          <w:i/>
          <w:iCs/>
          <w:sz w:val="22"/>
        </w:rPr>
        <w:t>British Journal of General Practice</w:t>
      </w:r>
      <w:r w:rsidRPr="00D92765">
        <w:rPr>
          <w:rFonts w:asciiTheme="minorBidi" w:hAnsiTheme="minorBidi"/>
          <w:sz w:val="22"/>
        </w:rPr>
        <w:t>, 72(715), pp. e128–e137. doi: 10.3399/BJGP.2021.0426.</w:t>
      </w: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6AE833" w14:textId="77777777" w:rsidR="00A770D6" w:rsidRDefault="00A770D6" w:rsidP="003E4ECF">
      <w:pPr>
        <w:spacing w:after="0" w:line="240" w:lineRule="auto"/>
      </w:pPr>
      <w:r>
        <w:separator/>
      </w:r>
    </w:p>
  </w:endnote>
  <w:endnote w:type="continuationSeparator" w:id="0">
    <w:p w14:paraId="4FB58A20" w14:textId="77777777" w:rsidR="00A770D6" w:rsidRDefault="00A770D6"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84EF0F" w14:textId="77777777" w:rsidR="00A770D6" w:rsidRDefault="00A770D6" w:rsidP="003E4ECF">
      <w:pPr>
        <w:spacing w:after="0" w:line="240" w:lineRule="auto"/>
      </w:pPr>
      <w:r>
        <w:separator/>
      </w:r>
    </w:p>
  </w:footnote>
  <w:footnote w:type="continuationSeparator" w:id="0">
    <w:p w14:paraId="70BEA25F" w14:textId="77777777" w:rsidR="00A770D6" w:rsidRDefault="00A770D6"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D12BBA"/>
    <w:multiLevelType w:val="multilevel"/>
    <w:tmpl w:val="97E25A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2520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0D94"/>
    <w:rsid w:val="000429ED"/>
    <w:rsid w:val="000572BF"/>
    <w:rsid w:val="0005746E"/>
    <w:rsid w:val="00074402"/>
    <w:rsid w:val="001D7C03"/>
    <w:rsid w:val="00216C85"/>
    <w:rsid w:val="0026393A"/>
    <w:rsid w:val="00273EDD"/>
    <w:rsid w:val="002C1776"/>
    <w:rsid w:val="002C3965"/>
    <w:rsid w:val="00321C4C"/>
    <w:rsid w:val="00322499"/>
    <w:rsid w:val="00380196"/>
    <w:rsid w:val="00392BBC"/>
    <w:rsid w:val="003E4ECF"/>
    <w:rsid w:val="004326AA"/>
    <w:rsid w:val="00454973"/>
    <w:rsid w:val="004A736E"/>
    <w:rsid w:val="004D1201"/>
    <w:rsid w:val="004E1260"/>
    <w:rsid w:val="006925AA"/>
    <w:rsid w:val="006B7283"/>
    <w:rsid w:val="006E7545"/>
    <w:rsid w:val="00725177"/>
    <w:rsid w:val="00771793"/>
    <w:rsid w:val="00814A9E"/>
    <w:rsid w:val="0090040D"/>
    <w:rsid w:val="009D052C"/>
    <w:rsid w:val="009D1D1E"/>
    <w:rsid w:val="00A035FD"/>
    <w:rsid w:val="00A770D6"/>
    <w:rsid w:val="00AC7DE4"/>
    <w:rsid w:val="00B8304B"/>
    <w:rsid w:val="00B87E75"/>
    <w:rsid w:val="00C024E3"/>
    <w:rsid w:val="00CB07F3"/>
    <w:rsid w:val="00CD33A8"/>
    <w:rsid w:val="00CF31C1"/>
    <w:rsid w:val="00D46C42"/>
    <w:rsid w:val="00D92765"/>
    <w:rsid w:val="00D932C6"/>
    <w:rsid w:val="00E569FD"/>
    <w:rsid w:val="00E620E7"/>
    <w:rsid w:val="00F66E1B"/>
    <w:rsid w:val="00FB7B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0429ED"/>
    <w:pPr>
      <w:spacing w:line="259" w:lineRule="auto"/>
      <w:outlineLvl w:val="9"/>
    </w:pPr>
    <w:rPr>
      <w:rFonts w:asciiTheme="majorHAnsi"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0429ED"/>
    <w:pPr>
      <w:spacing w:after="100"/>
    </w:pPr>
  </w:style>
  <w:style w:type="character" w:styleId="Hyperlink">
    <w:name w:val="Hyperlink"/>
    <w:basedOn w:val="DefaultParagraphFont"/>
    <w:uiPriority w:val="99"/>
    <w:unhideWhenUsed/>
    <w:rsid w:val="000429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288CD1-1124-42DB-AAF7-5832BCFC6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4629</Words>
  <Characters>26386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Margarida Ferreira</cp:lastModifiedBy>
  <cp:revision>15</cp:revision>
  <dcterms:created xsi:type="dcterms:W3CDTF">2021-10-31T12:16:00Z</dcterms:created>
  <dcterms:modified xsi:type="dcterms:W3CDTF">2026-08-12T16:34:00Z</dcterms:modified>
</cp:coreProperties>
</file>