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2029824"/>
        <w:docPartObj>
          <w:docPartGallery w:val="Cover Pages"/>
          <w:docPartUnique/>
        </w:docPartObj>
      </w:sdtPr>
      <w:sdtContent>
        <w:p w14:paraId="659114EA" w14:textId="225341E0" w:rsidR="005C0402" w:rsidRDefault="005C0402">
          <w:r>
            <w:rPr>
              <w:noProof/>
            </w:rPr>
            <mc:AlternateContent>
              <mc:Choice Requires="wpg">
                <w:drawing>
                  <wp:anchor distT="0" distB="0" distL="114300" distR="114300" simplePos="0" relativeHeight="251662336" behindDoc="0" locked="0" layoutInCell="1" allowOverlap="1" wp14:anchorId="09DC4734" wp14:editId="62A442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9CC45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p w14:paraId="71A8B659" w14:textId="6F13001F" w:rsidR="005C0402" w:rsidRDefault="00A25571">
          <w:pPr>
            <w:rPr>
              <w:rFonts w:asciiTheme="majorHAnsi" w:eastAsiaTheme="majorEastAsia" w:hAnsiTheme="majorHAnsi" w:cstheme="majorBidi"/>
              <w:b/>
              <w:sz w:val="28"/>
              <w:szCs w:val="40"/>
            </w:rPr>
          </w:pPr>
          <w:r>
            <w:rPr>
              <w:noProof/>
            </w:rPr>
            <mc:AlternateContent>
              <mc:Choice Requires="wps">
                <w:drawing>
                  <wp:anchor distT="0" distB="0" distL="114300" distR="114300" simplePos="0" relativeHeight="251660288" behindDoc="0" locked="0" layoutInCell="1" allowOverlap="1" wp14:anchorId="5296F8B8" wp14:editId="1C3423A5">
                    <wp:simplePos x="0" y="0"/>
                    <wp:positionH relativeFrom="page">
                      <wp:posOffset>225631</wp:posOffset>
                    </wp:positionH>
                    <wp:positionV relativeFrom="page">
                      <wp:posOffset>8740238</wp:posOffset>
                    </wp:positionV>
                    <wp:extent cx="7315200" cy="1389413"/>
                    <wp:effectExtent l="0" t="0" r="0" b="127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3894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C46384" w14:textId="08B0A53F" w:rsidR="005C0402" w:rsidRDefault="005C0402">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14:paraId="162AC0A8" w14:textId="5FC8AF27" w:rsidR="005C0402" w:rsidRDefault="005C040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p w14:paraId="472AEF04" w14:textId="5D3751FE" w:rsidR="00A25571" w:rsidRDefault="00A25571">
                                <w:pPr>
                                  <w:pStyle w:val="NoSpacing"/>
                                  <w:jc w:val="right"/>
                                  <w:rPr>
                                    <w:color w:val="595959" w:themeColor="text1" w:themeTint="A6"/>
                                    <w:sz w:val="18"/>
                                    <w:szCs w:val="18"/>
                                  </w:rPr>
                                </w:pPr>
                                <w:r>
                                  <w:rPr>
                                    <w:color w:val="595959" w:themeColor="text1" w:themeTint="A6"/>
                                    <w:sz w:val="18"/>
                                    <w:szCs w:val="18"/>
                                  </w:rPr>
                                  <w:t>Word Count: 3,297 (Not including Abstract, Tables, Headings, etc)</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296F8B8" id="_x0000_t202" coordsize="21600,21600" o:spt="202" path="m,l,21600r21600,l21600,xe">
                    <v:stroke joinstyle="miter"/>
                    <v:path gradientshapeok="t" o:connecttype="rect"/>
                  </v:shapetype>
                  <v:shape id="Text Box 52" o:spid="_x0000_s1026" type="#_x0000_t202" style="position:absolute;margin-left:17.75pt;margin-top:688.2pt;width:8in;height:109.4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C46384" w14:textId="08B0A53F" w:rsidR="005C0402" w:rsidRDefault="005C0402">
                              <w:pPr>
                                <w:pStyle w:val="NoSpacing"/>
                                <w:jc w:val="right"/>
                                <w:rPr>
                                  <w:color w:val="595959" w:themeColor="text1" w:themeTint="A6"/>
                                  <w:sz w:val="28"/>
                                  <w:szCs w:val="28"/>
                                </w:rPr>
                              </w:pPr>
                              <w:r>
                                <w:rPr>
                                  <w:color w:val="595959" w:themeColor="text1" w:themeTint="A6"/>
                                  <w:sz w:val="28"/>
                                  <w:szCs w:val="28"/>
                                </w:rPr>
                                <w:t>Samuel Miles (BAE Systems, OME Degree Apprentice</w:t>
                              </w:r>
                            </w:p>
                          </w:sdtContent>
                        </w:sdt>
                        <w:p w14:paraId="162AC0A8" w14:textId="5FC8AF27" w:rsidR="005C0402" w:rsidRDefault="005C040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p w14:paraId="472AEF04" w14:textId="5D3751FE" w:rsidR="00A25571" w:rsidRDefault="00A25571">
                          <w:pPr>
                            <w:pStyle w:val="NoSpacing"/>
                            <w:jc w:val="right"/>
                            <w:rPr>
                              <w:color w:val="595959" w:themeColor="text1" w:themeTint="A6"/>
                              <w:sz w:val="18"/>
                              <w:szCs w:val="18"/>
                            </w:rPr>
                          </w:pPr>
                          <w:r>
                            <w:rPr>
                              <w:color w:val="595959" w:themeColor="text1" w:themeTint="A6"/>
                              <w:sz w:val="18"/>
                              <w:szCs w:val="18"/>
                            </w:rPr>
                            <w:t>Word Count: 3,297 (Not including Abstract, Tables, Headings, etc)</w:t>
                          </w:r>
                        </w:p>
                      </w:txbxContent>
                    </v:textbox>
                    <w10:wrap type="square" anchorx="page" anchory="page"/>
                  </v:shape>
                </w:pict>
              </mc:Fallback>
            </mc:AlternateContent>
          </w:r>
          <w:r w:rsidR="005C0402">
            <w:rPr>
              <w:noProof/>
            </w:rPr>
            <mc:AlternateContent>
              <mc:Choice Requires="wps">
                <w:drawing>
                  <wp:anchor distT="0" distB="0" distL="114300" distR="114300" simplePos="0" relativeHeight="251659264" behindDoc="0" locked="0" layoutInCell="1" allowOverlap="1" wp14:anchorId="0C78DDA4" wp14:editId="686E3040">
                    <wp:simplePos x="0" y="0"/>
                    <wp:positionH relativeFrom="page">
                      <wp:align>right</wp:align>
                    </wp:positionH>
                    <wp:positionV relativeFrom="page">
                      <wp:posOffset>3207224</wp:posOffset>
                    </wp:positionV>
                    <wp:extent cx="8639033"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8639033"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62AC0" w14:textId="6AD19C93" w:rsidR="005C0402" w:rsidRDefault="005C040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OmE safety management &amp; legislation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32C26C" w14:textId="6DD2FB65" w:rsidR="005C0402" w:rsidRDefault="005C0402">
                                    <w:pPr>
                                      <w:jc w:val="right"/>
                                      <w:rPr>
                                        <w:smallCaps/>
                                        <w:color w:val="404040" w:themeColor="text1" w:themeTint="BF"/>
                                        <w:sz w:val="36"/>
                                        <w:szCs w:val="36"/>
                                      </w:rPr>
                                    </w:pPr>
                                    <w:r>
                                      <w:rPr>
                                        <w:color w:val="404040" w:themeColor="text1" w:themeTint="BF"/>
                                        <w:sz w:val="36"/>
                                        <w:szCs w:val="36"/>
                                      </w:rPr>
                                      <w:t>Council Request for Safety Report: Siting an Ammunition Depot on the SA1 Waterfront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C78DDA4" id="Text Box 54" o:spid="_x0000_s1027" type="#_x0000_t202" style="position:absolute;margin-left:629.05pt;margin-top:252.55pt;width:680.25pt;height:286.5pt;z-index:25165926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" filled="f" stroked="f" strokeweight=".5pt">
                    <v:textbox inset="126pt,0,54pt,0">
                      <w:txbxContent>
                        <w:p w14:paraId="0CD62AC0" w14:textId="6AD19C93" w:rsidR="005C0402" w:rsidRDefault="005C040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OmE safety management &amp; legislation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32C26C" w14:textId="6DD2FB65" w:rsidR="005C0402" w:rsidRDefault="005C0402">
                              <w:pPr>
                                <w:jc w:val="right"/>
                                <w:rPr>
                                  <w:smallCaps/>
                                  <w:color w:val="404040" w:themeColor="text1" w:themeTint="BF"/>
                                  <w:sz w:val="36"/>
                                  <w:szCs w:val="36"/>
                                </w:rPr>
                              </w:pPr>
                              <w:r>
                                <w:rPr>
                                  <w:color w:val="404040" w:themeColor="text1" w:themeTint="BF"/>
                                  <w:sz w:val="36"/>
                                  <w:szCs w:val="36"/>
                                </w:rPr>
                                <w:t>Council Request for Safety Report: Siting an Ammunition Depot on the SA1 Waterfront</w:t>
                              </w:r>
                            </w:p>
                          </w:sdtContent>
                        </w:sdt>
                      </w:txbxContent>
                    </v:textbox>
                    <w10:wrap type="square" anchorx="page" anchory="page"/>
                  </v:shape>
                </w:pict>
              </mc:Fallback>
            </mc:AlternateContent>
          </w:r>
          <w:r w:rsidR="005C0402">
            <w:br w:type="page"/>
          </w:r>
        </w:p>
      </w:sdtContent>
    </w:sdt>
    <w:sdt>
      <w:sdtPr>
        <w:id w:val="-345243126"/>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CFA968A" w14:textId="3472C140" w:rsidR="005C0402" w:rsidRPr="005C0402" w:rsidRDefault="005C0402">
          <w:pPr>
            <w:pStyle w:val="TOCHeading"/>
            <w:rPr>
              <w:rStyle w:val="Heading1Char"/>
              <w:color w:val="auto"/>
            </w:rPr>
          </w:pPr>
          <w:r w:rsidRPr="005C0402">
            <w:rPr>
              <w:rStyle w:val="Heading1Char"/>
              <w:color w:val="auto"/>
            </w:rPr>
            <w:t>Table of Contents</w:t>
          </w:r>
        </w:p>
        <w:p w14:paraId="71083734" w14:textId="2B857259" w:rsidR="002308AD" w:rsidRDefault="005C040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432177" w:history="1">
            <w:r w:rsidR="002308AD" w:rsidRPr="00951E22">
              <w:rPr>
                <w:rStyle w:val="Hyperlink"/>
                <w:noProof/>
              </w:rPr>
              <w:t>Table of Figures</w:t>
            </w:r>
            <w:r w:rsidR="002308AD">
              <w:rPr>
                <w:noProof/>
                <w:webHidden/>
              </w:rPr>
              <w:tab/>
            </w:r>
            <w:r w:rsidR="002308AD">
              <w:rPr>
                <w:noProof/>
                <w:webHidden/>
              </w:rPr>
              <w:fldChar w:fldCharType="begin"/>
            </w:r>
            <w:r w:rsidR="002308AD">
              <w:rPr>
                <w:noProof/>
                <w:webHidden/>
              </w:rPr>
              <w:instrText xml:space="preserve"> PAGEREF _Toc216432177 \h </w:instrText>
            </w:r>
            <w:r w:rsidR="002308AD">
              <w:rPr>
                <w:noProof/>
                <w:webHidden/>
              </w:rPr>
            </w:r>
            <w:r w:rsidR="002308AD">
              <w:rPr>
                <w:noProof/>
                <w:webHidden/>
              </w:rPr>
              <w:fldChar w:fldCharType="separate"/>
            </w:r>
            <w:r w:rsidR="002308AD">
              <w:rPr>
                <w:noProof/>
                <w:webHidden/>
              </w:rPr>
              <w:t>1</w:t>
            </w:r>
            <w:r w:rsidR="002308AD">
              <w:rPr>
                <w:noProof/>
                <w:webHidden/>
              </w:rPr>
              <w:fldChar w:fldCharType="end"/>
            </w:r>
          </w:hyperlink>
        </w:p>
        <w:p w14:paraId="633AC1E5" w14:textId="68BC2378"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78" w:history="1">
            <w:r w:rsidRPr="00951E22">
              <w:rPr>
                <w:rStyle w:val="Hyperlink"/>
                <w:noProof/>
              </w:rPr>
              <w:t>Table of Acronyms &amp; Abbreviations</w:t>
            </w:r>
            <w:r>
              <w:rPr>
                <w:noProof/>
                <w:webHidden/>
              </w:rPr>
              <w:tab/>
            </w:r>
            <w:r>
              <w:rPr>
                <w:noProof/>
                <w:webHidden/>
              </w:rPr>
              <w:fldChar w:fldCharType="begin"/>
            </w:r>
            <w:r>
              <w:rPr>
                <w:noProof/>
                <w:webHidden/>
              </w:rPr>
              <w:instrText xml:space="preserve"> PAGEREF _Toc216432178 \h </w:instrText>
            </w:r>
            <w:r>
              <w:rPr>
                <w:noProof/>
                <w:webHidden/>
              </w:rPr>
            </w:r>
            <w:r>
              <w:rPr>
                <w:noProof/>
                <w:webHidden/>
              </w:rPr>
              <w:fldChar w:fldCharType="separate"/>
            </w:r>
            <w:r>
              <w:rPr>
                <w:noProof/>
                <w:webHidden/>
              </w:rPr>
              <w:t>2</w:t>
            </w:r>
            <w:r>
              <w:rPr>
                <w:noProof/>
                <w:webHidden/>
              </w:rPr>
              <w:fldChar w:fldCharType="end"/>
            </w:r>
          </w:hyperlink>
        </w:p>
        <w:p w14:paraId="602D5FB5" w14:textId="15880C4D"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79" w:history="1">
            <w:r w:rsidRPr="00951E22">
              <w:rPr>
                <w:rStyle w:val="Hyperlink"/>
                <w:noProof/>
              </w:rPr>
              <w:t>Introduction</w:t>
            </w:r>
            <w:r>
              <w:rPr>
                <w:noProof/>
                <w:webHidden/>
              </w:rPr>
              <w:tab/>
            </w:r>
            <w:r>
              <w:rPr>
                <w:noProof/>
                <w:webHidden/>
              </w:rPr>
              <w:fldChar w:fldCharType="begin"/>
            </w:r>
            <w:r>
              <w:rPr>
                <w:noProof/>
                <w:webHidden/>
              </w:rPr>
              <w:instrText xml:space="preserve"> PAGEREF _Toc216432179 \h </w:instrText>
            </w:r>
            <w:r>
              <w:rPr>
                <w:noProof/>
                <w:webHidden/>
              </w:rPr>
            </w:r>
            <w:r>
              <w:rPr>
                <w:noProof/>
                <w:webHidden/>
              </w:rPr>
              <w:fldChar w:fldCharType="separate"/>
            </w:r>
            <w:r>
              <w:rPr>
                <w:noProof/>
                <w:webHidden/>
              </w:rPr>
              <w:t>3</w:t>
            </w:r>
            <w:r>
              <w:rPr>
                <w:noProof/>
                <w:webHidden/>
              </w:rPr>
              <w:fldChar w:fldCharType="end"/>
            </w:r>
          </w:hyperlink>
        </w:p>
        <w:p w14:paraId="47BD83B6" w14:textId="69047873"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0" w:history="1">
            <w:r w:rsidRPr="00951E22">
              <w:rPr>
                <w:rStyle w:val="Hyperlink"/>
                <w:noProof/>
              </w:rPr>
              <w:t>Big Bang Storage Solutions’ Proposal</w:t>
            </w:r>
            <w:r>
              <w:rPr>
                <w:noProof/>
                <w:webHidden/>
              </w:rPr>
              <w:tab/>
            </w:r>
            <w:r>
              <w:rPr>
                <w:noProof/>
                <w:webHidden/>
              </w:rPr>
              <w:fldChar w:fldCharType="begin"/>
            </w:r>
            <w:r>
              <w:rPr>
                <w:noProof/>
                <w:webHidden/>
              </w:rPr>
              <w:instrText xml:space="preserve"> PAGEREF _Toc216432180 \h </w:instrText>
            </w:r>
            <w:r>
              <w:rPr>
                <w:noProof/>
                <w:webHidden/>
              </w:rPr>
            </w:r>
            <w:r>
              <w:rPr>
                <w:noProof/>
                <w:webHidden/>
              </w:rPr>
              <w:fldChar w:fldCharType="separate"/>
            </w:r>
            <w:r>
              <w:rPr>
                <w:noProof/>
                <w:webHidden/>
              </w:rPr>
              <w:t>5</w:t>
            </w:r>
            <w:r>
              <w:rPr>
                <w:noProof/>
                <w:webHidden/>
              </w:rPr>
              <w:fldChar w:fldCharType="end"/>
            </w:r>
          </w:hyperlink>
        </w:p>
        <w:p w14:paraId="4C72B89B" w14:textId="4E461560"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1" w:history="1">
            <w:r w:rsidRPr="00951E22">
              <w:rPr>
                <w:rStyle w:val="Hyperlink"/>
                <w:noProof/>
              </w:rPr>
              <w:t>Analysis of Proposal</w:t>
            </w:r>
            <w:r>
              <w:rPr>
                <w:noProof/>
                <w:webHidden/>
              </w:rPr>
              <w:tab/>
            </w:r>
            <w:r>
              <w:rPr>
                <w:noProof/>
                <w:webHidden/>
              </w:rPr>
              <w:fldChar w:fldCharType="begin"/>
            </w:r>
            <w:r>
              <w:rPr>
                <w:noProof/>
                <w:webHidden/>
              </w:rPr>
              <w:instrText xml:space="preserve"> PAGEREF _Toc216432181 \h </w:instrText>
            </w:r>
            <w:r>
              <w:rPr>
                <w:noProof/>
                <w:webHidden/>
              </w:rPr>
            </w:r>
            <w:r>
              <w:rPr>
                <w:noProof/>
                <w:webHidden/>
              </w:rPr>
              <w:fldChar w:fldCharType="separate"/>
            </w:r>
            <w:r>
              <w:rPr>
                <w:noProof/>
                <w:webHidden/>
              </w:rPr>
              <w:t>6</w:t>
            </w:r>
            <w:r>
              <w:rPr>
                <w:noProof/>
                <w:webHidden/>
              </w:rPr>
              <w:fldChar w:fldCharType="end"/>
            </w:r>
          </w:hyperlink>
        </w:p>
        <w:p w14:paraId="6820E3D4" w14:textId="5B879636" w:rsidR="002308AD" w:rsidRDefault="002308AD">
          <w:pPr>
            <w:pStyle w:val="TOC2"/>
            <w:tabs>
              <w:tab w:val="right" w:leader="dot" w:pos="9016"/>
            </w:tabs>
            <w:rPr>
              <w:rFonts w:eastAsiaTheme="minorEastAsia"/>
              <w:noProof/>
              <w:kern w:val="2"/>
              <w:sz w:val="24"/>
              <w:szCs w:val="24"/>
              <w:lang w:eastAsia="en-GB"/>
              <w14:ligatures w14:val="standardContextual"/>
            </w:rPr>
          </w:pPr>
          <w:hyperlink w:anchor="_Toc216432182" w:history="1">
            <w:r w:rsidRPr="00951E22">
              <w:rPr>
                <w:rStyle w:val="Hyperlink"/>
                <w:noProof/>
              </w:rPr>
              <w:t>Site Setup</w:t>
            </w:r>
            <w:r>
              <w:rPr>
                <w:noProof/>
                <w:webHidden/>
              </w:rPr>
              <w:tab/>
            </w:r>
            <w:r>
              <w:rPr>
                <w:noProof/>
                <w:webHidden/>
              </w:rPr>
              <w:fldChar w:fldCharType="begin"/>
            </w:r>
            <w:r>
              <w:rPr>
                <w:noProof/>
                <w:webHidden/>
              </w:rPr>
              <w:instrText xml:space="preserve"> PAGEREF _Toc216432182 \h </w:instrText>
            </w:r>
            <w:r>
              <w:rPr>
                <w:noProof/>
                <w:webHidden/>
              </w:rPr>
            </w:r>
            <w:r>
              <w:rPr>
                <w:noProof/>
                <w:webHidden/>
              </w:rPr>
              <w:fldChar w:fldCharType="separate"/>
            </w:r>
            <w:r>
              <w:rPr>
                <w:noProof/>
                <w:webHidden/>
              </w:rPr>
              <w:t>6</w:t>
            </w:r>
            <w:r>
              <w:rPr>
                <w:noProof/>
                <w:webHidden/>
              </w:rPr>
              <w:fldChar w:fldCharType="end"/>
            </w:r>
          </w:hyperlink>
        </w:p>
        <w:p w14:paraId="50D12DD5" w14:textId="7A820B7E" w:rsidR="002308AD" w:rsidRDefault="002308AD">
          <w:pPr>
            <w:pStyle w:val="TOC2"/>
            <w:tabs>
              <w:tab w:val="right" w:leader="dot" w:pos="9016"/>
            </w:tabs>
            <w:rPr>
              <w:rFonts w:eastAsiaTheme="minorEastAsia"/>
              <w:noProof/>
              <w:kern w:val="2"/>
              <w:sz w:val="24"/>
              <w:szCs w:val="24"/>
              <w:lang w:eastAsia="en-GB"/>
              <w14:ligatures w14:val="standardContextual"/>
            </w:rPr>
          </w:pPr>
          <w:hyperlink w:anchor="_Toc216432183" w:history="1">
            <w:r w:rsidRPr="00951E22">
              <w:rPr>
                <w:rStyle w:val="Hyperlink"/>
                <w:noProof/>
              </w:rPr>
              <w:t>Site Security</w:t>
            </w:r>
            <w:r>
              <w:rPr>
                <w:noProof/>
                <w:webHidden/>
              </w:rPr>
              <w:tab/>
            </w:r>
            <w:r>
              <w:rPr>
                <w:noProof/>
                <w:webHidden/>
              </w:rPr>
              <w:fldChar w:fldCharType="begin"/>
            </w:r>
            <w:r>
              <w:rPr>
                <w:noProof/>
                <w:webHidden/>
              </w:rPr>
              <w:instrText xml:space="preserve"> PAGEREF _Toc216432183 \h </w:instrText>
            </w:r>
            <w:r>
              <w:rPr>
                <w:noProof/>
                <w:webHidden/>
              </w:rPr>
            </w:r>
            <w:r>
              <w:rPr>
                <w:noProof/>
                <w:webHidden/>
              </w:rPr>
              <w:fldChar w:fldCharType="separate"/>
            </w:r>
            <w:r>
              <w:rPr>
                <w:noProof/>
                <w:webHidden/>
              </w:rPr>
              <w:t>7</w:t>
            </w:r>
            <w:r>
              <w:rPr>
                <w:noProof/>
                <w:webHidden/>
              </w:rPr>
              <w:fldChar w:fldCharType="end"/>
            </w:r>
          </w:hyperlink>
        </w:p>
        <w:p w14:paraId="03D81ADA" w14:textId="76511510" w:rsidR="002308AD" w:rsidRDefault="002308AD">
          <w:pPr>
            <w:pStyle w:val="TOC2"/>
            <w:tabs>
              <w:tab w:val="right" w:leader="dot" w:pos="9016"/>
            </w:tabs>
            <w:rPr>
              <w:rFonts w:eastAsiaTheme="minorEastAsia"/>
              <w:noProof/>
              <w:kern w:val="2"/>
              <w:sz w:val="24"/>
              <w:szCs w:val="24"/>
              <w:lang w:eastAsia="en-GB"/>
              <w14:ligatures w14:val="standardContextual"/>
            </w:rPr>
          </w:pPr>
          <w:hyperlink w:anchor="_Toc216432184" w:history="1">
            <w:r w:rsidRPr="00951E22">
              <w:rPr>
                <w:rStyle w:val="Hyperlink"/>
                <w:noProof/>
              </w:rPr>
              <w:t>Critical Review of Proposed Solution</w:t>
            </w:r>
            <w:r>
              <w:rPr>
                <w:noProof/>
                <w:webHidden/>
              </w:rPr>
              <w:tab/>
            </w:r>
            <w:r>
              <w:rPr>
                <w:noProof/>
                <w:webHidden/>
              </w:rPr>
              <w:fldChar w:fldCharType="begin"/>
            </w:r>
            <w:r>
              <w:rPr>
                <w:noProof/>
                <w:webHidden/>
              </w:rPr>
              <w:instrText xml:space="preserve"> PAGEREF _Toc216432184 \h </w:instrText>
            </w:r>
            <w:r>
              <w:rPr>
                <w:noProof/>
                <w:webHidden/>
              </w:rPr>
            </w:r>
            <w:r>
              <w:rPr>
                <w:noProof/>
                <w:webHidden/>
              </w:rPr>
              <w:fldChar w:fldCharType="separate"/>
            </w:r>
            <w:r>
              <w:rPr>
                <w:noProof/>
                <w:webHidden/>
              </w:rPr>
              <w:t>7</w:t>
            </w:r>
            <w:r>
              <w:rPr>
                <w:noProof/>
                <w:webHidden/>
              </w:rPr>
              <w:fldChar w:fldCharType="end"/>
            </w:r>
          </w:hyperlink>
        </w:p>
        <w:p w14:paraId="148AC1D7" w14:textId="6A374001"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5" w:history="1">
            <w:r w:rsidRPr="00951E22">
              <w:rPr>
                <w:rStyle w:val="Hyperlink"/>
                <w:noProof/>
              </w:rPr>
              <w:t>Conclusion</w:t>
            </w:r>
            <w:r>
              <w:rPr>
                <w:noProof/>
                <w:webHidden/>
              </w:rPr>
              <w:tab/>
            </w:r>
            <w:r>
              <w:rPr>
                <w:noProof/>
                <w:webHidden/>
              </w:rPr>
              <w:fldChar w:fldCharType="begin"/>
            </w:r>
            <w:r>
              <w:rPr>
                <w:noProof/>
                <w:webHidden/>
              </w:rPr>
              <w:instrText xml:space="preserve"> PAGEREF _Toc216432185 \h </w:instrText>
            </w:r>
            <w:r>
              <w:rPr>
                <w:noProof/>
                <w:webHidden/>
              </w:rPr>
            </w:r>
            <w:r>
              <w:rPr>
                <w:noProof/>
                <w:webHidden/>
              </w:rPr>
              <w:fldChar w:fldCharType="separate"/>
            </w:r>
            <w:r>
              <w:rPr>
                <w:noProof/>
                <w:webHidden/>
              </w:rPr>
              <w:t>17</w:t>
            </w:r>
            <w:r>
              <w:rPr>
                <w:noProof/>
                <w:webHidden/>
              </w:rPr>
              <w:fldChar w:fldCharType="end"/>
            </w:r>
          </w:hyperlink>
        </w:p>
        <w:p w14:paraId="2A3B01C4" w14:textId="02ECDE4F"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6" w:history="1">
            <w:r w:rsidRPr="00951E22">
              <w:rPr>
                <w:rStyle w:val="Hyperlink"/>
                <w:noProof/>
              </w:rPr>
              <w:t>References</w:t>
            </w:r>
            <w:r>
              <w:rPr>
                <w:noProof/>
                <w:webHidden/>
              </w:rPr>
              <w:tab/>
            </w:r>
            <w:r>
              <w:rPr>
                <w:noProof/>
                <w:webHidden/>
              </w:rPr>
              <w:fldChar w:fldCharType="begin"/>
            </w:r>
            <w:r>
              <w:rPr>
                <w:noProof/>
                <w:webHidden/>
              </w:rPr>
              <w:instrText xml:space="preserve"> PAGEREF _Toc216432186 \h </w:instrText>
            </w:r>
            <w:r>
              <w:rPr>
                <w:noProof/>
                <w:webHidden/>
              </w:rPr>
            </w:r>
            <w:r>
              <w:rPr>
                <w:noProof/>
                <w:webHidden/>
              </w:rPr>
              <w:fldChar w:fldCharType="separate"/>
            </w:r>
            <w:r>
              <w:rPr>
                <w:noProof/>
                <w:webHidden/>
              </w:rPr>
              <w:t>18</w:t>
            </w:r>
            <w:r>
              <w:rPr>
                <w:noProof/>
                <w:webHidden/>
              </w:rPr>
              <w:fldChar w:fldCharType="end"/>
            </w:r>
          </w:hyperlink>
        </w:p>
        <w:p w14:paraId="34BF7992" w14:textId="54C49A20"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7" w:history="1">
            <w:r w:rsidRPr="00951E22">
              <w:rPr>
                <w:rStyle w:val="Hyperlink"/>
                <w:noProof/>
              </w:rPr>
              <w:t>Appendix A – Compatibility Group Mixing Rules</w:t>
            </w:r>
            <w:r>
              <w:rPr>
                <w:noProof/>
                <w:webHidden/>
              </w:rPr>
              <w:tab/>
            </w:r>
            <w:r>
              <w:rPr>
                <w:noProof/>
                <w:webHidden/>
              </w:rPr>
              <w:fldChar w:fldCharType="begin"/>
            </w:r>
            <w:r>
              <w:rPr>
                <w:noProof/>
                <w:webHidden/>
              </w:rPr>
              <w:instrText xml:space="preserve"> PAGEREF _Toc216432187 \h </w:instrText>
            </w:r>
            <w:r>
              <w:rPr>
                <w:noProof/>
                <w:webHidden/>
              </w:rPr>
            </w:r>
            <w:r>
              <w:rPr>
                <w:noProof/>
                <w:webHidden/>
              </w:rPr>
              <w:fldChar w:fldCharType="separate"/>
            </w:r>
            <w:r>
              <w:rPr>
                <w:noProof/>
                <w:webHidden/>
              </w:rPr>
              <w:t>19</w:t>
            </w:r>
            <w:r>
              <w:rPr>
                <w:noProof/>
                <w:webHidden/>
              </w:rPr>
              <w:fldChar w:fldCharType="end"/>
            </w:r>
          </w:hyperlink>
        </w:p>
        <w:p w14:paraId="30A7A6D0" w14:textId="049E4C1E"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8" w:history="1">
            <w:r w:rsidRPr="00951E22">
              <w:rPr>
                <w:rStyle w:val="Hyperlink"/>
                <w:noProof/>
              </w:rPr>
              <w:t>Appendix B – ESH 1 Explosive Limit Licence</w:t>
            </w:r>
            <w:r>
              <w:rPr>
                <w:noProof/>
                <w:webHidden/>
              </w:rPr>
              <w:tab/>
            </w:r>
            <w:r>
              <w:rPr>
                <w:noProof/>
                <w:webHidden/>
              </w:rPr>
              <w:fldChar w:fldCharType="begin"/>
            </w:r>
            <w:r>
              <w:rPr>
                <w:noProof/>
                <w:webHidden/>
              </w:rPr>
              <w:instrText xml:space="preserve"> PAGEREF _Toc216432188 \h </w:instrText>
            </w:r>
            <w:r>
              <w:rPr>
                <w:noProof/>
                <w:webHidden/>
              </w:rPr>
            </w:r>
            <w:r>
              <w:rPr>
                <w:noProof/>
                <w:webHidden/>
              </w:rPr>
              <w:fldChar w:fldCharType="separate"/>
            </w:r>
            <w:r>
              <w:rPr>
                <w:noProof/>
                <w:webHidden/>
              </w:rPr>
              <w:t>20</w:t>
            </w:r>
            <w:r>
              <w:rPr>
                <w:noProof/>
                <w:webHidden/>
              </w:rPr>
              <w:fldChar w:fldCharType="end"/>
            </w:r>
          </w:hyperlink>
        </w:p>
        <w:p w14:paraId="2AB74C0F" w14:textId="7F81A02D"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89" w:history="1">
            <w:r w:rsidRPr="00951E22">
              <w:rPr>
                <w:rStyle w:val="Hyperlink"/>
                <w:noProof/>
              </w:rPr>
              <w:t>Appendix C – ESH 2 Explosive Limit Licence</w:t>
            </w:r>
            <w:r>
              <w:rPr>
                <w:noProof/>
                <w:webHidden/>
              </w:rPr>
              <w:tab/>
            </w:r>
            <w:r>
              <w:rPr>
                <w:noProof/>
                <w:webHidden/>
              </w:rPr>
              <w:fldChar w:fldCharType="begin"/>
            </w:r>
            <w:r>
              <w:rPr>
                <w:noProof/>
                <w:webHidden/>
              </w:rPr>
              <w:instrText xml:space="preserve"> PAGEREF _Toc216432189 \h </w:instrText>
            </w:r>
            <w:r>
              <w:rPr>
                <w:noProof/>
                <w:webHidden/>
              </w:rPr>
            </w:r>
            <w:r>
              <w:rPr>
                <w:noProof/>
                <w:webHidden/>
              </w:rPr>
              <w:fldChar w:fldCharType="separate"/>
            </w:r>
            <w:r>
              <w:rPr>
                <w:noProof/>
                <w:webHidden/>
              </w:rPr>
              <w:t>21</w:t>
            </w:r>
            <w:r>
              <w:rPr>
                <w:noProof/>
                <w:webHidden/>
              </w:rPr>
              <w:fldChar w:fldCharType="end"/>
            </w:r>
          </w:hyperlink>
        </w:p>
        <w:p w14:paraId="54EDB4C3" w14:textId="5638A739"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90" w:history="1">
            <w:r w:rsidRPr="00951E22">
              <w:rPr>
                <w:rStyle w:val="Hyperlink"/>
                <w:noProof/>
              </w:rPr>
              <w:t>Appendix D – ESH 3 Explosive Limit Licence</w:t>
            </w:r>
            <w:r>
              <w:rPr>
                <w:noProof/>
                <w:webHidden/>
              </w:rPr>
              <w:tab/>
            </w:r>
            <w:r>
              <w:rPr>
                <w:noProof/>
                <w:webHidden/>
              </w:rPr>
              <w:fldChar w:fldCharType="begin"/>
            </w:r>
            <w:r>
              <w:rPr>
                <w:noProof/>
                <w:webHidden/>
              </w:rPr>
              <w:instrText xml:space="preserve"> PAGEREF _Toc216432190 \h </w:instrText>
            </w:r>
            <w:r>
              <w:rPr>
                <w:noProof/>
                <w:webHidden/>
              </w:rPr>
            </w:r>
            <w:r>
              <w:rPr>
                <w:noProof/>
                <w:webHidden/>
              </w:rPr>
              <w:fldChar w:fldCharType="separate"/>
            </w:r>
            <w:r>
              <w:rPr>
                <w:noProof/>
                <w:webHidden/>
              </w:rPr>
              <w:t>22</w:t>
            </w:r>
            <w:r>
              <w:rPr>
                <w:noProof/>
                <w:webHidden/>
              </w:rPr>
              <w:fldChar w:fldCharType="end"/>
            </w:r>
          </w:hyperlink>
        </w:p>
        <w:p w14:paraId="3E3C8A76" w14:textId="00A457F6"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91" w:history="1">
            <w:r w:rsidRPr="00951E22">
              <w:rPr>
                <w:rStyle w:val="Hyperlink"/>
                <w:noProof/>
              </w:rPr>
              <w:t>Appendix E – ESH 4 Explosive Limit Licence</w:t>
            </w:r>
            <w:r>
              <w:rPr>
                <w:noProof/>
                <w:webHidden/>
              </w:rPr>
              <w:tab/>
            </w:r>
            <w:r>
              <w:rPr>
                <w:noProof/>
                <w:webHidden/>
              </w:rPr>
              <w:fldChar w:fldCharType="begin"/>
            </w:r>
            <w:r>
              <w:rPr>
                <w:noProof/>
                <w:webHidden/>
              </w:rPr>
              <w:instrText xml:space="preserve"> PAGEREF _Toc216432191 \h </w:instrText>
            </w:r>
            <w:r>
              <w:rPr>
                <w:noProof/>
                <w:webHidden/>
              </w:rPr>
            </w:r>
            <w:r>
              <w:rPr>
                <w:noProof/>
                <w:webHidden/>
              </w:rPr>
              <w:fldChar w:fldCharType="separate"/>
            </w:r>
            <w:r>
              <w:rPr>
                <w:noProof/>
                <w:webHidden/>
              </w:rPr>
              <w:t>23</w:t>
            </w:r>
            <w:r>
              <w:rPr>
                <w:noProof/>
                <w:webHidden/>
              </w:rPr>
              <w:fldChar w:fldCharType="end"/>
            </w:r>
          </w:hyperlink>
        </w:p>
        <w:p w14:paraId="3398A0BE" w14:textId="3354BAA9"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92" w:history="1">
            <w:r w:rsidRPr="00951E22">
              <w:rPr>
                <w:rStyle w:val="Hyperlink"/>
                <w:noProof/>
              </w:rPr>
              <w:t>Appendix F – ESH 5 Explosive Limit Licence</w:t>
            </w:r>
            <w:r>
              <w:rPr>
                <w:noProof/>
                <w:webHidden/>
              </w:rPr>
              <w:tab/>
            </w:r>
            <w:r>
              <w:rPr>
                <w:noProof/>
                <w:webHidden/>
              </w:rPr>
              <w:fldChar w:fldCharType="begin"/>
            </w:r>
            <w:r>
              <w:rPr>
                <w:noProof/>
                <w:webHidden/>
              </w:rPr>
              <w:instrText xml:space="preserve"> PAGEREF _Toc216432192 \h </w:instrText>
            </w:r>
            <w:r>
              <w:rPr>
                <w:noProof/>
                <w:webHidden/>
              </w:rPr>
            </w:r>
            <w:r>
              <w:rPr>
                <w:noProof/>
                <w:webHidden/>
              </w:rPr>
              <w:fldChar w:fldCharType="separate"/>
            </w:r>
            <w:r>
              <w:rPr>
                <w:noProof/>
                <w:webHidden/>
              </w:rPr>
              <w:t>24</w:t>
            </w:r>
            <w:r>
              <w:rPr>
                <w:noProof/>
                <w:webHidden/>
              </w:rPr>
              <w:fldChar w:fldCharType="end"/>
            </w:r>
          </w:hyperlink>
        </w:p>
        <w:p w14:paraId="015B64A1" w14:textId="1F17644D" w:rsidR="002308AD" w:rsidRDefault="002308AD">
          <w:pPr>
            <w:pStyle w:val="TOC1"/>
            <w:tabs>
              <w:tab w:val="right" w:leader="dot" w:pos="9016"/>
            </w:tabs>
            <w:rPr>
              <w:rFonts w:eastAsiaTheme="minorEastAsia"/>
              <w:noProof/>
              <w:kern w:val="2"/>
              <w:sz w:val="24"/>
              <w:szCs w:val="24"/>
              <w:lang w:eastAsia="en-GB"/>
              <w14:ligatures w14:val="standardContextual"/>
            </w:rPr>
          </w:pPr>
          <w:hyperlink w:anchor="_Toc216432193" w:history="1">
            <w:r w:rsidRPr="00951E22">
              <w:rPr>
                <w:rStyle w:val="Hyperlink"/>
                <w:noProof/>
              </w:rPr>
              <w:t>Appendix G – Proposal Feedback &amp; Questions</w:t>
            </w:r>
            <w:r>
              <w:rPr>
                <w:noProof/>
                <w:webHidden/>
              </w:rPr>
              <w:tab/>
            </w:r>
            <w:r>
              <w:rPr>
                <w:noProof/>
                <w:webHidden/>
              </w:rPr>
              <w:fldChar w:fldCharType="begin"/>
            </w:r>
            <w:r>
              <w:rPr>
                <w:noProof/>
                <w:webHidden/>
              </w:rPr>
              <w:instrText xml:space="preserve"> PAGEREF _Toc216432193 \h </w:instrText>
            </w:r>
            <w:r>
              <w:rPr>
                <w:noProof/>
                <w:webHidden/>
              </w:rPr>
            </w:r>
            <w:r>
              <w:rPr>
                <w:noProof/>
                <w:webHidden/>
              </w:rPr>
              <w:fldChar w:fldCharType="separate"/>
            </w:r>
            <w:r>
              <w:rPr>
                <w:noProof/>
                <w:webHidden/>
              </w:rPr>
              <w:t>25</w:t>
            </w:r>
            <w:r>
              <w:rPr>
                <w:noProof/>
                <w:webHidden/>
              </w:rPr>
              <w:fldChar w:fldCharType="end"/>
            </w:r>
          </w:hyperlink>
        </w:p>
        <w:p w14:paraId="346E1B2D" w14:textId="2A303288" w:rsidR="005C0402" w:rsidRDefault="005C0402">
          <w:r>
            <w:rPr>
              <w:b/>
              <w:bCs/>
            </w:rPr>
            <w:fldChar w:fldCharType="end"/>
          </w:r>
        </w:p>
      </w:sdtContent>
    </w:sdt>
    <w:p w14:paraId="0DD13948" w14:textId="0251853A" w:rsidR="005C0402" w:rsidRDefault="005C0402" w:rsidP="005C0402">
      <w:pPr>
        <w:pStyle w:val="Heading1"/>
      </w:pPr>
      <w:bookmarkStart w:id="0" w:name="_Toc216392115"/>
      <w:bookmarkStart w:id="1" w:name="_Toc216432177"/>
      <w:r>
        <w:t>Table of Figures</w:t>
      </w:r>
      <w:bookmarkEnd w:id="0"/>
      <w:bookmarkEnd w:id="1"/>
    </w:p>
    <w:p w14:paraId="6C6BD151" w14:textId="07F99B8E" w:rsidR="005C0402" w:rsidRDefault="005C0402">
      <w:pPr>
        <w:pStyle w:val="TableofFigures"/>
        <w:tabs>
          <w:tab w:val="right" w:leader="dot" w:pos="9016"/>
        </w:tabs>
        <w:rPr>
          <w:noProof/>
        </w:rPr>
      </w:pPr>
      <w:r>
        <w:fldChar w:fldCharType="begin"/>
      </w:r>
      <w:r>
        <w:instrText xml:space="preserve"> TOC \h \z \c "Figure" </w:instrText>
      </w:r>
      <w:r>
        <w:fldChar w:fldCharType="separate"/>
      </w:r>
      <w:hyperlink w:anchor="_Toc216391193" w:history="1">
        <w:r w:rsidRPr="008E7D95">
          <w:rPr>
            <w:rStyle w:val="Hyperlink"/>
            <w:noProof/>
          </w:rPr>
          <w:t>Figure 1 - Satellite view of PES and surrounding area</w:t>
        </w:r>
        <w:r>
          <w:rPr>
            <w:noProof/>
            <w:webHidden/>
          </w:rPr>
          <w:tab/>
        </w:r>
        <w:r>
          <w:rPr>
            <w:noProof/>
            <w:webHidden/>
          </w:rPr>
          <w:fldChar w:fldCharType="begin"/>
        </w:r>
        <w:r>
          <w:rPr>
            <w:noProof/>
            <w:webHidden/>
          </w:rPr>
          <w:instrText xml:space="preserve"> PAGEREF _Toc216391193 \h </w:instrText>
        </w:r>
        <w:r>
          <w:rPr>
            <w:noProof/>
            <w:webHidden/>
          </w:rPr>
        </w:r>
        <w:r>
          <w:rPr>
            <w:noProof/>
            <w:webHidden/>
          </w:rPr>
          <w:fldChar w:fldCharType="separate"/>
        </w:r>
        <w:r>
          <w:rPr>
            <w:noProof/>
            <w:webHidden/>
          </w:rPr>
          <w:t>4</w:t>
        </w:r>
        <w:r>
          <w:rPr>
            <w:noProof/>
            <w:webHidden/>
          </w:rPr>
          <w:fldChar w:fldCharType="end"/>
        </w:r>
      </w:hyperlink>
    </w:p>
    <w:p w14:paraId="7F4A0D2E" w14:textId="7E16DD20" w:rsidR="005C0402" w:rsidRDefault="005C0402">
      <w:pPr>
        <w:pStyle w:val="TableofFigures"/>
        <w:tabs>
          <w:tab w:val="right" w:leader="dot" w:pos="9016"/>
        </w:tabs>
        <w:rPr>
          <w:noProof/>
        </w:rPr>
      </w:pPr>
      <w:hyperlink w:anchor="_Toc216391194" w:history="1">
        <w:r w:rsidRPr="008E7D95">
          <w:rPr>
            <w:rStyle w:val="Hyperlink"/>
            <w:noProof/>
          </w:rPr>
          <w:t>Figure 2 - AI generated image of PES</w:t>
        </w:r>
        <w:r>
          <w:rPr>
            <w:noProof/>
            <w:webHidden/>
          </w:rPr>
          <w:tab/>
        </w:r>
        <w:r>
          <w:rPr>
            <w:noProof/>
            <w:webHidden/>
          </w:rPr>
          <w:fldChar w:fldCharType="begin"/>
        </w:r>
        <w:r>
          <w:rPr>
            <w:noProof/>
            <w:webHidden/>
          </w:rPr>
          <w:instrText xml:space="preserve"> PAGEREF _Toc216391194 \h </w:instrText>
        </w:r>
        <w:r>
          <w:rPr>
            <w:noProof/>
            <w:webHidden/>
          </w:rPr>
        </w:r>
        <w:r>
          <w:rPr>
            <w:noProof/>
            <w:webHidden/>
          </w:rPr>
          <w:fldChar w:fldCharType="separate"/>
        </w:r>
        <w:r>
          <w:rPr>
            <w:noProof/>
            <w:webHidden/>
          </w:rPr>
          <w:t>5</w:t>
        </w:r>
        <w:r>
          <w:rPr>
            <w:noProof/>
            <w:webHidden/>
          </w:rPr>
          <w:fldChar w:fldCharType="end"/>
        </w:r>
      </w:hyperlink>
    </w:p>
    <w:p w14:paraId="56E8882F" w14:textId="36246EC9" w:rsidR="005C0402" w:rsidRDefault="005C0402">
      <w:pPr>
        <w:pStyle w:val="TableofFigures"/>
        <w:tabs>
          <w:tab w:val="right" w:leader="dot" w:pos="9016"/>
        </w:tabs>
        <w:rPr>
          <w:noProof/>
        </w:rPr>
      </w:pPr>
      <w:hyperlink w:anchor="_Toc216391195" w:history="1">
        <w:r w:rsidRPr="008E7D95">
          <w:rPr>
            <w:rStyle w:val="Hyperlink"/>
            <w:noProof/>
          </w:rPr>
          <w:t>Figure 3 - Earth Covered Magazine</w:t>
        </w:r>
        <w:r>
          <w:rPr>
            <w:noProof/>
            <w:webHidden/>
          </w:rPr>
          <w:tab/>
        </w:r>
        <w:r>
          <w:rPr>
            <w:noProof/>
            <w:webHidden/>
          </w:rPr>
          <w:fldChar w:fldCharType="begin"/>
        </w:r>
        <w:r>
          <w:rPr>
            <w:noProof/>
            <w:webHidden/>
          </w:rPr>
          <w:instrText xml:space="preserve"> PAGEREF _Toc216391195 \h </w:instrText>
        </w:r>
        <w:r>
          <w:rPr>
            <w:noProof/>
            <w:webHidden/>
          </w:rPr>
        </w:r>
        <w:r>
          <w:rPr>
            <w:noProof/>
            <w:webHidden/>
          </w:rPr>
          <w:fldChar w:fldCharType="separate"/>
        </w:r>
        <w:r>
          <w:rPr>
            <w:noProof/>
            <w:webHidden/>
          </w:rPr>
          <w:t>5</w:t>
        </w:r>
        <w:r>
          <w:rPr>
            <w:noProof/>
            <w:webHidden/>
          </w:rPr>
          <w:fldChar w:fldCharType="end"/>
        </w:r>
      </w:hyperlink>
    </w:p>
    <w:p w14:paraId="31BD5143" w14:textId="2E89AFD4" w:rsidR="005C0402" w:rsidRDefault="005C0402">
      <w:pPr>
        <w:pStyle w:val="TableofFigures"/>
        <w:tabs>
          <w:tab w:val="right" w:leader="dot" w:pos="9016"/>
        </w:tabs>
        <w:rPr>
          <w:noProof/>
        </w:rPr>
      </w:pPr>
      <w:hyperlink w:anchor="_Toc216391196" w:history="1">
        <w:r w:rsidRPr="008E7D95">
          <w:rPr>
            <w:rStyle w:val="Hyperlink"/>
            <w:noProof/>
          </w:rPr>
          <w:t>Figure 4 - Street View of site entrance</w:t>
        </w:r>
        <w:r>
          <w:rPr>
            <w:noProof/>
            <w:webHidden/>
          </w:rPr>
          <w:tab/>
        </w:r>
        <w:r>
          <w:rPr>
            <w:noProof/>
            <w:webHidden/>
          </w:rPr>
          <w:fldChar w:fldCharType="begin"/>
        </w:r>
        <w:r>
          <w:rPr>
            <w:noProof/>
            <w:webHidden/>
          </w:rPr>
          <w:instrText xml:space="preserve"> PAGEREF _Toc216391196 \h </w:instrText>
        </w:r>
        <w:r>
          <w:rPr>
            <w:noProof/>
            <w:webHidden/>
          </w:rPr>
        </w:r>
        <w:r>
          <w:rPr>
            <w:noProof/>
            <w:webHidden/>
          </w:rPr>
          <w:fldChar w:fldCharType="separate"/>
        </w:r>
        <w:r>
          <w:rPr>
            <w:noProof/>
            <w:webHidden/>
          </w:rPr>
          <w:t>6</w:t>
        </w:r>
        <w:r>
          <w:rPr>
            <w:noProof/>
            <w:webHidden/>
          </w:rPr>
          <w:fldChar w:fldCharType="end"/>
        </w:r>
      </w:hyperlink>
    </w:p>
    <w:p w14:paraId="46E3372E" w14:textId="0C9020F1" w:rsidR="005C0402" w:rsidRDefault="005C0402">
      <w:pPr>
        <w:pStyle w:val="TableofFigures"/>
        <w:tabs>
          <w:tab w:val="right" w:leader="dot" w:pos="9016"/>
        </w:tabs>
        <w:rPr>
          <w:noProof/>
        </w:rPr>
      </w:pPr>
      <w:hyperlink w:anchor="_Toc216391197" w:history="1">
        <w:r w:rsidRPr="008E7D95">
          <w:rPr>
            <w:rStyle w:val="Hyperlink"/>
            <w:noProof/>
          </w:rPr>
          <w:t>Figure 5 - IATG Aggregation Rules</w:t>
        </w:r>
        <w:r>
          <w:rPr>
            <w:noProof/>
            <w:webHidden/>
          </w:rPr>
          <w:tab/>
        </w:r>
        <w:r>
          <w:rPr>
            <w:noProof/>
            <w:webHidden/>
          </w:rPr>
          <w:fldChar w:fldCharType="begin"/>
        </w:r>
        <w:r>
          <w:rPr>
            <w:noProof/>
            <w:webHidden/>
          </w:rPr>
          <w:instrText xml:space="preserve"> PAGEREF _Toc216391197 \h </w:instrText>
        </w:r>
        <w:r>
          <w:rPr>
            <w:noProof/>
            <w:webHidden/>
          </w:rPr>
        </w:r>
        <w:r>
          <w:rPr>
            <w:noProof/>
            <w:webHidden/>
          </w:rPr>
          <w:fldChar w:fldCharType="separate"/>
        </w:r>
        <w:r>
          <w:rPr>
            <w:noProof/>
            <w:webHidden/>
          </w:rPr>
          <w:t>7</w:t>
        </w:r>
        <w:r>
          <w:rPr>
            <w:noProof/>
            <w:webHidden/>
          </w:rPr>
          <w:fldChar w:fldCharType="end"/>
        </w:r>
      </w:hyperlink>
    </w:p>
    <w:p w14:paraId="15C8B043" w14:textId="0C332165" w:rsidR="005C0402" w:rsidRDefault="005C0402">
      <w:pPr>
        <w:pStyle w:val="TableofFigures"/>
        <w:tabs>
          <w:tab w:val="right" w:leader="dot" w:pos="9016"/>
        </w:tabs>
        <w:rPr>
          <w:noProof/>
        </w:rPr>
      </w:pPr>
      <w:hyperlink w:anchor="_Toc216391198" w:history="1">
        <w:r w:rsidRPr="008E7D95">
          <w:rPr>
            <w:rStyle w:val="Hyperlink"/>
            <w:noProof/>
          </w:rPr>
          <w:t>Figure 6 - QD comparison for HD 1.1 and 1.2</w:t>
        </w:r>
        <w:r>
          <w:rPr>
            <w:noProof/>
            <w:webHidden/>
          </w:rPr>
          <w:tab/>
        </w:r>
        <w:r>
          <w:rPr>
            <w:noProof/>
            <w:webHidden/>
          </w:rPr>
          <w:fldChar w:fldCharType="begin"/>
        </w:r>
        <w:r>
          <w:rPr>
            <w:noProof/>
            <w:webHidden/>
          </w:rPr>
          <w:instrText xml:space="preserve"> PAGEREF _Toc216391198 \h </w:instrText>
        </w:r>
        <w:r>
          <w:rPr>
            <w:noProof/>
            <w:webHidden/>
          </w:rPr>
        </w:r>
        <w:r>
          <w:rPr>
            <w:noProof/>
            <w:webHidden/>
          </w:rPr>
          <w:fldChar w:fldCharType="separate"/>
        </w:r>
        <w:r>
          <w:rPr>
            <w:noProof/>
            <w:webHidden/>
          </w:rPr>
          <w:t>7</w:t>
        </w:r>
        <w:r>
          <w:rPr>
            <w:noProof/>
            <w:webHidden/>
          </w:rPr>
          <w:fldChar w:fldCharType="end"/>
        </w:r>
      </w:hyperlink>
    </w:p>
    <w:p w14:paraId="4F1EB7EE" w14:textId="6F9D8AAA" w:rsidR="005C0402" w:rsidRDefault="005C0402">
      <w:pPr>
        <w:pStyle w:val="TableofFigures"/>
        <w:tabs>
          <w:tab w:val="right" w:leader="dot" w:pos="9016"/>
        </w:tabs>
        <w:rPr>
          <w:noProof/>
        </w:rPr>
      </w:pPr>
      <w:hyperlink w:anchor="_Toc216391199" w:history="1">
        <w:r w:rsidRPr="008E7D95">
          <w:rPr>
            <w:rStyle w:val="Hyperlink"/>
            <w:noProof/>
          </w:rPr>
          <w:t>Figure 7 - PTR Density Categories</w:t>
        </w:r>
        <w:r>
          <w:rPr>
            <w:noProof/>
            <w:webHidden/>
          </w:rPr>
          <w:tab/>
        </w:r>
        <w:r>
          <w:rPr>
            <w:noProof/>
            <w:webHidden/>
          </w:rPr>
          <w:fldChar w:fldCharType="begin"/>
        </w:r>
        <w:r>
          <w:rPr>
            <w:noProof/>
            <w:webHidden/>
          </w:rPr>
          <w:instrText xml:space="preserve"> PAGEREF _Toc216391199 \h </w:instrText>
        </w:r>
        <w:r>
          <w:rPr>
            <w:noProof/>
            <w:webHidden/>
          </w:rPr>
        </w:r>
        <w:r>
          <w:rPr>
            <w:noProof/>
            <w:webHidden/>
          </w:rPr>
          <w:fldChar w:fldCharType="separate"/>
        </w:r>
        <w:r>
          <w:rPr>
            <w:noProof/>
            <w:webHidden/>
          </w:rPr>
          <w:t>8</w:t>
        </w:r>
        <w:r>
          <w:rPr>
            <w:noProof/>
            <w:webHidden/>
          </w:rPr>
          <w:fldChar w:fldCharType="end"/>
        </w:r>
      </w:hyperlink>
    </w:p>
    <w:p w14:paraId="68830B23" w14:textId="5BA77BDF" w:rsidR="005C0402" w:rsidRDefault="005C0402">
      <w:pPr>
        <w:pStyle w:val="TableofFigures"/>
        <w:tabs>
          <w:tab w:val="right" w:leader="dot" w:pos="9016"/>
        </w:tabs>
        <w:rPr>
          <w:noProof/>
        </w:rPr>
      </w:pPr>
      <w:hyperlink w:anchor="_Toc216391200" w:history="1">
        <w:r w:rsidRPr="008E7D95">
          <w:rPr>
            <w:rStyle w:val="Hyperlink"/>
            <w:noProof/>
          </w:rPr>
          <w:t>Figure 8 - ESH Grid Locations</w:t>
        </w:r>
        <w:r>
          <w:rPr>
            <w:noProof/>
            <w:webHidden/>
          </w:rPr>
          <w:tab/>
        </w:r>
        <w:r>
          <w:rPr>
            <w:noProof/>
            <w:webHidden/>
          </w:rPr>
          <w:fldChar w:fldCharType="begin"/>
        </w:r>
        <w:r>
          <w:rPr>
            <w:noProof/>
            <w:webHidden/>
          </w:rPr>
          <w:instrText xml:space="preserve"> PAGEREF _Toc216391200 \h </w:instrText>
        </w:r>
        <w:r>
          <w:rPr>
            <w:noProof/>
            <w:webHidden/>
          </w:rPr>
        </w:r>
        <w:r>
          <w:rPr>
            <w:noProof/>
            <w:webHidden/>
          </w:rPr>
          <w:fldChar w:fldCharType="separate"/>
        </w:r>
        <w:r>
          <w:rPr>
            <w:noProof/>
            <w:webHidden/>
          </w:rPr>
          <w:t>9</w:t>
        </w:r>
        <w:r>
          <w:rPr>
            <w:noProof/>
            <w:webHidden/>
          </w:rPr>
          <w:fldChar w:fldCharType="end"/>
        </w:r>
      </w:hyperlink>
    </w:p>
    <w:p w14:paraId="064F2A37" w14:textId="608CB191" w:rsidR="005C0402" w:rsidRDefault="005C0402">
      <w:pPr>
        <w:pStyle w:val="TableofFigures"/>
        <w:tabs>
          <w:tab w:val="right" w:leader="dot" w:pos="9016"/>
        </w:tabs>
        <w:rPr>
          <w:noProof/>
        </w:rPr>
      </w:pPr>
      <w:hyperlink w:anchor="_Toc216391201" w:history="1">
        <w:r w:rsidRPr="008E7D95">
          <w:rPr>
            <w:rStyle w:val="Hyperlink"/>
            <w:noProof/>
          </w:rPr>
          <w:t>Figure 9 - ESH 1 QD Map</w:t>
        </w:r>
        <w:r>
          <w:rPr>
            <w:noProof/>
            <w:webHidden/>
          </w:rPr>
          <w:tab/>
        </w:r>
        <w:r>
          <w:rPr>
            <w:noProof/>
            <w:webHidden/>
          </w:rPr>
          <w:fldChar w:fldCharType="begin"/>
        </w:r>
        <w:r>
          <w:rPr>
            <w:noProof/>
            <w:webHidden/>
          </w:rPr>
          <w:instrText xml:space="preserve"> PAGEREF _Toc216391201 \h </w:instrText>
        </w:r>
        <w:r>
          <w:rPr>
            <w:noProof/>
            <w:webHidden/>
          </w:rPr>
        </w:r>
        <w:r>
          <w:rPr>
            <w:noProof/>
            <w:webHidden/>
          </w:rPr>
          <w:fldChar w:fldCharType="separate"/>
        </w:r>
        <w:r>
          <w:rPr>
            <w:noProof/>
            <w:webHidden/>
          </w:rPr>
          <w:t>10</w:t>
        </w:r>
        <w:r>
          <w:rPr>
            <w:noProof/>
            <w:webHidden/>
          </w:rPr>
          <w:fldChar w:fldCharType="end"/>
        </w:r>
      </w:hyperlink>
    </w:p>
    <w:p w14:paraId="2613340F" w14:textId="07106B20" w:rsidR="005C0402" w:rsidRDefault="005C0402">
      <w:pPr>
        <w:pStyle w:val="TableofFigures"/>
        <w:tabs>
          <w:tab w:val="right" w:leader="dot" w:pos="9016"/>
        </w:tabs>
        <w:rPr>
          <w:noProof/>
        </w:rPr>
      </w:pPr>
      <w:hyperlink w:anchor="_Toc216391202" w:history="1">
        <w:r w:rsidRPr="008E7D95">
          <w:rPr>
            <w:rStyle w:val="Hyperlink"/>
            <w:noProof/>
          </w:rPr>
          <w:t>Figure 10 - ESH 1 Compliance Table</w:t>
        </w:r>
        <w:r>
          <w:rPr>
            <w:noProof/>
            <w:webHidden/>
          </w:rPr>
          <w:tab/>
        </w:r>
        <w:r>
          <w:rPr>
            <w:noProof/>
            <w:webHidden/>
          </w:rPr>
          <w:fldChar w:fldCharType="begin"/>
        </w:r>
        <w:r>
          <w:rPr>
            <w:noProof/>
            <w:webHidden/>
          </w:rPr>
          <w:instrText xml:space="preserve"> PAGEREF _Toc216391202 \h </w:instrText>
        </w:r>
        <w:r>
          <w:rPr>
            <w:noProof/>
            <w:webHidden/>
          </w:rPr>
        </w:r>
        <w:r>
          <w:rPr>
            <w:noProof/>
            <w:webHidden/>
          </w:rPr>
          <w:fldChar w:fldCharType="separate"/>
        </w:r>
        <w:r>
          <w:rPr>
            <w:noProof/>
            <w:webHidden/>
          </w:rPr>
          <w:t>10</w:t>
        </w:r>
        <w:r>
          <w:rPr>
            <w:noProof/>
            <w:webHidden/>
          </w:rPr>
          <w:fldChar w:fldCharType="end"/>
        </w:r>
      </w:hyperlink>
    </w:p>
    <w:p w14:paraId="49C0E024" w14:textId="34870C4C" w:rsidR="005C0402" w:rsidRDefault="005C0402">
      <w:pPr>
        <w:pStyle w:val="TableofFigures"/>
        <w:tabs>
          <w:tab w:val="right" w:leader="dot" w:pos="9016"/>
        </w:tabs>
        <w:rPr>
          <w:noProof/>
        </w:rPr>
      </w:pPr>
      <w:hyperlink w:anchor="_Toc216391203" w:history="1">
        <w:r w:rsidRPr="008E7D95">
          <w:rPr>
            <w:rStyle w:val="Hyperlink"/>
            <w:noProof/>
          </w:rPr>
          <w:t>Figure 11 - ESH 2 QD Map</w:t>
        </w:r>
        <w:r>
          <w:rPr>
            <w:noProof/>
            <w:webHidden/>
          </w:rPr>
          <w:tab/>
        </w:r>
        <w:r>
          <w:rPr>
            <w:noProof/>
            <w:webHidden/>
          </w:rPr>
          <w:fldChar w:fldCharType="begin"/>
        </w:r>
        <w:r>
          <w:rPr>
            <w:noProof/>
            <w:webHidden/>
          </w:rPr>
          <w:instrText xml:space="preserve"> PAGEREF _Toc216391203 \h </w:instrText>
        </w:r>
        <w:r>
          <w:rPr>
            <w:noProof/>
            <w:webHidden/>
          </w:rPr>
        </w:r>
        <w:r>
          <w:rPr>
            <w:noProof/>
            <w:webHidden/>
          </w:rPr>
          <w:fldChar w:fldCharType="separate"/>
        </w:r>
        <w:r>
          <w:rPr>
            <w:noProof/>
            <w:webHidden/>
          </w:rPr>
          <w:t>11</w:t>
        </w:r>
        <w:r>
          <w:rPr>
            <w:noProof/>
            <w:webHidden/>
          </w:rPr>
          <w:fldChar w:fldCharType="end"/>
        </w:r>
      </w:hyperlink>
    </w:p>
    <w:p w14:paraId="0763A3DE" w14:textId="2ECE591D" w:rsidR="005C0402" w:rsidRDefault="005C0402">
      <w:pPr>
        <w:pStyle w:val="TableofFigures"/>
        <w:tabs>
          <w:tab w:val="right" w:leader="dot" w:pos="9016"/>
        </w:tabs>
        <w:rPr>
          <w:noProof/>
        </w:rPr>
      </w:pPr>
      <w:hyperlink w:anchor="_Toc216391204" w:history="1">
        <w:r w:rsidRPr="008E7D95">
          <w:rPr>
            <w:rStyle w:val="Hyperlink"/>
            <w:noProof/>
          </w:rPr>
          <w:t>Figure 12 - ESH 2 Compliance Table</w:t>
        </w:r>
        <w:r>
          <w:rPr>
            <w:noProof/>
            <w:webHidden/>
          </w:rPr>
          <w:tab/>
        </w:r>
        <w:r>
          <w:rPr>
            <w:noProof/>
            <w:webHidden/>
          </w:rPr>
          <w:fldChar w:fldCharType="begin"/>
        </w:r>
        <w:r>
          <w:rPr>
            <w:noProof/>
            <w:webHidden/>
          </w:rPr>
          <w:instrText xml:space="preserve"> PAGEREF _Toc216391204 \h </w:instrText>
        </w:r>
        <w:r>
          <w:rPr>
            <w:noProof/>
            <w:webHidden/>
          </w:rPr>
        </w:r>
        <w:r>
          <w:rPr>
            <w:noProof/>
            <w:webHidden/>
          </w:rPr>
          <w:fldChar w:fldCharType="separate"/>
        </w:r>
        <w:r>
          <w:rPr>
            <w:noProof/>
            <w:webHidden/>
          </w:rPr>
          <w:t>11</w:t>
        </w:r>
        <w:r>
          <w:rPr>
            <w:noProof/>
            <w:webHidden/>
          </w:rPr>
          <w:fldChar w:fldCharType="end"/>
        </w:r>
      </w:hyperlink>
    </w:p>
    <w:p w14:paraId="14922683" w14:textId="3B190FBE" w:rsidR="005C0402" w:rsidRDefault="005C0402">
      <w:pPr>
        <w:pStyle w:val="TableofFigures"/>
        <w:tabs>
          <w:tab w:val="right" w:leader="dot" w:pos="9016"/>
        </w:tabs>
        <w:rPr>
          <w:noProof/>
        </w:rPr>
      </w:pPr>
      <w:hyperlink w:anchor="_Toc216391205" w:history="1">
        <w:r w:rsidRPr="008E7D95">
          <w:rPr>
            <w:rStyle w:val="Hyperlink"/>
            <w:noProof/>
          </w:rPr>
          <w:t>Figure 13 - ESH 3 QD Map</w:t>
        </w:r>
        <w:r>
          <w:rPr>
            <w:noProof/>
            <w:webHidden/>
          </w:rPr>
          <w:tab/>
        </w:r>
        <w:r>
          <w:rPr>
            <w:noProof/>
            <w:webHidden/>
          </w:rPr>
          <w:fldChar w:fldCharType="begin"/>
        </w:r>
        <w:r>
          <w:rPr>
            <w:noProof/>
            <w:webHidden/>
          </w:rPr>
          <w:instrText xml:space="preserve"> PAGEREF _Toc216391205 \h </w:instrText>
        </w:r>
        <w:r>
          <w:rPr>
            <w:noProof/>
            <w:webHidden/>
          </w:rPr>
        </w:r>
        <w:r>
          <w:rPr>
            <w:noProof/>
            <w:webHidden/>
          </w:rPr>
          <w:fldChar w:fldCharType="separate"/>
        </w:r>
        <w:r>
          <w:rPr>
            <w:noProof/>
            <w:webHidden/>
          </w:rPr>
          <w:t>12</w:t>
        </w:r>
        <w:r>
          <w:rPr>
            <w:noProof/>
            <w:webHidden/>
          </w:rPr>
          <w:fldChar w:fldCharType="end"/>
        </w:r>
      </w:hyperlink>
    </w:p>
    <w:p w14:paraId="45DC1F2B" w14:textId="36C8A7BA" w:rsidR="005C0402" w:rsidRDefault="005C0402">
      <w:pPr>
        <w:pStyle w:val="TableofFigures"/>
        <w:tabs>
          <w:tab w:val="right" w:leader="dot" w:pos="9016"/>
        </w:tabs>
        <w:rPr>
          <w:noProof/>
        </w:rPr>
      </w:pPr>
      <w:hyperlink w:anchor="_Toc216391206" w:history="1">
        <w:r w:rsidRPr="008E7D95">
          <w:rPr>
            <w:rStyle w:val="Hyperlink"/>
            <w:noProof/>
          </w:rPr>
          <w:t>Figure 14 - ESH 3 Compliance Table</w:t>
        </w:r>
        <w:r>
          <w:rPr>
            <w:noProof/>
            <w:webHidden/>
          </w:rPr>
          <w:tab/>
        </w:r>
        <w:r>
          <w:rPr>
            <w:noProof/>
            <w:webHidden/>
          </w:rPr>
          <w:fldChar w:fldCharType="begin"/>
        </w:r>
        <w:r>
          <w:rPr>
            <w:noProof/>
            <w:webHidden/>
          </w:rPr>
          <w:instrText xml:space="preserve"> PAGEREF _Toc216391206 \h </w:instrText>
        </w:r>
        <w:r>
          <w:rPr>
            <w:noProof/>
            <w:webHidden/>
          </w:rPr>
        </w:r>
        <w:r>
          <w:rPr>
            <w:noProof/>
            <w:webHidden/>
          </w:rPr>
          <w:fldChar w:fldCharType="separate"/>
        </w:r>
        <w:r>
          <w:rPr>
            <w:noProof/>
            <w:webHidden/>
          </w:rPr>
          <w:t>12</w:t>
        </w:r>
        <w:r>
          <w:rPr>
            <w:noProof/>
            <w:webHidden/>
          </w:rPr>
          <w:fldChar w:fldCharType="end"/>
        </w:r>
      </w:hyperlink>
    </w:p>
    <w:p w14:paraId="28A49B93" w14:textId="037317FF" w:rsidR="005C0402" w:rsidRDefault="005C0402">
      <w:pPr>
        <w:pStyle w:val="TableofFigures"/>
        <w:tabs>
          <w:tab w:val="right" w:leader="dot" w:pos="9016"/>
        </w:tabs>
        <w:rPr>
          <w:noProof/>
        </w:rPr>
      </w:pPr>
      <w:hyperlink w:anchor="_Toc216391207" w:history="1">
        <w:r w:rsidRPr="008E7D95">
          <w:rPr>
            <w:rStyle w:val="Hyperlink"/>
            <w:noProof/>
          </w:rPr>
          <w:t>Figure 15 - ESH 4 QD Map</w:t>
        </w:r>
        <w:r>
          <w:rPr>
            <w:noProof/>
            <w:webHidden/>
          </w:rPr>
          <w:tab/>
        </w:r>
        <w:r>
          <w:rPr>
            <w:noProof/>
            <w:webHidden/>
          </w:rPr>
          <w:fldChar w:fldCharType="begin"/>
        </w:r>
        <w:r>
          <w:rPr>
            <w:noProof/>
            <w:webHidden/>
          </w:rPr>
          <w:instrText xml:space="preserve"> PAGEREF _Toc216391207 \h </w:instrText>
        </w:r>
        <w:r>
          <w:rPr>
            <w:noProof/>
            <w:webHidden/>
          </w:rPr>
        </w:r>
        <w:r>
          <w:rPr>
            <w:noProof/>
            <w:webHidden/>
          </w:rPr>
          <w:fldChar w:fldCharType="separate"/>
        </w:r>
        <w:r>
          <w:rPr>
            <w:noProof/>
            <w:webHidden/>
          </w:rPr>
          <w:t>13</w:t>
        </w:r>
        <w:r>
          <w:rPr>
            <w:noProof/>
            <w:webHidden/>
          </w:rPr>
          <w:fldChar w:fldCharType="end"/>
        </w:r>
      </w:hyperlink>
    </w:p>
    <w:p w14:paraId="4DF11FE8" w14:textId="4933431B" w:rsidR="005C0402" w:rsidRDefault="005C0402">
      <w:pPr>
        <w:pStyle w:val="TableofFigures"/>
        <w:tabs>
          <w:tab w:val="right" w:leader="dot" w:pos="9016"/>
        </w:tabs>
        <w:rPr>
          <w:noProof/>
        </w:rPr>
      </w:pPr>
      <w:hyperlink w:anchor="_Toc216391208" w:history="1">
        <w:r w:rsidRPr="008E7D95">
          <w:rPr>
            <w:rStyle w:val="Hyperlink"/>
            <w:noProof/>
          </w:rPr>
          <w:t>Figure 16 - ESH 4 Compliance Table</w:t>
        </w:r>
        <w:r>
          <w:rPr>
            <w:noProof/>
            <w:webHidden/>
          </w:rPr>
          <w:tab/>
        </w:r>
        <w:r>
          <w:rPr>
            <w:noProof/>
            <w:webHidden/>
          </w:rPr>
          <w:fldChar w:fldCharType="begin"/>
        </w:r>
        <w:r>
          <w:rPr>
            <w:noProof/>
            <w:webHidden/>
          </w:rPr>
          <w:instrText xml:space="preserve"> PAGEREF _Toc216391208 \h </w:instrText>
        </w:r>
        <w:r>
          <w:rPr>
            <w:noProof/>
            <w:webHidden/>
          </w:rPr>
        </w:r>
        <w:r>
          <w:rPr>
            <w:noProof/>
            <w:webHidden/>
          </w:rPr>
          <w:fldChar w:fldCharType="separate"/>
        </w:r>
        <w:r>
          <w:rPr>
            <w:noProof/>
            <w:webHidden/>
          </w:rPr>
          <w:t>13</w:t>
        </w:r>
        <w:r>
          <w:rPr>
            <w:noProof/>
            <w:webHidden/>
          </w:rPr>
          <w:fldChar w:fldCharType="end"/>
        </w:r>
      </w:hyperlink>
    </w:p>
    <w:p w14:paraId="3661E864" w14:textId="59DCBA61" w:rsidR="005C0402" w:rsidRDefault="005C0402">
      <w:pPr>
        <w:pStyle w:val="TableofFigures"/>
        <w:tabs>
          <w:tab w:val="right" w:leader="dot" w:pos="9016"/>
        </w:tabs>
        <w:rPr>
          <w:noProof/>
        </w:rPr>
      </w:pPr>
      <w:hyperlink w:anchor="_Toc216391209" w:history="1">
        <w:r w:rsidRPr="008E7D95">
          <w:rPr>
            <w:rStyle w:val="Hyperlink"/>
            <w:noProof/>
          </w:rPr>
          <w:t>Figure 17 - ESH 5 QD Map</w:t>
        </w:r>
        <w:r>
          <w:rPr>
            <w:noProof/>
            <w:webHidden/>
          </w:rPr>
          <w:tab/>
        </w:r>
        <w:r>
          <w:rPr>
            <w:noProof/>
            <w:webHidden/>
          </w:rPr>
          <w:fldChar w:fldCharType="begin"/>
        </w:r>
        <w:r>
          <w:rPr>
            <w:noProof/>
            <w:webHidden/>
          </w:rPr>
          <w:instrText xml:space="preserve"> PAGEREF _Toc216391209 \h </w:instrText>
        </w:r>
        <w:r>
          <w:rPr>
            <w:noProof/>
            <w:webHidden/>
          </w:rPr>
        </w:r>
        <w:r>
          <w:rPr>
            <w:noProof/>
            <w:webHidden/>
          </w:rPr>
          <w:fldChar w:fldCharType="separate"/>
        </w:r>
        <w:r>
          <w:rPr>
            <w:noProof/>
            <w:webHidden/>
          </w:rPr>
          <w:t>14</w:t>
        </w:r>
        <w:r>
          <w:rPr>
            <w:noProof/>
            <w:webHidden/>
          </w:rPr>
          <w:fldChar w:fldCharType="end"/>
        </w:r>
      </w:hyperlink>
    </w:p>
    <w:p w14:paraId="651D0763" w14:textId="79566E65" w:rsidR="005C0402" w:rsidRDefault="005C0402">
      <w:pPr>
        <w:pStyle w:val="TableofFigures"/>
        <w:tabs>
          <w:tab w:val="right" w:leader="dot" w:pos="9016"/>
        </w:tabs>
        <w:rPr>
          <w:noProof/>
        </w:rPr>
      </w:pPr>
      <w:hyperlink w:anchor="_Toc216391210" w:history="1">
        <w:r w:rsidRPr="008E7D95">
          <w:rPr>
            <w:rStyle w:val="Hyperlink"/>
            <w:noProof/>
          </w:rPr>
          <w:t>Figure 18 - ESH 5 Compliance Table</w:t>
        </w:r>
        <w:r>
          <w:rPr>
            <w:noProof/>
            <w:webHidden/>
          </w:rPr>
          <w:tab/>
        </w:r>
        <w:r>
          <w:rPr>
            <w:noProof/>
            <w:webHidden/>
          </w:rPr>
          <w:fldChar w:fldCharType="begin"/>
        </w:r>
        <w:r>
          <w:rPr>
            <w:noProof/>
            <w:webHidden/>
          </w:rPr>
          <w:instrText xml:space="preserve"> PAGEREF _Toc216391210 \h </w:instrText>
        </w:r>
        <w:r>
          <w:rPr>
            <w:noProof/>
            <w:webHidden/>
          </w:rPr>
        </w:r>
        <w:r>
          <w:rPr>
            <w:noProof/>
            <w:webHidden/>
          </w:rPr>
          <w:fldChar w:fldCharType="separate"/>
        </w:r>
        <w:r>
          <w:rPr>
            <w:noProof/>
            <w:webHidden/>
          </w:rPr>
          <w:t>14</w:t>
        </w:r>
        <w:r>
          <w:rPr>
            <w:noProof/>
            <w:webHidden/>
          </w:rPr>
          <w:fldChar w:fldCharType="end"/>
        </w:r>
      </w:hyperlink>
    </w:p>
    <w:p w14:paraId="25B1509C" w14:textId="326EF0B0" w:rsidR="005C0402" w:rsidRDefault="005C0402">
      <w:pPr>
        <w:pStyle w:val="TableofFigures"/>
        <w:tabs>
          <w:tab w:val="right" w:leader="dot" w:pos="9016"/>
        </w:tabs>
        <w:rPr>
          <w:noProof/>
        </w:rPr>
      </w:pPr>
      <w:hyperlink w:anchor="_Toc216391211" w:history="1">
        <w:r w:rsidRPr="008E7D95">
          <w:rPr>
            <w:rStyle w:val="Hyperlink"/>
            <w:noProof/>
          </w:rPr>
          <w:t>Figure 19 - ESH Optimisation</w:t>
        </w:r>
        <w:r>
          <w:rPr>
            <w:noProof/>
            <w:webHidden/>
          </w:rPr>
          <w:tab/>
        </w:r>
        <w:r>
          <w:rPr>
            <w:noProof/>
            <w:webHidden/>
          </w:rPr>
          <w:fldChar w:fldCharType="begin"/>
        </w:r>
        <w:r>
          <w:rPr>
            <w:noProof/>
            <w:webHidden/>
          </w:rPr>
          <w:instrText xml:space="preserve"> PAGEREF _Toc216391211 \h </w:instrText>
        </w:r>
        <w:r>
          <w:rPr>
            <w:noProof/>
            <w:webHidden/>
          </w:rPr>
        </w:r>
        <w:r>
          <w:rPr>
            <w:noProof/>
            <w:webHidden/>
          </w:rPr>
          <w:fldChar w:fldCharType="separate"/>
        </w:r>
        <w:r>
          <w:rPr>
            <w:noProof/>
            <w:webHidden/>
          </w:rPr>
          <w:t>15</w:t>
        </w:r>
        <w:r>
          <w:rPr>
            <w:noProof/>
            <w:webHidden/>
          </w:rPr>
          <w:fldChar w:fldCharType="end"/>
        </w:r>
      </w:hyperlink>
    </w:p>
    <w:p w14:paraId="2EC52410" w14:textId="41CAAA7C" w:rsidR="003606AD" w:rsidRPr="003606AD" w:rsidRDefault="005C0402" w:rsidP="002308AD">
      <w:pPr>
        <w:pStyle w:val="Heading1"/>
      </w:pPr>
      <w:r>
        <w:fldChar w:fldCharType="end"/>
      </w:r>
      <w:bookmarkStart w:id="2" w:name="_Toc216392116"/>
      <w:bookmarkStart w:id="3" w:name="_Toc216432178"/>
      <w:r w:rsidR="003606AD">
        <w:t>Table of Acronyms &amp; Abbreviations</w:t>
      </w:r>
      <w:bookmarkEnd w:id="2"/>
      <w:bookmarkEnd w:id="3"/>
    </w:p>
    <w:tbl>
      <w:tblPr>
        <w:tblStyle w:val="TableGrid"/>
        <w:tblW w:w="0" w:type="auto"/>
        <w:tblLook w:val="04A0" w:firstRow="1" w:lastRow="0" w:firstColumn="1" w:lastColumn="0" w:noHBand="0" w:noVBand="1"/>
      </w:tblPr>
      <w:tblGrid>
        <w:gridCol w:w="4508"/>
        <w:gridCol w:w="4508"/>
      </w:tblGrid>
      <w:tr w:rsidR="00E72C6F" w:rsidRPr="00FA2316" w14:paraId="5C08D1E9" w14:textId="77777777" w:rsidTr="00FC3A2D">
        <w:tc>
          <w:tcPr>
            <w:tcW w:w="4508" w:type="dxa"/>
            <w:vAlign w:val="bottom"/>
          </w:tcPr>
          <w:p w14:paraId="2750CA24" w14:textId="04DE74DA" w:rsidR="00E72C6F" w:rsidRPr="00FA2316" w:rsidRDefault="00E72C6F" w:rsidP="00E72C6F">
            <w:pPr>
              <w:pStyle w:val="Acronyms"/>
              <w:rPr>
                <w:highlight w:val="yellow"/>
              </w:rPr>
            </w:pPr>
            <w:r>
              <w:rPr>
                <w:rFonts w:ascii="Aptos Narrow" w:hAnsi="Aptos Narrow"/>
                <w:color w:val="000000"/>
                <w:sz w:val="22"/>
                <w:szCs w:val="22"/>
              </w:rPr>
              <w:t>ECM</w:t>
            </w:r>
          </w:p>
        </w:tc>
        <w:tc>
          <w:tcPr>
            <w:tcW w:w="4508" w:type="dxa"/>
          </w:tcPr>
          <w:p w14:paraId="6167893D" w14:textId="04A42C03" w:rsidR="00E72C6F" w:rsidRPr="003606AD" w:rsidRDefault="00E72C6F" w:rsidP="00E72C6F">
            <w:pPr>
              <w:pStyle w:val="Acronyms"/>
            </w:pPr>
            <w:r w:rsidRPr="003606AD">
              <w:t>Earth Covered Magazine</w:t>
            </w:r>
          </w:p>
        </w:tc>
      </w:tr>
      <w:tr w:rsidR="00E72C6F" w:rsidRPr="00FA2316" w14:paraId="440362F3" w14:textId="77777777" w:rsidTr="00FC3A2D">
        <w:tc>
          <w:tcPr>
            <w:tcW w:w="4508" w:type="dxa"/>
            <w:vAlign w:val="bottom"/>
          </w:tcPr>
          <w:p w14:paraId="5969AEEF" w14:textId="653575EE" w:rsidR="00E72C6F" w:rsidRPr="00FA2316" w:rsidRDefault="00E72C6F" w:rsidP="00E72C6F">
            <w:pPr>
              <w:pStyle w:val="Acronyms"/>
              <w:rPr>
                <w:highlight w:val="yellow"/>
              </w:rPr>
            </w:pPr>
            <w:r>
              <w:rPr>
                <w:rFonts w:ascii="Aptos Narrow" w:hAnsi="Aptos Narrow"/>
                <w:color w:val="000000"/>
                <w:sz w:val="22"/>
                <w:szCs w:val="22"/>
              </w:rPr>
              <w:t>ELL</w:t>
            </w:r>
          </w:p>
        </w:tc>
        <w:tc>
          <w:tcPr>
            <w:tcW w:w="4508" w:type="dxa"/>
          </w:tcPr>
          <w:p w14:paraId="4668F81E" w14:textId="35CCF640" w:rsidR="00E72C6F" w:rsidRPr="003606AD" w:rsidRDefault="00E72C6F" w:rsidP="00E72C6F">
            <w:pPr>
              <w:pStyle w:val="Acronyms"/>
            </w:pPr>
            <w:r w:rsidRPr="003606AD">
              <w:t>Explosive Limit Licence</w:t>
            </w:r>
          </w:p>
        </w:tc>
      </w:tr>
      <w:tr w:rsidR="00E72C6F" w:rsidRPr="00FA2316" w14:paraId="433F71FC" w14:textId="77777777" w:rsidTr="00FC3A2D">
        <w:tc>
          <w:tcPr>
            <w:tcW w:w="4508" w:type="dxa"/>
            <w:vAlign w:val="bottom"/>
          </w:tcPr>
          <w:p w14:paraId="50F7EC21" w14:textId="4EFA2824" w:rsidR="00E72C6F" w:rsidRPr="00FA2316" w:rsidRDefault="00E72C6F" w:rsidP="00E72C6F">
            <w:pPr>
              <w:pStyle w:val="Acronyms"/>
              <w:rPr>
                <w:highlight w:val="yellow"/>
              </w:rPr>
            </w:pPr>
            <w:r>
              <w:rPr>
                <w:rFonts w:ascii="Aptos Narrow" w:hAnsi="Aptos Narrow"/>
                <w:color w:val="000000"/>
                <w:sz w:val="22"/>
                <w:szCs w:val="22"/>
              </w:rPr>
              <w:t>ESH</w:t>
            </w:r>
          </w:p>
        </w:tc>
        <w:tc>
          <w:tcPr>
            <w:tcW w:w="4508" w:type="dxa"/>
          </w:tcPr>
          <w:p w14:paraId="522A7E63" w14:textId="11376C84" w:rsidR="00E72C6F" w:rsidRPr="003606AD" w:rsidRDefault="00E72C6F" w:rsidP="00E72C6F">
            <w:pPr>
              <w:pStyle w:val="Acronyms"/>
            </w:pPr>
            <w:r w:rsidRPr="003606AD">
              <w:t>Explosive Store House</w:t>
            </w:r>
          </w:p>
        </w:tc>
      </w:tr>
      <w:tr w:rsidR="00E72C6F" w:rsidRPr="00FA2316" w14:paraId="53097E6E" w14:textId="77777777" w:rsidTr="00FC3A2D">
        <w:tc>
          <w:tcPr>
            <w:tcW w:w="4508" w:type="dxa"/>
            <w:vAlign w:val="bottom"/>
          </w:tcPr>
          <w:p w14:paraId="7404981A" w14:textId="6DE2D081" w:rsidR="00E72C6F" w:rsidRPr="00FA2316" w:rsidRDefault="00E72C6F" w:rsidP="00E72C6F">
            <w:pPr>
              <w:pStyle w:val="Acronyms"/>
              <w:rPr>
                <w:highlight w:val="yellow"/>
              </w:rPr>
            </w:pPr>
            <w:r>
              <w:rPr>
                <w:rFonts w:ascii="Aptos Narrow" w:hAnsi="Aptos Narrow"/>
                <w:color w:val="000000"/>
                <w:sz w:val="22"/>
                <w:szCs w:val="22"/>
              </w:rPr>
              <w:t>HD</w:t>
            </w:r>
          </w:p>
        </w:tc>
        <w:tc>
          <w:tcPr>
            <w:tcW w:w="4508" w:type="dxa"/>
          </w:tcPr>
          <w:p w14:paraId="6F4C0931" w14:textId="4A2DA154" w:rsidR="00E72C6F" w:rsidRPr="003606AD" w:rsidRDefault="00E72C6F" w:rsidP="00E72C6F">
            <w:pPr>
              <w:pStyle w:val="Acronyms"/>
            </w:pPr>
            <w:r w:rsidRPr="003606AD">
              <w:t>Hazard Division</w:t>
            </w:r>
          </w:p>
        </w:tc>
      </w:tr>
      <w:tr w:rsidR="00E72C6F" w:rsidRPr="00FA2316" w14:paraId="187FABC9" w14:textId="77777777" w:rsidTr="00FC3A2D">
        <w:tc>
          <w:tcPr>
            <w:tcW w:w="4508" w:type="dxa"/>
            <w:vAlign w:val="bottom"/>
          </w:tcPr>
          <w:p w14:paraId="2E4435E0" w14:textId="3165E67E" w:rsidR="00E72C6F" w:rsidRPr="00FA2316" w:rsidRDefault="00E72C6F" w:rsidP="00E72C6F">
            <w:pPr>
              <w:pStyle w:val="Acronyms"/>
              <w:rPr>
                <w:highlight w:val="yellow"/>
              </w:rPr>
            </w:pPr>
            <w:r>
              <w:rPr>
                <w:rFonts w:ascii="Aptos Narrow" w:hAnsi="Aptos Narrow"/>
                <w:color w:val="000000"/>
                <w:sz w:val="22"/>
                <w:szCs w:val="22"/>
              </w:rPr>
              <w:t>IATG</w:t>
            </w:r>
          </w:p>
        </w:tc>
        <w:tc>
          <w:tcPr>
            <w:tcW w:w="4508" w:type="dxa"/>
          </w:tcPr>
          <w:p w14:paraId="09D3AC25" w14:textId="187F1A4C" w:rsidR="00E72C6F" w:rsidRPr="003606AD" w:rsidRDefault="00E72C6F" w:rsidP="00E72C6F">
            <w:pPr>
              <w:pStyle w:val="Acronyms"/>
            </w:pPr>
            <w:r w:rsidRPr="003606AD">
              <w:t>Internation Ammunition Technical Guideline</w:t>
            </w:r>
          </w:p>
        </w:tc>
      </w:tr>
      <w:tr w:rsidR="00E72C6F" w:rsidRPr="00FA2316" w14:paraId="142D314F" w14:textId="77777777" w:rsidTr="00FC3A2D">
        <w:tc>
          <w:tcPr>
            <w:tcW w:w="4508" w:type="dxa"/>
            <w:vAlign w:val="bottom"/>
          </w:tcPr>
          <w:p w14:paraId="74EDF52A" w14:textId="2D482C8B" w:rsidR="00E72C6F" w:rsidRPr="00FA2316" w:rsidRDefault="00E72C6F" w:rsidP="00E72C6F">
            <w:pPr>
              <w:pStyle w:val="Acronyms"/>
              <w:rPr>
                <w:highlight w:val="yellow"/>
              </w:rPr>
            </w:pPr>
            <w:r>
              <w:rPr>
                <w:rFonts w:ascii="Aptos Narrow" w:hAnsi="Aptos Narrow"/>
                <w:color w:val="000000"/>
                <w:sz w:val="22"/>
                <w:szCs w:val="22"/>
              </w:rPr>
              <w:t>IBD</w:t>
            </w:r>
          </w:p>
        </w:tc>
        <w:tc>
          <w:tcPr>
            <w:tcW w:w="4508" w:type="dxa"/>
          </w:tcPr>
          <w:p w14:paraId="67E34078" w14:textId="4675FECF" w:rsidR="00E72C6F" w:rsidRPr="003606AD" w:rsidRDefault="00E72C6F" w:rsidP="00E72C6F">
            <w:pPr>
              <w:pStyle w:val="Acronyms"/>
            </w:pPr>
            <w:r w:rsidRPr="003606AD">
              <w:t>Inhabited Building Distance</w:t>
            </w:r>
          </w:p>
        </w:tc>
      </w:tr>
      <w:tr w:rsidR="00E72C6F" w:rsidRPr="00FA2316" w14:paraId="1D2EEA33" w14:textId="77777777" w:rsidTr="00FC3A2D">
        <w:tc>
          <w:tcPr>
            <w:tcW w:w="4508" w:type="dxa"/>
            <w:vAlign w:val="bottom"/>
          </w:tcPr>
          <w:p w14:paraId="24C964E4" w14:textId="44E18FE3" w:rsidR="00E72C6F" w:rsidRPr="00FA2316" w:rsidRDefault="00E72C6F" w:rsidP="00E72C6F">
            <w:pPr>
              <w:pStyle w:val="Acronyms"/>
              <w:rPr>
                <w:highlight w:val="yellow"/>
              </w:rPr>
            </w:pPr>
            <w:r>
              <w:rPr>
                <w:rFonts w:ascii="Aptos Narrow" w:hAnsi="Aptos Narrow"/>
                <w:color w:val="000000"/>
                <w:sz w:val="22"/>
                <w:szCs w:val="22"/>
              </w:rPr>
              <w:t>MOD</w:t>
            </w:r>
          </w:p>
        </w:tc>
        <w:tc>
          <w:tcPr>
            <w:tcW w:w="4508" w:type="dxa"/>
          </w:tcPr>
          <w:p w14:paraId="5D30335A" w14:textId="5CB6F59C" w:rsidR="00E72C6F" w:rsidRPr="003606AD" w:rsidRDefault="00E72C6F" w:rsidP="00E72C6F">
            <w:pPr>
              <w:pStyle w:val="Acronyms"/>
            </w:pPr>
            <w:r w:rsidRPr="003606AD">
              <w:t>Ministry of Defence</w:t>
            </w:r>
          </w:p>
        </w:tc>
      </w:tr>
      <w:tr w:rsidR="00E72C6F" w:rsidRPr="00FA2316" w14:paraId="3676898B" w14:textId="77777777" w:rsidTr="00FC3A2D">
        <w:tc>
          <w:tcPr>
            <w:tcW w:w="4508" w:type="dxa"/>
            <w:vAlign w:val="bottom"/>
          </w:tcPr>
          <w:p w14:paraId="2BDB6C96" w14:textId="1C59C492" w:rsidR="00E72C6F" w:rsidRPr="00FA2316" w:rsidRDefault="00E72C6F" w:rsidP="00E72C6F">
            <w:pPr>
              <w:pStyle w:val="Acronyms"/>
              <w:rPr>
                <w:highlight w:val="yellow"/>
              </w:rPr>
            </w:pPr>
            <w:r>
              <w:rPr>
                <w:rFonts w:ascii="Aptos Narrow" w:hAnsi="Aptos Narrow"/>
                <w:color w:val="000000"/>
                <w:sz w:val="22"/>
                <w:szCs w:val="22"/>
              </w:rPr>
              <w:t>MTDS</w:t>
            </w:r>
          </w:p>
        </w:tc>
        <w:tc>
          <w:tcPr>
            <w:tcW w:w="4508" w:type="dxa"/>
          </w:tcPr>
          <w:p w14:paraId="1BE189F7" w14:textId="56D25BBD" w:rsidR="00E72C6F" w:rsidRPr="003606AD" w:rsidRDefault="00E72C6F" w:rsidP="00E72C6F">
            <w:pPr>
              <w:pStyle w:val="Acronyms"/>
            </w:pPr>
            <w:r w:rsidRPr="003606AD">
              <w:t>Manufacture</w:t>
            </w:r>
            <w:r w:rsidR="003606AD" w:rsidRPr="003606AD">
              <w:t xml:space="preserve"> to Target or Disposal Sequence</w:t>
            </w:r>
          </w:p>
        </w:tc>
      </w:tr>
      <w:tr w:rsidR="00E72C6F" w:rsidRPr="00FA2316" w14:paraId="1E45D4CE" w14:textId="77777777" w:rsidTr="00FC3A2D">
        <w:tc>
          <w:tcPr>
            <w:tcW w:w="4508" w:type="dxa"/>
            <w:vAlign w:val="bottom"/>
          </w:tcPr>
          <w:p w14:paraId="7C8777E7" w14:textId="3AD6C4FE" w:rsidR="00E72C6F" w:rsidRPr="00FA2316" w:rsidRDefault="00E72C6F" w:rsidP="00E72C6F">
            <w:pPr>
              <w:pStyle w:val="Acronyms"/>
              <w:rPr>
                <w:highlight w:val="yellow"/>
              </w:rPr>
            </w:pPr>
            <w:r>
              <w:rPr>
                <w:rFonts w:ascii="Aptos Narrow" w:hAnsi="Aptos Narrow"/>
                <w:color w:val="000000"/>
                <w:sz w:val="22"/>
                <w:szCs w:val="22"/>
              </w:rPr>
              <w:t>NEQ</w:t>
            </w:r>
          </w:p>
        </w:tc>
        <w:tc>
          <w:tcPr>
            <w:tcW w:w="4508" w:type="dxa"/>
          </w:tcPr>
          <w:p w14:paraId="740FD406" w14:textId="0E541437" w:rsidR="00E72C6F" w:rsidRPr="003606AD" w:rsidRDefault="003606AD" w:rsidP="00E72C6F">
            <w:pPr>
              <w:pStyle w:val="Acronyms"/>
            </w:pPr>
            <w:r w:rsidRPr="003606AD">
              <w:t>Net Explosive Quantity</w:t>
            </w:r>
          </w:p>
        </w:tc>
      </w:tr>
      <w:tr w:rsidR="00E72C6F" w:rsidRPr="00FA2316" w14:paraId="136EA597" w14:textId="77777777" w:rsidTr="00FC3A2D">
        <w:tc>
          <w:tcPr>
            <w:tcW w:w="4508" w:type="dxa"/>
            <w:vAlign w:val="bottom"/>
          </w:tcPr>
          <w:p w14:paraId="26DF1F6A" w14:textId="5C5027B4" w:rsidR="00E72C6F" w:rsidRPr="00FA2316" w:rsidRDefault="00E72C6F" w:rsidP="00E72C6F">
            <w:pPr>
              <w:pStyle w:val="Acronyms"/>
              <w:rPr>
                <w:highlight w:val="yellow"/>
              </w:rPr>
            </w:pPr>
            <w:r>
              <w:rPr>
                <w:rFonts w:ascii="Aptos Narrow" w:hAnsi="Aptos Narrow"/>
                <w:color w:val="000000"/>
                <w:sz w:val="22"/>
                <w:szCs w:val="22"/>
              </w:rPr>
              <w:t>PES</w:t>
            </w:r>
          </w:p>
        </w:tc>
        <w:tc>
          <w:tcPr>
            <w:tcW w:w="4508" w:type="dxa"/>
          </w:tcPr>
          <w:p w14:paraId="58C4DD67" w14:textId="3F4EE463" w:rsidR="00E72C6F" w:rsidRPr="003606AD" w:rsidRDefault="003606AD" w:rsidP="00E72C6F">
            <w:pPr>
              <w:pStyle w:val="Acronyms"/>
            </w:pPr>
            <w:r w:rsidRPr="003606AD">
              <w:t>Potential Explosive Site</w:t>
            </w:r>
          </w:p>
        </w:tc>
      </w:tr>
      <w:tr w:rsidR="00E72C6F" w:rsidRPr="00FA2316" w14:paraId="10E87B35" w14:textId="77777777" w:rsidTr="00FC3A2D">
        <w:tc>
          <w:tcPr>
            <w:tcW w:w="4508" w:type="dxa"/>
            <w:vAlign w:val="bottom"/>
          </w:tcPr>
          <w:p w14:paraId="16D35E49" w14:textId="0A0FFFA8" w:rsidR="00E72C6F" w:rsidRPr="00FA2316" w:rsidRDefault="00E72C6F" w:rsidP="00E72C6F">
            <w:pPr>
              <w:pStyle w:val="Acronyms"/>
              <w:rPr>
                <w:highlight w:val="yellow"/>
              </w:rPr>
            </w:pPr>
            <w:r>
              <w:rPr>
                <w:rFonts w:ascii="Aptos Narrow" w:hAnsi="Aptos Narrow"/>
                <w:color w:val="000000"/>
                <w:sz w:val="22"/>
                <w:szCs w:val="22"/>
              </w:rPr>
              <w:t>PTRD</w:t>
            </w:r>
          </w:p>
        </w:tc>
        <w:tc>
          <w:tcPr>
            <w:tcW w:w="4508" w:type="dxa"/>
          </w:tcPr>
          <w:p w14:paraId="45D4D47C" w14:textId="226AED8F" w:rsidR="00E72C6F" w:rsidRPr="003606AD" w:rsidRDefault="003606AD" w:rsidP="00E72C6F">
            <w:pPr>
              <w:pStyle w:val="Acronyms"/>
            </w:pPr>
            <w:r w:rsidRPr="003606AD">
              <w:t>Public Traffic Route Distance</w:t>
            </w:r>
          </w:p>
        </w:tc>
      </w:tr>
      <w:tr w:rsidR="00E72C6F" w:rsidRPr="00FA2316" w14:paraId="07A8988B" w14:textId="77777777" w:rsidTr="00FC3A2D">
        <w:tc>
          <w:tcPr>
            <w:tcW w:w="4508" w:type="dxa"/>
            <w:vAlign w:val="bottom"/>
          </w:tcPr>
          <w:p w14:paraId="41CB51C8" w14:textId="22CF8CA6" w:rsidR="00E72C6F" w:rsidRPr="00FA2316" w:rsidRDefault="00E72C6F" w:rsidP="00E72C6F">
            <w:pPr>
              <w:pStyle w:val="Acronyms"/>
              <w:rPr>
                <w:highlight w:val="yellow"/>
              </w:rPr>
            </w:pPr>
            <w:r>
              <w:rPr>
                <w:rFonts w:ascii="Aptos Narrow" w:hAnsi="Aptos Narrow"/>
                <w:color w:val="000000"/>
                <w:sz w:val="22"/>
                <w:szCs w:val="22"/>
              </w:rPr>
              <w:t>QD</w:t>
            </w:r>
          </w:p>
        </w:tc>
        <w:tc>
          <w:tcPr>
            <w:tcW w:w="4508" w:type="dxa"/>
          </w:tcPr>
          <w:p w14:paraId="300D41F8" w14:textId="7B2FBCB1" w:rsidR="00E72C6F" w:rsidRPr="003606AD" w:rsidRDefault="003606AD" w:rsidP="00E72C6F">
            <w:pPr>
              <w:pStyle w:val="Acronyms"/>
            </w:pPr>
            <w:r w:rsidRPr="003606AD">
              <w:t>Quantity Distance</w:t>
            </w:r>
          </w:p>
        </w:tc>
      </w:tr>
      <w:tr w:rsidR="00E72C6F" w:rsidRPr="00FA2316" w14:paraId="21CD018F" w14:textId="77777777" w:rsidTr="00FC3A2D">
        <w:tc>
          <w:tcPr>
            <w:tcW w:w="4508" w:type="dxa"/>
            <w:vAlign w:val="bottom"/>
          </w:tcPr>
          <w:p w14:paraId="69F0D0FA" w14:textId="0F539420" w:rsidR="00E72C6F" w:rsidRPr="00FA2316" w:rsidRDefault="00E72C6F" w:rsidP="00E72C6F">
            <w:pPr>
              <w:pStyle w:val="Acronyms"/>
              <w:rPr>
                <w:highlight w:val="yellow"/>
              </w:rPr>
            </w:pPr>
            <w:r>
              <w:rPr>
                <w:rFonts w:ascii="Aptos Narrow" w:hAnsi="Aptos Narrow"/>
                <w:color w:val="000000"/>
                <w:sz w:val="22"/>
                <w:szCs w:val="22"/>
              </w:rPr>
              <w:t>UK</w:t>
            </w:r>
          </w:p>
        </w:tc>
        <w:tc>
          <w:tcPr>
            <w:tcW w:w="4508" w:type="dxa"/>
          </w:tcPr>
          <w:p w14:paraId="568E07C5" w14:textId="519954C1" w:rsidR="00E72C6F" w:rsidRPr="003606AD" w:rsidRDefault="003606AD" w:rsidP="00E72C6F">
            <w:pPr>
              <w:pStyle w:val="Acronyms"/>
            </w:pPr>
            <w:r w:rsidRPr="003606AD">
              <w:t>United Kingdom</w:t>
            </w:r>
          </w:p>
        </w:tc>
      </w:tr>
      <w:tr w:rsidR="00E72C6F" w:rsidRPr="00FA2316" w14:paraId="2523DE4A" w14:textId="77777777" w:rsidTr="00FC3A2D">
        <w:tc>
          <w:tcPr>
            <w:tcW w:w="4508" w:type="dxa"/>
            <w:vAlign w:val="bottom"/>
          </w:tcPr>
          <w:p w14:paraId="50C1A17E" w14:textId="14663E9C" w:rsidR="00E72C6F" w:rsidRPr="00FA2316" w:rsidRDefault="00E72C6F" w:rsidP="00E72C6F">
            <w:pPr>
              <w:pStyle w:val="Acronyms"/>
              <w:rPr>
                <w:highlight w:val="yellow"/>
              </w:rPr>
            </w:pPr>
            <w:r>
              <w:rPr>
                <w:rFonts w:ascii="Aptos Narrow" w:hAnsi="Aptos Narrow"/>
                <w:color w:val="000000"/>
                <w:sz w:val="22"/>
                <w:szCs w:val="22"/>
              </w:rPr>
              <w:t>UWTSD</w:t>
            </w:r>
          </w:p>
        </w:tc>
        <w:tc>
          <w:tcPr>
            <w:tcW w:w="4508" w:type="dxa"/>
          </w:tcPr>
          <w:p w14:paraId="2F5D30BF" w14:textId="04974ECC" w:rsidR="00E72C6F" w:rsidRPr="003606AD" w:rsidRDefault="003606AD" w:rsidP="00E72C6F">
            <w:pPr>
              <w:pStyle w:val="Acronyms"/>
            </w:pPr>
            <w:r w:rsidRPr="003606AD">
              <w:t>University of Wales Trinity Saint David</w:t>
            </w:r>
          </w:p>
        </w:tc>
      </w:tr>
      <w:tr w:rsidR="00E72C6F" w:rsidRPr="00FA2316" w14:paraId="2F5E5C35" w14:textId="77777777" w:rsidTr="00FC3A2D">
        <w:tc>
          <w:tcPr>
            <w:tcW w:w="4508" w:type="dxa"/>
            <w:vAlign w:val="bottom"/>
          </w:tcPr>
          <w:p w14:paraId="6C137A9F" w14:textId="317C95E1" w:rsidR="00E72C6F" w:rsidRPr="00FA2316" w:rsidRDefault="00E72C6F" w:rsidP="00E72C6F">
            <w:pPr>
              <w:pStyle w:val="Acronyms"/>
              <w:rPr>
                <w:highlight w:val="yellow"/>
              </w:rPr>
            </w:pPr>
            <w:r>
              <w:rPr>
                <w:rFonts w:ascii="Aptos Narrow" w:hAnsi="Aptos Narrow"/>
                <w:color w:val="000000"/>
                <w:sz w:val="22"/>
                <w:szCs w:val="22"/>
              </w:rPr>
              <w:t>VBD</w:t>
            </w:r>
          </w:p>
        </w:tc>
        <w:tc>
          <w:tcPr>
            <w:tcW w:w="4508" w:type="dxa"/>
          </w:tcPr>
          <w:p w14:paraId="42541960" w14:textId="0C99AD8B" w:rsidR="00E72C6F" w:rsidRPr="003606AD" w:rsidRDefault="003606AD" w:rsidP="00E72C6F">
            <w:pPr>
              <w:pStyle w:val="Acronyms"/>
            </w:pPr>
            <w:r w:rsidRPr="003606AD">
              <w:t>Vulnerable Building Distance</w:t>
            </w:r>
          </w:p>
        </w:tc>
      </w:tr>
    </w:tbl>
    <w:p w14:paraId="690712D6" w14:textId="77777777" w:rsidR="008F603D" w:rsidRDefault="008F603D" w:rsidP="005C0402">
      <w:pPr>
        <w:pStyle w:val="Heading1"/>
      </w:pPr>
    </w:p>
    <w:p w14:paraId="4532E403" w14:textId="77777777" w:rsidR="008F603D" w:rsidRDefault="008F603D" w:rsidP="005C0402">
      <w:pPr>
        <w:pStyle w:val="Heading1"/>
      </w:pPr>
    </w:p>
    <w:p w14:paraId="2D5283A8" w14:textId="77777777" w:rsidR="003606AD" w:rsidRDefault="003606AD" w:rsidP="003606AD"/>
    <w:p w14:paraId="56269670" w14:textId="77777777" w:rsidR="003606AD" w:rsidRDefault="003606AD" w:rsidP="003606AD"/>
    <w:p w14:paraId="68C66C83" w14:textId="77777777" w:rsidR="003606AD" w:rsidRDefault="003606AD" w:rsidP="003606AD"/>
    <w:p w14:paraId="1F1458BA" w14:textId="77777777" w:rsidR="003606AD" w:rsidRDefault="003606AD" w:rsidP="003606AD"/>
    <w:p w14:paraId="170449B1" w14:textId="77777777" w:rsidR="003606AD" w:rsidRDefault="003606AD" w:rsidP="003606AD"/>
    <w:p w14:paraId="0019B356" w14:textId="77777777" w:rsidR="003606AD" w:rsidRDefault="003606AD" w:rsidP="003606AD"/>
    <w:p w14:paraId="430D7C32" w14:textId="77777777" w:rsidR="003606AD" w:rsidRPr="003606AD" w:rsidRDefault="003606AD" w:rsidP="003606AD"/>
    <w:p w14:paraId="6C1D360D" w14:textId="77777777" w:rsidR="008F603D" w:rsidRDefault="008F603D" w:rsidP="005C0402">
      <w:pPr>
        <w:pStyle w:val="Heading1"/>
      </w:pPr>
    </w:p>
    <w:p w14:paraId="64FE89C7" w14:textId="77777777" w:rsidR="008F603D" w:rsidRDefault="008F603D" w:rsidP="005C0402">
      <w:pPr>
        <w:pStyle w:val="Heading1"/>
      </w:pPr>
    </w:p>
    <w:p w14:paraId="150AC762" w14:textId="77777777" w:rsidR="003606AD" w:rsidRDefault="003606AD" w:rsidP="000F3288">
      <w:pPr>
        <w:jc w:val="both"/>
      </w:pPr>
    </w:p>
    <w:p w14:paraId="78CDFEA8" w14:textId="782D1589" w:rsidR="003606AD" w:rsidRDefault="003606AD" w:rsidP="003606AD">
      <w:pPr>
        <w:pStyle w:val="Heading1"/>
      </w:pPr>
      <w:bookmarkStart w:id="4" w:name="_Toc216432179"/>
      <w:r>
        <w:t>Introduction</w:t>
      </w:r>
      <w:bookmarkEnd w:id="4"/>
      <w:r>
        <w:t xml:space="preserve"> </w:t>
      </w:r>
    </w:p>
    <w:p w14:paraId="381C442B" w14:textId="12D96BA6" w:rsidR="00730E0B" w:rsidRDefault="00730E0B" w:rsidP="000F3288">
      <w:pPr>
        <w:jc w:val="both"/>
      </w:pPr>
      <w:r>
        <w:t>Ensuring safe operation is the number one priority when dealing with explosive material in any part of its lifecycle.</w:t>
      </w:r>
      <w:r w:rsidR="000F3288">
        <w:t xml:space="preserve"> </w:t>
      </w:r>
      <w:r>
        <w:t xml:space="preserve"> A term commonly used in the industry is Manufacture to Target or Disposal Sequence (MTDS), which refers to an articles entire lifecycle from manufacture to the point of disposal. The MTDS will include multiple forms of safety assessments to show that the engineers have </w:t>
      </w:r>
      <w:r w:rsidR="000F3288">
        <w:t xml:space="preserve">considered the risks for every situation the article may encounter. </w:t>
      </w:r>
      <w:sdt>
        <w:sdtPr>
          <w:id w:val="-379626192"/>
          <w:citation/>
        </w:sdtPr>
        <w:sdtContent>
          <w:r w:rsidR="003279C5">
            <w:fldChar w:fldCharType="begin"/>
          </w:r>
          <w:r w:rsidR="003279C5">
            <w:instrText xml:space="preserve"> CITATION Def24 \l 2057 </w:instrText>
          </w:r>
          <w:r w:rsidR="003279C5">
            <w:fldChar w:fldCharType="separate"/>
          </w:r>
          <w:r w:rsidR="00177677" w:rsidRPr="00177677">
            <w:rPr>
              <w:noProof/>
            </w:rPr>
            <w:t>[1]</w:t>
          </w:r>
          <w:r w:rsidR="003279C5">
            <w:fldChar w:fldCharType="end"/>
          </w:r>
        </w:sdtContent>
      </w:sdt>
      <w:r w:rsidR="00177677">
        <w:t xml:space="preserve"> </w:t>
      </w:r>
      <w:r w:rsidR="000F3288">
        <w:t>Part of the lifecycle for a munition that must be considered is storage, which is what this safety report will explore in detail regarding a proposal submitted to Swansea City &amp; County Council (the Council) for a new explosive storage facility</w:t>
      </w:r>
      <w:r w:rsidR="00D14DF2">
        <w:t xml:space="preserve"> by Big Bang Storage Solutions</w:t>
      </w:r>
      <w:r w:rsidR="000F3288">
        <w:t xml:space="preserve">. </w:t>
      </w:r>
      <w:r w:rsidR="00AD1340">
        <w:t xml:space="preserve">This report will analyse the proposal submitted by the company in detail to state if it is factual and within the guidelines of the legislation. This report can be used to aid the Council’s decision and provide the company with feedback on their proposal. </w:t>
      </w:r>
    </w:p>
    <w:p w14:paraId="11E0E3E8" w14:textId="1097B7C1" w:rsidR="00DD2F9A" w:rsidRDefault="00DD2F9A" w:rsidP="00316C4D">
      <w:pPr>
        <w:jc w:val="both"/>
      </w:pPr>
      <w:r>
        <w:t xml:space="preserve">For storage applications, there must be considerations for specific </w:t>
      </w:r>
      <w:r w:rsidR="008E5DC9">
        <w:t>H</w:t>
      </w:r>
      <w:r>
        <w:t xml:space="preserve">azard </w:t>
      </w:r>
      <w:r w:rsidR="008E5DC9">
        <w:t>D</w:t>
      </w:r>
      <w:r>
        <w:t>ivisions</w:t>
      </w:r>
      <w:r w:rsidR="008E5DC9">
        <w:t xml:space="preserve"> (HD)</w:t>
      </w:r>
      <w:r>
        <w:t xml:space="preserve"> and compatibility groups. </w:t>
      </w:r>
      <w:r w:rsidR="00BA22BF">
        <w:t>HDs are used in industry to describe the type of explosive hazard that the article or material may produce in an event.</w:t>
      </w:r>
      <w:r w:rsidR="0034002E">
        <w:t xml:space="preserve"> Knowing the exact hazards of the</w:t>
      </w:r>
      <w:r w:rsidR="00B23A97">
        <w:t xml:space="preserve"> stored</w:t>
      </w:r>
      <w:r w:rsidR="0034002E">
        <w:t xml:space="preserve"> product is important to allow an understanding of the protocol individuals must follow</w:t>
      </w:r>
      <w:r w:rsidR="00316C4D">
        <w:t xml:space="preserve"> and actions first responders must take</w:t>
      </w:r>
      <w:r w:rsidR="0034002E">
        <w:t xml:space="preserve"> if an </w:t>
      </w:r>
      <w:r w:rsidR="001723EC">
        <w:t>incident</w:t>
      </w:r>
      <w:r w:rsidR="0034002E">
        <w:t xml:space="preserve"> was to </w:t>
      </w:r>
      <w:r w:rsidR="00B23A97">
        <w:t>occur</w:t>
      </w:r>
      <w:r w:rsidR="00316C4D">
        <w:t>.</w:t>
      </w:r>
      <w:r w:rsidR="00BA22BF">
        <w:t xml:space="preserve"> A breakdown </w:t>
      </w:r>
      <w:r w:rsidR="00316C4D">
        <w:t xml:space="preserve">of HDs </w:t>
      </w:r>
      <w:r w:rsidR="00BA22BF">
        <w:t>with examples can be seen below:</w:t>
      </w:r>
    </w:p>
    <w:p w14:paraId="6D33D135" w14:textId="42405117" w:rsidR="00BA22BF" w:rsidRDefault="00BA22BF" w:rsidP="00BA22BF">
      <w:pPr>
        <w:pStyle w:val="ListParagraph"/>
        <w:numPr>
          <w:ilvl w:val="0"/>
          <w:numId w:val="1"/>
        </w:numPr>
        <w:jc w:val="both"/>
      </w:pPr>
      <w:r>
        <w:t>HD 1.1 – Mass Explosion Hazard</w:t>
      </w:r>
    </w:p>
    <w:p w14:paraId="6D77B427" w14:textId="510557A1" w:rsidR="00BA22BF" w:rsidRDefault="00BA22BF" w:rsidP="00BA22BF">
      <w:pPr>
        <w:pStyle w:val="ListParagraph"/>
        <w:numPr>
          <w:ilvl w:val="1"/>
          <w:numId w:val="1"/>
        </w:numPr>
        <w:jc w:val="both"/>
      </w:pPr>
      <w:r>
        <w:t>Example - Bulk high explosive material</w:t>
      </w:r>
    </w:p>
    <w:p w14:paraId="6C192EEB" w14:textId="0B1AD860" w:rsidR="00BA22BF" w:rsidRDefault="00BA22BF" w:rsidP="00BA22BF">
      <w:pPr>
        <w:pStyle w:val="ListParagraph"/>
        <w:numPr>
          <w:ilvl w:val="0"/>
          <w:numId w:val="1"/>
        </w:numPr>
        <w:jc w:val="both"/>
      </w:pPr>
      <w:r>
        <w:t>HD 1.2 – Severe Projection Hazard</w:t>
      </w:r>
    </w:p>
    <w:p w14:paraId="779C17BE" w14:textId="064EC72D" w:rsidR="00BA22BF" w:rsidRDefault="00BA22BF" w:rsidP="00BA22BF">
      <w:pPr>
        <w:pStyle w:val="ListParagraph"/>
        <w:numPr>
          <w:ilvl w:val="1"/>
          <w:numId w:val="1"/>
        </w:numPr>
        <w:jc w:val="both"/>
      </w:pPr>
      <w:r>
        <w:t>Projection hazard without mass explosion</w:t>
      </w:r>
    </w:p>
    <w:p w14:paraId="2B2B3F95" w14:textId="127AD39E" w:rsidR="00BA22BF" w:rsidRDefault="00BA22BF" w:rsidP="00BA22BF">
      <w:pPr>
        <w:pStyle w:val="ListParagraph"/>
        <w:numPr>
          <w:ilvl w:val="1"/>
          <w:numId w:val="1"/>
        </w:numPr>
        <w:jc w:val="both"/>
      </w:pPr>
      <w:r>
        <w:t>Example – Mortar Bombs</w:t>
      </w:r>
    </w:p>
    <w:p w14:paraId="7D3A72C1" w14:textId="072340BF" w:rsidR="00BA22BF" w:rsidRDefault="00BA22BF" w:rsidP="00BA22BF">
      <w:pPr>
        <w:pStyle w:val="ListParagraph"/>
        <w:numPr>
          <w:ilvl w:val="0"/>
          <w:numId w:val="1"/>
        </w:numPr>
        <w:jc w:val="both"/>
      </w:pPr>
      <w:r>
        <w:lastRenderedPageBreak/>
        <w:t xml:space="preserve">HD 1.3 </w:t>
      </w:r>
      <w:r w:rsidR="004A6021">
        <w:t>–</w:t>
      </w:r>
      <w:r>
        <w:t xml:space="preserve"> </w:t>
      </w:r>
      <w:r w:rsidR="004A6021">
        <w:t>Fire Hazard</w:t>
      </w:r>
    </w:p>
    <w:p w14:paraId="7B64044D" w14:textId="4E290794" w:rsidR="004A6021" w:rsidRDefault="004A6021" w:rsidP="004A6021">
      <w:pPr>
        <w:pStyle w:val="ListParagraph"/>
        <w:numPr>
          <w:ilvl w:val="1"/>
          <w:numId w:val="1"/>
        </w:numPr>
        <w:jc w:val="both"/>
      </w:pPr>
      <w:r>
        <w:t>Intense fire with minor blast or projection hazard</w:t>
      </w:r>
    </w:p>
    <w:p w14:paraId="0B041916" w14:textId="31DF4372" w:rsidR="004A6021" w:rsidRDefault="004A6021" w:rsidP="004A6021">
      <w:pPr>
        <w:pStyle w:val="ListParagraph"/>
        <w:numPr>
          <w:ilvl w:val="1"/>
          <w:numId w:val="1"/>
        </w:numPr>
        <w:jc w:val="both"/>
      </w:pPr>
      <w:r>
        <w:t>Example – Rocket motors</w:t>
      </w:r>
    </w:p>
    <w:p w14:paraId="5CC644BA" w14:textId="30955751" w:rsidR="004A6021" w:rsidRDefault="004A6021" w:rsidP="004A6021">
      <w:pPr>
        <w:pStyle w:val="ListParagraph"/>
        <w:numPr>
          <w:ilvl w:val="0"/>
          <w:numId w:val="1"/>
        </w:numPr>
        <w:jc w:val="both"/>
      </w:pPr>
      <w:r>
        <w:t>HD 1.4 – No Significant Hazard</w:t>
      </w:r>
    </w:p>
    <w:p w14:paraId="7EB3502B" w14:textId="6528AD0C" w:rsidR="004A6021" w:rsidRDefault="004A6021" w:rsidP="004A6021">
      <w:pPr>
        <w:pStyle w:val="ListParagraph"/>
        <w:numPr>
          <w:ilvl w:val="1"/>
          <w:numId w:val="1"/>
        </w:numPr>
        <w:jc w:val="both"/>
      </w:pPr>
      <w:r>
        <w:t>Only minor effects</w:t>
      </w:r>
    </w:p>
    <w:p w14:paraId="74F39FE0" w14:textId="187F3A24" w:rsidR="004A6021" w:rsidRDefault="004A6021" w:rsidP="004A6021">
      <w:pPr>
        <w:pStyle w:val="ListParagraph"/>
        <w:numPr>
          <w:ilvl w:val="1"/>
          <w:numId w:val="1"/>
        </w:numPr>
        <w:jc w:val="both"/>
      </w:pPr>
      <w:r>
        <w:t>Example – Small Arms Ammunition</w:t>
      </w:r>
    </w:p>
    <w:p w14:paraId="49AE1BDC" w14:textId="02106081" w:rsidR="004A6021" w:rsidRDefault="004A6021" w:rsidP="004A6021">
      <w:pPr>
        <w:pStyle w:val="ListParagraph"/>
        <w:numPr>
          <w:ilvl w:val="0"/>
          <w:numId w:val="1"/>
        </w:numPr>
        <w:jc w:val="both"/>
      </w:pPr>
      <w:r>
        <w:t>HD 1.5 – Very Insensitive Substances which may produce a mass explosion</w:t>
      </w:r>
    </w:p>
    <w:p w14:paraId="0B0D15C7" w14:textId="095BFBB4" w:rsidR="004A6021" w:rsidRDefault="004A6021" w:rsidP="004A6021">
      <w:pPr>
        <w:pStyle w:val="ListParagraph"/>
        <w:numPr>
          <w:ilvl w:val="1"/>
          <w:numId w:val="1"/>
        </w:numPr>
        <w:jc w:val="both"/>
      </w:pPr>
      <w:r>
        <w:t xml:space="preserve">Example – Bulk high explosive material of increased insensitivity </w:t>
      </w:r>
    </w:p>
    <w:p w14:paraId="6E1E1B77" w14:textId="300F657E" w:rsidR="004A6021" w:rsidRDefault="004A6021" w:rsidP="004A6021">
      <w:pPr>
        <w:pStyle w:val="ListParagraph"/>
        <w:numPr>
          <w:ilvl w:val="0"/>
          <w:numId w:val="1"/>
        </w:numPr>
        <w:jc w:val="both"/>
      </w:pPr>
      <w:r>
        <w:t>HD 1.6 – Very Insensitive Substances which will not produce a mass explosion</w:t>
      </w:r>
    </w:p>
    <w:p w14:paraId="1C2C41B7" w14:textId="7FA05EBD" w:rsidR="004A6021" w:rsidRDefault="004A6021" w:rsidP="004A6021">
      <w:pPr>
        <w:pStyle w:val="ListParagraph"/>
        <w:numPr>
          <w:ilvl w:val="1"/>
          <w:numId w:val="1"/>
        </w:numPr>
        <w:jc w:val="both"/>
      </w:pPr>
      <w:r>
        <w:t>Example – Specialised munition systems</w:t>
      </w:r>
      <w:r w:rsidR="003D1B74">
        <w:t xml:space="preserve"> </w:t>
      </w:r>
      <w:sdt>
        <w:sdtPr>
          <w:id w:val="2101222030"/>
          <w:citation/>
        </w:sdtPr>
        <w:sdtContent>
          <w:r w:rsidR="003D1B74">
            <w:fldChar w:fldCharType="begin"/>
          </w:r>
          <w:r w:rsidR="003D1B74">
            <w:instrText xml:space="preserve"> CITATION JSP13 \l 2057 </w:instrText>
          </w:r>
          <w:r w:rsidR="003D1B74">
            <w:fldChar w:fldCharType="separate"/>
          </w:r>
          <w:r w:rsidR="003D1B74" w:rsidRPr="003D1B74">
            <w:rPr>
              <w:noProof/>
            </w:rPr>
            <w:t>[2]</w:t>
          </w:r>
          <w:r w:rsidR="003D1B74">
            <w:fldChar w:fldCharType="end"/>
          </w:r>
        </w:sdtContent>
      </w:sdt>
    </w:p>
    <w:p w14:paraId="2250BFAE" w14:textId="559F7A24" w:rsidR="00FF4C34" w:rsidRDefault="00FF4C34" w:rsidP="00FF4C34">
      <w:pPr>
        <w:jc w:val="both"/>
      </w:pPr>
      <w:r>
        <w:t>The above HDs are assigned to articles through completing a series of UN tests from the Manual of Tests and Criteria. There are a total of 8 possible tests that can be completed which are shown below:</w:t>
      </w:r>
    </w:p>
    <w:p w14:paraId="243BEE50" w14:textId="52F87916" w:rsidR="00FF4C34" w:rsidRDefault="00FF4C34" w:rsidP="00FF4C34">
      <w:pPr>
        <w:pStyle w:val="ListParagraph"/>
        <w:numPr>
          <w:ilvl w:val="0"/>
          <w:numId w:val="2"/>
        </w:numPr>
        <w:jc w:val="both"/>
      </w:pPr>
      <w:r>
        <w:t xml:space="preserve">Test Series 1 – </w:t>
      </w:r>
      <w:r w:rsidR="001723EC">
        <w:t>D</w:t>
      </w:r>
      <w:r>
        <w:t>etermine if a substance has explosive properties</w:t>
      </w:r>
    </w:p>
    <w:p w14:paraId="37416F5C" w14:textId="1B8783E5" w:rsidR="00FF4C34" w:rsidRDefault="00FF4C34" w:rsidP="00FF4C34">
      <w:pPr>
        <w:pStyle w:val="ListParagraph"/>
        <w:numPr>
          <w:ilvl w:val="0"/>
          <w:numId w:val="2"/>
        </w:numPr>
        <w:jc w:val="both"/>
      </w:pPr>
      <w:r>
        <w:t xml:space="preserve">Test Series 2 – </w:t>
      </w:r>
      <w:r w:rsidR="001723EC">
        <w:t>D</w:t>
      </w:r>
      <w:r>
        <w:t>etermine if a substance is too insensitive for inclusion into the class of explosive</w:t>
      </w:r>
    </w:p>
    <w:p w14:paraId="5FB4B293" w14:textId="133CBD0C" w:rsidR="00FF4C34" w:rsidRDefault="00FF4C34" w:rsidP="00FF4C34">
      <w:pPr>
        <w:pStyle w:val="ListParagraph"/>
        <w:numPr>
          <w:ilvl w:val="0"/>
          <w:numId w:val="2"/>
        </w:numPr>
        <w:jc w:val="both"/>
      </w:pPr>
      <w:r>
        <w:t xml:space="preserve">Test Series 3 – </w:t>
      </w:r>
      <w:r w:rsidR="001723EC">
        <w:t>D</w:t>
      </w:r>
      <w:r>
        <w:t>etermine if a substance is an unstable explosive in the form in which it was tested</w:t>
      </w:r>
    </w:p>
    <w:p w14:paraId="02D8E7C3" w14:textId="529E4147" w:rsidR="00FF4C34" w:rsidRDefault="00FF4C34" w:rsidP="00FF4C34">
      <w:pPr>
        <w:pStyle w:val="ListParagraph"/>
        <w:numPr>
          <w:ilvl w:val="0"/>
          <w:numId w:val="2"/>
        </w:numPr>
        <w:jc w:val="both"/>
      </w:pPr>
      <w:r>
        <w:t xml:space="preserve">Test Series 4 – </w:t>
      </w:r>
      <w:r w:rsidR="001723EC">
        <w:t>D</w:t>
      </w:r>
      <w:r>
        <w:t>etermine if an article is too dangerous for transport and classified as an unstable explosive</w:t>
      </w:r>
    </w:p>
    <w:p w14:paraId="5D9258A7" w14:textId="09E895AE" w:rsidR="00FF4C34" w:rsidRDefault="00FF4C34" w:rsidP="00FF4C34">
      <w:pPr>
        <w:pStyle w:val="ListParagraph"/>
        <w:numPr>
          <w:ilvl w:val="0"/>
          <w:numId w:val="2"/>
        </w:numPr>
        <w:jc w:val="both"/>
      </w:pPr>
      <w:r>
        <w:t xml:space="preserve">Test Series 5 – </w:t>
      </w:r>
      <w:r w:rsidR="001723EC">
        <w:t>D</w:t>
      </w:r>
      <w:r>
        <w:t>etermine if a substance may be assigned HD 1.5</w:t>
      </w:r>
    </w:p>
    <w:p w14:paraId="15A8F378" w14:textId="1E1555D6" w:rsidR="00FF4C34" w:rsidRDefault="00FF4C34" w:rsidP="00FF4C34">
      <w:pPr>
        <w:pStyle w:val="ListParagraph"/>
        <w:numPr>
          <w:ilvl w:val="0"/>
          <w:numId w:val="2"/>
        </w:numPr>
        <w:jc w:val="both"/>
      </w:pPr>
      <w:r>
        <w:t xml:space="preserve">Test Series 6 – </w:t>
      </w:r>
      <w:r w:rsidR="001723EC">
        <w:t>A</w:t>
      </w:r>
      <w:r>
        <w:t>ssign a substance or article HD 1.1, 1.2, 1.3</w:t>
      </w:r>
      <w:r w:rsidR="0034002E">
        <w:t xml:space="preserve"> or 1.4</w:t>
      </w:r>
    </w:p>
    <w:p w14:paraId="1798D026" w14:textId="025DA522" w:rsidR="0034002E" w:rsidRDefault="0034002E" w:rsidP="00FF4C34">
      <w:pPr>
        <w:pStyle w:val="ListParagraph"/>
        <w:numPr>
          <w:ilvl w:val="0"/>
          <w:numId w:val="2"/>
        </w:numPr>
        <w:jc w:val="both"/>
      </w:pPr>
      <w:r>
        <w:t xml:space="preserve">Test Series 7 – </w:t>
      </w:r>
      <w:r w:rsidR="001723EC">
        <w:t>D</w:t>
      </w:r>
      <w:r>
        <w:t>etermine if an article may be assigned HD 1.6</w:t>
      </w:r>
    </w:p>
    <w:p w14:paraId="1AC68A56" w14:textId="2485D57B" w:rsidR="0034002E" w:rsidRDefault="0034002E" w:rsidP="00316C4D">
      <w:pPr>
        <w:pStyle w:val="ListParagraph"/>
        <w:numPr>
          <w:ilvl w:val="0"/>
          <w:numId w:val="2"/>
        </w:numPr>
        <w:jc w:val="both"/>
      </w:pPr>
      <w:r>
        <w:t xml:space="preserve">Test Series 8 – </w:t>
      </w:r>
      <w:r w:rsidR="001723EC">
        <w:t>D</w:t>
      </w:r>
      <w:r>
        <w:t>etermine if an ammonium nitrate emulsion, suspension or gel, intermediate for blasting explosives, is insensitive enough for classification as an oxidising substance</w:t>
      </w:r>
      <w:r w:rsidR="003D1B74">
        <w:t xml:space="preserve"> </w:t>
      </w:r>
      <w:sdt>
        <w:sdtPr>
          <w:id w:val="-1130173583"/>
          <w:citation/>
        </w:sdtPr>
        <w:sdtContent>
          <w:r w:rsidR="003D1B74">
            <w:fldChar w:fldCharType="begin"/>
          </w:r>
          <w:r w:rsidR="003D1B74">
            <w:instrText xml:space="preserve"> CITATION Uni19 \l 2057 </w:instrText>
          </w:r>
          <w:r w:rsidR="003D1B74">
            <w:fldChar w:fldCharType="separate"/>
          </w:r>
          <w:r w:rsidR="003D1B74" w:rsidRPr="003D1B74">
            <w:rPr>
              <w:noProof/>
            </w:rPr>
            <w:t>[3]</w:t>
          </w:r>
          <w:r w:rsidR="003D1B74">
            <w:fldChar w:fldCharType="end"/>
          </w:r>
        </w:sdtContent>
      </w:sdt>
    </w:p>
    <w:p w14:paraId="62D14B9D" w14:textId="1D9F140F" w:rsidR="00316C4D" w:rsidRDefault="00316C4D" w:rsidP="00782205">
      <w:pPr>
        <w:jc w:val="both"/>
      </w:pPr>
      <w:r>
        <w:t xml:space="preserve">All munition systems are designed with specific effects </w:t>
      </w:r>
      <w:r w:rsidR="00C334BB">
        <w:t xml:space="preserve">and functions which will vary from one to another. </w:t>
      </w:r>
      <w:r w:rsidR="00B23A97">
        <w:t xml:space="preserve">Compatibility groups are applied to articles depending on the effect with strict mixing rules applied </w:t>
      </w:r>
      <w:r w:rsidR="001070F7">
        <w:t>to</w:t>
      </w:r>
      <w:r w:rsidR="00B23A97">
        <w:t xml:space="preserve"> reduce or mitigate the risk. The compatibility groups and their definitions can be seen below:</w:t>
      </w:r>
    </w:p>
    <w:p w14:paraId="4E2A71EB" w14:textId="4666D986" w:rsidR="00B23A97" w:rsidRDefault="00B23A97" w:rsidP="00782205">
      <w:pPr>
        <w:pStyle w:val="ListParagraph"/>
        <w:numPr>
          <w:ilvl w:val="0"/>
          <w:numId w:val="3"/>
        </w:numPr>
        <w:jc w:val="both"/>
      </w:pPr>
      <w:r>
        <w:t xml:space="preserve">A – Primary Explosive Substance </w:t>
      </w:r>
    </w:p>
    <w:p w14:paraId="035EACA1" w14:textId="77777777" w:rsidR="00B23A97" w:rsidRDefault="00B23A97" w:rsidP="00782205">
      <w:pPr>
        <w:pStyle w:val="ListParagraph"/>
        <w:numPr>
          <w:ilvl w:val="1"/>
          <w:numId w:val="3"/>
        </w:numPr>
        <w:jc w:val="both"/>
      </w:pPr>
      <w:r>
        <w:t>Example – Lead Azide</w:t>
      </w:r>
    </w:p>
    <w:p w14:paraId="1F794744" w14:textId="77777777" w:rsidR="00B23A97" w:rsidRDefault="00B23A97" w:rsidP="00782205">
      <w:pPr>
        <w:pStyle w:val="ListParagraph"/>
        <w:numPr>
          <w:ilvl w:val="0"/>
          <w:numId w:val="3"/>
        </w:numPr>
        <w:jc w:val="both"/>
      </w:pPr>
      <w:r>
        <w:t>B – Articles containing a primary explosive substance and not containing two or more effective protective features</w:t>
      </w:r>
    </w:p>
    <w:p w14:paraId="6B06A89D" w14:textId="2B4F93E9" w:rsidR="00B23A97" w:rsidRDefault="00B23A97" w:rsidP="00782205">
      <w:pPr>
        <w:pStyle w:val="ListParagraph"/>
        <w:numPr>
          <w:ilvl w:val="1"/>
          <w:numId w:val="3"/>
        </w:numPr>
        <w:jc w:val="both"/>
      </w:pPr>
      <w:r>
        <w:t>Example – Detonators</w:t>
      </w:r>
    </w:p>
    <w:p w14:paraId="3AB846A4" w14:textId="77777777" w:rsidR="00172056" w:rsidRDefault="00B23A97" w:rsidP="00782205">
      <w:pPr>
        <w:pStyle w:val="ListParagraph"/>
        <w:numPr>
          <w:ilvl w:val="0"/>
          <w:numId w:val="3"/>
        </w:numPr>
        <w:jc w:val="both"/>
      </w:pPr>
      <w:r>
        <w:t xml:space="preserve">C </w:t>
      </w:r>
      <w:r w:rsidR="00172056">
        <w:t>–</w:t>
      </w:r>
      <w:r>
        <w:t xml:space="preserve"> </w:t>
      </w:r>
      <w:r w:rsidR="00172056">
        <w:t>Propellant substances or other deflagrating explosive material</w:t>
      </w:r>
    </w:p>
    <w:p w14:paraId="3C5AE6F7" w14:textId="77777777" w:rsidR="00172056" w:rsidRDefault="00172056" w:rsidP="00782205">
      <w:pPr>
        <w:pStyle w:val="ListParagraph"/>
        <w:numPr>
          <w:ilvl w:val="1"/>
          <w:numId w:val="3"/>
        </w:numPr>
        <w:jc w:val="both"/>
      </w:pPr>
      <w:r>
        <w:t>Example – Propellant Charges</w:t>
      </w:r>
    </w:p>
    <w:p w14:paraId="26CFFBC9" w14:textId="22609530" w:rsidR="00172056" w:rsidRDefault="00172056" w:rsidP="00782205">
      <w:pPr>
        <w:pStyle w:val="ListParagraph"/>
        <w:numPr>
          <w:ilvl w:val="0"/>
          <w:numId w:val="3"/>
        </w:numPr>
        <w:jc w:val="both"/>
      </w:pPr>
      <w:r>
        <w:t>D – Secondary Detonating Explosives or articles including secondary explosives without means of initiation</w:t>
      </w:r>
    </w:p>
    <w:p w14:paraId="43E6FD69" w14:textId="62A3128C" w:rsidR="00172056" w:rsidRDefault="00172056" w:rsidP="00782205">
      <w:pPr>
        <w:pStyle w:val="ListParagraph"/>
        <w:numPr>
          <w:ilvl w:val="1"/>
          <w:numId w:val="3"/>
        </w:numPr>
        <w:jc w:val="both"/>
      </w:pPr>
      <w:r>
        <w:t xml:space="preserve">Example – Bulk High Explosive </w:t>
      </w:r>
    </w:p>
    <w:p w14:paraId="650EFB6D" w14:textId="77777777" w:rsidR="00172056" w:rsidRDefault="00172056" w:rsidP="00782205">
      <w:pPr>
        <w:pStyle w:val="ListParagraph"/>
        <w:numPr>
          <w:ilvl w:val="0"/>
          <w:numId w:val="3"/>
        </w:numPr>
        <w:jc w:val="both"/>
      </w:pPr>
      <w:r>
        <w:t>E – Articles containing secondary explosives without means of initiation, with a propelling charge</w:t>
      </w:r>
    </w:p>
    <w:p w14:paraId="1A80983E" w14:textId="77777777" w:rsidR="00172056" w:rsidRDefault="00172056" w:rsidP="00782205">
      <w:pPr>
        <w:pStyle w:val="ListParagraph"/>
        <w:numPr>
          <w:ilvl w:val="1"/>
          <w:numId w:val="3"/>
        </w:numPr>
        <w:jc w:val="both"/>
      </w:pPr>
      <w:r>
        <w:t>Example – Artillery ammunitions</w:t>
      </w:r>
    </w:p>
    <w:p w14:paraId="26B50540" w14:textId="77777777" w:rsidR="00172056" w:rsidRDefault="00172056" w:rsidP="00782205">
      <w:pPr>
        <w:pStyle w:val="ListParagraph"/>
        <w:numPr>
          <w:ilvl w:val="0"/>
          <w:numId w:val="3"/>
        </w:numPr>
        <w:jc w:val="both"/>
      </w:pPr>
      <w:r>
        <w:t>F – Articles containing secondary explosives with means of initiation and propelling charge</w:t>
      </w:r>
    </w:p>
    <w:p w14:paraId="42FCBF2C" w14:textId="77777777" w:rsidR="00172056" w:rsidRDefault="00172056" w:rsidP="00782205">
      <w:pPr>
        <w:pStyle w:val="ListParagraph"/>
        <w:numPr>
          <w:ilvl w:val="1"/>
          <w:numId w:val="3"/>
        </w:numPr>
        <w:jc w:val="both"/>
      </w:pPr>
      <w:r>
        <w:lastRenderedPageBreak/>
        <w:t>Example – Rocket propelled grenade</w:t>
      </w:r>
    </w:p>
    <w:p w14:paraId="01A14D1F" w14:textId="77777777" w:rsidR="00172056" w:rsidRDefault="00172056" w:rsidP="00782205">
      <w:pPr>
        <w:pStyle w:val="ListParagraph"/>
        <w:numPr>
          <w:ilvl w:val="0"/>
          <w:numId w:val="3"/>
        </w:numPr>
        <w:jc w:val="both"/>
      </w:pPr>
      <w:r>
        <w:t>G – Pyrotechnic substances or articles containing such substances</w:t>
      </w:r>
    </w:p>
    <w:p w14:paraId="7C0D0D17" w14:textId="77777777" w:rsidR="00172056" w:rsidRDefault="00172056" w:rsidP="00782205">
      <w:pPr>
        <w:pStyle w:val="ListParagraph"/>
        <w:numPr>
          <w:ilvl w:val="1"/>
          <w:numId w:val="3"/>
        </w:numPr>
        <w:jc w:val="both"/>
      </w:pPr>
      <w:r>
        <w:t>Example – Illuminating ammunition</w:t>
      </w:r>
    </w:p>
    <w:p w14:paraId="5CBB6D9A" w14:textId="77777777" w:rsidR="00172056" w:rsidRDefault="00172056" w:rsidP="00782205">
      <w:pPr>
        <w:pStyle w:val="ListParagraph"/>
        <w:numPr>
          <w:ilvl w:val="0"/>
          <w:numId w:val="3"/>
        </w:numPr>
        <w:jc w:val="both"/>
      </w:pPr>
      <w:r>
        <w:t>H – Articles containing both an explosive substance and white phosphorus</w:t>
      </w:r>
    </w:p>
    <w:p w14:paraId="332405E0" w14:textId="77777777" w:rsidR="00172056" w:rsidRDefault="00172056" w:rsidP="00782205">
      <w:pPr>
        <w:pStyle w:val="ListParagraph"/>
        <w:numPr>
          <w:ilvl w:val="0"/>
          <w:numId w:val="3"/>
        </w:numPr>
        <w:jc w:val="both"/>
      </w:pPr>
      <w:r>
        <w:t>J – Articles containing both an explosive substance and flammable liquid or gel</w:t>
      </w:r>
    </w:p>
    <w:p w14:paraId="593842CE" w14:textId="77777777" w:rsidR="00172056" w:rsidRDefault="00172056" w:rsidP="00782205">
      <w:pPr>
        <w:pStyle w:val="ListParagraph"/>
        <w:numPr>
          <w:ilvl w:val="0"/>
          <w:numId w:val="3"/>
        </w:numPr>
        <w:jc w:val="both"/>
      </w:pPr>
      <w:r>
        <w:t>K – Articles containing both an explosive substance and toxic chemical</w:t>
      </w:r>
    </w:p>
    <w:p w14:paraId="2DAA4AF2" w14:textId="77777777" w:rsidR="00172056" w:rsidRDefault="00172056" w:rsidP="00782205">
      <w:pPr>
        <w:pStyle w:val="ListParagraph"/>
        <w:numPr>
          <w:ilvl w:val="1"/>
          <w:numId w:val="3"/>
        </w:numPr>
        <w:jc w:val="both"/>
      </w:pPr>
      <w:r>
        <w:t>Warheads filled with a lethal chemical agent</w:t>
      </w:r>
    </w:p>
    <w:p w14:paraId="2B381A93" w14:textId="77777777" w:rsidR="00172056" w:rsidRDefault="00172056" w:rsidP="00782205">
      <w:pPr>
        <w:pStyle w:val="ListParagraph"/>
        <w:numPr>
          <w:ilvl w:val="0"/>
          <w:numId w:val="3"/>
        </w:numPr>
        <w:jc w:val="both"/>
      </w:pPr>
      <w:r>
        <w:t>L – Substance or article which presents a special risk</w:t>
      </w:r>
    </w:p>
    <w:p w14:paraId="3B5ED11D" w14:textId="77777777" w:rsidR="00172056" w:rsidRDefault="00172056" w:rsidP="00782205">
      <w:pPr>
        <w:pStyle w:val="ListParagraph"/>
        <w:numPr>
          <w:ilvl w:val="1"/>
          <w:numId w:val="3"/>
        </w:numPr>
        <w:jc w:val="both"/>
      </w:pPr>
      <w:r>
        <w:t>Example – Hypergolic liquid-fuelled rocket engines</w:t>
      </w:r>
    </w:p>
    <w:p w14:paraId="2231E38F" w14:textId="77777777" w:rsidR="00172056" w:rsidRDefault="00172056" w:rsidP="00782205">
      <w:pPr>
        <w:pStyle w:val="ListParagraph"/>
        <w:numPr>
          <w:ilvl w:val="0"/>
          <w:numId w:val="3"/>
        </w:numPr>
        <w:jc w:val="both"/>
      </w:pPr>
      <w:r>
        <w:t>N – Articles containing only extremely insensitive detonating substance</w:t>
      </w:r>
    </w:p>
    <w:p w14:paraId="196FD822" w14:textId="77777777" w:rsidR="00172056" w:rsidRDefault="00172056" w:rsidP="00782205">
      <w:pPr>
        <w:pStyle w:val="ListParagraph"/>
        <w:numPr>
          <w:ilvl w:val="1"/>
          <w:numId w:val="3"/>
        </w:numPr>
        <w:jc w:val="both"/>
      </w:pPr>
      <w:r>
        <w:t>Insensitive warhead</w:t>
      </w:r>
    </w:p>
    <w:p w14:paraId="042FB9AE" w14:textId="250B631F" w:rsidR="00782205" w:rsidRDefault="00172056" w:rsidP="00782205">
      <w:pPr>
        <w:pStyle w:val="ListParagraph"/>
        <w:numPr>
          <w:ilvl w:val="0"/>
          <w:numId w:val="3"/>
        </w:numPr>
        <w:jc w:val="both"/>
      </w:pPr>
      <w:r>
        <w:t xml:space="preserve">S – Articles packaged in </w:t>
      </w:r>
      <w:r w:rsidR="001070F7">
        <w:t>a way</w:t>
      </w:r>
      <w:r>
        <w:t xml:space="preserve"> </w:t>
      </w:r>
      <w:r w:rsidR="001070F7">
        <w:t xml:space="preserve">that </w:t>
      </w:r>
      <w:r>
        <w:t xml:space="preserve">all effects will be contained within the packaging unless it has been degraded by </w:t>
      </w:r>
      <w:r w:rsidR="00782205">
        <w:t>environment.</w:t>
      </w:r>
    </w:p>
    <w:p w14:paraId="763B0D28" w14:textId="2F1F09CD" w:rsidR="00B23A97" w:rsidRDefault="00782205" w:rsidP="00782205">
      <w:pPr>
        <w:pStyle w:val="ListParagraph"/>
        <w:numPr>
          <w:ilvl w:val="1"/>
          <w:numId w:val="3"/>
        </w:numPr>
        <w:jc w:val="both"/>
      </w:pPr>
      <w:r>
        <w:t>Example – Small Arms Ammunitions</w:t>
      </w:r>
      <w:r w:rsidR="00B23A97">
        <w:t xml:space="preserve"> </w:t>
      </w:r>
      <w:sdt>
        <w:sdtPr>
          <w:id w:val="-1048834669"/>
          <w:citation/>
        </w:sdtPr>
        <w:sdtContent>
          <w:r w:rsidR="00031D4E">
            <w:fldChar w:fldCharType="begin"/>
          </w:r>
          <w:r w:rsidR="00031D4E">
            <w:instrText xml:space="preserve"> CITATION Saf21 \l 2057 </w:instrText>
          </w:r>
          <w:r w:rsidR="00031D4E">
            <w:fldChar w:fldCharType="separate"/>
          </w:r>
          <w:r w:rsidR="00031D4E" w:rsidRPr="00031D4E">
            <w:rPr>
              <w:noProof/>
            </w:rPr>
            <w:t>[4]</w:t>
          </w:r>
          <w:r w:rsidR="00031D4E">
            <w:fldChar w:fldCharType="end"/>
          </w:r>
        </w:sdtContent>
      </w:sdt>
    </w:p>
    <w:p w14:paraId="3BA800EA" w14:textId="05478A5A" w:rsidR="001723EC" w:rsidRDefault="00782205" w:rsidP="00AD1340">
      <w:pPr>
        <w:jc w:val="both"/>
      </w:pPr>
      <w:r>
        <w:t xml:space="preserve">As mentioned above there are strict mixing rules which must be followed when storing or transporting multiple compatibility groups. </w:t>
      </w:r>
      <w:r w:rsidR="00D14DF2">
        <w:t xml:space="preserve">In an ideal situation there would be an individual storage location and separate transport vehicles for each compatibility group. This however in reality is very difficult, so the rules are often applied. </w:t>
      </w:r>
      <w:r w:rsidR="001723EC">
        <w:t xml:space="preserve">Appendix A contains the rules table and notes stated in the </w:t>
      </w:r>
      <w:r w:rsidR="001723EC">
        <w:t>International Ammunition Technical Guidelines (IATG)</w:t>
      </w:r>
      <w:r w:rsidR="00031D4E">
        <w:t>.</w:t>
      </w:r>
      <w:sdt>
        <w:sdtPr>
          <w:id w:val="2085176684"/>
          <w:citation/>
        </w:sdtPr>
        <w:sdtContent>
          <w:r w:rsidR="00031D4E">
            <w:fldChar w:fldCharType="begin"/>
          </w:r>
          <w:r w:rsidR="00031D4E">
            <w:instrText xml:space="preserve"> CITATION Saf21 \l 2057 </w:instrText>
          </w:r>
          <w:r w:rsidR="00031D4E">
            <w:fldChar w:fldCharType="separate"/>
          </w:r>
          <w:r w:rsidR="00031D4E">
            <w:rPr>
              <w:noProof/>
            </w:rPr>
            <w:t xml:space="preserve"> </w:t>
          </w:r>
          <w:r w:rsidR="00031D4E" w:rsidRPr="00031D4E">
            <w:rPr>
              <w:noProof/>
            </w:rPr>
            <w:t>[4]</w:t>
          </w:r>
          <w:r w:rsidR="00031D4E">
            <w:fldChar w:fldCharType="end"/>
          </w:r>
        </w:sdtContent>
      </w:sdt>
    </w:p>
    <w:p w14:paraId="6F4008B6" w14:textId="3D6DCE0E" w:rsidR="00D14DF2" w:rsidRDefault="00D14DF2" w:rsidP="00D14DF2">
      <w:pPr>
        <w:pStyle w:val="Heading1"/>
      </w:pPr>
      <w:bookmarkStart w:id="5" w:name="_Toc216432180"/>
      <w:r>
        <w:t>Big Bang Storage Solutions’ Proposal</w:t>
      </w:r>
      <w:bookmarkEnd w:id="5"/>
    </w:p>
    <w:p w14:paraId="2F465759" w14:textId="4BE6A13F" w:rsidR="00EA728E" w:rsidRDefault="00D14DF2" w:rsidP="00EA728E">
      <w:pPr>
        <w:jc w:val="both"/>
      </w:pPr>
      <w:r>
        <w:t xml:space="preserve">This brief for this report states that planning permission has been requested for an explosive storage facility to be built in Swansea, South Wales </w:t>
      </w:r>
      <w:r w:rsidR="00C7681C">
        <w:t xml:space="preserve">in a specific location. </w:t>
      </w:r>
      <w:r w:rsidR="00EA728E">
        <w:t>Big Bang Storage Solutions has won the UK MOD tender and have provided the following detail:</w:t>
      </w:r>
    </w:p>
    <w:p w14:paraId="7E8A0058" w14:textId="5D771AEB" w:rsidR="00EA728E" w:rsidRDefault="00EA728E" w:rsidP="00EA728E">
      <w:pPr>
        <w:pStyle w:val="ListParagraph"/>
        <w:numPr>
          <w:ilvl w:val="0"/>
          <w:numId w:val="5"/>
        </w:numPr>
        <w:jc w:val="both"/>
      </w:pPr>
      <w:r>
        <w:t>Each Explosive Storehouse (ESH) will be able to hold up to 1000kg of each type of HD (stacked 3 pallets high) which means no more than the 5 ESH need to be built on the wasteland.</w:t>
      </w:r>
    </w:p>
    <w:p w14:paraId="58D9F158" w14:textId="0F0E47E6" w:rsidR="00EA728E" w:rsidRDefault="00EA728E" w:rsidP="00EA728E">
      <w:pPr>
        <w:pStyle w:val="ListParagraph"/>
        <w:numPr>
          <w:ilvl w:val="0"/>
          <w:numId w:val="5"/>
        </w:numPr>
        <w:jc w:val="both"/>
      </w:pPr>
      <w:r>
        <w:t>The Vulnerable Building Distance (VBD) is no more than 300m for each ESH</w:t>
      </w:r>
    </w:p>
    <w:p w14:paraId="504A8D0E" w14:textId="6FF81C6C" w:rsidR="00EA728E" w:rsidRDefault="00EA728E" w:rsidP="00EA728E">
      <w:pPr>
        <w:pStyle w:val="ListParagraph"/>
        <w:numPr>
          <w:ilvl w:val="0"/>
          <w:numId w:val="5"/>
        </w:numPr>
        <w:jc w:val="both"/>
      </w:pPr>
      <w:r>
        <w:t>The Inhabited Building Distance (IBD) is no more than 125m for each ESH</w:t>
      </w:r>
    </w:p>
    <w:p w14:paraId="43B8AE9B" w14:textId="25DB002B" w:rsidR="00EA728E" w:rsidRDefault="00EA728E" w:rsidP="00EA728E">
      <w:pPr>
        <w:pStyle w:val="ListParagraph"/>
        <w:numPr>
          <w:ilvl w:val="0"/>
          <w:numId w:val="5"/>
        </w:numPr>
        <w:jc w:val="both"/>
      </w:pPr>
      <w:r>
        <w:t>The Public Traffic Route Distance (PTRD) is no more than 270m for each ESH</w:t>
      </w:r>
    </w:p>
    <w:p w14:paraId="30A6DF8E" w14:textId="5671F927" w:rsidR="00EA728E" w:rsidRDefault="00EA728E" w:rsidP="00EA728E">
      <w:pPr>
        <w:pStyle w:val="ListParagraph"/>
        <w:numPr>
          <w:ilvl w:val="0"/>
          <w:numId w:val="5"/>
        </w:numPr>
        <w:jc w:val="both"/>
      </w:pPr>
      <w:r>
        <w:t>The HD 1.1 is divided as:</w:t>
      </w:r>
    </w:p>
    <w:p w14:paraId="0DBF4C61" w14:textId="77777777" w:rsidR="00EA728E" w:rsidRDefault="00EA728E" w:rsidP="00EA728E">
      <w:pPr>
        <w:pStyle w:val="ListParagraph"/>
        <w:numPr>
          <w:ilvl w:val="1"/>
          <w:numId w:val="5"/>
        </w:numPr>
        <w:jc w:val="both"/>
      </w:pPr>
      <w:r>
        <w:t>HD 1.1B – 50 kg</w:t>
      </w:r>
    </w:p>
    <w:p w14:paraId="7EE1D2F1" w14:textId="77777777" w:rsidR="00EA728E" w:rsidRDefault="00EA728E" w:rsidP="00EA728E">
      <w:pPr>
        <w:pStyle w:val="ListParagraph"/>
        <w:numPr>
          <w:ilvl w:val="1"/>
          <w:numId w:val="5"/>
        </w:numPr>
        <w:jc w:val="both"/>
      </w:pPr>
      <w:r>
        <w:t>HD 1.1D – 3200 kg</w:t>
      </w:r>
    </w:p>
    <w:p w14:paraId="3866601C" w14:textId="77777777" w:rsidR="00EA728E" w:rsidRDefault="00EA728E" w:rsidP="00EA728E">
      <w:pPr>
        <w:pStyle w:val="ListParagraph"/>
        <w:numPr>
          <w:ilvl w:val="1"/>
          <w:numId w:val="5"/>
        </w:numPr>
        <w:jc w:val="both"/>
      </w:pPr>
      <w:r>
        <w:t>HD 1.1E – 1250 kg</w:t>
      </w:r>
    </w:p>
    <w:p w14:paraId="4A81F60D" w14:textId="77777777" w:rsidR="00EA728E" w:rsidRPr="005D53D7" w:rsidRDefault="00EA728E" w:rsidP="00EA728E">
      <w:pPr>
        <w:pStyle w:val="ListParagraph"/>
        <w:numPr>
          <w:ilvl w:val="1"/>
          <w:numId w:val="5"/>
        </w:numPr>
        <w:jc w:val="both"/>
      </w:pPr>
      <w:r>
        <w:t>HD 1.1F – 500 kg</w:t>
      </w:r>
    </w:p>
    <w:p w14:paraId="76C92F6E" w14:textId="77777777" w:rsidR="00EA728E" w:rsidRDefault="00EA728E" w:rsidP="00EA728E">
      <w:pPr>
        <w:pStyle w:val="ListParagraph"/>
        <w:numPr>
          <w:ilvl w:val="0"/>
          <w:numId w:val="5"/>
        </w:numPr>
        <w:jc w:val="both"/>
      </w:pPr>
      <w:r>
        <w:t>HD 1.2 is divided as:</w:t>
      </w:r>
    </w:p>
    <w:p w14:paraId="1F2D7F95" w14:textId="77777777" w:rsidR="00EA728E" w:rsidRDefault="00EA728E" w:rsidP="00EA728E">
      <w:pPr>
        <w:pStyle w:val="ListParagraph"/>
        <w:numPr>
          <w:ilvl w:val="1"/>
          <w:numId w:val="5"/>
        </w:numPr>
        <w:jc w:val="both"/>
      </w:pPr>
      <w:r>
        <w:t>HD 1.2C – 350 kg</w:t>
      </w:r>
    </w:p>
    <w:p w14:paraId="2F842AE8" w14:textId="77777777" w:rsidR="00EA728E" w:rsidRDefault="00EA728E" w:rsidP="00EA728E">
      <w:pPr>
        <w:pStyle w:val="ListParagraph"/>
        <w:numPr>
          <w:ilvl w:val="1"/>
          <w:numId w:val="5"/>
        </w:numPr>
        <w:jc w:val="both"/>
      </w:pPr>
      <w:r>
        <w:t>HD 1.2D – 100 kg</w:t>
      </w:r>
    </w:p>
    <w:p w14:paraId="7C6ECD76" w14:textId="77777777" w:rsidR="00EA728E" w:rsidRDefault="00EA728E" w:rsidP="00EA728E">
      <w:pPr>
        <w:pStyle w:val="ListParagraph"/>
        <w:numPr>
          <w:ilvl w:val="1"/>
          <w:numId w:val="5"/>
        </w:numPr>
        <w:jc w:val="both"/>
      </w:pPr>
      <w:r>
        <w:t>HD 1.2F – 50 kg</w:t>
      </w:r>
    </w:p>
    <w:p w14:paraId="41CD1723" w14:textId="77777777" w:rsidR="00EA728E" w:rsidRDefault="00EA728E" w:rsidP="00EA728E">
      <w:pPr>
        <w:pStyle w:val="ListParagraph"/>
        <w:numPr>
          <w:ilvl w:val="0"/>
          <w:numId w:val="5"/>
        </w:numPr>
        <w:jc w:val="both"/>
      </w:pPr>
      <w:r>
        <w:t>HD 1.3C – 1000 kg</w:t>
      </w:r>
    </w:p>
    <w:p w14:paraId="28D937B4" w14:textId="738AE028" w:rsidR="00782205" w:rsidRDefault="00EA728E" w:rsidP="00AD1340">
      <w:pPr>
        <w:pStyle w:val="ListParagraph"/>
        <w:numPr>
          <w:ilvl w:val="0"/>
          <w:numId w:val="5"/>
        </w:numPr>
        <w:jc w:val="both"/>
      </w:pPr>
      <w:r>
        <w:t>HD 1.4S – 1000 kg</w:t>
      </w:r>
    </w:p>
    <w:p w14:paraId="3D5308E5" w14:textId="71032DD0" w:rsidR="00AD1340" w:rsidRDefault="00AD1340" w:rsidP="00AD1340">
      <w:pPr>
        <w:jc w:val="both"/>
      </w:pPr>
      <w:r>
        <w:t xml:space="preserve">The Potential Explosive Site (PES) </w:t>
      </w:r>
      <w:r w:rsidR="00A17517">
        <w:t xml:space="preserve">can be seen on the image below, highlighted in red. The PES is surrounded by a variety of buildings including University of Wales Trinity Saint David (UWTSD) and apartments along Langdon Road which are in very close proximity. </w:t>
      </w:r>
    </w:p>
    <w:p w14:paraId="0ECABAA4" w14:textId="77777777" w:rsidR="00A17517" w:rsidRDefault="00AD1340" w:rsidP="00A17517">
      <w:pPr>
        <w:keepNext/>
        <w:jc w:val="center"/>
      </w:pPr>
      <w:r w:rsidRPr="00AD1340">
        <w:rPr>
          <w:noProof/>
        </w:rPr>
        <w:lastRenderedPageBreak/>
        <w:drawing>
          <wp:inline distT="0" distB="0" distL="0" distR="0" wp14:anchorId="2DB8C314" wp14:editId="6FCA9A33">
            <wp:extent cx="4912242" cy="3027021"/>
            <wp:effectExtent l="0" t="0" r="3175" b="2540"/>
            <wp:docPr id="1850289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289049" name=""/>
                    <pic:cNvPicPr/>
                  </pic:nvPicPr>
                  <pic:blipFill>
                    <a:blip r:embed="rId12"/>
                    <a:stretch>
                      <a:fillRect/>
                    </a:stretch>
                  </pic:blipFill>
                  <pic:spPr>
                    <a:xfrm>
                      <a:off x="0" y="0"/>
                      <a:ext cx="4917941" cy="3030533"/>
                    </a:xfrm>
                    <a:prstGeom prst="rect">
                      <a:avLst/>
                    </a:prstGeom>
                  </pic:spPr>
                </pic:pic>
              </a:graphicData>
            </a:graphic>
          </wp:inline>
        </w:drawing>
      </w:r>
    </w:p>
    <w:p w14:paraId="7180F3C3" w14:textId="18639B27" w:rsidR="00AD1340" w:rsidRDefault="00A17517" w:rsidP="00A17517">
      <w:pPr>
        <w:pStyle w:val="Caption"/>
        <w:jc w:val="center"/>
      </w:pPr>
      <w:bookmarkStart w:id="6" w:name="_Toc216391193"/>
      <w:r>
        <w:t xml:space="preserve">Figure </w:t>
      </w:r>
      <w:r>
        <w:fldChar w:fldCharType="begin"/>
      </w:r>
      <w:r>
        <w:instrText xml:space="preserve"> SEQ Figure \* ARABIC </w:instrText>
      </w:r>
      <w:r>
        <w:fldChar w:fldCharType="separate"/>
      </w:r>
      <w:r w:rsidR="005162EF">
        <w:rPr>
          <w:noProof/>
        </w:rPr>
        <w:t>1</w:t>
      </w:r>
      <w:r>
        <w:fldChar w:fldCharType="end"/>
      </w:r>
      <w:r>
        <w:t xml:space="preserve"> - Satellite view of PES and surrounding area</w:t>
      </w:r>
      <w:bookmarkEnd w:id="6"/>
    </w:p>
    <w:p w14:paraId="4155319A" w14:textId="77777777" w:rsidR="00A17517" w:rsidRDefault="00A17517" w:rsidP="00A17517"/>
    <w:p w14:paraId="0B0F32DC" w14:textId="51E28FD9" w:rsidR="00A17517" w:rsidRDefault="00A17517" w:rsidP="00A17517">
      <w:pPr>
        <w:pStyle w:val="Heading1"/>
      </w:pPr>
      <w:bookmarkStart w:id="7" w:name="_Toc216432181"/>
      <w:r>
        <w:t>Analysis of Proposal</w:t>
      </w:r>
      <w:bookmarkEnd w:id="7"/>
    </w:p>
    <w:p w14:paraId="448B6F92" w14:textId="1869B5ED" w:rsidR="00DE6355" w:rsidRPr="00DE6355" w:rsidRDefault="00DE6355" w:rsidP="00DE6355">
      <w:pPr>
        <w:pStyle w:val="Heading2"/>
      </w:pPr>
      <w:bookmarkStart w:id="8" w:name="_Toc216432182"/>
      <w:r w:rsidRPr="00DE6355">
        <w:t>Site Setup</w:t>
      </w:r>
      <w:bookmarkEnd w:id="8"/>
    </w:p>
    <w:p w14:paraId="4903CC19" w14:textId="170A2389" w:rsidR="009F2DF5" w:rsidRDefault="00D12530" w:rsidP="003606AD">
      <w:pPr>
        <w:jc w:val="both"/>
      </w:pPr>
      <w:r>
        <w:t xml:space="preserve">The brief only identifies the proposed site location but does not provide details of the planned layout, traffic routes or the exact articles that are to be stored. Due to this, several assumptions have been made </w:t>
      </w:r>
      <w:r w:rsidR="003606AD">
        <w:t>to</w:t>
      </w:r>
      <w:r>
        <w:t xml:space="preserve"> generate this safety report which will be identified when mentioned</w:t>
      </w:r>
      <w:r w:rsidR="003606AD">
        <w:t>.</w:t>
      </w:r>
      <w:r>
        <w:t xml:space="preserve"> </w:t>
      </w:r>
    </w:p>
    <w:p w14:paraId="773BB772" w14:textId="336B44D2" w:rsidR="00A17517" w:rsidRDefault="00A17517" w:rsidP="00A17517">
      <w:pPr>
        <w:jc w:val="both"/>
      </w:pPr>
      <w:r>
        <w:t xml:space="preserve">To </w:t>
      </w:r>
      <w:r w:rsidR="00D12530">
        <w:t xml:space="preserve">allow analysis </w:t>
      </w:r>
      <w:r>
        <w:t xml:space="preserve">of the proposed solution provided by the company, the below image was generated to show how the PES could look if the proposal is accepted by the Council. </w:t>
      </w:r>
      <w:r w:rsidR="00DE6355">
        <w:t xml:space="preserve">The image shows the whole wasteland becoming the storage site with the 5 ESHs in </w:t>
      </w:r>
      <w:r w:rsidR="00D12530">
        <w:t xml:space="preserve">a </w:t>
      </w:r>
      <w:r w:rsidR="00DE6355">
        <w:t>suitable location to incorporate a road going through the site.</w:t>
      </w:r>
      <w:r w:rsidR="003632B6">
        <w:t xml:space="preserve"> </w:t>
      </w:r>
      <w:r w:rsidR="00D12530">
        <w:t>It is recommended that the</w:t>
      </w:r>
      <w:r w:rsidR="003632B6">
        <w:t xml:space="preserve"> ESHs </w:t>
      </w:r>
      <w:r w:rsidR="00D12530">
        <w:t>be</w:t>
      </w:r>
      <w:r w:rsidR="003632B6">
        <w:t xml:space="preserve"> placed with their headwalls on a common line following the </w:t>
      </w:r>
      <w:r w:rsidR="00D12530">
        <w:t>IATG</w:t>
      </w:r>
      <w:r w:rsidR="003632B6">
        <w:t xml:space="preserve">. </w:t>
      </w:r>
    </w:p>
    <w:p w14:paraId="46BC56A3" w14:textId="77777777" w:rsidR="00DE6355" w:rsidRDefault="00A17517" w:rsidP="00DE6355">
      <w:pPr>
        <w:keepNext/>
        <w:jc w:val="center"/>
      </w:pPr>
      <w:r>
        <w:rPr>
          <w:noProof/>
        </w:rPr>
        <w:lastRenderedPageBreak/>
        <w:drawing>
          <wp:inline distT="0" distB="0" distL="0" distR="0" wp14:anchorId="5B374D71" wp14:editId="73A2DCC9">
            <wp:extent cx="4524375" cy="3016083"/>
            <wp:effectExtent l="0" t="0" r="0" b="0"/>
            <wp:docPr id="1673215314" name="Picture 1" descr="Aerial view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15314" name="Picture 1" descr="Aerial view of a city&#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33692" cy="3022294"/>
                    </a:xfrm>
                    <a:prstGeom prst="rect">
                      <a:avLst/>
                    </a:prstGeom>
                  </pic:spPr>
                </pic:pic>
              </a:graphicData>
            </a:graphic>
          </wp:inline>
        </w:drawing>
      </w:r>
    </w:p>
    <w:p w14:paraId="52CEB7EE" w14:textId="436B1309" w:rsidR="00A17517" w:rsidRDefault="00DE6355" w:rsidP="00DE6355">
      <w:pPr>
        <w:pStyle w:val="Caption"/>
        <w:jc w:val="center"/>
      </w:pPr>
      <w:bookmarkStart w:id="9" w:name="_Toc216391194"/>
      <w:r>
        <w:t xml:space="preserve">Figure </w:t>
      </w:r>
      <w:r>
        <w:fldChar w:fldCharType="begin"/>
      </w:r>
      <w:r>
        <w:instrText xml:space="preserve"> SEQ Figure \* ARABIC </w:instrText>
      </w:r>
      <w:r>
        <w:fldChar w:fldCharType="separate"/>
      </w:r>
      <w:r w:rsidR="005162EF">
        <w:rPr>
          <w:noProof/>
        </w:rPr>
        <w:t>2</w:t>
      </w:r>
      <w:r>
        <w:fldChar w:fldCharType="end"/>
      </w:r>
      <w:r>
        <w:t xml:space="preserve"> - AI generated image of PES</w:t>
      </w:r>
      <w:bookmarkEnd w:id="9"/>
    </w:p>
    <w:p w14:paraId="36FD078B" w14:textId="7AED4331" w:rsidR="00DE6355" w:rsidRDefault="00DE6355" w:rsidP="00DE6355">
      <w:pPr>
        <w:jc w:val="both"/>
      </w:pPr>
      <w:r>
        <w:t>The ESHs are to be Earth Covered Magazines (ECMs)</w:t>
      </w:r>
      <w:r w:rsidR="003606AD">
        <w:t>, as shown in figure 3,</w:t>
      </w:r>
      <w:r>
        <w:t xml:space="preserve"> which must have at least 600mm of earth cover on the roof with cover to the sides and rear walls. These are typically manufactured from reinforced concrete and are designed to resist blast and high velocity fragments. Due to this, </w:t>
      </w:r>
      <w:r w:rsidR="003632B6">
        <w:t xml:space="preserve">if an event was to occur, their contents will produce a much smaller effect than that compared to other building types. </w:t>
      </w:r>
      <w:sdt>
        <w:sdtPr>
          <w:id w:val="1390461476"/>
          <w:citation/>
        </w:sdtPr>
        <w:sdtContent>
          <w:r w:rsidR="00031D4E">
            <w:fldChar w:fldCharType="begin"/>
          </w:r>
          <w:r w:rsidR="00031D4E">
            <w:instrText xml:space="preserve"> CITATION Saf211 \l 2057 </w:instrText>
          </w:r>
          <w:r w:rsidR="00031D4E">
            <w:fldChar w:fldCharType="separate"/>
          </w:r>
          <w:r w:rsidR="00031D4E" w:rsidRPr="00031D4E">
            <w:rPr>
              <w:noProof/>
            </w:rPr>
            <w:t>[5]</w:t>
          </w:r>
          <w:r w:rsidR="00031D4E">
            <w:fldChar w:fldCharType="end"/>
          </w:r>
        </w:sdtContent>
      </w:sdt>
      <w:sdt>
        <w:sdtPr>
          <w:id w:val="-2090915594"/>
          <w:citation/>
        </w:sdtPr>
        <w:sdtContent>
          <w:r w:rsidR="00031D4E">
            <w:fldChar w:fldCharType="begin"/>
          </w:r>
          <w:r w:rsidR="00031D4E">
            <w:instrText xml:space="preserve"> CITATION Che241 \l 2057 </w:instrText>
          </w:r>
          <w:r w:rsidR="00031D4E">
            <w:fldChar w:fldCharType="separate"/>
          </w:r>
          <w:r w:rsidR="00031D4E">
            <w:rPr>
              <w:noProof/>
            </w:rPr>
            <w:t xml:space="preserve"> </w:t>
          </w:r>
          <w:r w:rsidR="00031D4E" w:rsidRPr="00031D4E">
            <w:rPr>
              <w:noProof/>
            </w:rPr>
            <w:t>[6]</w:t>
          </w:r>
          <w:r w:rsidR="00031D4E">
            <w:fldChar w:fldCharType="end"/>
          </w:r>
        </w:sdtContent>
      </w:sdt>
    </w:p>
    <w:p w14:paraId="4672F47D" w14:textId="77777777" w:rsidR="00D12530" w:rsidRDefault="00D12530" w:rsidP="00D12530">
      <w:pPr>
        <w:keepNext/>
        <w:jc w:val="center"/>
      </w:pPr>
      <w:r>
        <w:rPr>
          <w:noProof/>
        </w:rPr>
        <w:drawing>
          <wp:inline distT="0" distB="0" distL="0" distR="0" wp14:anchorId="18EF403B" wp14:editId="087137BF">
            <wp:extent cx="3095415" cy="1377950"/>
            <wp:effectExtent l="0" t="0" r="0" b="0"/>
            <wp:docPr id="1194967757" name="Picture 1" descr="Ammunition and Explosive Magaz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munition and Explosive Magazin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9053" cy="1379570"/>
                    </a:xfrm>
                    <a:prstGeom prst="rect">
                      <a:avLst/>
                    </a:prstGeom>
                    <a:noFill/>
                    <a:ln>
                      <a:noFill/>
                    </a:ln>
                  </pic:spPr>
                </pic:pic>
              </a:graphicData>
            </a:graphic>
          </wp:inline>
        </w:drawing>
      </w:r>
    </w:p>
    <w:p w14:paraId="5A0BF9F0" w14:textId="1FE341CD" w:rsidR="00D12530" w:rsidRDefault="00D12530" w:rsidP="00D12530">
      <w:pPr>
        <w:pStyle w:val="Caption"/>
        <w:jc w:val="center"/>
      </w:pPr>
      <w:bookmarkStart w:id="10" w:name="_Toc216391195"/>
      <w:r>
        <w:t xml:space="preserve">Figure </w:t>
      </w:r>
      <w:r>
        <w:fldChar w:fldCharType="begin"/>
      </w:r>
      <w:r>
        <w:instrText xml:space="preserve"> SEQ Figure \* ARABIC </w:instrText>
      </w:r>
      <w:r>
        <w:fldChar w:fldCharType="separate"/>
      </w:r>
      <w:r w:rsidR="005162EF">
        <w:rPr>
          <w:noProof/>
        </w:rPr>
        <w:t>3</w:t>
      </w:r>
      <w:r>
        <w:fldChar w:fldCharType="end"/>
      </w:r>
      <w:r>
        <w:t xml:space="preserve"> - Earth Covered Magazine</w:t>
      </w:r>
      <w:bookmarkEnd w:id="10"/>
    </w:p>
    <w:p w14:paraId="693AE8FC" w14:textId="0A117A2B" w:rsidR="00C618B7" w:rsidRDefault="00C618B7" w:rsidP="00C618B7">
      <w:pPr>
        <w:pStyle w:val="Heading2"/>
      </w:pPr>
      <w:bookmarkStart w:id="11" w:name="_Toc216432183"/>
      <w:r>
        <w:t>Site Security</w:t>
      </w:r>
      <w:bookmarkEnd w:id="11"/>
    </w:p>
    <w:p w14:paraId="35FA18C0" w14:textId="4B6999B9" w:rsidR="00C618B7" w:rsidRPr="00C618B7" w:rsidRDefault="00013E66" w:rsidP="0069435A">
      <w:pPr>
        <w:jc w:val="both"/>
      </w:pPr>
      <w:r>
        <w:t>Security for explosive sites is priority as the impact of poor security can be severe. If a security breach is made then there is the potential for financial loss, reputational damage and loss of sensitive information. A good security management system will deter an</w:t>
      </w:r>
      <w:r w:rsidR="0040037C">
        <w:t xml:space="preserve">y internal thefts and prevent any external breaches to the perimeter and storage locations. </w:t>
      </w:r>
      <w:r w:rsidR="0069435A">
        <w:t xml:space="preserve">The site has perimeter fencing and barriers controlling access and egress in its current condition (Figure </w:t>
      </w:r>
      <w:r w:rsidR="003606AD">
        <w:t>4</w:t>
      </w:r>
      <w:r w:rsidR="0069435A">
        <w:t xml:space="preserve">), however, the fencing does not meet any security guideline in the IATG. </w:t>
      </w:r>
      <w:sdt>
        <w:sdtPr>
          <w:id w:val="-913781858"/>
          <w:citation/>
        </w:sdtPr>
        <w:sdtContent>
          <w:r w:rsidR="00031D4E">
            <w:fldChar w:fldCharType="begin"/>
          </w:r>
          <w:r w:rsidR="00031D4E">
            <w:instrText xml:space="preserve"> CITATION Saf212 \l 2057 </w:instrText>
          </w:r>
          <w:r w:rsidR="00031D4E">
            <w:fldChar w:fldCharType="separate"/>
          </w:r>
          <w:r w:rsidR="00031D4E" w:rsidRPr="00031D4E">
            <w:rPr>
              <w:noProof/>
            </w:rPr>
            <w:t>[7]</w:t>
          </w:r>
          <w:r w:rsidR="00031D4E">
            <w:fldChar w:fldCharType="end"/>
          </w:r>
        </w:sdtContent>
      </w:sdt>
    </w:p>
    <w:p w14:paraId="661B6C70" w14:textId="77777777" w:rsidR="0040037C" w:rsidRDefault="00C618B7" w:rsidP="0040037C">
      <w:pPr>
        <w:keepNext/>
        <w:jc w:val="center"/>
      </w:pPr>
      <w:r w:rsidRPr="00C618B7">
        <w:rPr>
          <w:noProof/>
        </w:rPr>
        <w:lastRenderedPageBreak/>
        <w:drawing>
          <wp:inline distT="0" distB="0" distL="0" distR="0" wp14:anchorId="59F0E561" wp14:editId="7CC64F38">
            <wp:extent cx="5209433" cy="1945005"/>
            <wp:effectExtent l="0" t="0" r="0" b="0"/>
            <wp:docPr id="990356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56678" name=""/>
                    <pic:cNvPicPr/>
                  </pic:nvPicPr>
                  <pic:blipFill rotWithShape="1">
                    <a:blip r:embed="rId15"/>
                    <a:srcRect t="4669"/>
                    <a:stretch/>
                  </pic:blipFill>
                  <pic:spPr bwMode="auto">
                    <a:xfrm>
                      <a:off x="0" y="0"/>
                      <a:ext cx="5217502" cy="1948017"/>
                    </a:xfrm>
                    <a:prstGeom prst="rect">
                      <a:avLst/>
                    </a:prstGeom>
                    <a:ln>
                      <a:noFill/>
                    </a:ln>
                    <a:extLst>
                      <a:ext uri="{53640926-AAD7-44D8-BBD7-CCE9431645EC}">
                        <a14:shadowObscured xmlns:a14="http://schemas.microsoft.com/office/drawing/2010/main"/>
                      </a:ext>
                    </a:extLst>
                  </pic:spPr>
                </pic:pic>
              </a:graphicData>
            </a:graphic>
          </wp:inline>
        </w:drawing>
      </w:r>
    </w:p>
    <w:p w14:paraId="36855F6B" w14:textId="1E591E52" w:rsidR="00C618B7" w:rsidRDefault="0040037C" w:rsidP="0040037C">
      <w:pPr>
        <w:pStyle w:val="Caption"/>
        <w:jc w:val="center"/>
      </w:pPr>
      <w:bookmarkStart w:id="12" w:name="_Toc216391196"/>
      <w:r>
        <w:t xml:space="preserve">Figure </w:t>
      </w:r>
      <w:r>
        <w:fldChar w:fldCharType="begin"/>
      </w:r>
      <w:r>
        <w:instrText xml:space="preserve"> SEQ Figure \* ARABIC </w:instrText>
      </w:r>
      <w:r>
        <w:fldChar w:fldCharType="separate"/>
      </w:r>
      <w:r w:rsidR="005162EF">
        <w:rPr>
          <w:noProof/>
        </w:rPr>
        <w:t>4</w:t>
      </w:r>
      <w:r>
        <w:fldChar w:fldCharType="end"/>
      </w:r>
      <w:r>
        <w:t xml:space="preserve"> - Street View of site entrance</w:t>
      </w:r>
      <w:bookmarkEnd w:id="12"/>
    </w:p>
    <w:p w14:paraId="154C4E44" w14:textId="3346124C" w:rsidR="00F76C35" w:rsidRDefault="0069435A" w:rsidP="0069435A">
      <w:pPr>
        <w:jc w:val="both"/>
      </w:pPr>
      <w:r>
        <w:t>To increase the resistance of climbing and security breaches</w:t>
      </w:r>
      <w:r w:rsidR="001723EC">
        <w:t>,</w:t>
      </w:r>
      <w:r>
        <w:t xml:space="preserve"> the PES should have at a minimum Class 2 security fencing with monitored cameras surrounding the site perimeter. The barrier shall be </w:t>
      </w:r>
      <w:r w:rsidR="003606AD">
        <w:t>always manned</w:t>
      </w:r>
      <w:r>
        <w:t xml:space="preserve"> by a security guard who shall only grant access to authorised personnel</w:t>
      </w:r>
      <w:r w:rsidR="001723EC">
        <w:t xml:space="preserve"> </w:t>
      </w:r>
      <w:r>
        <w:t xml:space="preserve">and approved visitors. </w:t>
      </w:r>
    </w:p>
    <w:p w14:paraId="68F811C4" w14:textId="2D3B3948" w:rsidR="009C5B9A" w:rsidRPr="00342153" w:rsidRDefault="0069435A" w:rsidP="00342153">
      <w:pPr>
        <w:jc w:val="both"/>
      </w:pPr>
      <w:r>
        <w:t xml:space="preserve">The guards in the barrier huts shall also hold the keys required to enter the ESHs with key access only given to necessary personnel. </w:t>
      </w:r>
      <w:r w:rsidR="00F76C35">
        <w:t>Any material that is stored or removed from the ESHs should be documented on both a paper document held on the external of the building and in a suitable business management software. These should be review</w:t>
      </w:r>
      <w:r w:rsidR="001723EC">
        <w:t>ed</w:t>
      </w:r>
      <w:r w:rsidR="00F76C35">
        <w:t xml:space="preserve"> weekly, at a minimum</w:t>
      </w:r>
      <w:r w:rsidR="001723EC">
        <w:t>,</w:t>
      </w:r>
      <w:r w:rsidR="00F76C35">
        <w:t xml:space="preserve"> to ensure they align to prevent </w:t>
      </w:r>
      <w:r w:rsidR="004B1D07">
        <w:t xml:space="preserve">or capture </w:t>
      </w:r>
      <w:r w:rsidR="00F76C35">
        <w:t>any loss</w:t>
      </w:r>
      <w:r w:rsidR="001723EC">
        <w:t>es</w:t>
      </w:r>
      <w:r w:rsidR="00F76C35">
        <w:t>.</w:t>
      </w:r>
      <w:r w:rsidR="004B1D07">
        <w:t xml:space="preserve"> The accounting methods shall also be used to ensure that all work is being completed in line with the Explosive Limit Licences (ELLs) for the buildings.</w:t>
      </w:r>
      <w:r w:rsidR="00031D4E">
        <w:t xml:space="preserve"> </w:t>
      </w:r>
    </w:p>
    <w:p w14:paraId="0C9E326A" w14:textId="47EC008F" w:rsidR="007B019A" w:rsidRDefault="00E75961" w:rsidP="00E75961">
      <w:pPr>
        <w:pStyle w:val="Heading2"/>
      </w:pPr>
      <w:bookmarkStart w:id="13" w:name="_Toc216432184"/>
      <w:r>
        <w:t>Critical Review of Proposed Solution</w:t>
      </w:r>
      <w:bookmarkEnd w:id="13"/>
    </w:p>
    <w:p w14:paraId="4174E20E" w14:textId="4C5458CF" w:rsidR="00E75961" w:rsidRDefault="00D3146E" w:rsidP="00D3146E">
      <w:pPr>
        <w:tabs>
          <w:tab w:val="left" w:pos="2520"/>
        </w:tabs>
        <w:jc w:val="both"/>
      </w:pPr>
      <w:r>
        <w:t xml:space="preserve">The main purpose of this report is to provide evidence and recommendations for the Council to </w:t>
      </w:r>
      <w:r w:rsidR="00802BDD">
        <w:t>decide</w:t>
      </w:r>
      <w:r>
        <w:t xml:space="preserve"> on the proposal. Big Bang Storage Solutions state that each ESH will be able to hold 1000kg of each Hazard Division. To assess the statement, aggregation rules must be applied and Quantity Distances (QDs) investigated. When storing a variety of articles and HDs, it is vital that they are aggregated correctly to ensure the risk is being appropriately manage</w:t>
      </w:r>
      <w:r w:rsidR="001723EC">
        <w:t>d</w:t>
      </w:r>
      <w:r>
        <w:t xml:space="preserve">. Figure 5 shows the aggregation rules stated in the IATG which must be followed when calculating the Net Explosive Quantity (NEQ) which </w:t>
      </w:r>
      <w:r w:rsidR="00A25571">
        <w:t>dictates</w:t>
      </w:r>
      <w:r>
        <w:t xml:space="preserve"> the QDs. </w:t>
      </w:r>
      <w:r w:rsidR="00802BDD">
        <w:t xml:space="preserve">The brief includes storage of four HDs, but HD 1.4 is not to be included in the NEQs as stated in the IATG. When storing HD 1.4, only the fire risks are to be considered when calculating separation distances. As there is significant blast and fragmentation risk to the other HDs, HD 1.4 is to be ignored completely for the calculations in this report. For the remaining HDs stated in the brief, serial number 3 in the table below is to be followed. </w:t>
      </w:r>
      <w:sdt>
        <w:sdtPr>
          <w:id w:val="-126706161"/>
          <w:citation/>
        </w:sdtPr>
        <w:sdtContent>
          <w:r w:rsidR="00031D4E">
            <w:fldChar w:fldCharType="begin"/>
          </w:r>
          <w:r w:rsidR="00031D4E">
            <w:instrText xml:space="preserve"> CITATION Saf211 \l 2057 </w:instrText>
          </w:r>
          <w:r w:rsidR="00031D4E">
            <w:fldChar w:fldCharType="separate"/>
          </w:r>
          <w:r w:rsidR="00031D4E" w:rsidRPr="00031D4E">
            <w:rPr>
              <w:noProof/>
            </w:rPr>
            <w:t>[5]</w:t>
          </w:r>
          <w:r w:rsidR="00031D4E">
            <w:fldChar w:fldCharType="end"/>
          </w:r>
        </w:sdtContent>
      </w:sdt>
    </w:p>
    <w:p w14:paraId="6DAFD38F" w14:textId="77777777" w:rsidR="00D3146E" w:rsidRDefault="00D3146E" w:rsidP="00D3146E">
      <w:pPr>
        <w:keepNext/>
        <w:tabs>
          <w:tab w:val="left" w:pos="2520"/>
        </w:tabs>
        <w:jc w:val="center"/>
      </w:pPr>
      <w:r w:rsidRPr="00D3146E">
        <w:rPr>
          <w:noProof/>
        </w:rPr>
        <w:lastRenderedPageBreak/>
        <w:drawing>
          <wp:inline distT="0" distB="0" distL="0" distR="0" wp14:anchorId="342B535B" wp14:editId="6FEA2E19">
            <wp:extent cx="4207510" cy="1925218"/>
            <wp:effectExtent l="0" t="0" r="2540" b="0"/>
            <wp:docPr id="310522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22864" name=""/>
                    <pic:cNvPicPr/>
                  </pic:nvPicPr>
                  <pic:blipFill>
                    <a:blip r:embed="rId16"/>
                    <a:stretch>
                      <a:fillRect/>
                    </a:stretch>
                  </pic:blipFill>
                  <pic:spPr>
                    <a:xfrm>
                      <a:off x="0" y="0"/>
                      <a:ext cx="4217975" cy="1930006"/>
                    </a:xfrm>
                    <a:prstGeom prst="rect">
                      <a:avLst/>
                    </a:prstGeom>
                  </pic:spPr>
                </pic:pic>
              </a:graphicData>
            </a:graphic>
          </wp:inline>
        </w:drawing>
      </w:r>
    </w:p>
    <w:p w14:paraId="4D18B0A3" w14:textId="5817A22F" w:rsidR="00D3146E" w:rsidRDefault="00D3146E" w:rsidP="00D3146E">
      <w:pPr>
        <w:pStyle w:val="Caption"/>
        <w:jc w:val="center"/>
      </w:pPr>
      <w:bookmarkStart w:id="14" w:name="_Toc216391197"/>
      <w:r>
        <w:t xml:space="preserve">Figure </w:t>
      </w:r>
      <w:r>
        <w:fldChar w:fldCharType="begin"/>
      </w:r>
      <w:r>
        <w:instrText xml:space="preserve"> SEQ Figure \* ARABIC </w:instrText>
      </w:r>
      <w:r>
        <w:fldChar w:fldCharType="separate"/>
      </w:r>
      <w:r w:rsidR="005162EF">
        <w:rPr>
          <w:noProof/>
        </w:rPr>
        <w:t>5</w:t>
      </w:r>
      <w:r>
        <w:fldChar w:fldCharType="end"/>
      </w:r>
      <w:r>
        <w:t xml:space="preserve"> - IATG Aggregation Rules</w:t>
      </w:r>
      <w:bookmarkEnd w:id="14"/>
      <w:sdt>
        <w:sdtPr>
          <w:id w:val="-644662186"/>
          <w:citation/>
        </w:sdtPr>
        <w:sdtContent>
          <w:r w:rsidR="00031D4E">
            <w:fldChar w:fldCharType="begin"/>
          </w:r>
          <w:r w:rsidR="00031D4E">
            <w:instrText xml:space="preserve"> CITATION Saf211 \l 2057 </w:instrText>
          </w:r>
          <w:r w:rsidR="00031D4E">
            <w:fldChar w:fldCharType="separate"/>
          </w:r>
          <w:r w:rsidR="00031D4E">
            <w:rPr>
              <w:noProof/>
            </w:rPr>
            <w:t xml:space="preserve"> </w:t>
          </w:r>
          <w:r w:rsidR="00031D4E" w:rsidRPr="00031D4E">
            <w:rPr>
              <w:noProof/>
            </w:rPr>
            <w:t>[5]</w:t>
          </w:r>
          <w:r w:rsidR="00031D4E">
            <w:fldChar w:fldCharType="end"/>
          </w:r>
        </w:sdtContent>
      </w:sdt>
    </w:p>
    <w:p w14:paraId="2702CA2C" w14:textId="5DED9B15" w:rsidR="00802BDD" w:rsidRDefault="00802BDD" w:rsidP="00802BDD">
      <w:pPr>
        <w:jc w:val="both"/>
      </w:pPr>
      <w:r>
        <w:t>Although the proposal states 1000kg of each hazard type, there is no desire to store more than 500kg of HD 1.2. Due to this fact, the total NEQ used in this report is a total of 2,500kg. Following the rule above, the 2,500kg must no</w:t>
      </w:r>
      <w:r w:rsidR="00F03E66">
        <w:t>w</w:t>
      </w:r>
      <w:r>
        <w:t xml:space="preserve"> be evaluated as HD 1.1 and 1.2</w:t>
      </w:r>
      <w:r w:rsidR="00F03E66">
        <w:t xml:space="preserve"> using the QD guidance given in the IATG.</w:t>
      </w:r>
      <w:r w:rsidR="00BB30AD">
        <w:t xml:space="preserve"> QDs can be calculated by using the tables in the IATG or using the UN SaferGuard toolkit found online. </w:t>
      </w:r>
    </w:p>
    <w:p w14:paraId="49600E51" w14:textId="635DB044" w:rsidR="00BB30AD" w:rsidRDefault="00BB30AD" w:rsidP="00BB30AD">
      <w:pPr>
        <w:keepNext/>
        <w:jc w:val="center"/>
      </w:pPr>
      <w:r w:rsidRPr="00BB30AD">
        <w:rPr>
          <w:noProof/>
        </w:rPr>
        <w:drawing>
          <wp:inline distT="0" distB="0" distL="0" distR="0" wp14:anchorId="57CBEC61" wp14:editId="059F60D9">
            <wp:extent cx="2012950" cy="2417300"/>
            <wp:effectExtent l="0" t="0" r="6350" b="2540"/>
            <wp:docPr id="1700237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237285" name=""/>
                    <pic:cNvPicPr/>
                  </pic:nvPicPr>
                  <pic:blipFill>
                    <a:blip r:embed="rId17"/>
                    <a:stretch>
                      <a:fillRect/>
                    </a:stretch>
                  </pic:blipFill>
                  <pic:spPr>
                    <a:xfrm>
                      <a:off x="0" y="0"/>
                      <a:ext cx="2022677" cy="2428981"/>
                    </a:xfrm>
                    <a:prstGeom prst="rect">
                      <a:avLst/>
                    </a:prstGeom>
                  </pic:spPr>
                </pic:pic>
              </a:graphicData>
            </a:graphic>
          </wp:inline>
        </w:drawing>
      </w:r>
      <w:r w:rsidRPr="00BB30AD">
        <w:rPr>
          <w:noProof/>
        </w:rPr>
        <w:drawing>
          <wp:inline distT="0" distB="0" distL="0" distR="0" wp14:anchorId="1C400E07" wp14:editId="6066D68B">
            <wp:extent cx="2006600" cy="2413165"/>
            <wp:effectExtent l="0" t="0" r="0" b="6350"/>
            <wp:docPr id="200344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449082" name=""/>
                    <pic:cNvPicPr/>
                  </pic:nvPicPr>
                  <pic:blipFill>
                    <a:blip r:embed="rId18"/>
                    <a:stretch>
                      <a:fillRect/>
                    </a:stretch>
                  </pic:blipFill>
                  <pic:spPr>
                    <a:xfrm>
                      <a:off x="0" y="0"/>
                      <a:ext cx="2015406" cy="2423755"/>
                    </a:xfrm>
                    <a:prstGeom prst="rect">
                      <a:avLst/>
                    </a:prstGeom>
                  </pic:spPr>
                </pic:pic>
              </a:graphicData>
            </a:graphic>
          </wp:inline>
        </w:drawing>
      </w:r>
    </w:p>
    <w:p w14:paraId="05120F73" w14:textId="307F1BF3" w:rsidR="00BB30AD" w:rsidRDefault="00BB30AD" w:rsidP="00BB30AD">
      <w:pPr>
        <w:pStyle w:val="Caption"/>
        <w:jc w:val="center"/>
      </w:pPr>
      <w:bookmarkStart w:id="15" w:name="_Toc216391198"/>
      <w:r>
        <w:t xml:space="preserve">Figure </w:t>
      </w:r>
      <w:r>
        <w:fldChar w:fldCharType="begin"/>
      </w:r>
      <w:r>
        <w:instrText xml:space="preserve"> SEQ Figure \* ARABIC </w:instrText>
      </w:r>
      <w:r>
        <w:fldChar w:fldCharType="separate"/>
      </w:r>
      <w:r w:rsidR="005162EF">
        <w:rPr>
          <w:noProof/>
        </w:rPr>
        <w:t>6</w:t>
      </w:r>
      <w:r>
        <w:fldChar w:fldCharType="end"/>
      </w:r>
      <w:r>
        <w:t xml:space="preserve"> - QD comparison for HD 1.1 and 1.2</w:t>
      </w:r>
      <w:bookmarkEnd w:id="15"/>
      <w:sdt>
        <w:sdtPr>
          <w:id w:val="-2010520541"/>
          <w:citation/>
        </w:sdtPr>
        <w:sdtContent>
          <w:r w:rsidR="002308AD">
            <w:fldChar w:fldCharType="begin"/>
          </w:r>
          <w:r w:rsidR="002308AD">
            <w:instrText xml:space="preserve"> CITATION UNS \l 2057 </w:instrText>
          </w:r>
          <w:r w:rsidR="002308AD">
            <w:fldChar w:fldCharType="separate"/>
          </w:r>
          <w:r w:rsidR="002308AD">
            <w:rPr>
              <w:noProof/>
            </w:rPr>
            <w:t xml:space="preserve"> </w:t>
          </w:r>
          <w:r w:rsidR="002308AD" w:rsidRPr="002308AD">
            <w:rPr>
              <w:noProof/>
            </w:rPr>
            <w:t>[8]</w:t>
          </w:r>
          <w:r w:rsidR="002308AD">
            <w:fldChar w:fldCharType="end"/>
          </w:r>
        </w:sdtContent>
      </w:sdt>
    </w:p>
    <w:p w14:paraId="22B34774" w14:textId="5BCFA1A4" w:rsidR="00BB30AD" w:rsidRDefault="00BB30AD" w:rsidP="00BB30AD">
      <w:pPr>
        <w:jc w:val="both"/>
      </w:pPr>
      <w:r>
        <w:t xml:space="preserve">For this quantity of explosive, in this scenario, there are significant differences when comparing HD 1.1 and 1.2 due to the protection the ECM provides for fragmentation hazards. </w:t>
      </w:r>
      <w:r w:rsidR="00C83E15">
        <w:t>To</w:t>
      </w:r>
      <w:r w:rsidR="008971D0">
        <w:t xml:space="preserve"> analyse this proposal correctly</w:t>
      </w:r>
      <w:r w:rsidR="00C83E15">
        <w:t>,</w:t>
      </w:r>
      <w:r w:rsidR="008971D0">
        <w:t xml:space="preserve"> all explosives shall be aggregated and treated as HD 1.1. </w:t>
      </w:r>
      <w:r w:rsidR="00137862">
        <w:t xml:space="preserve">The information in figure 6 was obtained by using the UN SaferGuard toolkit which provided an output which can be applied to the ESHs in the proposal. </w:t>
      </w:r>
    </w:p>
    <w:p w14:paraId="0480DFA7" w14:textId="72F3AF06" w:rsidR="00137862" w:rsidRDefault="00137862" w:rsidP="00BB30AD">
      <w:pPr>
        <w:jc w:val="both"/>
      </w:pPr>
      <w:r>
        <w:t xml:space="preserve">The toolkit shows that a Vulnerable Building Distance (VBD) that is to be applied to the ESHs is 600 metres. It is important to first understand what </w:t>
      </w:r>
      <w:r w:rsidR="004B6E36">
        <w:t xml:space="preserve">structures fall into the category of vulnerable buildings. It is defined in the IATG as a building which is deemed to be vulnerable by nature of its construction or function. These sort of buildings, in the event of incident, could cause disproportionate harm such as hospitals, schools, religious sites, and buildings with structural vulnerability. </w:t>
      </w:r>
      <w:sdt>
        <w:sdtPr>
          <w:id w:val="785391439"/>
          <w:citation/>
        </w:sdtPr>
        <w:sdtContent>
          <w:r w:rsidR="002308AD">
            <w:fldChar w:fldCharType="begin"/>
          </w:r>
          <w:r w:rsidR="002308AD">
            <w:instrText xml:space="preserve"> CITATION Saf211 \l 2057 </w:instrText>
          </w:r>
          <w:r w:rsidR="002308AD">
            <w:fldChar w:fldCharType="separate"/>
          </w:r>
          <w:r w:rsidR="002308AD" w:rsidRPr="002308AD">
            <w:rPr>
              <w:noProof/>
            </w:rPr>
            <w:t>[5]</w:t>
          </w:r>
          <w:r w:rsidR="002308AD">
            <w:fldChar w:fldCharType="end"/>
          </w:r>
        </w:sdtContent>
      </w:sdt>
    </w:p>
    <w:p w14:paraId="31D002A3" w14:textId="569F3B15" w:rsidR="004B6E36" w:rsidRDefault="004B6E36" w:rsidP="00BB30AD">
      <w:pPr>
        <w:jc w:val="both"/>
      </w:pPr>
      <w:r>
        <w:t xml:space="preserve">The distance given by the toolkit of the Inhabited Building Distance (IBD) was 400 metres. An inhabited building is defined in the IATG as a building that is regularly occupied by people that are </w:t>
      </w:r>
      <w:r>
        <w:lastRenderedPageBreak/>
        <w:t xml:space="preserve">not involved in the explosive work in the area. Common buildings that come into this category are homes, shops and offices. </w:t>
      </w:r>
      <w:sdt>
        <w:sdtPr>
          <w:id w:val="2133970339"/>
          <w:citation/>
        </w:sdtPr>
        <w:sdtContent>
          <w:r w:rsidR="002308AD">
            <w:fldChar w:fldCharType="begin"/>
          </w:r>
          <w:r w:rsidR="002308AD">
            <w:instrText xml:space="preserve"> CITATION Saf211 \l 2057 </w:instrText>
          </w:r>
          <w:r w:rsidR="002308AD">
            <w:fldChar w:fldCharType="separate"/>
          </w:r>
          <w:r w:rsidR="002308AD" w:rsidRPr="002308AD">
            <w:rPr>
              <w:noProof/>
            </w:rPr>
            <w:t>[5]</w:t>
          </w:r>
          <w:r w:rsidR="002308AD">
            <w:fldChar w:fldCharType="end"/>
          </w:r>
        </w:sdtContent>
      </w:sdt>
    </w:p>
    <w:p w14:paraId="7D79C933" w14:textId="2D56E4D2" w:rsidR="00617975" w:rsidRDefault="006B0F16" w:rsidP="00617975">
      <w:pPr>
        <w:jc w:val="both"/>
      </w:pPr>
      <w:r>
        <w:t>270 metres was the distance given by the toolkit for the Public Traffic Route Distance (PTRD</w:t>
      </w:r>
      <w:r w:rsidR="00182FD3">
        <w:t>),</w:t>
      </w:r>
      <w:r>
        <w:t xml:space="preserve"> but this however does not give the full picture when generating QDs for traffic routes. The IATG defines a PTR as any railway, waterway, road and right of ways used by members of the public. Public traffic routes are split into three categories which are low, medium and high density. This refers to how regularly the PTRs are used and is measured by number of </w:t>
      </w:r>
      <w:r w:rsidR="00617975">
        <w:t>users per day. The table below is an extract from the IATG which shows how each PTR is categorised. H</w:t>
      </w:r>
      <w:r w:rsidR="00617975" w:rsidRPr="00617975">
        <w:t>igh</w:t>
      </w:r>
      <w:r w:rsidR="00617975">
        <w:t xml:space="preserve"> </w:t>
      </w:r>
      <w:r w:rsidR="00617975" w:rsidRPr="00617975">
        <w:t>density routes must maintain a QD equal to 100% of the IBD, medium</w:t>
      </w:r>
      <w:r w:rsidR="00617975">
        <w:t xml:space="preserve"> </w:t>
      </w:r>
      <w:r w:rsidR="00617975" w:rsidRPr="00617975">
        <w:t>density routes should maintain 67% of the IBD and low</w:t>
      </w:r>
      <w:r w:rsidR="00617975">
        <w:t>-</w:t>
      </w:r>
      <w:r w:rsidR="00617975" w:rsidRPr="00617975">
        <w:t>density routes should maintain 50% of the IBD</w:t>
      </w:r>
      <w:r w:rsidR="00617975">
        <w:t xml:space="preserve">. Knowing this, the online toolkit has assumed a traffic density of </w:t>
      </w:r>
      <w:r w:rsidR="002E6166">
        <w:t>medium which must be checked carefully when applying the figures to the PES.</w:t>
      </w:r>
      <w:r w:rsidR="00C17537">
        <w:t xml:space="preserve"> </w:t>
      </w:r>
      <w:sdt>
        <w:sdtPr>
          <w:id w:val="2104377923"/>
          <w:citation/>
        </w:sdtPr>
        <w:sdtContent>
          <w:r w:rsidR="002308AD">
            <w:fldChar w:fldCharType="begin"/>
          </w:r>
          <w:r w:rsidR="002308AD">
            <w:instrText xml:space="preserve"> CITATION Saf211 \l 2057 </w:instrText>
          </w:r>
          <w:r w:rsidR="002308AD">
            <w:fldChar w:fldCharType="separate"/>
          </w:r>
          <w:r w:rsidR="002308AD" w:rsidRPr="002308AD">
            <w:rPr>
              <w:noProof/>
            </w:rPr>
            <w:t>[5]</w:t>
          </w:r>
          <w:r w:rsidR="002308AD">
            <w:fldChar w:fldCharType="end"/>
          </w:r>
        </w:sdtContent>
      </w:sdt>
    </w:p>
    <w:p w14:paraId="03F7A195" w14:textId="55467A76" w:rsidR="00617975" w:rsidRDefault="00617975" w:rsidP="00617975">
      <w:pPr>
        <w:jc w:val="center"/>
      </w:pPr>
      <w:r w:rsidRPr="00617975">
        <w:rPr>
          <w:noProof/>
        </w:rPr>
        <w:drawing>
          <wp:inline distT="0" distB="0" distL="0" distR="0" wp14:anchorId="1B7DA224" wp14:editId="5B524E21">
            <wp:extent cx="2965450" cy="2609383"/>
            <wp:effectExtent l="0" t="0" r="6350" b="635"/>
            <wp:docPr id="146661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613814" name=""/>
                    <pic:cNvPicPr/>
                  </pic:nvPicPr>
                  <pic:blipFill>
                    <a:blip r:embed="rId19"/>
                    <a:stretch>
                      <a:fillRect/>
                    </a:stretch>
                  </pic:blipFill>
                  <pic:spPr>
                    <a:xfrm>
                      <a:off x="0" y="0"/>
                      <a:ext cx="2976190" cy="2618834"/>
                    </a:xfrm>
                    <a:prstGeom prst="rect">
                      <a:avLst/>
                    </a:prstGeom>
                  </pic:spPr>
                </pic:pic>
              </a:graphicData>
            </a:graphic>
          </wp:inline>
        </w:drawing>
      </w:r>
    </w:p>
    <w:p w14:paraId="2D2BD2B6" w14:textId="3C63D5DB" w:rsidR="006B0F16" w:rsidRDefault="00617975" w:rsidP="00617975">
      <w:pPr>
        <w:pStyle w:val="Caption"/>
        <w:jc w:val="center"/>
      </w:pPr>
      <w:bookmarkStart w:id="16" w:name="_Toc216391199"/>
      <w:r>
        <w:t xml:space="preserve">Figure </w:t>
      </w:r>
      <w:r>
        <w:fldChar w:fldCharType="begin"/>
      </w:r>
      <w:r>
        <w:instrText xml:space="preserve"> SEQ Figure \* ARABIC </w:instrText>
      </w:r>
      <w:r>
        <w:fldChar w:fldCharType="separate"/>
      </w:r>
      <w:r w:rsidR="005162EF">
        <w:rPr>
          <w:noProof/>
        </w:rPr>
        <w:t>7</w:t>
      </w:r>
      <w:r>
        <w:fldChar w:fldCharType="end"/>
      </w:r>
      <w:r>
        <w:t xml:space="preserve"> - PTR Density Categories</w:t>
      </w:r>
      <w:bookmarkEnd w:id="16"/>
    </w:p>
    <w:p w14:paraId="4EA9B2A3" w14:textId="60694F55" w:rsidR="002E6166" w:rsidRDefault="002E6166" w:rsidP="00F94DFA">
      <w:pPr>
        <w:jc w:val="both"/>
      </w:pPr>
      <w:r>
        <w:t xml:space="preserve">As shown earlier in the report, there has been an assumed location for the 5 ESHs </w:t>
      </w:r>
      <w:r w:rsidR="00C17537">
        <w:t>which are shown in the AI generated image (Figure 2).</w:t>
      </w:r>
      <w:r w:rsidR="00F94DFA">
        <w:t xml:space="preserve"> To obtain the coordinate locations, a grid was drawn on an image taken from Google Earth which highlights the location of each ESH. </w:t>
      </w:r>
      <w:r w:rsidR="00C17537">
        <w:t xml:space="preserve">This image was then used to obtain reference points to </w:t>
      </w:r>
      <w:r w:rsidR="00F94DFA">
        <w:t>acquire the coordinates to input into the toolkit. The toolkit allows users to input coordinates and export a file which can then be imported into Google Earth to visualise a QD map.</w:t>
      </w:r>
    </w:p>
    <w:p w14:paraId="02BA56DE" w14:textId="77777777" w:rsidR="00C17537" w:rsidRDefault="002E6166" w:rsidP="00C17537">
      <w:pPr>
        <w:keepNext/>
        <w:jc w:val="center"/>
      </w:pPr>
      <w:r>
        <w:rPr>
          <w:noProof/>
        </w:rPr>
        <w:lastRenderedPageBreak/>
        <w:drawing>
          <wp:inline distT="0" distB="0" distL="0" distR="0" wp14:anchorId="5719BFDE" wp14:editId="353A1368">
            <wp:extent cx="3355034" cy="2540000"/>
            <wp:effectExtent l="0" t="0" r="0" b="0"/>
            <wp:docPr id="10125704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570476" name=""/>
                    <pic:cNvPicPr/>
                  </pic:nvPicPr>
                  <pic:blipFill>
                    <a:blip r:embed="rId20">
                      <a:extLst>
                        <a:ext uri="{28A0092B-C50C-407E-A947-70E740481C1C}">
                          <a14:useLocalDpi xmlns:a14="http://schemas.microsoft.com/office/drawing/2010/main"/>
                        </a:ext>
                      </a:extLst>
                    </a:blip>
                    <a:stretch>
                      <a:fillRect/>
                    </a:stretch>
                  </pic:blipFill>
                  <pic:spPr>
                    <a:xfrm>
                      <a:off x="0" y="0"/>
                      <a:ext cx="3359657" cy="2543500"/>
                    </a:xfrm>
                    <a:prstGeom prst="rect">
                      <a:avLst/>
                    </a:prstGeom>
                  </pic:spPr>
                </pic:pic>
              </a:graphicData>
            </a:graphic>
          </wp:inline>
        </w:drawing>
      </w:r>
    </w:p>
    <w:p w14:paraId="28BF19B0" w14:textId="086AF759" w:rsidR="002E6166" w:rsidRDefault="00C17537" w:rsidP="00C17537">
      <w:pPr>
        <w:pStyle w:val="Caption"/>
        <w:jc w:val="center"/>
      </w:pPr>
      <w:bookmarkStart w:id="17" w:name="_Toc216391200"/>
      <w:r>
        <w:t xml:space="preserve">Figure </w:t>
      </w:r>
      <w:r>
        <w:fldChar w:fldCharType="begin"/>
      </w:r>
      <w:r>
        <w:instrText xml:space="preserve"> SEQ Figure \* ARABIC </w:instrText>
      </w:r>
      <w:r>
        <w:fldChar w:fldCharType="separate"/>
      </w:r>
      <w:r w:rsidR="005162EF">
        <w:rPr>
          <w:noProof/>
        </w:rPr>
        <w:t>8</w:t>
      </w:r>
      <w:r>
        <w:fldChar w:fldCharType="end"/>
      </w:r>
      <w:r>
        <w:t xml:space="preserve"> - ESH Grid Locations</w:t>
      </w:r>
      <w:bookmarkEnd w:id="17"/>
    </w:p>
    <w:p w14:paraId="21905D70" w14:textId="7F9AB755" w:rsidR="00B979BB" w:rsidRDefault="00F94DFA" w:rsidP="00774DA2">
      <w:pPr>
        <w:jc w:val="both"/>
      </w:pPr>
      <w:r>
        <w:t xml:space="preserve">A QD map was </w:t>
      </w:r>
      <w:r w:rsidR="00C95D0A">
        <w:t>produced</w:t>
      </w:r>
      <w:r>
        <w:t xml:space="preserve"> for each ESH</w:t>
      </w:r>
      <w:r w:rsidR="00C95D0A">
        <w:t>,</w:t>
      </w:r>
      <w:r>
        <w:t xml:space="preserve"> highlight</w:t>
      </w:r>
      <w:r w:rsidR="00C95D0A">
        <w:t>ing all ESs</w:t>
      </w:r>
      <w:r>
        <w:t xml:space="preserve"> with</w:t>
      </w:r>
      <w:r w:rsidR="00C95D0A">
        <w:t xml:space="preserve"> colour coding corresponding to their building category</w:t>
      </w:r>
      <w:r>
        <w:t xml:space="preserve">. </w:t>
      </w:r>
      <w:r w:rsidR="00C95D0A">
        <w:t xml:space="preserve">Each map is accompanied by a table which details each ES with its classification, distance and compliance. These allow clear visualisation of the </w:t>
      </w:r>
      <w:r w:rsidR="00D10737">
        <w:t xml:space="preserve">potential </w:t>
      </w:r>
      <w:r w:rsidR="00C95D0A">
        <w:t xml:space="preserve">impact an incident may </w:t>
      </w:r>
      <w:r w:rsidR="00D10737">
        <w:t>have</w:t>
      </w:r>
      <w:r w:rsidR="00C95D0A">
        <w:t xml:space="preserve"> on the surrounding area</w:t>
      </w:r>
      <w:r w:rsidR="00D10737">
        <w:t>, supporting the analysis of the proposal</w:t>
      </w:r>
      <w:r w:rsidR="00B979BB">
        <w:t xml:space="preserve">’s </w:t>
      </w:r>
      <w:r w:rsidR="00D10737">
        <w:t>compliance</w:t>
      </w:r>
      <w:r w:rsidR="00C95D0A">
        <w:t xml:space="preserve">. </w:t>
      </w:r>
    </w:p>
    <w:p w14:paraId="2EADDE79" w14:textId="6CA02753" w:rsidR="009334A5" w:rsidRDefault="009334A5" w:rsidP="00B51C1F">
      <w:pPr>
        <w:jc w:val="both"/>
      </w:pPr>
      <w:r>
        <w:t>The ESHs have been named one to five in the order they go from left to right in the AI generated image of the proposed site. The QD map below clearly shows t</w:t>
      </w:r>
      <w:r w:rsidR="00B51C1F">
        <w:t xml:space="preserve">hat there is the potential of severe damage to the surrounding area. The table details the distances between each ES and the ESH with the addition of two PTRs, Langdon Road and Fabian Way. Langdon Road goes directly through the middle of the apartments, labelled 5, and Fabian Way can be seen highlighted above building IDs 1, 2, 3 and 5. </w:t>
      </w:r>
    </w:p>
    <w:p w14:paraId="5A08DDCD" w14:textId="583A5984" w:rsidR="00006196" w:rsidRDefault="00006196" w:rsidP="00B51C1F">
      <w:pPr>
        <w:jc w:val="both"/>
      </w:pPr>
      <w:r>
        <w:t xml:space="preserve">The compliance table (Figure 10) indicates that 10 out of 13 ESs are non-compliant with the IATG, with the closest VB being 255 metres and IB being 281 metres. Due to the high number of non-compliant ES, ESH 1 presents a high risk to the area. </w:t>
      </w:r>
    </w:p>
    <w:p w14:paraId="18B2A40A" w14:textId="77777777" w:rsidR="009334A5" w:rsidRDefault="009334A5" w:rsidP="009334A5">
      <w:pPr>
        <w:keepNext/>
        <w:jc w:val="center"/>
      </w:pPr>
      <w:r>
        <w:rPr>
          <w:noProof/>
        </w:rPr>
        <w:lastRenderedPageBreak/>
        <w:drawing>
          <wp:inline distT="0" distB="0" distL="0" distR="0" wp14:anchorId="07BE1BEB" wp14:editId="7099368E">
            <wp:extent cx="4400550" cy="2958107"/>
            <wp:effectExtent l="0" t="0" r="0" b="0"/>
            <wp:docPr id="552932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932930" name=""/>
                    <pic:cNvPicPr/>
                  </pic:nvPicPr>
                  <pic:blipFill>
                    <a:blip r:embed="rId21">
                      <a:extLst>
                        <a:ext uri="{28A0092B-C50C-407E-A947-70E740481C1C}">
                          <a14:useLocalDpi xmlns:a14="http://schemas.microsoft.com/office/drawing/2010/main"/>
                        </a:ext>
                      </a:extLst>
                    </a:blip>
                    <a:stretch>
                      <a:fillRect/>
                    </a:stretch>
                  </pic:blipFill>
                  <pic:spPr>
                    <a:xfrm>
                      <a:off x="0" y="0"/>
                      <a:ext cx="4404979" cy="2961084"/>
                    </a:xfrm>
                    <a:prstGeom prst="rect">
                      <a:avLst/>
                    </a:prstGeom>
                  </pic:spPr>
                </pic:pic>
              </a:graphicData>
            </a:graphic>
          </wp:inline>
        </w:drawing>
      </w:r>
    </w:p>
    <w:p w14:paraId="7012A698" w14:textId="1591E0B2" w:rsidR="00774DA2" w:rsidRDefault="009334A5" w:rsidP="009334A5">
      <w:pPr>
        <w:pStyle w:val="Caption"/>
        <w:jc w:val="center"/>
      </w:pPr>
      <w:bookmarkStart w:id="18" w:name="_Toc216391201"/>
      <w:r>
        <w:t xml:space="preserve">Figure </w:t>
      </w:r>
      <w:r>
        <w:fldChar w:fldCharType="begin"/>
      </w:r>
      <w:r>
        <w:instrText xml:space="preserve"> SEQ Figure \* ARABIC </w:instrText>
      </w:r>
      <w:r>
        <w:fldChar w:fldCharType="separate"/>
      </w:r>
      <w:r w:rsidR="005162EF">
        <w:rPr>
          <w:noProof/>
        </w:rPr>
        <w:t>9</w:t>
      </w:r>
      <w:r>
        <w:fldChar w:fldCharType="end"/>
      </w:r>
      <w:r>
        <w:t xml:space="preserve"> - ESH 1 QD Map</w:t>
      </w:r>
      <w:bookmarkEnd w:id="18"/>
    </w:p>
    <w:p w14:paraId="34937A63" w14:textId="77777777" w:rsidR="009334A5" w:rsidRDefault="009334A5" w:rsidP="009334A5">
      <w:pPr>
        <w:keepNext/>
        <w:jc w:val="center"/>
      </w:pPr>
      <w:r>
        <w:rPr>
          <w:noProof/>
        </w:rPr>
        <w:drawing>
          <wp:inline distT="0" distB="0" distL="0" distR="0" wp14:anchorId="4A59C55F" wp14:editId="02945A20">
            <wp:extent cx="3340729" cy="3510707"/>
            <wp:effectExtent l="0" t="0" r="0" b="0"/>
            <wp:docPr id="17878108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10894" name=""/>
                    <pic:cNvPicPr/>
                  </pic:nvPicPr>
                  <pic:blipFill>
                    <a:blip r:embed="rId22">
                      <a:extLst>
                        <a:ext uri="{28A0092B-C50C-407E-A947-70E740481C1C}">
                          <a14:useLocalDpi xmlns:a14="http://schemas.microsoft.com/office/drawing/2010/main"/>
                        </a:ext>
                      </a:extLst>
                    </a:blip>
                    <a:stretch>
                      <a:fillRect/>
                    </a:stretch>
                  </pic:blipFill>
                  <pic:spPr>
                    <a:xfrm>
                      <a:off x="0" y="0"/>
                      <a:ext cx="3351046" cy="3521549"/>
                    </a:xfrm>
                    <a:prstGeom prst="rect">
                      <a:avLst/>
                    </a:prstGeom>
                  </pic:spPr>
                </pic:pic>
              </a:graphicData>
            </a:graphic>
          </wp:inline>
        </w:drawing>
      </w:r>
    </w:p>
    <w:p w14:paraId="543960ED" w14:textId="3FF8B98A" w:rsidR="009334A5" w:rsidRDefault="009334A5" w:rsidP="009334A5">
      <w:pPr>
        <w:pStyle w:val="Caption"/>
        <w:jc w:val="center"/>
      </w:pPr>
      <w:bookmarkStart w:id="19" w:name="_Toc216391202"/>
      <w:r>
        <w:t xml:space="preserve">Figure </w:t>
      </w:r>
      <w:r>
        <w:fldChar w:fldCharType="begin"/>
      </w:r>
      <w:r>
        <w:instrText xml:space="preserve"> SEQ Figure \* ARABIC </w:instrText>
      </w:r>
      <w:r>
        <w:fldChar w:fldCharType="separate"/>
      </w:r>
      <w:r w:rsidR="005162EF">
        <w:rPr>
          <w:noProof/>
        </w:rPr>
        <w:t>10</w:t>
      </w:r>
      <w:r>
        <w:fldChar w:fldCharType="end"/>
      </w:r>
      <w:r>
        <w:t xml:space="preserve"> - ESH 1 Compliance Table</w:t>
      </w:r>
      <w:bookmarkEnd w:id="19"/>
    </w:p>
    <w:p w14:paraId="0D9EC4DD" w14:textId="645FF717" w:rsidR="00006196" w:rsidRDefault="00006196" w:rsidP="004A45A3">
      <w:pPr>
        <w:jc w:val="both"/>
      </w:pPr>
      <w:r>
        <w:t xml:space="preserve">ESH 2 produces very similar results to ESH 1 with 9 out of 13 ESs </w:t>
      </w:r>
      <w:r w:rsidR="004A45A3">
        <w:t>being non-compliant. The closest VB for ESH 2 is 273 metres and nearest IB is 270 metres, indicating a high level of risk if a 2500kg event was to occur.</w:t>
      </w:r>
    </w:p>
    <w:p w14:paraId="40A49A91" w14:textId="77777777" w:rsidR="00006196" w:rsidRDefault="00006196" w:rsidP="00006196">
      <w:pPr>
        <w:keepNext/>
        <w:jc w:val="center"/>
      </w:pPr>
      <w:r>
        <w:rPr>
          <w:noProof/>
        </w:rPr>
        <w:lastRenderedPageBreak/>
        <w:drawing>
          <wp:inline distT="0" distB="0" distL="0" distR="0" wp14:anchorId="594BEFD6" wp14:editId="3F43FCD3">
            <wp:extent cx="4731026" cy="2951971"/>
            <wp:effectExtent l="0" t="0" r="0" b="1270"/>
            <wp:docPr id="8424797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79786" name=""/>
                    <pic:cNvPicPr/>
                  </pic:nvPicPr>
                  <pic:blipFill>
                    <a:blip r:embed="rId23">
                      <a:extLst>
                        <a:ext uri="{28A0092B-C50C-407E-A947-70E740481C1C}">
                          <a14:useLocalDpi xmlns:a14="http://schemas.microsoft.com/office/drawing/2010/main"/>
                        </a:ext>
                      </a:extLst>
                    </a:blip>
                    <a:stretch>
                      <a:fillRect/>
                    </a:stretch>
                  </pic:blipFill>
                  <pic:spPr>
                    <a:xfrm>
                      <a:off x="0" y="0"/>
                      <a:ext cx="4745560" cy="2961040"/>
                    </a:xfrm>
                    <a:prstGeom prst="rect">
                      <a:avLst/>
                    </a:prstGeom>
                  </pic:spPr>
                </pic:pic>
              </a:graphicData>
            </a:graphic>
          </wp:inline>
        </w:drawing>
      </w:r>
    </w:p>
    <w:p w14:paraId="2F740D7E" w14:textId="23120B23" w:rsidR="00006196" w:rsidRDefault="00006196" w:rsidP="00006196">
      <w:pPr>
        <w:pStyle w:val="Caption"/>
        <w:jc w:val="center"/>
      </w:pPr>
      <w:bookmarkStart w:id="20" w:name="_Toc216391203"/>
      <w:r>
        <w:t xml:space="preserve">Figure </w:t>
      </w:r>
      <w:r>
        <w:fldChar w:fldCharType="begin"/>
      </w:r>
      <w:r>
        <w:instrText xml:space="preserve"> SEQ Figure \* ARABIC </w:instrText>
      </w:r>
      <w:r>
        <w:fldChar w:fldCharType="separate"/>
      </w:r>
      <w:r w:rsidR="005162EF">
        <w:rPr>
          <w:noProof/>
        </w:rPr>
        <w:t>11</w:t>
      </w:r>
      <w:r>
        <w:fldChar w:fldCharType="end"/>
      </w:r>
      <w:r>
        <w:t xml:space="preserve"> - ESH 2 QD Map</w:t>
      </w:r>
      <w:bookmarkEnd w:id="20"/>
    </w:p>
    <w:p w14:paraId="3480ECA4" w14:textId="77777777" w:rsidR="00006196" w:rsidRDefault="00006196" w:rsidP="00006196">
      <w:pPr>
        <w:keepNext/>
        <w:jc w:val="center"/>
      </w:pPr>
      <w:r>
        <w:rPr>
          <w:noProof/>
        </w:rPr>
        <w:drawing>
          <wp:inline distT="0" distB="0" distL="0" distR="0" wp14:anchorId="16BDFABA" wp14:editId="549DF4B6">
            <wp:extent cx="3832529" cy="3883243"/>
            <wp:effectExtent l="0" t="0" r="0" b="3175"/>
            <wp:docPr id="17474837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83703" name=""/>
                    <pic:cNvPicPr/>
                  </pic:nvPicPr>
                  <pic:blipFill>
                    <a:blip r:embed="rId24">
                      <a:extLst>
                        <a:ext uri="{28A0092B-C50C-407E-A947-70E740481C1C}">
                          <a14:useLocalDpi xmlns:a14="http://schemas.microsoft.com/office/drawing/2010/main" val="0"/>
                        </a:ext>
                      </a:extLst>
                    </a:blip>
                    <a:stretch>
                      <a:fillRect/>
                    </a:stretch>
                  </pic:blipFill>
                  <pic:spPr>
                    <a:xfrm>
                      <a:off x="0" y="0"/>
                      <a:ext cx="3839778" cy="3890587"/>
                    </a:xfrm>
                    <a:prstGeom prst="rect">
                      <a:avLst/>
                    </a:prstGeom>
                  </pic:spPr>
                </pic:pic>
              </a:graphicData>
            </a:graphic>
          </wp:inline>
        </w:drawing>
      </w:r>
    </w:p>
    <w:p w14:paraId="23AC62DB" w14:textId="3C7212C6" w:rsidR="00006196" w:rsidRDefault="00006196" w:rsidP="00006196">
      <w:pPr>
        <w:pStyle w:val="Caption"/>
        <w:jc w:val="center"/>
      </w:pPr>
      <w:bookmarkStart w:id="21" w:name="_Toc216391204"/>
      <w:r>
        <w:t xml:space="preserve">Figure </w:t>
      </w:r>
      <w:r>
        <w:fldChar w:fldCharType="begin"/>
      </w:r>
      <w:r>
        <w:instrText xml:space="preserve"> SEQ Figure \* ARABIC </w:instrText>
      </w:r>
      <w:r>
        <w:fldChar w:fldCharType="separate"/>
      </w:r>
      <w:r w:rsidR="005162EF">
        <w:rPr>
          <w:noProof/>
        </w:rPr>
        <w:t>12</w:t>
      </w:r>
      <w:r>
        <w:fldChar w:fldCharType="end"/>
      </w:r>
      <w:r>
        <w:t xml:space="preserve"> - ESH 2 Compliance Table</w:t>
      </w:r>
      <w:bookmarkEnd w:id="21"/>
    </w:p>
    <w:p w14:paraId="641019CA" w14:textId="7EC85EEA" w:rsidR="004A45A3" w:rsidRDefault="00182FD3" w:rsidP="005C3A06">
      <w:pPr>
        <w:jc w:val="both"/>
      </w:pPr>
      <w:r>
        <w:t>ESH 3 has 11 Ess within QD, compared to 13 for ESH 1 and 2</w:t>
      </w:r>
      <w:r w:rsidR="001C4144">
        <w:t>. For the analysis</w:t>
      </w:r>
      <w:r w:rsidR="002D57E5">
        <w:t xml:space="preserve">, </w:t>
      </w:r>
      <w:r w:rsidR="001C4144">
        <w:t xml:space="preserve">they have been removed from the compliance table </w:t>
      </w:r>
      <w:r w:rsidR="002D57E5">
        <w:t xml:space="preserve">as they are not within any circle on the map. ESH 3 has 8 structures which are non-compliant with the IATG. This therefore presents a high risk for the infrastructure and civilians in the area. The nearest VB for ESH 3 is 333 metres and closest IB is just 258 metres. </w:t>
      </w:r>
    </w:p>
    <w:p w14:paraId="40DA018A" w14:textId="77777777" w:rsidR="004A45A3" w:rsidRDefault="004A45A3" w:rsidP="004A45A3">
      <w:pPr>
        <w:keepNext/>
        <w:jc w:val="center"/>
      </w:pPr>
      <w:r>
        <w:rPr>
          <w:noProof/>
        </w:rPr>
        <w:lastRenderedPageBreak/>
        <w:drawing>
          <wp:inline distT="0" distB="0" distL="0" distR="0" wp14:anchorId="3B55CC3C" wp14:editId="0BB45E8A">
            <wp:extent cx="4698707" cy="3267986"/>
            <wp:effectExtent l="0" t="0" r="6985" b="8890"/>
            <wp:docPr id="18127113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711330" name=""/>
                    <pic:cNvPicPr/>
                  </pic:nvPicPr>
                  <pic:blipFill>
                    <a:blip r:embed="rId25">
                      <a:extLst>
                        <a:ext uri="{28A0092B-C50C-407E-A947-70E740481C1C}">
                          <a14:useLocalDpi xmlns:a14="http://schemas.microsoft.com/office/drawing/2010/main" val="0"/>
                        </a:ext>
                      </a:extLst>
                    </a:blip>
                    <a:stretch>
                      <a:fillRect/>
                    </a:stretch>
                  </pic:blipFill>
                  <pic:spPr>
                    <a:xfrm>
                      <a:off x="0" y="0"/>
                      <a:ext cx="4705917" cy="3273000"/>
                    </a:xfrm>
                    <a:prstGeom prst="rect">
                      <a:avLst/>
                    </a:prstGeom>
                  </pic:spPr>
                </pic:pic>
              </a:graphicData>
            </a:graphic>
          </wp:inline>
        </w:drawing>
      </w:r>
    </w:p>
    <w:p w14:paraId="4D1014A9" w14:textId="2B3E0B55" w:rsidR="004A45A3" w:rsidRDefault="004A45A3" w:rsidP="004A45A3">
      <w:pPr>
        <w:pStyle w:val="Caption"/>
        <w:jc w:val="center"/>
      </w:pPr>
      <w:bookmarkStart w:id="22" w:name="_Toc216391205"/>
      <w:r>
        <w:t xml:space="preserve">Figure </w:t>
      </w:r>
      <w:r>
        <w:fldChar w:fldCharType="begin"/>
      </w:r>
      <w:r>
        <w:instrText xml:space="preserve"> SEQ Figure \* ARABIC </w:instrText>
      </w:r>
      <w:r>
        <w:fldChar w:fldCharType="separate"/>
      </w:r>
      <w:r w:rsidR="005162EF">
        <w:rPr>
          <w:noProof/>
        </w:rPr>
        <w:t>13</w:t>
      </w:r>
      <w:r>
        <w:fldChar w:fldCharType="end"/>
      </w:r>
      <w:r>
        <w:t xml:space="preserve"> - ESH 3 QD Map</w:t>
      </w:r>
      <w:bookmarkEnd w:id="22"/>
    </w:p>
    <w:p w14:paraId="74712666" w14:textId="77777777" w:rsidR="004A45A3" w:rsidRDefault="004A45A3" w:rsidP="004A45A3">
      <w:pPr>
        <w:keepNext/>
        <w:jc w:val="center"/>
      </w:pPr>
      <w:r>
        <w:rPr>
          <w:noProof/>
        </w:rPr>
        <w:drawing>
          <wp:inline distT="0" distB="0" distL="0" distR="0" wp14:anchorId="00B32C85" wp14:editId="00D096A8">
            <wp:extent cx="4103965" cy="3967701"/>
            <wp:effectExtent l="0" t="0" r="0" b="0"/>
            <wp:docPr id="4351594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59413" name=""/>
                    <pic:cNvPicPr/>
                  </pic:nvPicPr>
                  <pic:blipFill>
                    <a:blip r:embed="rId26">
                      <a:extLst>
                        <a:ext uri="{28A0092B-C50C-407E-A947-70E740481C1C}">
                          <a14:useLocalDpi xmlns:a14="http://schemas.microsoft.com/office/drawing/2010/main" val="0"/>
                        </a:ext>
                      </a:extLst>
                    </a:blip>
                    <a:stretch>
                      <a:fillRect/>
                    </a:stretch>
                  </pic:blipFill>
                  <pic:spPr>
                    <a:xfrm>
                      <a:off x="0" y="0"/>
                      <a:ext cx="4109216" cy="3972777"/>
                    </a:xfrm>
                    <a:prstGeom prst="rect">
                      <a:avLst/>
                    </a:prstGeom>
                  </pic:spPr>
                </pic:pic>
              </a:graphicData>
            </a:graphic>
          </wp:inline>
        </w:drawing>
      </w:r>
    </w:p>
    <w:p w14:paraId="44E16594" w14:textId="14868BD9" w:rsidR="004A45A3" w:rsidRDefault="004A45A3" w:rsidP="004A45A3">
      <w:pPr>
        <w:pStyle w:val="Caption"/>
        <w:jc w:val="center"/>
      </w:pPr>
      <w:bookmarkStart w:id="23" w:name="_Toc216391206"/>
      <w:r>
        <w:t xml:space="preserve">Figure </w:t>
      </w:r>
      <w:r>
        <w:fldChar w:fldCharType="begin"/>
      </w:r>
      <w:r>
        <w:instrText xml:space="preserve"> SEQ Figure \* ARABIC </w:instrText>
      </w:r>
      <w:r>
        <w:fldChar w:fldCharType="separate"/>
      </w:r>
      <w:r w:rsidR="005162EF">
        <w:rPr>
          <w:noProof/>
        </w:rPr>
        <w:t>14</w:t>
      </w:r>
      <w:r>
        <w:fldChar w:fldCharType="end"/>
      </w:r>
      <w:r>
        <w:t xml:space="preserve"> - ESH 3 Compliance Table</w:t>
      </w:r>
      <w:bookmarkEnd w:id="23"/>
    </w:p>
    <w:p w14:paraId="53CCC6B3" w14:textId="2E28DEAF" w:rsidR="002D57E5" w:rsidRDefault="005C3A06" w:rsidP="00401F9D">
      <w:pPr>
        <w:jc w:val="both"/>
      </w:pPr>
      <w:r>
        <w:t xml:space="preserve">The closest VB for ESH 4 is 379 metres and nearest IB is 255 metres, making the ESH non-compliant with the IATG. ESH 4 has a total of 9 non-compliant ESs, making it worse than ESH 3 and on par with ESH 2. Fabian Way is one of the non-compliant ES, with </w:t>
      </w:r>
      <w:r w:rsidR="008F603D">
        <w:t>394</w:t>
      </w:r>
      <w:r>
        <w:t xml:space="preserve"> metres. Fabian Way is the main traffic route in and out of Swansea in the direction of the M4, meaning it </w:t>
      </w:r>
      <w:r>
        <w:lastRenderedPageBreak/>
        <w:t xml:space="preserve">sees more than 5000 users per day. Although the online tool states </w:t>
      </w:r>
      <w:r w:rsidR="00884524">
        <w:t>270</w:t>
      </w:r>
      <w:r>
        <w:t xml:space="preserve"> metres for PTRD, </w:t>
      </w:r>
      <w:r w:rsidR="00401F9D">
        <w:t xml:space="preserve">that is for a medium density route as discussed previously in this report. To understand the requirement for a high-density PTR, the IATG itself must be used. As shown in Figure 7, when analysing a high-density PTR, the QD used should be 100% of the IBD, in this case 400 metres. </w:t>
      </w:r>
    </w:p>
    <w:p w14:paraId="02C8F1D3" w14:textId="77777777" w:rsidR="002D57E5" w:rsidRDefault="002D57E5" w:rsidP="002D57E5">
      <w:pPr>
        <w:keepNext/>
        <w:jc w:val="center"/>
      </w:pPr>
      <w:r>
        <w:rPr>
          <w:noProof/>
        </w:rPr>
        <w:drawing>
          <wp:inline distT="0" distB="0" distL="0" distR="0" wp14:anchorId="468D076A" wp14:editId="3C13AF04">
            <wp:extent cx="4481465" cy="3221286"/>
            <wp:effectExtent l="0" t="0" r="0" b="0"/>
            <wp:docPr id="19380306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30698" name=""/>
                    <pic:cNvPicPr/>
                  </pic:nvPicPr>
                  <pic:blipFill>
                    <a:blip r:embed="rId27">
                      <a:extLst>
                        <a:ext uri="{28A0092B-C50C-407E-A947-70E740481C1C}">
                          <a14:useLocalDpi xmlns:a14="http://schemas.microsoft.com/office/drawing/2010/main"/>
                        </a:ext>
                      </a:extLst>
                    </a:blip>
                    <a:stretch>
                      <a:fillRect/>
                    </a:stretch>
                  </pic:blipFill>
                  <pic:spPr>
                    <a:xfrm>
                      <a:off x="0" y="0"/>
                      <a:ext cx="4485504" cy="3224190"/>
                    </a:xfrm>
                    <a:prstGeom prst="rect">
                      <a:avLst/>
                    </a:prstGeom>
                  </pic:spPr>
                </pic:pic>
              </a:graphicData>
            </a:graphic>
          </wp:inline>
        </w:drawing>
      </w:r>
    </w:p>
    <w:p w14:paraId="4EE087FA" w14:textId="71F3661D" w:rsidR="002D57E5" w:rsidRDefault="002D57E5" w:rsidP="002D57E5">
      <w:pPr>
        <w:pStyle w:val="Caption"/>
        <w:jc w:val="center"/>
      </w:pPr>
      <w:bookmarkStart w:id="24" w:name="_Toc216391207"/>
      <w:r>
        <w:t xml:space="preserve">Figure </w:t>
      </w:r>
      <w:r>
        <w:fldChar w:fldCharType="begin"/>
      </w:r>
      <w:r>
        <w:instrText xml:space="preserve"> SEQ Figure \* ARABIC </w:instrText>
      </w:r>
      <w:r>
        <w:fldChar w:fldCharType="separate"/>
      </w:r>
      <w:r w:rsidR="005162EF">
        <w:rPr>
          <w:noProof/>
        </w:rPr>
        <w:t>15</w:t>
      </w:r>
      <w:r>
        <w:fldChar w:fldCharType="end"/>
      </w:r>
      <w:r>
        <w:t xml:space="preserve"> - ESH 4 QD Map</w:t>
      </w:r>
      <w:bookmarkEnd w:id="24"/>
    </w:p>
    <w:p w14:paraId="5B42DD5A" w14:textId="3AB4382A" w:rsidR="002D57E5" w:rsidRDefault="002D57E5" w:rsidP="002D57E5">
      <w:pPr>
        <w:keepNext/>
        <w:jc w:val="center"/>
      </w:pPr>
      <w:r w:rsidRPr="002D57E5">
        <w:rPr>
          <w:noProof/>
        </w:rPr>
        <w:drawing>
          <wp:inline distT="0" distB="0" distL="0" distR="0" wp14:anchorId="6BC11388" wp14:editId="135930D0">
            <wp:extent cx="4134678" cy="3557546"/>
            <wp:effectExtent l="0" t="0" r="0" b="5080"/>
            <wp:docPr id="938530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30683" name=""/>
                    <pic:cNvPicPr/>
                  </pic:nvPicPr>
                  <pic:blipFill>
                    <a:blip r:embed="rId28"/>
                    <a:stretch>
                      <a:fillRect/>
                    </a:stretch>
                  </pic:blipFill>
                  <pic:spPr>
                    <a:xfrm>
                      <a:off x="0" y="0"/>
                      <a:ext cx="4142106" cy="3563937"/>
                    </a:xfrm>
                    <a:prstGeom prst="rect">
                      <a:avLst/>
                    </a:prstGeom>
                  </pic:spPr>
                </pic:pic>
              </a:graphicData>
            </a:graphic>
          </wp:inline>
        </w:drawing>
      </w:r>
    </w:p>
    <w:p w14:paraId="2D8EF296" w14:textId="1815408C" w:rsidR="002D57E5" w:rsidRDefault="002D57E5" w:rsidP="002D57E5">
      <w:pPr>
        <w:pStyle w:val="Caption"/>
        <w:jc w:val="center"/>
      </w:pPr>
      <w:bookmarkStart w:id="25" w:name="_Toc216391208"/>
      <w:r>
        <w:t xml:space="preserve">Figure </w:t>
      </w:r>
      <w:r>
        <w:fldChar w:fldCharType="begin"/>
      </w:r>
      <w:r>
        <w:instrText xml:space="preserve"> SEQ Figure \* ARABIC </w:instrText>
      </w:r>
      <w:r>
        <w:fldChar w:fldCharType="separate"/>
      </w:r>
      <w:r w:rsidR="005162EF">
        <w:rPr>
          <w:noProof/>
        </w:rPr>
        <w:t>16</w:t>
      </w:r>
      <w:r>
        <w:fldChar w:fldCharType="end"/>
      </w:r>
      <w:r>
        <w:t xml:space="preserve"> - ESH 4 Compliance Table</w:t>
      </w:r>
      <w:bookmarkEnd w:id="25"/>
    </w:p>
    <w:p w14:paraId="66031E13" w14:textId="7E0DAB75" w:rsidR="009D3D9F" w:rsidRPr="009D3D9F" w:rsidRDefault="009D3D9F" w:rsidP="009D3D9F">
      <w:r>
        <w:t xml:space="preserve">ESH 5 has 8 non-compliant ESs, with the closest VB being 422 metres and the nearest IB being 246 metres. </w:t>
      </w:r>
    </w:p>
    <w:p w14:paraId="341B26DF" w14:textId="20A5B7D7" w:rsidR="009D3D9F" w:rsidRDefault="009D3D9F" w:rsidP="009D3D9F"/>
    <w:p w14:paraId="6E556568" w14:textId="77777777" w:rsidR="009D3D9F" w:rsidRDefault="009D3D9F" w:rsidP="009D3D9F">
      <w:pPr>
        <w:keepNext/>
        <w:jc w:val="center"/>
      </w:pPr>
      <w:r>
        <w:rPr>
          <w:noProof/>
        </w:rPr>
        <w:drawing>
          <wp:inline distT="0" distB="0" distL="0" distR="0" wp14:anchorId="0778E24C" wp14:editId="6DAD57CC">
            <wp:extent cx="4309607" cy="3463461"/>
            <wp:effectExtent l="0" t="0" r="0" b="3810"/>
            <wp:docPr id="95198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83864" name=""/>
                    <pic:cNvPicPr/>
                  </pic:nvPicPr>
                  <pic:blipFill>
                    <a:blip r:embed="rId29">
                      <a:extLst>
                        <a:ext uri="{28A0092B-C50C-407E-A947-70E740481C1C}">
                          <a14:useLocalDpi xmlns:a14="http://schemas.microsoft.com/office/drawing/2010/main"/>
                        </a:ext>
                      </a:extLst>
                    </a:blip>
                    <a:stretch>
                      <a:fillRect/>
                    </a:stretch>
                  </pic:blipFill>
                  <pic:spPr>
                    <a:xfrm>
                      <a:off x="0" y="0"/>
                      <a:ext cx="4313566" cy="3466643"/>
                    </a:xfrm>
                    <a:prstGeom prst="rect">
                      <a:avLst/>
                    </a:prstGeom>
                  </pic:spPr>
                </pic:pic>
              </a:graphicData>
            </a:graphic>
          </wp:inline>
        </w:drawing>
      </w:r>
    </w:p>
    <w:p w14:paraId="6209B286" w14:textId="196168C2" w:rsidR="009D3D9F" w:rsidRDefault="009D3D9F" w:rsidP="009D3D9F">
      <w:pPr>
        <w:pStyle w:val="Caption"/>
        <w:jc w:val="center"/>
      </w:pPr>
      <w:bookmarkStart w:id="26" w:name="_Toc216391209"/>
      <w:r>
        <w:t xml:space="preserve">Figure </w:t>
      </w:r>
      <w:r>
        <w:fldChar w:fldCharType="begin"/>
      </w:r>
      <w:r>
        <w:instrText xml:space="preserve"> SEQ Figure \* ARABIC </w:instrText>
      </w:r>
      <w:r>
        <w:fldChar w:fldCharType="separate"/>
      </w:r>
      <w:r w:rsidR="005162EF">
        <w:rPr>
          <w:noProof/>
        </w:rPr>
        <w:t>17</w:t>
      </w:r>
      <w:r>
        <w:fldChar w:fldCharType="end"/>
      </w:r>
      <w:r>
        <w:t xml:space="preserve"> - ESH 5 QD Map</w:t>
      </w:r>
      <w:bookmarkEnd w:id="26"/>
    </w:p>
    <w:p w14:paraId="68DB297D" w14:textId="77777777" w:rsidR="009D3D9F" w:rsidRDefault="009D3D9F" w:rsidP="009D3D9F">
      <w:pPr>
        <w:keepNext/>
        <w:jc w:val="center"/>
      </w:pPr>
      <w:r>
        <w:rPr>
          <w:noProof/>
        </w:rPr>
        <w:drawing>
          <wp:inline distT="0" distB="0" distL="0" distR="0" wp14:anchorId="338D70BC" wp14:editId="7329C15E">
            <wp:extent cx="4150581" cy="3571066"/>
            <wp:effectExtent l="0" t="0" r="2540" b="0"/>
            <wp:docPr id="887110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110795" name=""/>
                    <pic:cNvPicPr/>
                  </pic:nvPicPr>
                  <pic:blipFill>
                    <a:blip r:embed="rId30">
                      <a:extLst>
                        <a:ext uri="{28A0092B-C50C-407E-A947-70E740481C1C}">
                          <a14:useLocalDpi xmlns:a14="http://schemas.microsoft.com/office/drawing/2010/main" val="0"/>
                        </a:ext>
                      </a:extLst>
                    </a:blip>
                    <a:stretch>
                      <a:fillRect/>
                    </a:stretch>
                  </pic:blipFill>
                  <pic:spPr>
                    <a:xfrm>
                      <a:off x="0" y="0"/>
                      <a:ext cx="4153567" cy="3573635"/>
                    </a:xfrm>
                    <a:prstGeom prst="rect">
                      <a:avLst/>
                    </a:prstGeom>
                  </pic:spPr>
                </pic:pic>
              </a:graphicData>
            </a:graphic>
          </wp:inline>
        </w:drawing>
      </w:r>
    </w:p>
    <w:p w14:paraId="216A5A33" w14:textId="2871F3FC" w:rsidR="009D3D9F" w:rsidRDefault="009D3D9F" w:rsidP="009D3D9F">
      <w:pPr>
        <w:pStyle w:val="Caption"/>
        <w:jc w:val="center"/>
      </w:pPr>
      <w:bookmarkStart w:id="27" w:name="_Toc216391210"/>
      <w:r>
        <w:t xml:space="preserve">Figure </w:t>
      </w:r>
      <w:r>
        <w:fldChar w:fldCharType="begin"/>
      </w:r>
      <w:r>
        <w:instrText xml:space="preserve"> SEQ Figure \* ARABIC </w:instrText>
      </w:r>
      <w:r>
        <w:fldChar w:fldCharType="separate"/>
      </w:r>
      <w:r w:rsidR="005162EF">
        <w:rPr>
          <w:noProof/>
        </w:rPr>
        <w:t>18</w:t>
      </w:r>
      <w:r>
        <w:fldChar w:fldCharType="end"/>
      </w:r>
      <w:r>
        <w:t xml:space="preserve"> - ESH 5 Compliance Table</w:t>
      </w:r>
      <w:bookmarkEnd w:id="27"/>
    </w:p>
    <w:p w14:paraId="4697F787" w14:textId="2602282D" w:rsidR="00B16A97" w:rsidRDefault="00B16A97" w:rsidP="00B16A97">
      <w:pPr>
        <w:jc w:val="both"/>
      </w:pPr>
      <w:r>
        <w:t>Overall, each ESH individually poses the risk of significant damage to infrastructure and civilian</w:t>
      </w:r>
      <w:r w:rsidR="00182FD3">
        <w:t>’s</w:t>
      </w:r>
      <w:r>
        <w:t xml:space="preserve"> lives if an event was to occur when working with the limits presented in the proposal. The QD maps and compliance tables clearly show that the proposal does </w:t>
      </w:r>
      <w:r w:rsidR="00182FD3">
        <w:t xml:space="preserve">comply with the </w:t>
      </w:r>
      <w:r>
        <w:t xml:space="preserve">requirements outlined in the IATG. </w:t>
      </w:r>
    </w:p>
    <w:p w14:paraId="60D11F65" w14:textId="0F5FDD85" w:rsidR="002308AD" w:rsidRDefault="00B16A97" w:rsidP="002308AD">
      <w:pPr>
        <w:jc w:val="both"/>
      </w:pPr>
      <w:r>
        <w:lastRenderedPageBreak/>
        <w:t>The tools used so far in this report however does not mean that the site is completely unusable for energetic material storage. To assess the locations maximum capacity, an ELL for each ESH can be generated using another tool in the UN</w:t>
      </w:r>
      <w:r w:rsidR="00182FD3">
        <w:t xml:space="preserve"> </w:t>
      </w:r>
      <w:r>
        <w:t xml:space="preserve">SaferGuard toolkit. To be able to </w:t>
      </w:r>
      <w:r w:rsidR="00AA6DA6">
        <w:t xml:space="preserve">fully </w:t>
      </w:r>
      <w:r>
        <w:t xml:space="preserve">understand the proposal and analyse it critically, this has been completed with ELLs found in Appendix </w:t>
      </w:r>
      <w:r w:rsidR="00AA6DA6">
        <w:t xml:space="preserve">B, C, D, E and F. </w:t>
      </w:r>
      <w:sdt>
        <w:sdtPr>
          <w:id w:val="23685682"/>
          <w:citation/>
        </w:sdtPr>
        <w:sdtContent>
          <w:r w:rsidR="002308AD">
            <w:fldChar w:fldCharType="begin"/>
          </w:r>
          <w:r w:rsidR="002308AD">
            <w:instrText xml:space="preserve">CITATION Saf213 \l 2057 </w:instrText>
          </w:r>
          <w:r w:rsidR="002308AD">
            <w:fldChar w:fldCharType="separate"/>
          </w:r>
          <w:r w:rsidR="002308AD" w:rsidRPr="002308AD">
            <w:rPr>
              <w:noProof/>
            </w:rPr>
            <w:t>[9]</w:t>
          </w:r>
          <w:r w:rsidR="002308AD">
            <w:fldChar w:fldCharType="end"/>
          </w:r>
        </w:sdtContent>
      </w:sdt>
    </w:p>
    <w:p w14:paraId="7BB4DF97" w14:textId="331DC301" w:rsidR="00AA6DA6" w:rsidRDefault="001070F7" w:rsidP="00182FD3">
      <w:pPr>
        <w:jc w:val="both"/>
      </w:pPr>
      <w:r>
        <w:t xml:space="preserve">To generate the licences shown in the appendix, the distances from the compliance tables were put into the tool online. The licences show that no quantity of HD 1.1 can be stored in the proposed facilities. This means that the solution does not meet the requirements laid out in the brief and should not go ahead in the manner proposed. The licences state that there </w:t>
      </w:r>
      <w:r w:rsidR="000161AF">
        <w:t>are</w:t>
      </w:r>
      <w:r>
        <w:t xml:space="preserve"> no quantity limits of storage of HD 1.2 and a variation from 53,000kg to 75,000kg for HD 1.3.</w:t>
      </w:r>
      <w:r w:rsidR="00182FD3">
        <w:t xml:space="preserve"> As previously mentioned, HD 1.4 is not included in the NEQ and the ESHs can therefore be filled to physical capacity of HD 1.4</w:t>
      </w:r>
    </w:p>
    <w:p w14:paraId="23FAD42F" w14:textId="17CED2EF" w:rsidR="00884524" w:rsidRDefault="005162EF" w:rsidP="00884524">
      <w:pPr>
        <w:jc w:val="both"/>
      </w:pPr>
      <w:r>
        <w:t>The proposal states that the site will require a total of five ESHs to store the required quantity of material. Utilising the mixing rules shown in appendix A and making some assumptions, the material can be stored in a total of three</w:t>
      </w:r>
      <w:r w:rsidR="00884524">
        <w:t xml:space="preserve"> with the same 2,500kg limit</w:t>
      </w:r>
      <w:r>
        <w:t xml:space="preserve">. Figure </w:t>
      </w:r>
      <w:r w:rsidR="009C5F40">
        <w:t>19</w:t>
      </w:r>
      <w:r w:rsidR="00884524">
        <w:t xml:space="preserve"> shows the three ESHs and the material that could be stored in each. There is the requirement to store 50kg of 1.1B material which can only be stored with another compatibility group if it is fuzes of the articles it is stored with. An assumption has therefore been made that the 1.1B is the fuzes to go with some of the HD 1.1D that is required. The 1.1B and 1.1D can then be aggregated and treated as group F. The remaining material can then be mixed without any assumptions in the other two ESHs.</w:t>
      </w:r>
    </w:p>
    <w:p w14:paraId="7F7B6509" w14:textId="5C9154A0" w:rsidR="005162EF" w:rsidRDefault="00884524" w:rsidP="005162EF">
      <w:pPr>
        <w:keepNext/>
        <w:jc w:val="center"/>
      </w:pPr>
      <w:r w:rsidRPr="00884524">
        <w:drawing>
          <wp:inline distT="0" distB="0" distL="0" distR="0" wp14:anchorId="7426D579" wp14:editId="7EB89A90">
            <wp:extent cx="3705101" cy="1360666"/>
            <wp:effectExtent l="0" t="0" r="0" b="0"/>
            <wp:docPr id="96622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228714" name=""/>
                    <pic:cNvPicPr/>
                  </pic:nvPicPr>
                  <pic:blipFill>
                    <a:blip r:embed="rId31"/>
                    <a:stretch>
                      <a:fillRect/>
                    </a:stretch>
                  </pic:blipFill>
                  <pic:spPr>
                    <a:xfrm>
                      <a:off x="0" y="0"/>
                      <a:ext cx="3724934" cy="1367950"/>
                    </a:xfrm>
                    <a:prstGeom prst="rect">
                      <a:avLst/>
                    </a:prstGeom>
                  </pic:spPr>
                </pic:pic>
              </a:graphicData>
            </a:graphic>
          </wp:inline>
        </w:drawing>
      </w:r>
    </w:p>
    <w:p w14:paraId="43B5DB11" w14:textId="7A6B897E" w:rsidR="005162EF" w:rsidRDefault="005162EF" w:rsidP="005162EF">
      <w:pPr>
        <w:pStyle w:val="Caption"/>
        <w:jc w:val="center"/>
      </w:pPr>
      <w:bookmarkStart w:id="28" w:name="_Toc216391211"/>
      <w:r>
        <w:t xml:space="preserve">Figure </w:t>
      </w:r>
      <w:r>
        <w:fldChar w:fldCharType="begin"/>
      </w:r>
      <w:r>
        <w:instrText xml:space="preserve"> SEQ Figure \* ARABIC </w:instrText>
      </w:r>
      <w:r>
        <w:fldChar w:fldCharType="separate"/>
      </w:r>
      <w:r>
        <w:rPr>
          <w:noProof/>
        </w:rPr>
        <w:t>19</w:t>
      </w:r>
      <w:r>
        <w:fldChar w:fldCharType="end"/>
      </w:r>
      <w:r>
        <w:t xml:space="preserve"> - ESH Optimisation</w:t>
      </w:r>
      <w:bookmarkEnd w:id="28"/>
    </w:p>
    <w:p w14:paraId="7C3BAEEC" w14:textId="77777777" w:rsidR="004F6866" w:rsidRDefault="004F6866" w:rsidP="004F6866"/>
    <w:p w14:paraId="13640CA6" w14:textId="77777777" w:rsidR="004F6866" w:rsidRDefault="004F6866" w:rsidP="004F6866"/>
    <w:p w14:paraId="16267C2B" w14:textId="77777777" w:rsidR="004F6866" w:rsidRDefault="004F6866" w:rsidP="004F6866"/>
    <w:p w14:paraId="1A660AB4" w14:textId="77777777" w:rsidR="004F6866" w:rsidRDefault="004F6866" w:rsidP="004F6866"/>
    <w:p w14:paraId="60F8B3D2" w14:textId="77777777" w:rsidR="004F6866" w:rsidRDefault="004F6866" w:rsidP="004F6866"/>
    <w:p w14:paraId="5C050A2D" w14:textId="77777777" w:rsidR="004F6866" w:rsidRDefault="004F6866" w:rsidP="004F6866"/>
    <w:p w14:paraId="47D9D7F4" w14:textId="77777777" w:rsidR="004F6866" w:rsidRDefault="004F6866" w:rsidP="004F6866"/>
    <w:p w14:paraId="7A98FA13" w14:textId="77777777" w:rsidR="004F6866" w:rsidRDefault="004F6866" w:rsidP="004F6866"/>
    <w:p w14:paraId="00B75394" w14:textId="77777777" w:rsidR="004F6866" w:rsidRDefault="004F6866" w:rsidP="004F6866"/>
    <w:p w14:paraId="7B0B50EC" w14:textId="77777777" w:rsidR="004F6866" w:rsidRDefault="004F6866" w:rsidP="004F6866"/>
    <w:p w14:paraId="5121BF35" w14:textId="77777777" w:rsidR="004F6866" w:rsidRDefault="004F6866" w:rsidP="004F6866"/>
    <w:p w14:paraId="29783B68" w14:textId="3C8E2009" w:rsidR="004F6866" w:rsidRDefault="004F6866" w:rsidP="004F6866">
      <w:pPr>
        <w:pStyle w:val="Heading1"/>
      </w:pPr>
      <w:bookmarkStart w:id="29" w:name="_Toc216432185"/>
      <w:r>
        <w:lastRenderedPageBreak/>
        <w:t>Conclusion</w:t>
      </w:r>
      <w:bookmarkEnd w:id="29"/>
    </w:p>
    <w:p w14:paraId="6597F89B" w14:textId="0F74847F" w:rsidR="004F6866" w:rsidRDefault="00DC3A90" w:rsidP="00DC3A90">
      <w:pPr>
        <w:jc w:val="both"/>
      </w:pPr>
      <w:r>
        <w:t xml:space="preserve">Overall, the proposed solution which this report analyses does not comply with the IATG standard for explosive storage. At the required quantities, the 5 ESHs display severely inadequate separation distances with several key buildings in a highly populated area being within the QDs retrieved from the IATG. It is not only the buildings and residents in the area that could be affected by the site, maritime users of the marina may face some difficulties and risks also. If the proposal was to be approved, there may be a safety exclusion zone surrounding the site that would limit movement in the marina. Alongside the difficulties, the maritime users would also be within the </w:t>
      </w:r>
      <w:r w:rsidR="009C5F40">
        <w:t>damage range if an incident was to occur at the site.</w:t>
      </w:r>
    </w:p>
    <w:p w14:paraId="51D26F62" w14:textId="6AB168B3" w:rsidR="009C5F40" w:rsidRDefault="009C5F40" w:rsidP="00DC3A90">
      <w:pPr>
        <w:jc w:val="both"/>
      </w:pPr>
      <w:r>
        <w:t xml:space="preserve">The findings of this report show that the proposed location is not suitable to store the required material, and it is therefore recommended that the site does not go ahead. If there is scope for HD 1.1 to be stored at another site location, this area could be suitable to store HD 1.2, 1.3 and 1.4 with significant infrastructure improvements. </w:t>
      </w:r>
    </w:p>
    <w:p w14:paraId="360C5979" w14:textId="589781D5" w:rsidR="009C5F40" w:rsidRDefault="009C5F40" w:rsidP="00DC3A90">
      <w:pPr>
        <w:jc w:val="both"/>
      </w:pPr>
      <w:r>
        <w:t>Due to the fact the site is unable to store HD 1.1 and the roads in the area are not suitable for large transport vehicles, it is recommended that the stakeholders involved find another location which is more suitable for a site of this kind. This safety report documents a lot of the requirements necessary for a site to meet the requirements outlined in the brief and can therefore feed into the Council’s decision. Feedback, including questions, for Big Bang Storage Solutions can be found in Appendix G.</w:t>
      </w:r>
    </w:p>
    <w:p w14:paraId="49F10350" w14:textId="77777777" w:rsidR="009C5F40" w:rsidRDefault="009C5F40" w:rsidP="00DC3A90">
      <w:pPr>
        <w:jc w:val="both"/>
      </w:pPr>
    </w:p>
    <w:p w14:paraId="5BC17242" w14:textId="77777777" w:rsidR="009C5F40" w:rsidRDefault="009C5F40" w:rsidP="00DC3A90">
      <w:pPr>
        <w:jc w:val="both"/>
      </w:pPr>
    </w:p>
    <w:p w14:paraId="3F2150B9" w14:textId="77777777" w:rsidR="009C5F40" w:rsidRDefault="009C5F40" w:rsidP="00DC3A90">
      <w:pPr>
        <w:jc w:val="both"/>
      </w:pPr>
    </w:p>
    <w:p w14:paraId="58D5A985" w14:textId="77777777" w:rsidR="009C5F40" w:rsidRDefault="009C5F40" w:rsidP="00DC3A90">
      <w:pPr>
        <w:jc w:val="both"/>
      </w:pPr>
    </w:p>
    <w:p w14:paraId="6AAA8CC0" w14:textId="77777777" w:rsidR="009C5F40" w:rsidRDefault="009C5F40" w:rsidP="00DC3A90">
      <w:pPr>
        <w:jc w:val="both"/>
      </w:pPr>
    </w:p>
    <w:p w14:paraId="462B49FD" w14:textId="77777777" w:rsidR="009C5F40" w:rsidRDefault="009C5F40" w:rsidP="00DC3A90">
      <w:pPr>
        <w:jc w:val="both"/>
      </w:pPr>
    </w:p>
    <w:p w14:paraId="0BF1A275" w14:textId="77777777" w:rsidR="009C5F40" w:rsidRDefault="009C5F40" w:rsidP="00DC3A90">
      <w:pPr>
        <w:jc w:val="both"/>
      </w:pPr>
    </w:p>
    <w:p w14:paraId="14D4D4C6" w14:textId="77777777" w:rsidR="009C5F40" w:rsidRDefault="009C5F40" w:rsidP="00DC3A90">
      <w:pPr>
        <w:jc w:val="both"/>
      </w:pPr>
    </w:p>
    <w:p w14:paraId="6BA0D9CC" w14:textId="77777777" w:rsidR="009C5F40" w:rsidRDefault="009C5F40" w:rsidP="00DC3A90">
      <w:pPr>
        <w:jc w:val="both"/>
      </w:pPr>
    </w:p>
    <w:p w14:paraId="150AB402" w14:textId="77777777" w:rsidR="009C5F40" w:rsidRDefault="009C5F40" w:rsidP="00DC3A90">
      <w:pPr>
        <w:jc w:val="both"/>
      </w:pPr>
    </w:p>
    <w:p w14:paraId="18072ED0" w14:textId="77777777" w:rsidR="009C5F40" w:rsidRDefault="009C5F40" w:rsidP="00DC3A90">
      <w:pPr>
        <w:jc w:val="both"/>
      </w:pPr>
    </w:p>
    <w:p w14:paraId="79699589" w14:textId="77777777" w:rsidR="009C5F40" w:rsidRDefault="009C5F40" w:rsidP="00DC3A90">
      <w:pPr>
        <w:jc w:val="both"/>
      </w:pPr>
    </w:p>
    <w:p w14:paraId="60711FBA" w14:textId="77777777" w:rsidR="009C5F40" w:rsidRDefault="009C5F40" w:rsidP="00DC3A90">
      <w:pPr>
        <w:jc w:val="both"/>
      </w:pPr>
    </w:p>
    <w:p w14:paraId="61A7BE9A" w14:textId="77777777" w:rsidR="009C5F40" w:rsidRDefault="009C5F40" w:rsidP="00DC3A90">
      <w:pPr>
        <w:jc w:val="both"/>
      </w:pPr>
    </w:p>
    <w:p w14:paraId="7A6D8DC4" w14:textId="77777777" w:rsidR="009C5F40" w:rsidRDefault="009C5F40" w:rsidP="00DC3A90">
      <w:pPr>
        <w:jc w:val="both"/>
      </w:pPr>
    </w:p>
    <w:p w14:paraId="79780B5A" w14:textId="77777777" w:rsidR="009C5F40" w:rsidRDefault="009C5F40" w:rsidP="00DC3A90">
      <w:pPr>
        <w:jc w:val="both"/>
      </w:pPr>
    </w:p>
    <w:p w14:paraId="7DB17000" w14:textId="77777777" w:rsidR="002308AD" w:rsidRDefault="002308AD" w:rsidP="00DC3A90">
      <w:pPr>
        <w:jc w:val="both"/>
      </w:pPr>
    </w:p>
    <w:bookmarkStart w:id="30" w:name="_Toc216432186" w:displacedByCustomXml="next"/>
    <w:sdt>
      <w:sdtPr>
        <w:id w:val="455917450"/>
        <w:docPartObj>
          <w:docPartGallery w:val="Bibliographies"/>
          <w:docPartUnique/>
        </w:docPartObj>
      </w:sdtPr>
      <w:sdtEndPr>
        <w:rPr>
          <w:rFonts w:asciiTheme="minorHAnsi" w:eastAsiaTheme="minorHAnsi" w:hAnsiTheme="minorHAnsi" w:cstheme="minorBidi"/>
          <w:b w:val="0"/>
          <w:sz w:val="22"/>
          <w:szCs w:val="22"/>
        </w:rPr>
      </w:sdtEndPr>
      <w:sdtContent>
        <w:p w14:paraId="17ED159A" w14:textId="31DD3065" w:rsidR="002308AD" w:rsidRDefault="002308AD">
          <w:pPr>
            <w:pStyle w:val="Heading1"/>
          </w:pPr>
          <w:r>
            <w:t>References</w:t>
          </w:r>
          <w:bookmarkEnd w:id="30"/>
        </w:p>
        <w:sdt>
          <w:sdtPr>
            <w:id w:val="-573587230"/>
            <w:bibliography/>
          </w:sdtPr>
          <w:sdtContent>
            <w:p w14:paraId="09CE83FF" w14:textId="77777777" w:rsidR="002308AD" w:rsidRDefault="002308AD">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308AD" w14:paraId="149ADA53" w14:textId="77777777">
                <w:trPr>
                  <w:divId w:val="335153780"/>
                  <w:tblCellSpacing w:w="15" w:type="dxa"/>
                </w:trPr>
                <w:tc>
                  <w:tcPr>
                    <w:tcW w:w="50" w:type="pct"/>
                    <w:hideMark/>
                  </w:tcPr>
                  <w:p w14:paraId="1096B0A4" w14:textId="713B44E2" w:rsidR="002308AD" w:rsidRDefault="002308AD">
                    <w:pPr>
                      <w:pStyle w:val="Bibliography"/>
                      <w:rPr>
                        <w:noProof/>
                        <w:sz w:val="24"/>
                        <w:szCs w:val="24"/>
                      </w:rPr>
                    </w:pPr>
                    <w:r>
                      <w:rPr>
                        <w:noProof/>
                      </w:rPr>
                      <w:t xml:space="preserve">[1] </w:t>
                    </w:r>
                  </w:p>
                </w:tc>
                <w:tc>
                  <w:tcPr>
                    <w:tcW w:w="0" w:type="auto"/>
                    <w:hideMark/>
                  </w:tcPr>
                  <w:p w14:paraId="00032B25" w14:textId="77777777" w:rsidR="002308AD" w:rsidRDefault="002308AD">
                    <w:pPr>
                      <w:pStyle w:val="Bibliography"/>
                      <w:rPr>
                        <w:noProof/>
                      </w:rPr>
                    </w:pPr>
                    <w:r>
                      <w:rPr>
                        <w:noProof/>
                      </w:rPr>
                      <w:t>D. S. Authority, “DSA 03.OME Part 1: Defence Code of Practice (DCOP) 104,” 2024.</w:t>
                    </w:r>
                  </w:p>
                </w:tc>
              </w:tr>
              <w:tr w:rsidR="002308AD" w14:paraId="0B07779A" w14:textId="77777777">
                <w:trPr>
                  <w:divId w:val="335153780"/>
                  <w:tblCellSpacing w:w="15" w:type="dxa"/>
                </w:trPr>
                <w:tc>
                  <w:tcPr>
                    <w:tcW w:w="50" w:type="pct"/>
                    <w:hideMark/>
                  </w:tcPr>
                  <w:p w14:paraId="13B65841" w14:textId="77777777" w:rsidR="002308AD" w:rsidRDefault="002308AD">
                    <w:pPr>
                      <w:pStyle w:val="Bibliography"/>
                      <w:rPr>
                        <w:noProof/>
                      </w:rPr>
                    </w:pPr>
                    <w:r>
                      <w:rPr>
                        <w:noProof/>
                      </w:rPr>
                      <w:t xml:space="preserve">[2] </w:t>
                    </w:r>
                  </w:p>
                </w:tc>
                <w:tc>
                  <w:tcPr>
                    <w:tcW w:w="0" w:type="auto"/>
                    <w:hideMark/>
                  </w:tcPr>
                  <w:p w14:paraId="55647C75" w14:textId="77777777" w:rsidR="002308AD" w:rsidRDefault="002308AD">
                    <w:pPr>
                      <w:pStyle w:val="Bibliography"/>
                      <w:rPr>
                        <w:noProof/>
                      </w:rPr>
                    </w:pPr>
                    <w:r>
                      <w:rPr>
                        <w:i/>
                        <w:iCs/>
                        <w:noProof/>
                      </w:rPr>
                      <w:t xml:space="preserve">JSP 482, </w:t>
                    </w:r>
                    <w:r>
                      <w:rPr>
                        <w:noProof/>
                      </w:rPr>
                      <w:t xml:space="preserve">2013. </w:t>
                    </w:r>
                  </w:p>
                </w:tc>
              </w:tr>
              <w:tr w:rsidR="002308AD" w14:paraId="7C83094D" w14:textId="77777777">
                <w:trPr>
                  <w:divId w:val="335153780"/>
                  <w:tblCellSpacing w:w="15" w:type="dxa"/>
                </w:trPr>
                <w:tc>
                  <w:tcPr>
                    <w:tcW w:w="50" w:type="pct"/>
                    <w:hideMark/>
                  </w:tcPr>
                  <w:p w14:paraId="3883F7B5" w14:textId="77777777" w:rsidR="002308AD" w:rsidRDefault="002308AD">
                    <w:pPr>
                      <w:pStyle w:val="Bibliography"/>
                      <w:rPr>
                        <w:noProof/>
                      </w:rPr>
                    </w:pPr>
                    <w:r>
                      <w:rPr>
                        <w:noProof/>
                      </w:rPr>
                      <w:t xml:space="preserve">[3] </w:t>
                    </w:r>
                  </w:p>
                </w:tc>
                <w:tc>
                  <w:tcPr>
                    <w:tcW w:w="0" w:type="auto"/>
                    <w:hideMark/>
                  </w:tcPr>
                  <w:p w14:paraId="39C2AD67" w14:textId="77777777" w:rsidR="002308AD" w:rsidRDefault="002308AD">
                    <w:pPr>
                      <w:pStyle w:val="Bibliography"/>
                      <w:rPr>
                        <w:noProof/>
                      </w:rPr>
                    </w:pPr>
                    <w:r>
                      <w:rPr>
                        <w:noProof/>
                      </w:rPr>
                      <w:t xml:space="preserve">U. Nations, </w:t>
                    </w:r>
                    <w:r>
                      <w:rPr>
                        <w:i/>
                        <w:iCs/>
                        <w:noProof/>
                      </w:rPr>
                      <w:t xml:space="preserve">Manual of Tests and Criteria, </w:t>
                    </w:r>
                    <w:r>
                      <w:rPr>
                        <w:noProof/>
                      </w:rPr>
                      <w:t xml:space="preserve">New York and Geneva, 2019. </w:t>
                    </w:r>
                  </w:p>
                </w:tc>
              </w:tr>
              <w:tr w:rsidR="002308AD" w14:paraId="41A5033D" w14:textId="77777777">
                <w:trPr>
                  <w:divId w:val="335153780"/>
                  <w:tblCellSpacing w:w="15" w:type="dxa"/>
                </w:trPr>
                <w:tc>
                  <w:tcPr>
                    <w:tcW w:w="50" w:type="pct"/>
                    <w:hideMark/>
                  </w:tcPr>
                  <w:p w14:paraId="4A08DAB7" w14:textId="77777777" w:rsidR="002308AD" w:rsidRDefault="002308AD">
                    <w:pPr>
                      <w:pStyle w:val="Bibliography"/>
                      <w:rPr>
                        <w:noProof/>
                      </w:rPr>
                    </w:pPr>
                    <w:r>
                      <w:rPr>
                        <w:noProof/>
                      </w:rPr>
                      <w:t xml:space="preserve">[4] </w:t>
                    </w:r>
                  </w:p>
                </w:tc>
                <w:tc>
                  <w:tcPr>
                    <w:tcW w:w="0" w:type="auto"/>
                    <w:hideMark/>
                  </w:tcPr>
                  <w:p w14:paraId="50BB6F2D" w14:textId="77777777" w:rsidR="002308AD" w:rsidRDefault="002308AD">
                    <w:pPr>
                      <w:pStyle w:val="Bibliography"/>
                      <w:rPr>
                        <w:noProof/>
                      </w:rPr>
                    </w:pPr>
                    <w:r>
                      <w:rPr>
                        <w:noProof/>
                      </w:rPr>
                      <w:t xml:space="preserve">U. SaferGuard, </w:t>
                    </w:r>
                    <w:r>
                      <w:rPr>
                        <w:i/>
                        <w:iCs/>
                        <w:noProof/>
                      </w:rPr>
                      <w:t xml:space="preserve">International Ammunition Technical Guidelines, </w:t>
                    </w:r>
                    <w:r>
                      <w:rPr>
                        <w:noProof/>
                      </w:rPr>
                      <w:t xml:space="preserve">Third ed., 2021. </w:t>
                    </w:r>
                  </w:p>
                </w:tc>
              </w:tr>
              <w:tr w:rsidR="002308AD" w14:paraId="3163E4C7" w14:textId="77777777">
                <w:trPr>
                  <w:divId w:val="335153780"/>
                  <w:tblCellSpacing w:w="15" w:type="dxa"/>
                </w:trPr>
                <w:tc>
                  <w:tcPr>
                    <w:tcW w:w="50" w:type="pct"/>
                    <w:hideMark/>
                  </w:tcPr>
                  <w:p w14:paraId="727A1898" w14:textId="77777777" w:rsidR="002308AD" w:rsidRDefault="002308AD">
                    <w:pPr>
                      <w:pStyle w:val="Bibliography"/>
                      <w:rPr>
                        <w:noProof/>
                      </w:rPr>
                    </w:pPr>
                    <w:r>
                      <w:rPr>
                        <w:noProof/>
                      </w:rPr>
                      <w:t xml:space="preserve">[5] </w:t>
                    </w:r>
                  </w:p>
                </w:tc>
                <w:tc>
                  <w:tcPr>
                    <w:tcW w:w="0" w:type="auto"/>
                    <w:hideMark/>
                  </w:tcPr>
                  <w:p w14:paraId="510E6C77" w14:textId="77777777" w:rsidR="002308AD" w:rsidRDefault="002308AD">
                    <w:pPr>
                      <w:pStyle w:val="Bibliography"/>
                      <w:rPr>
                        <w:noProof/>
                      </w:rPr>
                    </w:pPr>
                    <w:r>
                      <w:rPr>
                        <w:noProof/>
                      </w:rPr>
                      <w:t xml:space="preserve">U. SaferHGuard, </w:t>
                    </w:r>
                    <w:r>
                      <w:rPr>
                        <w:i/>
                        <w:iCs/>
                        <w:noProof/>
                      </w:rPr>
                      <w:t xml:space="preserve">International Ammunition Technical Guidelines, </w:t>
                    </w:r>
                    <w:r>
                      <w:rPr>
                        <w:noProof/>
                      </w:rPr>
                      <w:t xml:space="preserve">2021. </w:t>
                    </w:r>
                  </w:p>
                </w:tc>
              </w:tr>
              <w:tr w:rsidR="002308AD" w14:paraId="5F9291EB" w14:textId="77777777">
                <w:trPr>
                  <w:divId w:val="335153780"/>
                  <w:tblCellSpacing w:w="15" w:type="dxa"/>
                </w:trPr>
                <w:tc>
                  <w:tcPr>
                    <w:tcW w:w="50" w:type="pct"/>
                    <w:hideMark/>
                  </w:tcPr>
                  <w:p w14:paraId="604C6E13" w14:textId="77777777" w:rsidR="002308AD" w:rsidRDefault="002308AD">
                    <w:pPr>
                      <w:pStyle w:val="Bibliography"/>
                      <w:rPr>
                        <w:noProof/>
                      </w:rPr>
                    </w:pPr>
                    <w:r>
                      <w:rPr>
                        <w:noProof/>
                      </w:rPr>
                      <w:t xml:space="preserve">[6] </w:t>
                    </w:r>
                  </w:p>
                </w:tc>
                <w:tc>
                  <w:tcPr>
                    <w:tcW w:w="0" w:type="auto"/>
                    <w:hideMark/>
                  </w:tcPr>
                  <w:p w14:paraId="6F27A930" w14:textId="77777777" w:rsidR="002308AD" w:rsidRDefault="002308AD">
                    <w:pPr>
                      <w:pStyle w:val="Bibliography"/>
                      <w:rPr>
                        <w:noProof/>
                      </w:rPr>
                    </w:pPr>
                    <w:r>
                      <w:rPr>
                        <w:noProof/>
                      </w:rPr>
                      <w:t>Y.-Y. Q. Z.-L. L. L. L. G.-G. X. L.-M. Y. Cheng Gong, “Study on the Earth-Covered Magazine Models under the Internal Explosion,” Hindawi, 2024.</w:t>
                    </w:r>
                  </w:p>
                </w:tc>
              </w:tr>
              <w:tr w:rsidR="002308AD" w14:paraId="431E9007" w14:textId="77777777">
                <w:trPr>
                  <w:divId w:val="335153780"/>
                  <w:tblCellSpacing w:w="15" w:type="dxa"/>
                </w:trPr>
                <w:tc>
                  <w:tcPr>
                    <w:tcW w:w="50" w:type="pct"/>
                    <w:hideMark/>
                  </w:tcPr>
                  <w:p w14:paraId="14F4CB67" w14:textId="77777777" w:rsidR="002308AD" w:rsidRDefault="002308AD">
                    <w:pPr>
                      <w:pStyle w:val="Bibliography"/>
                      <w:rPr>
                        <w:noProof/>
                      </w:rPr>
                    </w:pPr>
                    <w:r>
                      <w:rPr>
                        <w:noProof/>
                      </w:rPr>
                      <w:t xml:space="preserve">[7] </w:t>
                    </w:r>
                  </w:p>
                </w:tc>
                <w:tc>
                  <w:tcPr>
                    <w:tcW w:w="0" w:type="auto"/>
                    <w:hideMark/>
                  </w:tcPr>
                  <w:p w14:paraId="0E2BD888" w14:textId="77777777" w:rsidR="002308AD" w:rsidRDefault="002308AD">
                    <w:pPr>
                      <w:pStyle w:val="Bibliography"/>
                      <w:rPr>
                        <w:noProof/>
                      </w:rPr>
                    </w:pPr>
                    <w:r>
                      <w:rPr>
                        <w:noProof/>
                      </w:rPr>
                      <w:t xml:space="preserve">U. SaferGuard, </w:t>
                    </w:r>
                    <w:r>
                      <w:rPr>
                        <w:i/>
                        <w:iCs/>
                        <w:noProof/>
                      </w:rPr>
                      <w:t xml:space="preserve">INTERNATIONAL AMMUNITION TECHNICAL GUIDELINES, </w:t>
                    </w:r>
                    <w:r>
                      <w:rPr>
                        <w:noProof/>
                      </w:rPr>
                      <w:t xml:space="preserve">2021. </w:t>
                    </w:r>
                  </w:p>
                </w:tc>
              </w:tr>
              <w:tr w:rsidR="002308AD" w14:paraId="44A1B488" w14:textId="77777777">
                <w:trPr>
                  <w:divId w:val="335153780"/>
                  <w:tblCellSpacing w:w="15" w:type="dxa"/>
                </w:trPr>
                <w:tc>
                  <w:tcPr>
                    <w:tcW w:w="50" w:type="pct"/>
                    <w:hideMark/>
                  </w:tcPr>
                  <w:p w14:paraId="06884658" w14:textId="77777777" w:rsidR="002308AD" w:rsidRDefault="002308AD">
                    <w:pPr>
                      <w:pStyle w:val="Bibliography"/>
                      <w:rPr>
                        <w:noProof/>
                      </w:rPr>
                    </w:pPr>
                    <w:r>
                      <w:rPr>
                        <w:noProof/>
                      </w:rPr>
                      <w:t xml:space="preserve">[8] </w:t>
                    </w:r>
                  </w:p>
                </w:tc>
                <w:tc>
                  <w:tcPr>
                    <w:tcW w:w="0" w:type="auto"/>
                    <w:hideMark/>
                  </w:tcPr>
                  <w:p w14:paraId="34FF63BA" w14:textId="77777777" w:rsidR="002308AD" w:rsidRDefault="002308AD">
                    <w:pPr>
                      <w:pStyle w:val="Bibliography"/>
                      <w:rPr>
                        <w:noProof/>
                      </w:rPr>
                    </w:pPr>
                    <w:r>
                      <w:rPr>
                        <w:noProof/>
                      </w:rPr>
                      <w:t>U. SaferGuard, “Quantity Distance Map,” [Online]. Available: https://unsaferguard.org/map/.</w:t>
                    </w:r>
                  </w:p>
                </w:tc>
              </w:tr>
              <w:tr w:rsidR="002308AD" w14:paraId="0717F0CF" w14:textId="77777777">
                <w:trPr>
                  <w:divId w:val="335153780"/>
                  <w:tblCellSpacing w:w="15" w:type="dxa"/>
                </w:trPr>
                <w:tc>
                  <w:tcPr>
                    <w:tcW w:w="50" w:type="pct"/>
                    <w:hideMark/>
                  </w:tcPr>
                  <w:p w14:paraId="0A9796B5" w14:textId="77777777" w:rsidR="002308AD" w:rsidRDefault="002308AD">
                    <w:pPr>
                      <w:pStyle w:val="Bibliography"/>
                      <w:rPr>
                        <w:noProof/>
                      </w:rPr>
                    </w:pPr>
                    <w:r>
                      <w:rPr>
                        <w:noProof/>
                      </w:rPr>
                      <w:t xml:space="preserve">[9] </w:t>
                    </w:r>
                  </w:p>
                </w:tc>
                <w:tc>
                  <w:tcPr>
                    <w:tcW w:w="0" w:type="auto"/>
                    <w:hideMark/>
                  </w:tcPr>
                  <w:p w14:paraId="747D544D" w14:textId="77777777" w:rsidR="002308AD" w:rsidRDefault="002308AD">
                    <w:pPr>
                      <w:pStyle w:val="Bibliography"/>
                      <w:rPr>
                        <w:noProof/>
                      </w:rPr>
                    </w:pPr>
                    <w:r>
                      <w:rPr>
                        <w:noProof/>
                      </w:rPr>
                      <w:t xml:space="preserve">U. SaferGuard, </w:t>
                    </w:r>
                    <w:r>
                      <w:rPr>
                        <w:i/>
                        <w:iCs/>
                        <w:noProof/>
                      </w:rPr>
                      <w:t xml:space="preserve">Licensing of explosive facilities (IATG 02.30), </w:t>
                    </w:r>
                    <w:r>
                      <w:rPr>
                        <w:noProof/>
                      </w:rPr>
                      <w:t xml:space="preserve">2021. </w:t>
                    </w:r>
                  </w:p>
                </w:tc>
              </w:tr>
            </w:tbl>
            <w:p w14:paraId="3C7DD8CA" w14:textId="77777777" w:rsidR="002308AD" w:rsidRDefault="002308AD">
              <w:pPr>
                <w:divId w:val="335153780"/>
                <w:rPr>
                  <w:rFonts w:eastAsia="Times New Roman"/>
                  <w:noProof/>
                </w:rPr>
              </w:pPr>
            </w:p>
            <w:p w14:paraId="7D6266EB" w14:textId="72B200FF" w:rsidR="002308AD" w:rsidRDefault="002308AD">
              <w:r>
                <w:rPr>
                  <w:b/>
                  <w:bCs/>
                </w:rPr>
                <w:fldChar w:fldCharType="end"/>
              </w:r>
            </w:p>
          </w:sdtContent>
        </w:sdt>
      </w:sdtContent>
    </w:sdt>
    <w:p w14:paraId="1D3BC7BA" w14:textId="77777777" w:rsidR="002308AD" w:rsidRDefault="002308AD" w:rsidP="00DC3A90">
      <w:pPr>
        <w:jc w:val="both"/>
      </w:pPr>
    </w:p>
    <w:p w14:paraId="322F9A3D" w14:textId="77777777" w:rsidR="002308AD" w:rsidRDefault="002308AD" w:rsidP="00DC3A90">
      <w:pPr>
        <w:jc w:val="both"/>
      </w:pPr>
    </w:p>
    <w:p w14:paraId="05120C5E" w14:textId="77777777" w:rsidR="002308AD" w:rsidRDefault="002308AD" w:rsidP="00DC3A90">
      <w:pPr>
        <w:jc w:val="both"/>
      </w:pPr>
    </w:p>
    <w:p w14:paraId="46386D90" w14:textId="77777777" w:rsidR="002308AD" w:rsidRDefault="002308AD" w:rsidP="00DC3A90">
      <w:pPr>
        <w:jc w:val="both"/>
      </w:pPr>
    </w:p>
    <w:p w14:paraId="3A3B37AA" w14:textId="77777777" w:rsidR="002308AD" w:rsidRDefault="002308AD" w:rsidP="00DC3A90">
      <w:pPr>
        <w:jc w:val="both"/>
      </w:pPr>
    </w:p>
    <w:p w14:paraId="31AA6A13" w14:textId="77777777" w:rsidR="002308AD" w:rsidRDefault="002308AD" w:rsidP="00DC3A90">
      <w:pPr>
        <w:jc w:val="both"/>
      </w:pPr>
    </w:p>
    <w:p w14:paraId="0EF56609" w14:textId="77777777" w:rsidR="002308AD" w:rsidRDefault="002308AD" w:rsidP="00DC3A90">
      <w:pPr>
        <w:jc w:val="both"/>
      </w:pPr>
    </w:p>
    <w:p w14:paraId="7D8C0F05" w14:textId="77777777" w:rsidR="002308AD" w:rsidRDefault="002308AD" w:rsidP="00DC3A90">
      <w:pPr>
        <w:jc w:val="both"/>
      </w:pPr>
    </w:p>
    <w:p w14:paraId="6ACDC573" w14:textId="77777777" w:rsidR="002308AD" w:rsidRDefault="002308AD" w:rsidP="00DC3A90">
      <w:pPr>
        <w:jc w:val="both"/>
      </w:pPr>
    </w:p>
    <w:p w14:paraId="32DB4CEE" w14:textId="77777777" w:rsidR="002308AD" w:rsidRDefault="002308AD" w:rsidP="00DC3A90">
      <w:pPr>
        <w:jc w:val="both"/>
      </w:pPr>
    </w:p>
    <w:p w14:paraId="6BABB04A" w14:textId="77777777" w:rsidR="002308AD" w:rsidRDefault="002308AD" w:rsidP="00DC3A90">
      <w:pPr>
        <w:jc w:val="both"/>
      </w:pPr>
    </w:p>
    <w:p w14:paraId="54167675" w14:textId="77777777" w:rsidR="002308AD" w:rsidRDefault="002308AD" w:rsidP="00DC3A90">
      <w:pPr>
        <w:jc w:val="both"/>
      </w:pPr>
    </w:p>
    <w:p w14:paraId="05146CA5" w14:textId="77777777" w:rsidR="002308AD" w:rsidRDefault="002308AD" w:rsidP="00DC3A90">
      <w:pPr>
        <w:jc w:val="both"/>
      </w:pPr>
    </w:p>
    <w:p w14:paraId="7CFF5BBB" w14:textId="77777777" w:rsidR="002308AD" w:rsidRPr="004F6866" w:rsidRDefault="002308AD" w:rsidP="00DC3A90">
      <w:pPr>
        <w:jc w:val="both"/>
      </w:pPr>
    </w:p>
    <w:p w14:paraId="539E6209" w14:textId="7E23DB57" w:rsidR="00782205" w:rsidRDefault="00782205" w:rsidP="00782205">
      <w:pPr>
        <w:pStyle w:val="Heading1"/>
      </w:pPr>
      <w:bookmarkStart w:id="31" w:name="_Toc216432187"/>
      <w:r>
        <w:lastRenderedPageBreak/>
        <w:t>Appendix A – Compatibility Group Mixing Rules</w:t>
      </w:r>
      <w:bookmarkEnd w:id="31"/>
    </w:p>
    <w:p w14:paraId="3A84DB16" w14:textId="77777777" w:rsidR="00782205" w:rsidRPr="00782205" w:rsidRDefault="00782205" w:rsidP="00782205"/>
    <w:p w14:paraId="56C5101E" w14:textId="7AF244B5" w:rsidR="00782205" w:rsidRDefault="00782205" w:rsidP="00782205">
      <w:pPr>
        <w:jc w:val="center"/>
      </w:pPr>
      <w:r w:rsidRPr="00782205">
        <w:rPr>
          <w:noProof/>
        </w:rPr>
        <w:drawing>
          <wp:inline distT="0" distB="0" distL="0" distR="0" wp14:anchorId="0D871CB6" wp14:editId="418BD76D">
            <wp:extent cx="5794747" cy="3200400"/>
            <wp:effectExtent l="0" t="0" r="0" b="0"/>
            <wp:docPr id="1287532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532820" name=""/>
                    <pic:cNvPicPr/>
                  </pic:nvPicPr>
                  <pic:blipFill>
                    <a:blip r:embed="rId32"/>
                    <a:stretch>
                      <a:fillRect/>
                    </a:stretch>
                  </pic:blipFill>
                  <pic:spPr>
                    <a:xfrm>
                      <a:off x="0" y="0"/>
                      <a:ext cx="5840647" cy="3225750"/>
                    </a:xfrm>
                    <a:prstGeom prst="rect">
                      <a:avLst/>
                    </a:prstGeom>
                  </pic:spPr>
                </pic:pic>
              </a:graphicData>
            </a:graphic>
          </wp:inline>
        </w:drawing>
      </w:r>
    </w:p>
    <w:p w14:paraId="10BDA686" w14:textId="7A535DC2" w:rsidR="000F3288" w:rsidRDefault="00D14DF2" w:rsidP="00730E0B">
      <w:pPr>
        <w:jc w:val="both"/>
      </w:pPr>
      <w:r w:rsidRPr="00D14DF2">
        <w:rPr>
          <w:noProof/>
        </w:rPr>
        <w:drawing>
          <wp:inline distT="0" distB="0" distL="0" distR="0" wp14:anchorId="6B40CD24" wp14:editId="511A2E43">
            <wp:extent cx="5731510" cy="2360295"/>
            <wp:effectExtent l="0" t="0" r="2540" b="1905"/>
            <wp:docPr id="116951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511542" name=""/>
                    <pic:cNvPicPr/>
                  </pic:nvPicPr>
                  <pic:blipFill>
                    <a:blip r:embed="rId33"/>
                    <a:stretch>
                      <a:fillRect/>
                    </a:stretch>
                  </pic:blipFill>
                  <pic:spPr>
                    <a:xfrm>
                      <a:off x="0" y="0"/>
                      <a:ext cx="5731510" cy="2360295"/>
                    </a:xfrm>
                    <a:prstGeom prst="rect">
                      <a:avLst/>
                    </a:prstGeom>
                  </pic:spPr>
                </pic:pic>
              </a:graphicData>
            </a:graphic>
          </wp:inline>
        </w:drawing>
      </w:r>
    </w:p>
    <w:p w14:paraId="17867012" w14:textId="77777777" w:rsidR="00C618B7" w:rsidRDefault="00C618B7" w:rsidP="00730E0B">
      <w:pPr>
        <w:jc w:val="both"/>
      </w:pPr>
    </w:p>
    <w:p w14:paraId="041B3134" w14:textId="77777777" w:rsidR="00C618B7" w:rsidRDefault="00C618B7" w:rsidP="00730E0B">
      <w:pPr>
        <w:jc w:val="both"/>
      </w:pPr>
    </w:p>
    <w:p w14:paraId="5870BF30" w14:textId="77777777" w:rsidR="00C618B7" w:rsidRDefault="00C618B7" w:rsidP="00730E0B">
      <w:pPr>
        <w:jc w:val="both"/>
      </w:pPr>
    </w:p>
    <w:p w14:paraId="4BB4E363" w14:textId="77777777" w:rsidR="00AA6DA6" w:rsidRDefault="00AA6DA6" w:rsidP="00730E0B">
      <w:pPr>
        <w:jc w:val="both"/>
      </w:pPr>
    </w:p>
    <w:p w14:paraId="0A3A88A9" w14:textId="4B0FDCA1" w:rsidR="00AA6DA6" w:rsidRDefault="00AA6DA6" w:rsidP="00AA6DA6">
      <w:pPr>
        <w:pStyle w:val="Heading1"/>
      </w:pPr>
      <w:bookmarkStart w:id="32" w:name="_Toc216432188"/>
      <w:r>
        <w:lastRenderedPageBreak/>
        <w:t>Appendix B – ESH 1 Explosive Limit Licence</w:t>
      </w:r>
      <w:bookmarkEnd w:id="32"/>
    </w:p>
    <w:p w14:paraId="3FE83AA4" w14:textId="4B1E838A" w:rsidR="00AA6DA6" w:rsidRPr="00AA6DA6" w:rsidRDefault="00AA6DA6" w:rsidP="00AA6DA6">
      <w:pPr>
        <w:jc w:val="center"/>
      </w:pPr>
      <w:r>
        <w:rPr>
          <w:noProof/>
        </w:rPr>
        <w:drawing>
          <wp:inline distT="0" distB="0" distL="0" distR="0" wp14:anchorId="6CA9166D" wp14:editId="0EA71669">
            <wp:extent cx="5638837" cy="6671144"/>
            <wp:effectExtent l="0" t="0" r="0" b="0"/>
            <wp:docPr id="695331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3176" name=""/>
                    <pic:cNvPicPr/>
                  </pic:nvPicPr>
                  <pic:blipFill>
                    <a:blip r:embed="rId34">
                      <a:extLst>
                        <a:ext uri="{28A0092B-C50C-407E-A947-70E740481C1C}">
                          <a14:useLocalDpi xmlns:a14="http://schemas.microsoft.com/office/drawing/2010/main" val="0"/>
                        </a:ext>
                      </a:extLst>
                    </a:blip>
                    <a:stretch>
                      <a:fillRect/>
                    </a:stretch>
                  </pic:blipFill>
                  <pic:spPr>
                    <a:xfrm>
                      <a:off x="0" y="0"/>
                      <a:ext cx="5654859" cy="6690099"/>
                    </a:xfrm>
                    <a:prstGeom prst="rect">
                      <a:avLst/>
                    </a:prstGeom>
                  </pic:spPr>
                </pic:pic>
              </a:graphicData>
            </a:graphic>
          </wp:inline>
        </w:drawing>
      </w:r>
    </w:p>
    <w:p w14:paraId="4E6B6CD2" w14:textId="77777777" w:rsidR="00AA6DA6" w:rsidRDefault="00AA6DA6" w:rsidP="00730E0B">
      <w:pPr>
        <w:jc w:val="both"/>
      </w:pPr>
    </w:p>
    <w:p w14:paraId="67E5F49F" w14:textId="77777777" w:rsidR="00AA6DA6" w:rsidRDefault="00AA6DA6" w:rsidP="00730E0B">
      <w:pPr>
        <w:jc w:val="both"/>
      </w:pPr>
    </w:p>
    <w:p w14:paraId="649527C3" w14:textId="77777777" w:rsidR="00C618B7" w:rsidRDefault="00C618B7" w:rsidP="00730E0B">
      <w:pPr>
        <w:jc w:val="both"/>
      </w:pPr>
    </w:p>
    <w:p w14:paraId="6D884E41" w14:textId="77777777" w:rsidR="00C618B7" w:rsidRDefault="00C618B7" w:rsidP="00730E0B">
      <w:pPr>
        <w:jc w:val="both"/>
      </w:pPr>
    </w:p>
    <w:p w14:paraId="212183D6" w14:textId="77777777" w:rsidR="00C618B7" w:rsidRDefault="00C618B7" w:rsidP="00730E0B">
      <w:pPr>
        <w:jc w:val="both"/>
      </w:pPr>
    </w:p>
    <w:p w14:paraId="215AD6F4" w14:textId="77777777" w:rsidR="00C618B7" w:rsidRDefault="00C618B7" w:rsidP="00730E0B">
      <w:pPr>
        <w:jc w:val="both"/>
      </w:pPr>
    </w:p>
    <w:p w14:paraId="4A491352" w14:textId="07A3F356" w:rsidR="000E1E37" w:rsidRDefault="000E1E37" w:rsidP="000E1E37">
      <w:pPr>
        <w:pStyle w:val="Heading1"/>
      </w:pPr>
      <w:bookmarkStart w:id="33" w:name="_Toc216432189"/>
      <w:r>
        <w:lastRenderedPageBreak/>
        <w:t>Appendix C – ESH 2 Explosive Limit Licence</w:t>
      </w:r>
      <w:bookmarkEnd w:id="33"/>
    </w:p>
    <w:p w14:paraId="379E1C37" w14:textId="58F2A0F7" w:rsidR="00C618B7" w:rsidRDefault="000E1E37" w:rsidP="000E1E37">
      <w:pPr>
        <w:jc w:val="center"/>
      </w:pPr>
      <w:r>
        <w:rPr>
          <w:noProof/>
        </w:rPr>
        <w:drawing>
          <wp:inline distT="0" distB="0" distL="0" distR="0" wp14:anchorId="6F16001D" wp14:editId="296D1A53">
            <wp:extent cx="5693134" cy="6748666"/>
            <wp:effectExtent l="0" t="0" r="3175" b="0"/>
            <wp:docPr id="8206715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71522" name=""/>
                    <pic:cNvPicPr/>
                  </pic:nvPicPr>
                  <pic:blipFill>
                    <a:blip r:embed="rId35">
                      <a:extLst>
                        <a:ext uri="{28A0092B-C50C-407E-A947-70E740481C1C}">
                          <a14:useLocalDpi xmlns:a14="http://schemas.microsoft.com/office/drawing/2010/main" val="0"/>
                        </a:ext>
                      </a:extLst>
                    </a:blip>
                    <a:stretch>
                      <a:fillRect/>
                    </a:stretch>
                  </pic:blipFill>
                  <pic:spPr>
                    <a:xfrm>
                      <a:off x="0" y="0"/>
                      <a:ext cx="5701986" cy="6759159"/>
                    </a:xfrm>
                    <a:prstGeom prst="rect">
                      <a:avLst/>
                    </a:prstGeom>
                  </pic:spPr>
                </pic:pic>
              </a:graphicData>
            </a:graphic>
          </wp:inline>
        </w:drawing>
      </w:r>
    </w:p>
    <w:p w14:paraId="5D6E7CB1" w14:textId="77777777" w:rsidR="00C618B7" w:rsidRDefault="00C618B7" w:rsidP="00730E0B">
      <w:pPr>
        <w:jc w:val="both"/>
      </w:pPr>
    </w:p>
    <w:p w14:paraId="4477F565" w14:textId="77777777" w:rsidR="00C618B7" w:rsidRDefault="00C618B7" w:rsidP="00730E0B">
      <w:pPr>
        <w:jc w:val="both"/>
      </w:pPr>
    </w:p>
    <w:p w14:paraId="367F7634" w14:textId="77777777" w:rsidR="00C618B7" w:rsidRDefault="00C618B7" w:rsidP="00730E0B">
      <w:pPr>
        <w:jc w:val="both"/>
      </w:pPr>
    </w:p>
    <w:p w14:paraId="6E3B323D" w14:textId="77777777" w:rsidR="000E1E37" w:rsidRDefault="000E1E37" w:rsidP="00730E0B">
      <w:pPr>
        <w:jc w:val="both"/>
      </w:pPr>
    </w:p>
    <w:p w14:paraId="46CB9B06" w14:textId="77777777" w:rsidR="000E1E37" w:rsidRDefault="000E1E37" w:rsidP="00730E0B">
      <w:pPr>
        <w:jc w:val="both"/>
      </w:pPr>
    </w:p>
    <w:p w14:paraId="03262388" w14:textId="77777777" w:rsidR="000E1E37" w:rsidRDefault="000E1E37" w:rsidP="00730E0B">
      <w:pPr>
        <w:jc w:val="both"/>
      </w:pPr>
    </w:p>
    <w:p w14:paraId="6D78C339" w14:textId="5D220833" w:rsidR="000E1E37" w:rsidRDefault="000E1E37" w:rsidP="000E1E37">
      <w:pPr>
        <w:pStyle w:val="Heading1"/>
      </w:pPr>
      <w:bookmarkStart w:id="34" w:name="_Toc216432190"/>
      <w:r>
        <w:lastRenderedPageBreak/>
        <w:t>Appendix D – ESH 3 Explosive Limit Licence</w:t>
      </w:r>
      <w:bookmarkEnd w:id="34"/>
    </w:p>
    <w:p w14:paraId="35F79DC4" w14:textId="260E0ED6" w:rsidR="000E1E37" w:rsidRDefault="000E1E37" w:rsidP="000E1E37">
      <w:pPr>
        <w:jc w:val="center"/>
      </w:pPr>
      <w:r>
        <w:rPr>
          <w:noProof/>
        </w:rPr>
        <w:drawing>
          <wp:inline distT="0" distB="0" distL="0" distR="0" wp14:anchorId="045BE81C" wp14:editId="5153C739">
            <wp:extent cx="5645426" cy="6692112"/>
            <wp:effectExtent l="0" t="0" r="0" b="0"/>
            <wp:docPr id="18430176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17645" name=""/>
                    <pic:cNvPicPr/>
                  </pic:nvPicPr>
                  <pic:blipFill>
                    <a:blip r:embed="rId36">
                      <a:extLst>
                        <a:ext uri="{28A0092B-C50C-407E-A947-70E740481C1C}">
                          <a14:useLocalDpi xmlns:a14="http://schemas.microsoft.com/office/drawing/2010/main" val="0"/>
                        </a:ext>
                      </a:extLst>
                    </a:blip>
                    <a:stretch>
                      <a:fillRect/>
                    </a:stretch>
                  </pic:blipFill>
                  <pic:spPr>
                    <a:xfrm>
                      <a:off x="0" y="0"/>
                      <a:ext cx="5656704" cy="6705481"/>
                    </a:xfrm>
                    <a:prstGeom prst="rect">
                      <a:avLst/>
                    </a:prstGeom>
                  </pic:spPr>
                </pic:pic>
              </a:graphicData>
            </a:graphic>
          </wp:inline>
        </w:drawing>
      </w:r>
    </w:p>
    <w:p w14:paraId="3CE52E39" w14:textId="0349ACD9" w:rsidR="000E1E37" w:rsidRDefault="000E1E37" w:rsidP="000E1E37">
      <w:pPr>
        <w:pStyle w:val="Heading1"/>
      </w:pPr>
      <w:bookmarkStart w:id="35" w:name="_Toc216432191"/>
      <w:r>
        <w:lastRenderedPageBreak/>
        <w:t>Appendix E – ESH 4 Explosive Limit Licence</w:t>
      </w:r>
      <w:bookmarkEnd w:id="35"/>
    </w:p>
    <w:p w14:paraId="7BCA01F8" w14:textId="1A87A25D" w:rsidR="000E1E37" w:rsidRDefault="000E1E37" w:rsidP="000E1E37">
      <w:pPr>
        <w:jc w:val="center"/>
      </w:pPr>
      <w:r>
        <w:rPr>
          <w:noProof/>
        </w:rPr>
        <w:drawing>
          <wp:inline distT="0" distB="0" distL="0" distR="0" wp14:anchorId="606C8B92" wp14:editId="709DDFD5">
            <wp:extent cx="5724939" cy="6799779"/>
            <wp:effectExtent l="0" t="0" r="9525" b="1270"/>
            <wp:docPr id="7208325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32545" name=""/>
                    <pic:cNvPicPr/>
                  </pic:nvPicPr>
                  <pic:blipFill>
                    <a:blip r:embed="rId37">
                      <a:extLst>
                        <a:ext uri="{28A0092B-C50C-407E-A947-70E740481C1C}">
                          <a14:useLocalDpi xmlns:a14="http://schemas.microsoft.com/office/drawing/2010/main" val="0"/>
                        </a:ext>
                      </a:extLst>
                    </a:blip>
                    <a:stretch>
                      <a:fillRect/>
                    </a:stretch>
                  </pic:blipFill>
                  <pic:spPr>
                    <a:xfrm>
                      <a:off x="0" y="0"/>
                      <a:ext cx="5735889" cy="6812785"/>
                    </a:xfrm>
                    <a:prstGeom prst="rect">
                      <a:avLst/>
                    </a:prstGeom>
                  </pic:spPr>
                </pic:pic>
              </a:graphicData>
            </a:graphic>
          </wp:inline>
        </w:drawing>
      </w:r>
    </w:p>
    <w:p w14:paraId="1452A9E1" w14:textId="2372D6F6" w:rsidR="000E1E37" w:rsidRDefault="000E1E37" w:rsidP="000E1E37">
      <w:pPr>
        <w:pStyle w:val="Heading1"/>
      </w:pPr>
      <w:bookmarkStart w:id="36" w:name="_Toc216432192"/>
      <w:r>
        <w:lastRenderedPageBreak/>
        <w:t>Appendix F – ESH 5 Explosive Limit Licence</w:t>
      </w:r>
      <w:bookmarkEnd w:id="36"/>
    </w:p>
    <w:p w14:paraId="7F2D9FA6" w14:textId="0D2397C9" w:rsidR="000E1E37" w:rsidRPr="000E1E37" w:rsidRDefault="000E1E37" w:rsidP="000E1E37">
      <w:pPr>
        <w:jc w:val="center"/>
      </w:pPr>
      <w:r>
        <w:rPr>
          <w:noProof/>
        </w:rPr>
        <w:drawing>
          <wp:inline distT="0" distB="0" distL="0" distR="0" wp14:anchorId="2982BB22" wp14:editId="74F09ED7">
            <wp:extent cx="5661276" cy="6710901"/>
            <wp:effectExtent l="0" t="0" r="0" b="0"/>
            <wp:docPr id="1030852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52395" name=""/>
                    <pic:cNvPicPr/>
                  </pic:nvPicPr>
                  <pic:blipFill>
                    <a:blip r:embed="rId38">
                      <a:extLst>
                        <a:ext uri="{28A0092B-C50C-407E-A947-70E740481C1C}">
                          <a14:useLocalDpi xmlns:a14="http://schemas.microsoft.com/office/drawing/2010/main" val="0"/>
                        </a:ext>
                      </a:extLst>
                    </a:blip>
                    <a:stretch>
                      <a:fillRect/>
                    </a:stretch>
                  </pic:blipFill>
                  <pic:spPr>
                    <a:xfrm>
                      <a:off x="0" y="0"/>
                      <a:ext cx="5672146" cy="6723787"/>
                    </a:xfrm>
                    <a:prstGeom prst="rect">
                      <a:avLst/>
                    </a:prstGeom>
                  </pic:spPr>
                </pic:pic>
              </a:graphicData>
            </a:graphic>
          </wp:inline>
        </w:drawing>
      </w:r>
    </w:p>
    <w:p w14:paraId="0F39F127" w14:textId="77777777" w:rsidR="000E1E37" w:rsidRPr="000E1E37" w:rsidRDefault="000E1E37" w:rsidP="000E1E37"/>
    <w:p w14:paraId="1BA03E0A" w14:textId="77777777" w:rsidR="000E1E37" w:rsidRDefault="000E1E37" w:rsidP="00730E0B">
      <w:pPr>
        <w:jc w:val="both"/>
      </w:pPr>
    </w:p>
    <w:p w14:paraId="03028A04" w14:textId="77777777" w:rsidR="005C0402" w:rsidRDefault="005C0402" w:rsidP="00730E0B">
      <w:pPr>
        <w:jc w:val="both"/>
      </w:pPr>
    </w:p>
    <w:p w14:paraId="1C61044D" w14:textId="77777777" w:rsidR="005C0402" w:rsidRDefault="005C0402" w:rsidP="00730E0B">
      <w:pPr>
        <w:jc w:val="both"/>
      </w:pPr>
    </w:p>
    <w:p w14:paraId="70A4543D" w14:textId="77777777" w:rsidR="005C0402" w:rsidRDefault="005C0402" w:rsidP="00730E0B">
      <w:pPr>
        <w:jc w:val="both"/>
      </w:pPr>
    </w:p>
    <w:p w14:paraId="299094A8" w14:textId="77777777" w:rsidR="005C0402" w:rsidRDefault="005C0402" w:rsidP="00730E0B">
      <w:pPr>
        <w:jc w:val="both"/>
      </w:pPr>
    </w:p>
    <w:p w14:paraId="654685BD" w14:textId="403C65D5" w:rsidR="005C0402" w:rsidRDefault="005C0402" w:rsidP="005C0402">
      <w:pPr>
        <w:pStyle w:val="Heading1"/>
      </w:pPr>
      <w:bookmarkStart w:id="37" w:name="_Toc216432193"/>
      <w:r>
        <w:lastRenderedPageBreak/>
        <w:t>Appendix G – Proposal Feedback &amp; Questions</w:t>
      </w:r>
      <w:bookmarkEnd w:id="37"/>
    </w:p>
    <w:p w14:paraId="1ECCD85A" w14:textId="77777777" w:rsidR="005C0402" w:rsidRPr="005C0402" w:rsidRDefault="005C0402" w:rsidP="005C0402"/>
    <w:p w14:paraId="786324A2" w14:textId="580725FC" w:rsidR="005C0402" w:rsidRPr="005C0402" w:rsidRDefault="005C0402" w:rsidP="005C0402">
      <w:pPr>
        <w:jc w:val="center"/>
      </w:pPr>
      <w:r w:rsidRPr="005C0402">
        <w:drawing>
          <wp:inline distT="0" distB="0" distL="0" distR="0" wp14:anchorId="25491881" wp14:editId="29D521DE">
            <wp:extent cx="5652654" cy="6475593"/>
            <wp:effectExtent l="0" t="0" r="5715" b="1905"/>
            <wp:docPr id="1287456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56814" name=""/>
                    <pic:cNvPicPr/>
                  </pic:nvPicPr>
                  <pic:blipFill rotWithShape="1">
                    <a:blip r:embed="rId39"/>
                    <a:srcRect l="8207" t="7466" r="5817" b="9186"/>
                    <a:stretch/>
                  </pic:blipFill>
                  <pic:spPr bwMode="auto">
                    <a:xfrm>
                      <a:off x="0" y="0"/>
                      <a:ext cx="5691341" cy="6519912"/>
                    </a:xfrm>
                    <a:prstGeom prst="rect">
                      <a:avLst/>
                    </a:prstGeom>
                    <a:ln>
                      <a:noFill/>
                    </a:ln>
                    <a:extLst>
                      <a:ext uri="{53640926-AAD7-44D8-BBD7-CCE9431645EC}">
                        <a14:shadowObscured xmlns:a14="http://schemas.microsoft.com/office/drawing/2010/main"/>
                      </a:ext>
                    </a:extLst>
                  </pic:spPr>
                </pic:pic>
              </a:graphicData>
            </a:graphic>
          </wp:inline>
        </w:drawing>
      </w:r>
    </w:p>
    <w:sectPr w:rsidR="005C0402" w:rsidRPr="005C0402" w:rsidSect="005C0402">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3E4CE" w14:textId="77777777" w:rsidR="00BF33F9" w:rsidRDefault="00BF33F9" w:rsidP="00BF33F9">
      <w:pPr>
        <w:spacing w:after="0" w:line="240" w:lineRule="auto"/>
      </w:pPr>
      <w:r>
        <w:separator/>
      </w:r>
    </w:p>
  </w:endnote>
  <w:endnote w:type="continuationSeparator" w:id="0">
    <w:p w14:paraId="2AB9BE8F" w14:textId="77777777" w:rsidR="00BF33F9" w:rsidRDefault="00BF33F9" w:rsidP="00BF3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0AAB5" w14:textId="77777777" w:rsidR="008F603D" w:rsidRDefault="008F6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38E6E5" w14:textId="3C3AE5E1" w:rsidR="008F603D" w:rsidRDefault="008F603D" w:rsidP="002308AD">
    <w:pPr>
      <w:pStyle w:val="Footer"/>
      <w:jc w:val="right"/>
    </w:pPr>
  </w:p>
  <w:p w14:paraId="51433565" w14:textId="44DFEAA0" w:rsidR="005C0402" w:rsidRDefault="005C0402">
    <w:pPr>
      <w:pStyle w:val="Footer"/>
      <w:jc w:val="right"/>
    </w:pPr>
    <w:sdt>
      <w:sdtPr>
        <w:id w:val="1262570364"/>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3BF639DF" w14:textId="59C2B1A4" w:rsidR="00BF33F9" w:rsidRDefault="00BF33F9" w:rsidP="009C5F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A23F2" w14:textId="737A7515" w:rsidR="008F603D" w:rsidRDefault="008F603D" w:rsidP="00230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5A977" w14:textId="77777777" w:rsidR="00BF33F9" w:rsidRDefault="00BF33F9" w:rsidP="00BF33F9">
      <w:pPr>
        <w:spacing w:after="0" w:line="240" w:lineRule="auto"/>
      </w:pPr>
      <w:r>
        <w:separator/>
      </w:r>
    </w:p>
  </w:footnote>
  <w:footnote w:type="continuationSeparator" w:id="0">
    <w:p w14:paraId="665C6B11" w14:textId="77777777" w:rsidR="00BF33F9" w:rsidRDefault="00BF33F9" w:rsidP="00BF33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C9E3F3" w14:textId="77777777" w:rsidR="008F603D" w:rsidRDefault="008F6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6B092" w14:textId="48B3385E" w:rsidR="008F603D" w:rsidRDefault="008F603D" w:rsidP="002308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DF88EE" w14:textId="5662522F" w:rsidR="008F603D" w:rsidRDefault="008F603D" w:rsidP="002308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C4ABE"/>
    <w:multiLevelType w:val="hybridMultilevel"/>
    <w:tmpl w:val="4B22EE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574A9"/>
    <w:multiLevelType w:val="hybridMultilevel"/>
    <w:tmpl w:val="A3740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A3167"/>
    <w:multiLevelType w:val="hybridMultilevel"/>
    <w:tmpl w:val="00144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135A83"/>
    <w:multiLevelType w:val="hybridMultilevel"/>
    <w:tmpl w:val="E9D4E9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9479A"/>
    <w:multiLevelType w:val="hybridMultilevel"/>
    <w:tmpl w:val="222412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203243">
    <w:abstractNumId w:val="4"/>
  </w:num>
  <w:num w:numId="2" w16cid:durableId="1623919881">
    <w:abstractNumId w:val="1"/>
  </w:num>
  <w:num w:numId="3" w16cid:durableId="1651866523">
    <w:abstractNumId w:val="0"/>
  </w:num>
  <w:num w:numId="4" w16cid:durableId="909999814">
    <w:abstractNumId w:val="2"/>
  </w:num>
  <w:num w:numId="5" w16cid:durableId="1538548120">
    <w:abstractNumId w:val="3"/>
  </w:num>
  <w:num w:numId="6" w16cid:durableId="4689808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E0B"/>
    <w:rsid w:val="0000285E"/>
    <w:rsid w:val="00006196"/>
    <w:rsid w:val="00013E66"/>
    <w:rsid w:val="000161AF"/>
    <w:rsid w:val="00031D4E"/>
    <w:rsid w:val="000651B8"/>
    <w:rsid w:val="000928CF"/>
    <w:rsid w:val="000A3B81"/>
    <w:rsid w:val="000B3964"/>
    <w:rsid w:val="000E0D64"/>
    <w:rsid w:val="000E1E37"/>
    <w:rsid w:val="000F3288"/>
    <w:rsid w:val="001070F7"/>
    <w:rsid w:val="00137862"/>
    <w:rsid w:val="00172056"/>
    <w:rsid w:val="001723EC"/>
    <w:rsid w:val="00177677"/>
    <w:rsid w:val="00182FD3"/>
    <w:rsid w:val="001C4144"/>
    <w:rsid w:val="002308AD"/>
    <w:rsid w:val="00243579"/>
    <w:rsid w:val="00251799"/>
    <w:rsid w:val="002D57E5"/>
    <w:rsid w:val="002E6166"/>
    <w:rsid w:val="002F32E4"/>
    <w:rsid w:val="0031292C"/>
    <w:rsid w:val="00316C4D"/>
    <w:rsid w:val="003279C5"/>
    <w:rsid w:val="0034002E"/>
    <w:rsid w:val="00342153"/>
    <w:rsid w:val="003606AD"/>
    <w:rsid w:val="003632B6"/>
    <w:rsid w:val="003943EF"/>
    <w:rsid w:val="00394C6C"/>
    <w:rsid w:val="003D1B74"/>
    <w:rsid w:val="0040037C"/>
    <w:rsid w:val="00401F9D"/>
    <w:rsid w:val="004838C4"/>
    <w:rsid w:val="004A45A3"/>
    <w:rsid w:val="004A6021"/>
    <w:rsid w:val="004B1D07"/>
    <w:rsid w:val="004B6E36"/>
    <w:rsid w:val="004F6866"/>
    <w:rsid w:val="00502426"/>
    <w:rsid w:val="005162EF"/>
    <w:rsid w:val="005930D0"/>
    <w:rsid w:val="005C0402"/>
    <w:rsid w:val="005C3A06"/>
    <w:rsid w:val="00617975"/>
    <w:rsid w:val="00674AEC"/>
    <w:rsid w:val="006770B2"/>
    <w:rsid w:val="0069435A"/>
    <w:rsid w:val="006B0F16"/>
    <w:rsid w:val="006E2F5B"/>
    <w:rsid w:val="00730E0B"/>
    <w:rsid w:val="00774DA2"/>
    <w:rsid w:val="00782205"/>
    <w:rsid w:val="007B019A"/>
    <w:rsid w:val="00802BDD"/>
    <w:rsid w:val="00807240"/>
    <w:rsid w:val="00884524"/>
    <w:rsid w:val="008971D0"/>
    <w:rsid w:val="008A1F1A"/>
    <w:rsid w:val="008B6465"/>
    <w:rsid w:val="008E5DC9"/>
    <w:rsid w:val="008F603D"/>
    <w:rsid w:val="009334A5"/>
    <w:rsid w:val="00934610"/>
    <w:rsid w:val="00953D73"/>
    <w:rsid w:val="00974922"/>
    <w:rsid w:val="00996F46"/>
    <w:rsid w:val="009C5B9A"/>
    <w:rsid w:val="009C5F40"/>
    <w:rsid w:val="009D3D9F"/>
    <w:rsid w:val="009F2DF5"/>
    <w:rsid w:val="00A17517"/>
    <w:rsid w:val="00A25571"/>
    <w:rsid w:val="00A56F97"/>
    <w:rsid w:val="00A95445"/>
    <w:rsid w:val="00AA6DA6"/>
    <w:rsid w:val="00AD1340"/>
    <w:rsid w:val="00B10F3A"/>
    <w:rsid w:val="00B16A97"/>
    <w:rsid w:val="00B23A97"/>
    <w:rsid w:val="00B51C1F"/>
    <w:rsid w:val="00B979BB"/>
    <w:rsid w:val="00BA22BF"/>
    <w:rsid w:val="00BB30AD"/>
    <w:rsid w:val="00BD5D7A"/>
    <w:rsid w:val="00BF2EF8"/>
    <w:rsid w:val="00BF33F9"/>
    <w:rsid w:val="00C05DA2"/>
    <w:rsid w:val="00C17537"/>
    <w:rsid w:val="00C23F64"/>
    <w:rsid w:val="00C334BB"/>
    <w:rsid w:val="00C618B7"/>
    <w:rsid w:val="00C76558"/>
    <w:rsid w:val="00C7681C"/>
    <w:rsid w:val="00C83E15"/>
    <w:rsid w:val="00C93640"/>
    <w:rsid w:val="00C95D0A"/>
    <w:rsid w:val="00D10737"/>
    <w:rsid w:val="00D12530"/>
    <w:rsid w:val="00D14DF2"/>
    <w:rsid w:val="00D3146E"/>
    <w:rsid w:val="00D50777"/>
    <w:rsid w:val="00DC3A90"/>
    <w:rsid w:val="00DD2F9A"/>
    <w:rsid w:val="00DE6355"/>
    <w:rsid w:val="00E04149"/>
    <w:rsid w:val="00E72C6F"/>
    <w:rsid w:val="00E75961"/>
    <w:rsid w:val="00EA728E"/>
    <w:rsid w:val="00F03E66"/>
    <w:rsid w:val="00F76C35"/>
    <w:rsid w:val="00F94DFA"/>
    <w:rsid w:val="00FF4C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8BE67"/>
  <w15:chartTrackingRefBased/>
  <w15:docId w15:val="{3DCAEF02-3510-40D9-924E-71266DA63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E0B"/>
    <w:pPr>
      <w:keepNext/>
      <w:keepLines/>
      <w:spacing w:before="360" w:after="80"/>
      <w:outlineLvl w:val="0"/>
    </w:pPr>
    <w:rPr>
      <w:rFonts w:asciiTheme="majorHAnsi" w:eastAsiaTheme="majorEastAsia" w:hAnsiTheme="majorHAnsi" w:cstheme="majorBidi"/>
      <w:b/>
      <w:sz w:val="28"/>
      <w:szCs w:val="40"/>
    </w:rPr>
  </w:style>
  <w:style w:type="paragraph" w:styleId="Heading2">
    <w:name w:val="heading 2"/>
    <w:basedOn w:val="Normal"/>
    <w:next w:val="Normal"/>
    <w:link w:val="Heading2Char"/>
    <w:uiPriority w:val="9"/>
    <w:unhideWhenUsed/>
    <w:qFormat/>
    <w:rsid w:val="00DE6355"/>
    <w:pPr>
      <w:keepNext/>
      <w:keepLines/>
      <w:spacing w:before="160" w:after="80"/>
      <w:outlineLvl w:val="1"/>
    </w:pPr>
    <w:rPr>
      <w:rFonts w:asciiTheme="majorHAnsi" w:eastAsiaTheme="majorEastAsia" w:hAnsiTheme="majorHAnsi" w:cstheme="majorBidi"/>
      <w:b/>
      <w:sz w:val="24"/>
      <w:szCs w:val="32"/>
    </w:rPr>
  </w:style>
  <w:style w:type="paragraph" w:styleId="Heading3">
    <w:name w:val="heading 3"/>
    <w:basedOn w:val="Normal"/>
    <w:next w:val="Normal"/>
    <w:link w:val="Heading3Char"/>
    <w:uiPriority w:val="9"/>
    <w:semiHidden/>
    <w:unhideWhenUsed/>
    <w:qFormat/>
    <w:rsid w:val="00730E0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30E0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30E0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30E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E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E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E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E0B"/>
    <w:rPr>
      <w:rFonts w:asciiTheme="majorHAnsi" w:eastAsiaTheme="majorEastAsia" w:hAnsiTheme="majorHAnsi" w:cstheme="majorBidi"/>
      <w:b/>
      <w:sz w:val="28"/>
      <w:szCs w:val="40"/>
    </w:rPr>
  </w:style>
  <w:style w:type="character" w:customStyle="1" w:styleId="Heading2Char">
    <w:name w:val="Heading 2 Char"/>
    <w:basedOn w:val="DefaultParagraphFont"/>
    <w:link w:val="Heading2"/>
    <w:uiPriority w:val="9"/>
    <w:rsid w:val="00DE6355"/>
    <w:rPr>
      <w:rFonts w:asciiTheme="majorHAnsi" w:eastAsiaTheme="majorEastAsia" w:hAnsiTheme="majorHAnsi" w:cstheme="majorBidi"/>
      <w:b/>
      <w:sz w:val="24"/>
      <w:szCs w:val="32"/>
    </w:rPr>
  </w:style>
  <w:style w:type="character" w:customStyle="1" w:styleId="Heading3Char">
    <w:name w:val="Heading 3 Char"/>
    <w:basedOn w:val="DefaultParagraphFont"/>
    <w:link w:val="Heading3"/>
    <w:uiPriority w:val="9"/>
    <w:semiHidden/>
    <w:rsid w:val="00730E0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30E0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30E0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30E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E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E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E0B"/>
    <w:rPr>
      <w:rFonts w:eastAsiaTheme="majorEastAsia" w:cstheme="majorBidi"/>
      <w:color w:val="272727" w:themeColor="text1" w:themeTint="D8"/>
    </w:rPr>
  </w:style>
  <w:style w:type="paragraph" w:styleId="Title">
    <w:name w:val="Title"/>
    <w:basedOn w:val="Normal"/>
    <w:next w:val="Normal"/>
    <w:link w:val="TitleChar"/>
    <w:uiPriority w:val="10"/>
    <w:qFormat/>
    <w:rsid w:val="00730E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E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E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E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E0B"/>
    <w:pPr>
      <w:spacing w:before="160"/>
      <w:jc w:val="center"/>
    </w:pPr>
    <w:rPr>
      <w:i/>
      <w:iCs/>
      <w:color w:val="404040" w:themeColor="text1" w:themeTint="BF"/>
    </w:rPr>
  </w:style>
  <w:style w:type="character" w:customStyle="1" w:styleId="QuoteChar">
    <w:name w:val="Quote Char"/>
    <w:basedOn w:val="DefaultParagraphFont"/>
    <w:link w:val="Quote"/>
    <w:uiPriority w:val="29"/>
    <w:rsid w:val="00730E0B"/>
    <w:rPr>
      <w:i/>
      <w:iCs/>
      <w:color w:val="404040" w:themeColor="text1" w:themeTint="BF"/>
    </w:rPr>
  </w:style>
  <w:style w:type="paragraph" w:styleId="ListParagraph">
    <w:name w:val="List Paragraph"/>
    <w:basedOn w:val="Normal"/>
    <w:uiPriority w:val="34"/>
    <w:qFormat/>
    <w:rsid w:val="00730E0B"/>
    <w:pPr>
      <w:ind w:left="720"/>
      <w:contextualSpacing/>
    </w:pPr>
  </w:style>
  <w:style w:type="character" w:styleId="IntenseEmphasis">
    <w:name w:val="Intense Emphasis"/>
    <w:basedOn w:val="DefaultParagraphFont"/>
    <w:uiPriority w:val="21"/>
    <w:qFormat/>
    <w:rsid w:val="00730E0B"/>
    <w:rPr>
      <w:i/>
      <w:iCs/>
      <w:color w:val="2E74B5" w:themeColor="accent1" w:themeShade="BF"/>
    </w:rPr>
  </w:style>
  <w:style w:type="paragraph" w:styleId="IntenseQuote">
    <w:name w:val="Intense Quote"/>
    <w:basedOn w:val="Normal"/>
    <w:next w:val="Normal"/>
    <w:link w:val="IntenseQuoteChar"/>
    <w:uiPriority w:val="30"/>
    <w:qFormat/>
    <w:rsid w:val="00730E0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30E0B"/>
    <w:rPr>
      <w:i/>
      <w:iCs/>
      <w:color w:val="2E74B5" w:themeColor="accent1" w:themeShade="BF"/>
    </w:rPr>
  </w:style>
  <w:style w:type="character" w:styleId="IntenseReference">
    <w:name w:val="Intense Reference"/>
    <w:basedOn w:val="DefaultParagraphFont"/>
    <w:uiPriority w:val="32"/>
    <w:qFormat/>
    <w:rsid w:val="00730E0B"/>
    <w:rPr>
      <w:b/>
      <w:bCs/>
      <w:smallCaps/>
      <w:color w:val="2E74B5" w:themeColor="accent1" w:themeShade="BF"/>
      <w:spacing w:val="5"/>
    </w:rPr>
  </w:style>
  <w:style w:type="paragraph" w:styleId="Header">
    <w:name w:val="header"/>
    <w:basedOn w:val="Normal"/>
    <w:link w:val="HeaderChar"/>
    <w:uiPriority w:val="99"/>
    <w:unhideWhenUsed/>
    <w:rsid w:val="00BF33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3F9"/>
  </w:style>
  <w:style w:type="paragraph" w:styleId="Footer">
    <w:name w:val="footer"/>
    <w:basedOn w:val="Normal"/>
    <w:link w:val="FooterChar"/>
    <w:uiPriority w:val="99"/>
    <w:unhideWhenUsed/>
    <w:rsid w:val="00BF33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3F9"/>
  </w:style>
  <w:style w:type="paragraph" w:styleId="Caption">
    <w:name w:val="caption"/>
    <w:basedOn w:val="Normal"/>
    <w:next w:val="Normal"/>
    <w:uiPriority w:val="35"/>
    <w:unhideWhenUsed/>
    <w:qFormat/>
    <w:rsid w:val="00A17517"/>
    <w:pPr>
      <w:spacing w:after="200" w:line="240" w:lineRule="auto"/>
    </w:pPr>
    <w:rPr>
      <w:i/>
      <w:iCs/>
      <w:color w:val="44546A" w:themeColor="text2"/>
      <w:sz w:val="18"/>
      <w:szCs w:val="18"/>
    </w:rPr>
  </w:style>
  <w:style w:type="paragraph" w:styleId="NoSpacing">
    <w:name w:val="No Spacing"/>
    <w:link w:val="NoSpacingChar"/>
    <w:uiPriority w:val="1"/>
    <w:qFormat/>
    <w:rsid w:val="005C040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C0402"/>
    <w:rPr>
      <w:rFonts w:eastAsiaTheme="minorEastAsia"/>
      <w:lang w:eastAsia="en-GB"/>
    </w:rPr>
  </w:style>
  <w:style w:type="paragraph" w:styleId="TOCHeading">
    <w:name w:val="TOC Heading"/>
    <w:basedOn w:val="Heading1"/>
    <w:next w:val="Normal"/>
    <w:uiPriority w:val="39"/>
    <w:unhideWhenUsed/>
    <w:qFormat/>
    <w:rsid w:val="005C0402"/>
    <w:pPr>
      <w:spacing w:before="240" w:after="0"/>
      <w:outlineLvl w:val="9"/>
    </w:pPr>
    <w:rPr>
      <w:b w:val="0"/>
      <w:color w:val="2E74B5" w:themeColor="accent1" w:themeShade="BF"/>
      <w:sz w:val="32"/>
      <w:szCs w:val="32"/>
      <w:lang w:eastAsia="en-GB"/>
    </w:rPr>
  </w:style>
  <w:style w:type="paragraph" w:styleId="TOC1">
    <w:name w:val="toc 1"/>
    <w:basedOn w:val="Normal"/>
    <w:next w:val="Normal"/>
    <w:autoRedefine/>
    <w:uiPriority w:val="39"/>
    <w:unhideWhenUsed/>
    <w:rsid w:val="005C0402"/>
    <w:pPr>
      <w:spacing w:after="100"/>
    </w:pPr>
  </w:style>
  <w:style w:type="paragraph" w:styleId="TOC2">
    <w:name w:val="toc 2"/>
    <w:basedOn w:val="Normal"/>
    <w:next w:val="Normal"/>
    <w:autoRedefine/>
    <w:uiPriority w:val="39"/>
    <w:unhideWhenUsed/>
    <w:rsid w:val="005C0402"/>
    <w:pPr>
      <w:spacing w:after="100"/>
      <w:ind w:left="220"/>
    </w:pPr>
  </w:style>
  <w:style w:type="character" w:styleId="Hyperlink">
    <w:name w:val="Hyperlink"/>
    <w:basedOn w:val="DefaultParagraphFont"/>
    <w:uiPriority w:val="99"/>
    <w:unhideWhenUsed/>
    <w:rsid w:val="005C0402"/>
    <w:rPr>
      <w:color w:val="0563C1" w:themeColor="hyperlink"/>
      <w:u w:val="single"/>
    </w:rPr>
  </w:style>
  <w:style w:type="paragraph" w:styleId="TableofFigures">
    <w:name w:val="table of figures"/>
    <w:basedOn w:val="Normal"/>
    <w:next w:val="Normal"/>
    <w:uiPriority w:val="99"/>
    <w:unhideWhenUsed/>
    <w:rsid w:val="005C0402"/>
    <w:pPr>
      <w:spacing w:after="0"/>
    </w:pPr>
  </w:style>
  <w:style w:type="table" w:styleId="TableGrid">
    <w:name w:val="Table Grid"/>
    <w:basedOn w:val="TableNormal"/>
    <w:uiPriority w:val="39"/>
    <w:rsid w:val="008F6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cronyms">
    <w:name w:val="Acronyms"/>
    <w:basedOn w:val="BodyText"/>
    <w:link w:val="AcronymsChar"/>
    <w:rsid w:val="00E72C6F"/>
    <w:pPr>
      <w:spacing w:line="240" w:lineRule="auto"/>
    </w:pPr>
    <w:rPr>
      <w:rFonts w:ascii="Arial" w:eastAsia="Times New Roman" w:hAnsi="Arial" w:cs="Times New Roman"/>
      <w:sz w:val="20"/>
      <w:szCs w:val="20"/>
    </w:rPr>
  </w:style>
  <w:style w:type="character" w:customStyle="1" w:styleId="AcronymsChar">
    <w:name w:val="Acronyms Char"/>
    <w:link w:val="Acronyms"/>
    <w:rsid w:val="00E72C6F"/>
    <w:rPr>
      <w:rFonts w:ascii="Arial" w:eastAsia="Times New Roman" w:hAnsi="Arial" w:cs="Times New Roman"/>
      <w:sz w:val="20"/>
      <w:szCs w:val="20"/>
    </w:rPr>
  </w:style>
  <w:style w:type="paragraph" w:styleId="BodyText">
    <w:name w:val="Body Text"/>
    <w:basedOn w:val="Normal"/>
    <w:link w:val="BodyTextChar"/>
    <w:uiPriority w:val="99"/>
    <w:semiHidden/>
    <w:unhideWhenUsed/>
    <w:rsid w:val="00E72C6F"/>
    <w:pPr>
      <w:spacing w:after="120"/>
    </w:pPr>
  </w:style>
  <w:style w:type="character" w:customStyle="1" w:styleId="BodyTextChar">
    <w:name w:val="Body Text Char"/>
    <w:basedOn w:val="DefaultParagraphFont"/>
    <w:link w:val="BodyText"/>
    <w:uiPriority w:val="99"/>
    <w:semiHidden/>
    <w:rsid w:val="00E72C6F"/>
  </w:style>
  <w:style w:type="paragraph" w:styleId="Bibliography">
    <w:name w:val="Bibliography"/>
    <w:basedOn w:val="Normal"/>
    <w:next w:val="Normal"/>
    <w:uiPriority w:val="37"/>
    <w:unhideWhenUsed/>
    <w:rsid w:val="002308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272980">
      <w:bodyDiv w:val="1"/>
      <w:marLeft w:val="0"/>
      <w:marRight w:val="0"/>
      <w:marTop w:val="0"/>
      <w:marBottom w:val="0"/>
      <w:divBdr>
        <w:top w:val="none" w:sz="0" w:space="0" w:color="auto"/>
        <w:left w:val="none" w:sz="0" w:space="0" w:color="auto"/>
        <w:bottom w:val="none" w:sz="0" w:space="0" w:color="auto"/>
        <w:right w:val="none" w:sz="0" w:space="0" w:color="auto"/>
      </w:divBdr>
    </w:div>
    <w:div w:id="118842209">
      <w:bodyDiv w:val="1"/>
      <w:marLeft w:val="0"/>
      <w:marRight w:val="0"/>
      <w:marTop w:val="0"/>
      <w:marBottom w:val="0"/>
      <w:divBdr>
        <w:top w:val="none" w:sz="0" w:space="0" w:color="auto"/>
        <w:left w:val="none" w:sz="0" w:space="0" w:color="auto"/>
        <w:bottom w:val="none" w:sz="0" w:space="0" w:color="auto"/>
        <w:right w:val="none" w:sz="0" w:space="0" w:color="auto"/>
      </w:divBdr>
    </w:div>
    <w:div w:id="137191960">
      <w:bodyDiv w:val="1"/>
      <w:marLeft w:val="0"/>
      <w:marRight w:val="0"/>
      <w:marTop w:val="0"/>
      <w:marBottom w:val="0"/>
      <w:divBdr>
        <w:top w:val="none" w:sz="0" w:space="0" w:color="auto"/>
        <w:left w:val="none" w:sz="0" w:space="0" w:color="auto"/>
        <w:bottom w:val="none" w:sz="0" w:space="0" w:color="auto"/>
        <w:right w:val="none" w:sz="0" w:space="0" w:color="auto"/>
      </w:divBdr>
    </w:div>
    <w:div w:id="335153780">
      <w:bodyDiv w:val="1"/>
      <w:marLeft w:val="0"/>
      <w:marRight w:val="0"/>
      <w:marTop w:val="0"/>
      <w:marBottom w:val="0"/>
      <w:divBdr>
        <w:top w:val="none" w:sz="0" w:space="0" w:color="auto"/>
        <w:left w:val="none" w:sz="0" w:space="0" w:color="auto"/>
        <w:bottom w:val="none" w:sz="0" w:space="0" w:color="auto"/>
        <w:right w:val="none" w:sz="0" w:space="0" w:color="auto"/>
      </w:divBdr>
    </w:div>
    <w:div w:id="451946180">
      <w:bodyDiv w:val="1"/>
      <w:marLeft w:val="0"/>
      <w:marRight w:val="0"/>
      <w:marTop w:val="0"/>
      <w:marBottom w:val="0"/>
      <w:divBdr>
        <w:top w:val="none" w:sz="0" w:space="0" w:color="auto"/>
        <w:left w:val="none" w:sz="0" w:space="0" w:color="auto"/>
        <w:bottom w:val="none" w:sz="0" w:space="0" w:color="auto"/>
        <w:right w:val="none" w:sz="0" w:space="0" w:color="auto"/>
      </w:divBdr>
    </w:div>
    <w:div w:id="472409959">
      <w:bodyDiv w:val="1"/>
      <w:marLeft w:val="0"/>
      <w:marRight w:val="0"/>
      <w:marTop w:val="0"/>
      <w:marBottom w:val="0"/>
      <w:divBdr>
        <w:top w:val="none" w:sz="0" w:space="0" w:color="auto"/>
        <w:left w:val="none" w:sz="0" w:space="0" w:color="auto"/>
        <w:bottom w:val="none" w:sz="0" w:space="0" w:color="auto"/>
        <w:right w:val="none" w:sz="0" w:space="0" w:color="auto"/>
      </w:divBdr>
    </w:div>
    <w:div w:id="565258786">
      <w:bodyDiv w:val="1"/>
      <w:marLeft w:val="0"/>
      <w:marRight w:val="0"/>
      <w:marTop w:val="0"/>
      <w:marBottom w:val="0"/>
      <w:divBdr>
        <w:top w:val="none" w:sz="0" w:space="0" w:color="auto"/>
        <w:left w:val="none" w:sz="0" w:space="0" w:color="auto"/>
        <w:bottom w:val="none" w:sz="0" w:space="0" w:color="auto"/>
        <w:right w:val="none" w:sz="0" w:space="0" w:color="auto"/>
      </w:divBdr>
    </w:div>
    <w:div w:id="638342806">
      <w:bodyDiv w:val="1"/>
      <w:marLeft w:val="0"/>
      <w:marRight w:val="0"/>
      <w:marTop w:val="0"/>
      <w:marBottom w:val="0"/>
      <w:divBdr>
        <w:top w:val="none" w:sz="0" w:space="0" w:color="auto"/>
        <w:left w:val="none" w:sz="0" w:space="0" w:color="auto"/>
        <w:bottom w:val="none" w:sz="0" w:space="0" w:color="auto"/>
        <w:right w:val="none" w:sz="0" w:space="0" w:color="auto"/>
      </w:divBdr>
    </w:div>
    <w:div w:id="816992825">
      <w:bodyDiv w:val="1"/>
      <w:marLeft w:val="0"/>
      <w:marRight w:val="0"/>
      <w:marTop w:val="0"/>
      <w:marBottom w:val="0"/>
      <w:divBdr>
        <w:top w:val="none" w:sz="0" w:space="0" w:color="auto"/>
        <w:left w:val="none" w:sz="0" w:space="0" w:color="auto"/>
        <w:bottom w:val="none" w:sz="0" w:space="0" w:color="auto"/>
        <w:right w:val="none" w:sz="0" w:space="0" w:color="auto"/>
      </w:divBdr>
    </w:div>
    <w:div w:id="892615136">
      <w:bodyDiv w:val="1"/>
      <w:marLeft w:val="0"/>
      <w:marRight w:val="0"/>
      <w:marTop w:val="0"/>
      <w:marBottom w:val="0"/>
      <w:divBdr>
        <w:top w:val="none" w:sz="0" w:space="0" w:color="auto"/>
        <w:left w:val="none" w:sz="0" w:space="0" w:color="auto"/>
        <w:bottom w:val="none" w:sz="0" w:space="0" w:color="auto"/>
        <w:right w:val="none" w:sz="0" w:space="0" w:color="auto"/>
      </w:divBdr>
    </w:div>
    <w:div w:id="1451781325">
      <w:bodyDiv w:val="1"/>
      <w:marLeft w:val="0"/>
      <w:marRight w:val="0"/>
      <w:marTop w:val="0"/>
      <w:marBottom w:val="0"/>
      <w:divBdr>
        <w:top w:val="none" w:sz="0" w:space="0" w:color="auto"/>
        <w:left w:val="none" w:sz="0" w:space="0" w:color="auto"/>
        <w:bottom w:val="none" w:sz="0" w:space="0" w:color="auto"/>
        <w:right w:val="none" w:sz="0" w:space="0" w:color="auto"/>
      </w:divBdr>
    </w:div>
    <w:div w:id="1491631092">
      <w:bodyDiv w:val="1"/>
      <w:marLeft w:val="0"/>
      <w:marRight w:val="0"/>
      <w:marTop w:val="0"/>
      <w:marBottom w:val="0"/>
      <w:divBdr>
        <w:top w:val="none" w:sz="0" w:space="0" w:color="auto"/>
        <w:left w:val="none" w:sz="0" w:space="0" w:color="auto"/>
        <w:bottom w:val="none" w:sz="0" w:space="0" w:color="auto"/>
        <w:right w:val="none" w:sz="0" w:space="0" w:color="auto"/>
      </w:divBdr>
    </w:div>
    <w:div w:id="1567761610">
      <w:bodyDiv w:val="1"/>
      <w:marLeft w:val="0"/>
      <w:marRight w:val="0"/>
      <w:marTop w:val="0"/>
      <w:marBottom w:val="0"/>
      <w:divBdr>
        <w:top w:val="none" w:sz="0" w:space="0" w:color="auto"/>
        <w:left w:val="none" w:sz="0" w:space="0" w:color="auto"/>
        <w:bottom w:val="none" w:sz="0" w:space="0" w:color="auto"/>
        <w:right w:val="none" w:sz="0" w:space="0" w:color="auto"/>
      </w:divBdr>
    </w:div>
    <w:div w:id="1673293403">
      <w:bodyDiv w:val="1"/>
      <w:marLeft w:val="0"/>
      <w:marRight w:val="0"/>
      <w:marTop w:val="0"/>
      <w:marBottom w:val="0"/>
      <w:divBdr>
        <w:top w:val="none" w:sz="0" w:space="0" w:color="auto"/>
        <w:left w:val="none" w:sz="0" w:space="0" w:color="auto"/>
        <w:bottom w:val="none" w:sz="0" w:space="0" w:color="auto"/>
        <w:right w:val="none" w:sz="0" w:space="0" w:color="auto"/>
      </w:divBdr>
    </w:div>
    <w:div w:id="1677612219">
      <w:bodyDiv w:val="1"/>
      <w:marLeft w:val="0"/>
      <w:marRight w:val="0"/>
      <w:marTop w:val="0"/>
      <w:marBottom w:val="0"/>
      <w:divBdr>
        <w:top w:val="none" w:sz="0" w:space="0" w:color="auto"/>
        <w:left w:val="none" w:sz="0" w:space="0" w:color="auto"/>
        <w:bottom w:val="none" w:sz="0" w:space="0" w:color="auto"/>
        <w:right w:val="none" w:sz="0" w:space="0" w:color="auto"/>
      </w:divBdr>
    </w:div>
    <w:div w:id="1682510439">
      <w:bodyDiv w:val="1"/>
      <w:marLeft w:val="0"/>
      <w:marRight w:val="0"/>
      <w:marTop w:val="0"/>
      <w:marBottom w:val="0"/>
      <w:divBdr>
        <w:top w:val="none" w:sz="0" w:space="0" w:color="auto"/>
        <w:left w:val="none" w:sz="0" w:space="0" w:color="auto"/>
        <w:bottom w:val="none" w:sz="0" w:space="0" w:color="auto"/>
        <w:right w:val="none" w:sz="0" w:space="0" w:color="auto"/>
      </w:divBdr>
    </w:div>
    <w:div w:id="1876189900">
      <w:bodyDiv w:val="1"/>
      <w:marLeft w:val="0"/>
      <w:marRight w:val="0"/>
      <w:marTop w:val="0"/>
      <w:marBottom w:val="0"/>
      <w:divBdr>
        <w:top w:val="none" w:sz="0" w:space="0" w:color="auto"/>
        <w:left w:val="none" w:sz="0" w:space="0" w:color="auto"/>
        <w:bottom w:val="none" w:sz="0" w:space="0" w:color="auto"/>
        <w:right w:val="none" w:sz="0" w:space="0" w:color="auto"/>
      </w:divBdr>
    </w:div>
    <w:div w:id="202894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oter" Target="footer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titus xmlns="http://schemas.titus.com/TitusProperties/">
  <TitusGUID xmlns="">9e1ee7fb-31ef-4269-a115-5a6cd4ba4627</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IEEE2006OfficeOnline.xsl" StyleName="IEEE" Version="2006">
  <b:Source>
    <b:Tag>Def24</b:Tag>
    <b:SourceType>ElectronicSource</b:SourceType>
    <b:Guid>{B90D210C-510C-472D-8D9C-8A043EF46650}</b:Guid>
    <b:Title>DSA 03.OME Part 1: Defence Code of Practice (DCOP) 104</b:Title>
    <b:Year>2024</b:Year>
    <b:Author>
      <b:Author>
        <b:NameList>
          <b:Person>
            <b:Last>Authority</b:Last>
            <b:First>Defence</b:First>
            <b:Middle>Safety</b:Middle>
          </b:Person>
        </b:NameList>
      </b:Author>
    </b:Author>
    <b:Month>August</b:Month>
    <b:Volume>1.1</b:Volume>
    <b:URL>https://assets.publishing.service.gov.uk/media/689f24a407f2cc15c935730d/DSA_03.OME_Part_1_DCOP_104_-_Manufacture_to_Target_Disposal_Sequence_-_MTDS.pdf</b:URL>
    <b:RefOrder>1</b:RefOrder>
  </b:Source>
  <b:Source>
    <b:Tag>JSP13</b:Tag>
    <b:SourceType>Misc</b:SourceType>
    <b:Guid>{FE7051D6-2C1C-421F-AAFC-8E937AB45868}</b:Guid>
    <b:Title>JSP 482</b:Title>
    <b:Year>2013</b:Year>
    <b:PublicationTitle>CLASSIFICATION OF MILITARY EXPLOSIVES FOR STORAGE AND TRANSPORT</b:PublicationTitle>
    <b:Month>jANUARY</b:Month>
    <b:URL>https://assets.publishing.service.gov.uk/media/5a7b4311ed915d429748de92/C4_Edt4_FINAL.pdf</b:URL>
    <b:RefOrder>2</b:RefOrder>
  </b:Source>
  <b:Source>
    <b:Tag>Uni19</b:Tag>
    <b:SourceType>Misc</b:SourceType>
    <b:Guid>{840B37FF-C0AF-44FA-8722-738BBE2402FC}</b:Guid>
    <b:Author>
      <b:Author>
        <b:NameList>
          <b:Person>
            <b:Last>Nations</b:Last>
            <b:First>United</b:First>
          </b:Person>
        </b:NameList>
      </b:Author>
    </b:Author>
    <b:Title>Manual of Tests and Criteria</b:Title>
    <b:Year>2019</b:Year>
    <b:City>New York and Geneva</b:City>
    <b:RefOrder>3</b:RefOrder>
  </b:Source>
  <b:Source>
    <b:Tag>Saf21</b:Tag>
    <b:SourceType>Misc</b:SourceType>
    <b:Guid>{EA09A234-AF03-4ED2-9EE8-6CE7FFB89908}</b:Guid>
    <b:Author>
      <b:Author>
        <b:NameList>
          <b:Person>
            <b:Last>SaferGuard</b:Last>
            <b:First>UN</b:First>
          </b:Person>
        </b:NameList>
      </b:Author>
    </b:Author>
    <b:Title>International Ammunition Technical Guidelines</b:Title>
    <b:Year>2021</b:Year>
    <b:PublicationTitle>IATG 01.50 </b:PublicationTitle>
    <b:Month>March</b:Month>
    <b:Edition>Third</b:Edition>
    <b:RefOrder>4</b:RefOrder>
  </b:Source>
  <b:Source>
    <b:Tag>Saf211</b:Tag>
    <b:SourceType>Misc</b:SourceType>
    <b:Guid>{7B0186C5-F62B-461D-9231-86562954E404}</b:Guid>
    <b:Author>
      <b:Author>
        <b:NameList>
          <b:Person>
            <b:Last>SaferHGuard</b:Last>
            <b:First>UN</b:First>
          </b:Person>
        </b:NameList>
      </b:Author>
    </b:Author>
    <b:Title>International Ammunition Technical Guidelines</b:Title>
    <b:Year>2021</b:Year>
    <b:PublicationTitle>Quantity &amp; Separation Distances (IATG 02.20)</b:PublicationTitle>
    <b:RefOrder>5</b:RefOrder>
  </b:Source>
  <b:Source>
    <b:Tag>Che241</b:Tag>
    <b:SourceType>Report</b:SourceType>
    <b:Guid>{71658EA4-B437-4702-90DB-3FC5F4CB87EF}</b:Guid>
    <b:Author>
      <b:Author>
        <b:NameList>
          <b:Person>
            <b:Last>Cheng Gong</b:Last>
            <b:First>Yan-Yu</b:First>
            <b:Middle>Qiu, Zhi-Lin Long, Lu Liu, Guan-Gan Xu, Ling-Ming Yang</b:Middle>
          </b:Person>
        </b:NameList>
      </b:Author>
    </b:Author>
    <b:Title>Study on the Earth-Covered Magazine Models under the Internal Explosion</b:Title>
    <b:Year>2024</b:Year>
    <b:Publisher>Hindawi</b:Publisher>
    <b:RefOrder>6</b:RefOrder>
  </b:Source>
  <b:Source>
    <b:Tag>Saf212</b:Tag>
    <b:SourceType>Misc</b:SourceType>
    <b:Guid>{B94CCA97-7FBF-4A6D-A403-905FE33E3DEE}</b:Guid>
    <b:Title>INTERNATIONAL AMMUNITION TECHNICAL GUIDELINES</b:Title>
    <b:Year>2021</b:Year>
    <b:Author>
      <b:Author>
        <b:NameList>
          <b:Person>
            <b:Last>SaferGuard</b:Last>
            <b:First>UN</b:First>
          </b:Person>
        </b:NameList>
      </b:Author>
    </b:Author>
    <b:PublicationTitle>Secuirty principles &amp; Systems (IATG 09.10)</b:PublicationTitle>
    <b:Month>March</b:Month>
    <b:RefOrder>7</b:RefOrder>
  </b:Source>
  <b:Source>
    <b:Tag>UNS</b:Tag>
    <b:SourceType>InternetSite</b:SourceType>
    <b:Guid>{C8CFD09A-5895-4A87-8905-B0D1270B3732}</b:Guid>
    <b:Title>Quantity Distance Map</b:Title>
    <b:Author>
      <b:Author>
        <b:NameList>
          <b:Person>
            <b:Last>SaferGuard</b:Last>
            <b:First>UN</b:First>
          </b:Person>
        </b:NameList>
      </b:Author>
    </b:Author>
    <b:URL>https://unsaferguard.org/map/</b:URL>
    <b:RefOrder>8</b:RefOrder>
  </b:Source>
  <b:Source>
    <b:Tag>Saf213</b:Tag>
    <b:SourceType>Misc</b:SourceType>
    <b:Guid>{5C6B407A-23EB-4557-B015-54EDDE5CFAAF}</b:Guid>
    <b:Title>Licensing of explosive facilities (IATG 02.30)</b:Title>
    <b:Year>2021</b:Year>
    <b:Month>March</b:Month>
    <b:Author>
      <b:Author>
        <b:NameList>
          <b:Person>
            <b:Last>SaferGuard</b:Last>
            <b:First>UN</b:First>
          </b:Person>
        </b:NameList>
      </b:Author>
    </b:Author>
    <b:PublicationTitle>International Ammunition Technical Guidelines</b:PublicationTitl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38507B-566A-4710-A0AE-C9BAC78ABF42}">
  <ds:schemaRefs>
    <ds:schemaRef ds:uri="http://schemas.titus.com/TitusProperties/"/>
    <ds:schemaRef ds:uri=""/>
  </ds:schemaRefs>
</ds:datastoreItem>
</file>

<file path=customXml/itemProps3.xml><?xml version="1.0" encoding="utf-8"?>
<ds:datastoreItem xmlns:ds="http://schemas.openxmlformats.org/officeDocument/2006/customXml" ds:itemID="{801EB2A4-61C4-4D9D-975B-210BD7250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7909</TotalTime>
  <Pages>26</Pages>
  <Words>3931</Words>
  <Characters>22412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OmE safety management &amp; legislation</vt:lpstr>
    </vt:vector>
  </TitlesOfParts>
  <Company/>
  <LinksUpToDate>false</LinksUpToDate>
  <CharactersWithSpaces>26291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safety management &amp; legislation</dc:title>
  <dc:subject>Council Request for Safety Report: Siting an Ammunition Depot on the SA1 Waterfront</dc:subject>
  <dc:creator>Samuel Miles (BAE Systems, OME Degree Apprentice</dc:creator>
  <cp:keywords/>
  <dc:description/>
  <cp:lastModifiedBy>Miles, Sam (UK)</cp:lastModifiedBy>
  <cp:revision>11</cp:revision>
  <dcterms:created xsi:type="dcterms:W3CDTF">2025-11-17T08:40:00Z</dcterms:created>
  <dcterms:modified xsi:type="dcterms:W3CDTF">2025-12-12T11:43:00Z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9e1ee7fb-31ef-4269-a115-5a6cd4ba4627</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