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934C7" w14:textId="77777777" w:rsidR="004922BB" w:rsidRDefault="004922BB">
      <w:pPr>
        <w:rPr>
          <w:sz w:val="36"/>
          <w:szCs w:val="36"/>
        </w:rPr>
      </w:pPr>
      <w:r w:rsidRPr="004922BB">
        <w:rPr>
          <w:rFonts w:hint="eastAsia"/>
          <w:sz w:val="36"/>
          <w:szCs w:val="36"/>
        </w:rPr>
        <w:t>Time Management: An Essential Skill for Student Success in Higher Education</w:t>
      </w:r>
    </w:p>
    <w:p w14:paraId="443F54BB" w14:textId="2F0FB400" w:rsidR="004922BB" w:rsidRDefault="004922BB">
      <w:r w:rsidRPr="004922BB">
        <w:rPr>
          <w:rFonts w:hint="eastAsia"/>
        </w:rPr>
        <w:t xml:space="preserve">Time-management is one of the most crucial skills for students, as it is required </w:t>
      </w:r>
      <w:proofErr w:type="gramStart"/>
      <w:r w:rsidRPr="004922BB">
        <w:rPr>
          <w:rFonts w:hint="eastAsia"/>
        </w:rPr>
        <w:t>in order to</w:t>
      </w:r>
      <w:proofErr w:type="gramEnd"/>
      <w:r w:rsidRPr="004922BB">
        <w:rPr>
          <w:rFonts w:hint="eastAsia"/>
        </w:rPr>
        <w:t xml:space="preserve"> achieve success in higher education. It can help one balance out academic, personal, and professional activities with ease (Macan et al., 2020). As Macan et al. (2020) reported, the capacity to prioritise certain tasks and efficiently allocate time is directly associated with students</w:t>
      </w:r>
      <w:r w:rsidRPr="004922BB">
        <w:rPr>
          <w:rFonts w:hint="eastAsia"/>
        </w:rPr>
        <w:t>’</w:t>
      </w:r>
      <w:r w:rsidRPr="004922BB">
        <w:rPr>
          <w:rFonts w:hint="eastAsia"/>
        </w:rPr>
        <w:t xml:space="preserve"> performance and lower stress levels. Given the conditions of online learning and the increasing number of distractions that new media and social platforms present, establishing a more systematic approach to time-management is of high importance today. This report will cover the effective time-management strategies and common challenges to the process. This analysis will be followed by potential solutions to the existing problems with the aim of increasing productivity and academic performance through more disciplined planning and use of digital assistance.</w:t>
      </w:r>
    </w:p>
    <w:p w14:paraId="0439F832" w14:textId="6D4D0A63" w:rsidR="004922BB" w:rsidRDefault="004922BB" w:rsidP="004922BB">
      <w:r w:rsidRPr="004922BB">
        <w:rPr>
          <w:rFonts w:hint="eastAsia"/>
        </w:rPr>
        <w:t xml:space="preserve">Organized students use frameworks to structure their work and stay on track. A popular strategy is the Eisenhower Matrix, which categorizes tasks by urgency and importance and prioritizes academics over non-critical activities (Covey, 2020). The Pomodoro Technique is another method, which segments work into 25-minute intervals to keep the mind alert and avoid fatigue (Cirillo, 2018). Utilizing digital calendars or productivity apps like Google Calendar, Trello, or Notion can also increase organization by providing a visual overview of deadlines and automating notifications. </w:t>
      </w:r>
      <w:proofErr w:type="spellStart"/>
      <w:r w:rsidRPr="004922BB">
        <w:rPr>
          <w:rFonts w:hint="eastAsia"/>
        </w:rPr>
        <w:t>Häfner</w:t>
      </w:r>
      <w:proofErr w:type="spellEnd"/>
      <w:r w:rsidRPr="004922BB">
        <w:rPr>
          <w:rFonts w:hint="eastAsia"/>
        </w:rPr>
        <w:t xml:space="preserve"> and Stock (2022) show that students who schedule time blocks for studying score better grades than those who try to remember or improvise when to study. Overall, such strategies allow students to </w:t>
      </w:r>
      <w:proofErr w:type="gramStart"/>
      <w:r w:rsidRPr="004922BB">
        <w:rPr>
          <w:rFonts w:hint="eastAsia"/>
        </w:rPr>
        <w:t>plan ahead</w:t>
      </w:r>
      <w:proofErr w:type="gramEnd"/>
      <w:r w:rsidRPr="004922BB">
        <w:rPr>
          <w:rFonts w:hint="eastAsia"/>
        </w:rPr>
        <w:t>, avoid procrastination, and balance their academic and personal life.</w:t>
      </w:r>
    </w:p>
    <w:p w14:paraId="1E4514E7" w14:textId="20A3BFB4" w:rsidR="004922BB" w:rsidRDefault="004922BB" w:rsidP="004922BB">
      <w:r w:rsidRPr="004922BB">
        <w:rPr>
          <w:rFonts w:hint="eastAsia"/>
        </w:rPr>
        <w:t>Although modern tools provide convenience, students often struggle to manage their time effectively due to the distractions of digital life. Social media platforms, instant messaging, and online entertainment compete for attention, reducing focus and productivity. According to Junco (2021), frequent multitasking between academic and non-academic digital activities can decrease learning efficiency by up to 40%. Another challenge is procrastination, often triggered by stress or perfectionism, which leads to last-minute work and poor-quality outcomes (Steel, 2010). The flexibility of online learning can also blur the boundaries between study and leisure, making it harder to maintain discipline (Hodges et al., 2020). In addition, information overload from constant notifications can cause cognitive fatigue and decision paralysis. These challenges highlight the need for students to establish digital boundaries, practice self-regulation, and adopt structured systems that limit distractions while promoting focused study habits.</w:t>
      </w:r>
    </w:p>
    <w:p w14:paraId="00D936FF" w14:textId="77777777" w:rsidR="004922BB" w:rsidRDefault="004922BB" w:rsidP="004922BB"/>
    <w:p w14:paraId="0A114853" w14:textId="77777777" w:rsidR="004922BB" w:rsidRPr="004922BB" w:rsidRDefault="004922BB" w:rsidP="004922BB">
      <w:pPr>
        <w:rPr>
          <w:rFonts w:hint="eastAsia"/>
        </w:rPr>
      </w:pPr>
      <w:r w:rsidRPr="004922BB">
        <w:rPr>
          <w:rFonts w:hint="eastAsia"/>
        </w:rPr>
        <w:t xml:space="preserve">The first step to addressing time-management issues is to cultivate intentional habits and systems that foster consistency. Creating a weekly schedule is a great solution. It allows students to reserve fixed time blocks for focused study, rest, and personal pursuits. Britton and Tesser (2021) found that students who plan their week in advance reported higher academic satisfaction and lower stress levels. Setting SMART goals is another effective strategy to stay motivated and measure progress. SMART stands for specific, measurable, achievable, relevant, and </w:t>
      </w:r>
      <w:proofErr w:type="gramStart"/>
      <w:r w:rsidRPr="004922BB">
        <w:rPr>
          <w:rFonts w:hint="eastAsia"/>
        </w:rPr>
        <w:t>time-bound</w:t>
      </w:r>
      <w:proofErr w:type="gramEnd"/>
      <w:r w:rsidRPr="004922BB">
        <w:rPr>
          <w:rFonts w:hint="eastAsia"/>
        </w:rPr>
        <w:t>. Regular reflection is key, such as reviewing the day's completed tasks each evening to enhance accountability. Digital well-being practices like disabling non-essential notifications and using website blockers can also help reduce distractions (Mark et al., 2022). Additionally, a balanced lifestyle that includes sufficient sleep, exercise, and proper nutrition can significantly improve focus and cognitive function. By incorporating a mix of structured planning, self-awareness, and healthy routines, students can increase their productivity and sustain high academic performance in the digital age.</w:t>
      </w:r>
    </w:p>
    <w:p w14:paraId="5C76550D" w14:textId="4B6E0242" w:rsidR="004922BB" w:rsidRDefault="004922BB" w:rsidP="004922BB">
      <w:r w:rsidRPr="004922BB">
        <w:rPr>
          <w:rFonts w:hint="eastAsia"/>
        </w:rPr>
        <w:t>Effective time management is a cornerstone of academic success in higher education. By adopting structured strategies, setting SMART goals, and developing digital discipline, students can balance multiple responsibilities while reducing stress and improving performance. The key lies in consistency</w:t>
      </w:r>
      <w:r w:rsidRPr="004922BB">
        <w:rPr>
          <w:rFonts w:hint="eastAsia"/>
        </w:rPr>
        <w:t>—</w:t>
      </w:r>
      <w:r w:rsidRPr="004922BB">
        <w:rPr>
          <w:rFonts w:hint="eastAsia"/>
        </w:rPr>
        <w:t>establishing a routine that integrates study, rest, and reflection. In an era of constant connectivity, time management is not only about planning tasks but also about protecting attention and energy. When students take control of their time, they create a strong foundation for both academic achievement and long-term personal growth.</w:t>
      </w:r>
    </w:p>
    <w:p w14:paraId="1C382609" w14:textId="77777777" w:rsidR="004922BB" w:rsidRDefault="004922BB" w:rsidP="004922BB"/>
    <w:p w14:paraId="6E3C843C" w14:textId="0F99D975" w:rsidR="004922BB" w:rsidRDefault="004922BB" w:rsidP="004922BB">
      <w:pPr>
        <w:rPr>
          <w:rFonts w:hint="eastAsia"/>
        </w:rPr>
      </w:pPr>
      <w:r>
        <w:rPr>
          <w:rFonts w:hint="eastAsia"/>
        </w:rPr>
        <w:t xml:space="preserve">Britton, B. K. and Tesser, A. (2021) </w:t>
      </w:r>
      <w:r>
        <w:rPr>
          <w:rFonts w:hint="eastAsia"/>
        </w:rPr>
        <w:t>‘</w:t>
      </w:r>
      <w:r>
        <w:rPr>
          <w:rFonts w:hint="eastAsia"/>
        </w:rPr>
        <w:t>Effects of time-management practices on college grades</w:t>
      </w:r>
      <w:r>
        <w:rPr>
          <w:rFonts w:hint="eastAsia"/>
        </w:rPr>
        <w:t>’</w:t>
      </w:r>
      <w:r>
        <w:rPr>
          <w:rFonts w:hint="eastAsia"/>
        </w:rPr>
        <w:t>, Journal of Educational Psychology, 113(4), pp. 694</w:t>
      </w:r>
      <w:r>
        <w:rPr>
          <w:rFonts w:hint="eastAsia"/>
        </w:rPr>
        <w:t>–</w:t>
      </w:r>
      <w:r>
        <w:rPr>
          <w:rFonts w:hint="eastAsia"/>
        </w:rPr>
        <w:t>703.</w:t>
      </w:r>
    </w:p>
    <w:p w14:paraId="22A9F5D3" w14:textId="77777777" w:rsidR="004922BB" w:rsidRDefault="004922BB" w:rsidP="004922BB">
      <w:pPr>
        <w:rPr>
          <w:rFonts w:hint="eastAsia"/>
        </w:rPr>
      </w:pPr>
    </w:p>
    <w:p w14:paraId="6D485539" w14:textId="77777777" w:rsidR="004922BB" w:rsidRDefault="004922BB" w:rsidP="004922BB">
      <w:pPr>
        <w:rPr>
          <w:rFonts w:hint="eastAsia"/>
        </w:rPr>
      </w:pPr>
      <w:r>
        <w:rPr>
          <w:rFonts w:hint="eastAsia"/>
        </w:rPr>
        <w:t>Cirillo, F. (2018) The Pomodoro Technique: The life-changing time-management system. New York: Penguin.</w:t>
      </w:r>
    </w:p>
    <w:p w14:paraId="0AFA670B" w14:textId="77777777" w:rsidR="004922BB" w:rsidRDefault="004922BB" w:rsidP="004922BB">
      <w:pPr>
        <w:rPr>
          <w:rFonts w:hint="eastAsia"/>
        </w:rPr>
      </w:pPr>
    </w:p>
    <w:p w14:paraId="434FC3DF" w14:textId="77777777" w:rsidR="004922BB" w:rsidRDefault="004922BB" w:rsidP="004922BB">
      <w:pPr>
        <w:rPr>
          <w:rFonts w:hint="eastAsia"/>
        </w:rPr>
      </w:pPr>
      <w:r>
        <w:rPr>
          <w:rFonts w:hint="eastAsia"/>
        </w:rPr>
        <w:t>Covey, S. R. (2020) The 7 Habits of Highly Effective People: Powerful lessons in personal change. 30th Anniversary Edition. New York: Simon &amp; Schuster.</w:t>
      </w:r>
    </w:p>
    <w:p w14:paraId="661A28A9" w14:textId="77777777" w:rsidR="004922BB" w:rsidRDefault="004922BB" w:rsidP="004922BB">
      <w:pPr>
        <w:rPr>
          <w:rFonts w:hint="eastAsia"/>
        </w:rPr>
      </w:pPr>
    </w:p>
    <w:p w14:paraId="1496D5C1" w14:textId="77777777" w:rsidR="004922BB" w:rsidRDefault="004922BB" w:rsidP="004922BB">
      <w:pPr>
        <w:rPr>
          <w:rFonts w:hint="eastAsia"/>
        </w:rPr>
      </w:pPr>
      <w:proofErr w:type="spellStart"/>
      <w:r>
        <w:rPr>
          <w:rFonts w:hint="eastAsia"/>
        </w:rPr>
        <w:t>Häfner</w:t>
      </w:r>
      <w:proofErr w:type="spellEnd"/>
      <w:r>
        <w:rPr>
          <w:rFonts w:hint="eastAsia"/>
        </w:rPr>
        <w:t xml:space="preserve">, A. and Stock, A. (2022) </w:t>
      </w:r>
      <w:r>
        <w:rPr>
          <w:rFonts w:hint="eastAsia"/>
        </w:rPr>
        <w:t>‘</w:t>
      </w:r>
      <w:r>
        <w:rPr>
          <w:rFonts w:hint="eastAsia"/>
        </w:rPr>
        <w:t>Time management training and perceived control of time at work</w:t>
      </w:r>
      <w:r>
        <w:rPr>
          <w:rFonts w:hint="eastAsia"/>
        </w:rPr>
        <w:t>’</w:t>
      </w:r>
      <w:r>
        <w:rPr>
          <w:rFonts w:hint="eastAsia"/>
        </w:rPr>
        <w:t>, Applied Psychology, 71(1), pp. 52</w:t>
      </w:r>
      <w:r>
        <w:rPr>
          <w:rFonts w:hint="eastAsia"/>
        </w:rPr>
        <w:t>–</w:t>
      </w:r>
      <w:r>
        <w:rPr>
          <w:rFonts w:hint="eastAsia"/>
        </w:rPr>
        <w:t>75.</w:t>
      </w:r>
    </w:p>
    <w:p w14:paraId="79931857" w14:textId="77777777" w:rsidR="004922BB" w:rsidRDefault="004922BB" w:rsidP="004922BB">
      <w:pPr>
        <w:rPr>
          <w:rFonts w:hint="eastAsia"/>
        </w:rPr>
      </w:pPr>
    </w:p>
    <w:p w14:paraId="1B19A989" w14:textId="77777777" w:rsidR="004922BB" w:rsidRDefault="004922BB" w:rsidP="004922BB">
      <w:pPr>
        <w:rPr>
          <w:rFonts w:hint="eastAsia"/>
        </w:rPr>
      </w:pPr>
      <w:r>
        <w:rPr>
          <w:rFonts w:hint="eastAsia"/>
        </w:rPr>
        <w:t xml:space="preserve">Hodges, C., Moore, S., Lockee, B., Trust, T. and Bond, A. (2020) </w:t>
      </w:r>
      <w:r>
        <w:rPr>
          <w:rFonts w:hint="eastAsia"/>
        </w:rPr>
        <w:t>‘</w:t>
      </w:r>
      <w:r>
        <w:rPr>
          <w:rFonts w:hint="eastAsia"/>
        </w:rPr>
        <w:t>The difference between emergency remote teaching and online learning</w:t>
      </w:r>
      <w:r>
        <w:rPr>
          <w:rFonts w:hint="eastAsia"/>
        </w:rPr>
        <w:t>’</w:t>
      </w:r>
      <w:r>
        <w:rPr>
          <w:rFonts w:hint="eastAsia"/>
        </w:rPr>
        <w:t>, Educause Review, 27(3), pp. 1</w:t>
      </w:r>
      <w:r>
        <w:rPr>
          <w:rFonts w:hint="eastAsia"/>
        </w:rPr>
        <w:t>–</w:t>
      </w:r>
      <w:r>
        <w:rPr>
          <w:rFonts w:hint="eastAsia"/>
        </w:rPr>
        <w:t>12.</w:t>
      </w:r>
    </w:p>
    <w:p w14:paraId="42899DD9" w14:textId="77777777" w:rsidR="004922BB" w:rsidRDefault="004922BB" w:rsidP="004922BB">
      <w:pPr>
        <w:rPr>
          <w:rFonts w:hint="eastAsia"/>
        </w:rPr>
      </w:pPr>
    </w:p>
    <w:p w14:paraId="347966B3" w14:textId="77777777" w:rsidR="004922BB" w:rsidRDefault="004922BB" w:rsidP="004922BB">
      <w:pPr>
        <w:rPr>
          <w:rFonts w:hint="eastAsia"/>
        </w:rPr>
      </w:pPr>
      <w:r>
        <w:rPr>
          <w:rFonts w:hint="eastAsia"/>
        </w:rPr>
        <w:t xml:space="preserve">Junco, R. (2021) </w:t>
      </w:r>
      <w:r>
        <w:rPr>
          <w:rFonts w:hint="eastAsia"/>
        </w:rPr>
        <w:t>‘</w:t>
      </w:r>
      <w:r>
        <w:rPr>
          <w:rFonts w:hint="eastAsia"/>
        </w:rPr>
        <w:t>Too much face and not enough books: The relationship between multiple indices of Facebook use and academic performance</w:t>
      </w:r>
      <w:r>
        <w:rPr>
          <w:rFonts w:hint="eastAsia"/>
        </w:rPr>
        <w:t>’</w:t>
      </w:r>
      <w:r>
        <w:rPr>
          <w:rFonts w:hint="eastAsia"/>
        </w:rPr>
        <w:t xml:space="preserve">, Computers in Human </w:t>
      </w:r>
      <w:proofErr w:type="spellStart"/>
      <w:r>
        <w:rPr>
          <w:rFonts w:hint="eastAsia"/>
        </w:rPr>
        <w:t>Behavior</w:t>
      </w:r>
      <w:proofErr w:type="spellEnd"/>
      <w:r>
        <w:rPr>
          <w:rFonts w:hint="eastAsia"/>
        </w:rPr>
        <w:t>, 117, 106636.</w:t>
      </w:r>
    </w:p>
    <w:p w14:paraId="3065A4D7" w14:textId="77777777" w:rsidR="004922BB" w:rsidRDefault="004922BB" w:rsidP="004922BB">
      <w:pPr>
        <w:rPr>
          <w:rFonts w:hint="eastAsia"/>
        </w:rPr>
      </w:pPr>
    </w:p>
    <w:p w14:paraId="46718E58" w14:textId="77777777" w:rsidR="004922BB" w:rsidRDefault="004922BB" w:rsidP="004922BB">
      <w:pPr>
        <w:rPr>
          <w:rFonts w:hint="eastAsia"/>
        </w:rPr>
      </w:pPr>
      <w:r>
        <w:rPr>
          <w:rFonts w:hint="eastAsia"/>
        </w:rPr>
        <w:t xml:space="preserve">Mark, G., Wang, Y. and </w:t>
      </w:r>
      <w:proofErr w:type="spellStart"/>
      <w:r>
        <w:rPr>
          <w:rFonts w:hint="eastAsia"/>
        </w:rPr>
        <w:t>Niiya</w:t>
      </w:r>
      <w:proofErr w:type="spellEnd"/>
      <w:r>
        <w:rPr>
          <w:rFonts w:hint="eastAsia"/>
        </w:rPr>
        <w:t xml:space="preserve">, M. (2022) </w:t>
      </w:r>
      <w:r>
        <w:rPr>
          <w:rFonts w:hint="eastAsia"/>
        </w:rPr>
        <w:t>‘</w:t>
      </w:r>
      <w:r>
        <w:rPr>
          <w:rFonts w:hint="eastAsia"/>
        </w:rPr>
        <w:t>Stress and multitasking in the digital age</w:t>
      </w:r>
      <w:r>
        <w:rPr>
          <w:rFonts w:hint="eastAsia"/>
        </w:rPr>
        <w:t>’</w:t>
      </w:r>
      <w:r>
        <w:rPr>
          <w:rFonts w:hint="eastAsia"/>
        </w:rPr>
        <w:t>, Human</w:t>
      </w:r>
      <w:r>
        <w:rPr>
          <w:rFonts w:hint="eastAsia"/>
        </w:rPr>
        <w:t>–</w:t>
      </w:r>
      <w:r>
        <w:rPr>
          <w:rFonts w:hint="eastAsia"/>
        </w:rPr>
        <w:t>Computer Interaction, 37(5), pp. 432</w:t>
      </w:r>
      <w:r>
        <w:rPr>
          <w:rFonts w:hint="eastAsia"/>
        </w:rPr>
        <w:t>–</w:t>
      </w:r>
      <w:r>
        <w:rPr>
          <w:rFonts w:hint="eastAsia"/>
        </w:rPr>
        <w:t>450.</w:t>
      </w:r>
    </w:p>
    <w:p w14:paraId="0D6E8F54" w14:textId="77777777" w:rsidR="004922BB" w:rsidRDefault="004922BB" w:rsidP="004922BB">
      <w:pPr>
        <w:rPr>
          <w:rFonts w:hint="eastAsia"/>
        </w:rPr>
      </w:pPr>
    </w:p>
    <w:p w14:paraId="41FA373A" w14:textId="657D3652" w:rsidR="004922BB" w:rsidRPr="004922BB" w:rsidRDefault="004922BB" w:rsidP="004922BB">
      <w:r>
        <w:rPr>
          <w:rFonts w:hint="eastAsia"/>
        </w:rPr>
        <w:t>Steel, P. (2010) The procrastination equation: How to stop putting things off and start getting things done. London: HarperCollins.</w:t>
      </w:r>
    </w:p>
    <w:sectPr w:rsidR="004922BB" w:rsidRPr="004922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charset w:val="00"/>
    <w:family w:val="roman"/>
    <w:pitch w:val="default"/>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roman"/>
    <w:pitch w:val="default"/>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2BB"/>
    <w:rsid w:val="00195248"/>
    <w:rsid w:val="004922BB"/>
    <w:rsid w:val="006835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DCFA"/>
  <w15:chartTrackingRefBased/>
  <w15:docId w15:val="{3577906A-29B5-4513-9D0B-A504936F7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2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2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2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2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2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2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2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2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2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2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2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2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2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2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2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2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2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2BB"/>
    <w:rPr>
      <w:rFonts w:eastAsiaTheme="majorEastAsia" w:cstheme="majorBidi"/>
      <w:color w:val="272727" w:themeColor="text1" w:themeTint="D8"/>
    </w:rPr>
  </w:style>
  <w:style w:type="paragraph" w:styleId="Title">
    <w:name w:val="Title"/>
    <w:basedOn w:val="Normal"/>
    <w:next w:val="Normal"/>
    <w:link w:val="TitleChar"/>
    <w:uiPriority w:val="10"/>
    <w:qFormat/>
    <w:rsid w:val="004922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2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2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2BB"/>
    <w:pPr>
      <w:spacing w:before="160"/>
      <w:jc w:val="center"/>
    </w:pPr>
    <w:rPr>
      <w:i/>
      <w:iCs/>
      <w:color w:val="404040" w:themeColor="text1" w:themeTint="BF"/>
    </w:rPr>
  </w:style>
  <w:style w:type="character" w:customStyle="1" w:styleId="QuoteChar">
    <w:name w:val="Quote Char"/>
    <w:basedOn w:val="DefaultParagraphFont"/>
    <w:link w:val="Quote"/>
    <w:uiPriority w:val="29"/>
    <w:rsid w:val="004922BB"/>
    <w:rPr>
      <w:i/>
      <w:iCs/>
      <w:color w:val="404040" w:themeColor="text1" w:themeTint="BF"/>
    </w:rPr>
  </w:style>
  <w:style w:type="paragraph" w:styleId="ListParagraph">
    <w:name w:val="List Paragraph"/>
    <w:basedOn w:val="Normal"/>
    <w:uiPriority w:val="34"/>
    <w:qFormat/>
    <w:rsid w:val="004922BB"/>
    <w:pPr>
      <w:ind w:left="720"/>
      <w:contextualSpacing/>
    </w:pPr>
  </w:style>
  <w:style w:type="character" w:styleId="IntenseEmphasis">
    <w:name w:val="Intense Emphasis"/>
    <w:basedOn w:val="DefaultParagraphFont"/>
    <w:uiPriority w:val="21"/>
    <w:qFormat/>
    <w:rsid w:val="004922BB"/>
    <w:rPr>
      <w:i/>
      <w:iCs/>
      <w:color w:val="0F4761" w:themeColor="accent1" w:themeShade="BF"/>
    </w:rPr>
  </w:style>
  <w:style w:type="paragraph" w:styleId="IntenseQuote">
    <w:name w:val="Intense Quote"/>
    <w:basedOn w:val="Normal"/>
    <w:next w:val="Normal"/>
    <w:link w:val="IntenseQuoteChar"/>
    <w:uiPriority w:val="30"/>
    <w:qFormat/>
    <w:rsid w:val="004922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2BB"/>
    <w:rPr>
      <w:i/>
      <w:iCs/>
      <w:color w:val="0F4761" w:themeColor="accent1" w:themeShade="BF"/>
    </w:rPr>
  </w:style>
  <w:style w:type="character" w:styleId="IntenseReference">
    <w:name w:val="Intense Reference"/>
    <w:basedOn w:val="DefaultParagraphFont"/>
    <w:uiPriority w:val="32"/>
    <w:qFormat/>
    <w:rsid w:val="004922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881</Words>
  <Characters>5023</Characters>
  <Application>Microsoft Office Word</Application>
  <DocSecurity>0</DocSecurity>
  <Lines>41</Lines>
  <Paragraphs>11</Paragraphs>
  <ScaleCrop>false</ScaleCrop>
  <Company/>
  <LinksUpToDate>false</LinksUpToDate>
  <CharactersWithSpaces>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 Anson (2439281)</dc:creator>
  <cp:keywords/>
  <dc:description/>
  <cp:lastModifiedBy>Tyler Anson (2439281)</cp:lastModifiedBy>
  <cp:revision>1</cp:revision>
  <dcterms:created xsi:type="dcterms:W3CDTF">2025-10-16T20:06:00Z</dcterms:created>
  <dcterms:modified xsi:type="dcterms:W3CDTF">2025-10-16T20:13:00Z</dcterms:modified>
</cp:coreProperties>
</file>