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eastAsiaTheme="minorHAnsi"/>
          <w:color w:val="5B9BD5" w:themeColor="accent1"/>
          <w:lang w:val="en-GB"/>
          <w14:textFill>
            <w14:solidFill>
              <w14:schemeClr w14:val="accent1"/>
            </w14:solidFill>
          </w14:textFill>
        </w:rPr>
        <w:id w:val="-1522475554"/>
        <w:docPartObj>
          <w:docPartGallery w:val="autotext"/>
        </w:docPartObj>
      </w:sdtPr>
      <w:sdtEndPr>
        <w:rPr>
          <w:rFonts w:eastAsiaTheme="minorHAnsi"/>
          <w:color w:val="auto"/>
          <w:lang w:val="en-GB"/>
        </w:rPr>
      </w:sdtEndPr>
      <w:sdtContent>
        <w:p>
          <w:pPr>
            <w:pStyle w:val="14"/>
            <w:spacing w:before="1540" w:after="24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w:drawing>
              <wp:inline distT="0" distB="0" distL="0" distR="0">
                <wp:extent cx="1417320" cy="75057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pPr>
            <w:pStyle w:val="14"/>
            <w:pBdr>
              <w:top w:val="single" w:color="5B9BD5" w:themeColor="accent1" w:sz="6" w:space="6"/>
              <w:bottom w:val="single" w:color="5B9BD5" w:themeColor="accent1" w:sz="6" w:space="6"/>
            </w:pBdr>
            <w:spacing w:after="240"/>
            <w:jc w:val="center"/>
            <w:rPr>
              <w:rFonts w:asciiTheme="majorHAnsi" w:hAnsiTheme="majorHAnsi" w:eastAsiaTheme="majorEastAsia" w:cstheme="majorBidi"/>
              <w:caps/>
              <w:color w:val="5B9BD5" w:themeColor="accent1"/>
              <w:sz w:val="80"/>
              <w:szCs w:val="80"/>
              <w14:textFill>
                <w14:solidFill>
                  <w14:schemeClr w14:val="accent1"/>
                </w14:solidFill>
              </w14:textFill>
            </w:rPr>
          </w:pPr>
          <w:r>
            <w:rPr>
              <w:rFonts w:hint="eastAsia" w:asciiTheme="majorHAnsi" w:hAnsiTheme="majorHAnsi" w:eastAsiaTheme="majorEastAsia" w:cstheme="majorBidi"/>
              <w:caps/>
              <w:color w:val="5B9BD5" w:themeColor="accent1"/>
              <w:sz w:val="72"/>
              <w:szCs w:val="72"/>
              <w14:textFill>
                <w14:solidFill>
                  <w14:schemeClr w14:val="accent1"/>
                </w14:solidFill>
              </w14:textFill>
            </w:rPr>
            <w:t>Portal Fabrication Plc  and Troy Brands</w:t>
          </w:r>
        </w:p>
        <w:sdt>
          <w:sdtPr>
            <w:rPr>
              <w:color w:val="5B9BD5" w:themeColor="accent1"/>
              <w:sz w:val="28"/>
              <w:szCs w:val="28"/>
              <w14:textFill>
                <w14:solidFill>
                  <w14:schemeClr w14:val="accent1"/>
                </w14:solidFill>
              </w14:textFill>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rPr>
              <w:color w:val="5B9BD5" w:themeColor="accent1"/>
              <w:sz w:val="28"/>
              <w:szCs w:val="28"/>
              <w14:textFill>
                <w14:solidFill>
                  <w14:schemeClr w14:val="accent1"/>
                </w14:solidFill>
              </w14:textFill>
            </w:rPr>
          </w:sdtEndPr>
          <w:sdtContent>
            <w:p>
              <w:pPr>
                <w:pStyle w:val="14"/>
                <w:jc w:val="center"/>
                <w:rPr>
                  <w:color w:val="5B9BD5" w:themeColor="accent1"/>
                  <w:sz w:val="28"/>
                  <w:szCs w:val="28"/>
                  <w14:textFill>
                    <w14:solidFill>
                      <w14:schemeClr w14:val="accent1"/>
                    </w14:solidFill>
                  </w14:textFill>
                </w:rPr>
              </w:pPr>
            </w:p>
          </w:sdtContent>
        </w:sdt>
        <w:p>
          <w:pPr>
            <w:pStyle w:val="14"/>
            <w:spacing w:before="480"/>
            <w:jc w:val="center"/>
            <w:rPr>
              <w:color w:val="5B9BD5" w:themeColor="accent1"/>
              <w14:textFill>
                <w14:solidFill>
                  <w14:schemeClr w14:val="accent1"/>
                </w14:solidFill>
              </w14:textFill>
            </w:rPr>
          </w:pPr>
          <w:r>
            <w:rPr>
              <w:color w:val="5B9BD5" w:themeColor="accent1"/>
              <w:lang w:val="en-GB" w:eastAsia="en-GB"/>
              <w14:textFill>
                <w14:solidFill>
                  <w14:schemeClr w14:val="accent1"/>
                </w14:solidFill>
              </w14:textFill>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5-09T00:00:00Z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hint="eastAsia" w:cstheme="minorBidi"/>
                                        <w:caps/>
                                        <w:color w:val="5B9BD5" w:themeColor="accent1"/>
                                        <w:sz w:val="28"/>
                                        <w:szCs w:val="28"/>
                                        <w:lang w:val="en-US" w:eastAsia="zh-CN" w:bidi="ar-SA"/>
                                        <w14:textFill>
                                          <w14:solidFill>
                                            <w14:schemeClr w14:val="accent1"/>
                                          </w14:solidFill>
                                        </w14:textFill>
                                      </w:rPr>
                                      <w:t>May 9, 2023</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wps:txbx>
                          <wps:bodyPr rot="0" spcFirstLastPara="0" vertOverflow="overflow" horzOverflow="overflow" vert="horz" wrap="square" lIns="0" tIns="0" rIns="0" bIns="0" numCol="1" spcCol="0" rtlCol="0" fromWordArt="0" anchor="b" anchorCtr="0" forceAA="0" compatLnSpc="1">
                            <a:spAutoFit/>
                          </wps:bodyPr>
                        </wps:wsp>
                      </a:graphicData>
                    </a:graphic>
                    <wp14:sizeRelH relativeFrom="margin">
                      <wp14:pctWidth>100000</wp14:pctWidth>
                    </wp14:sizeRelH>
                    <wp14:sizeRelV relativeFrom="page">
                      <wp14:pctHeight>0</wp14:pctHeight>
                    </wp14:sizeRelV>
                  </wp:anchor>
                </w:drawing>
              </mc:Choice>
              <mc:Fallback>
                <w:pict>
                  <v:shape id="Text Box 142" o:spid="_x0000_s1026" o:spt="202" type="#_x0000_t202" style="position:absolute;left:0pt;margin-left:72pt;margin-top:715.6pt;height:46.45pt;width:451.3pt;mso-position-horizontal-relative:page;mso-position-vertical-relative:page;z-index:251659264;v-text-anchor:bottom;mso-width-relative:margin;mso-height-relative:page;mso-width-percent:1000;" filled="f" stroked="f" coordsize="21600,21600" o:gfxdata="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MIHEjWAAAABAEAAA8AAAAAAAAAAQAgAAAAIgAAAGRycy9kb3ducmV2LnhtbFBLAQIUABQA&#10;AAAIAIdO4kBmP0cWKwIAAGcEAAAOAAAAAAAAAAEAIAAAACUBAABkcnMvZTJvRG9jLnhtbFBLBQYA&#10;AAAABgAGAFkBAADCBQAAAAA=&#10;">
                    <v:fill on="f" focussize="0,0"/>
                    <v:stroke on="f" weight="0.5pt"/>
                    <v:imagedata o:title=""/>
                    <o:lock v:ext="edit" aspectratio="f"/>
                    <v:textbox inset="0mm,0mm,0mm,0mm" style="mso-fit-shape-to-text:t;">
                      <w:txbxContent>
                        <w:sdt>
                          <w:sdtPr>
                            <w:rPr>
                              <w:caps/>
                              <w:color w:val="5B9BD5" w:themeColor="accent1"/>
                              <w:sz w:val="28"/>
                              <w:szCs w:val="28"/>
                              <w14:textFill>
                                <w14:solidFill>
                                  <w14:schemeClr w14:val="accent1"/>
                                </w14:solidFill>
                              </w14:textFill>
                            </w:rPr>
                            <w:alias w:val="Date"/>
                            <w:id w:val="197127006"/>
                            <w:dataBinding w:prefixMappings="xmlns:ns0='http://schemas.microsoft.com/office/2006/coverPageProps' " w:xpath="/ns0:CoverPageProperties[1]/ns0:PublishDate[1]" w:storeItemID="{55AF091B-3C7A-41E3-B477-F2FDAA23CFDA}"/>
                            <w:date w:fullDate="2023-05-09T00:00:00ZZ">
                              <w:dateFormat w:val="MMMM d, yyyy"/>
                              <w:lid w:val="en-US"/>
                              <w:storeMappedDataAs w:val="datetime"/>
                              <w:calendar w:val="gregorian"/>
                            </w:date>
                          </w:sdtPr>
                          <w:sdtEndPr>
                            <w:rPr>
                              <w:caps/>
                              <w:color w:val="5B9BD5" w:themeColor="accent1"/>
                              <w:sz w:val="28"/>
                              <w:szCs w:val="28"/>
                              <w14:textFill>
                                <w14:solidFill>
                                  <w14:schemeClr w14:val="accent1"/>
                                </w14:solidFill>
                              </w14:textFill>
                            </w:rPr>
                          </w:sdtEndPr>
                          <w:sdtContent>
                            <w:p>
                              <w:pPr>
                                <w:pStyle w:val="14"/>
                                <w:spacing w:after="40"/>
                                <w:jc w:val="center"/>
                                <w:rPr>
                                  <w:caps/>
                                  <w:color w:val="5B9BD5" w:themeColor="accent1"/>
                                  <w:sz w:val="28"/>
                                  <w:szCs w:val="28"/>
                                  <w14:textFill>
                                    <w14:solidFill>
                                      <w14:schemeClr w14:val="accent1"/>
                                    </w14:solidFill>
                                  </w14:textFill>
                                </w:rPr>
                              </w:pPr>
                              <w:r>
                                <w:rPr>
                                  <w:rFonts w:hint="eastAsia" w:cstheme="minorBidi"/>
                                  <w:caps/>
                                  <w:color w:val="5B9BD5" w:themeColor="accent1"/>
                                  <w:sz w:val="28"/>
                                  <w:szCs w:val="28"/>
                                  <w:lang w:val="en-US" w:eastAsia="zh-CN" w:bidi="ar-SA"/>
                                  <w14:textFill>
                                    <w14:solidFill>
                                      <w14:schemeClr w14:val="accent1"/>
                                    </w14:solidFill>
                                  </w14:textFill>
                                </w:rPr>
                                <w:t>May 9, 2023</w:t>
                              </w:r>
                            </w:p>
                          </w:sdtContent>
                        </w:sdt>
                        <w:p>
                          <w:pPr>
                            <w:pStyle w:val="14"/>
                            <w:jc w:val="center"/>
                            <w:rPr>
                              <w:color w:val="5B9BD5" w:themeColor="accent1"/>
                              <w14:textFill>
                                <w14:solidFill>
                                  <w14:schemeClr w14:val="accent1"/>
                                </w14:solidFill>
                              </w14:textFill>
                            </w:rPr>
                          </w:pPr>
                          <w:sdt>
                            <w:sdtPr>
                              <w:rPr>
                                <w:caps/>
                                <w:color w:val="5B9BD5" w:themeColor="accent1"/>
                                <w14:textFill>
                                  <w14:solidFill>
                                    <w14:schemeClr w14:val="accent1"/>
                                  </w14:solidFill>
                                </w14:textFill>
                              </w:rPr>
                              <w:alias w:val="Company"/>
                              <w:id w:val="1390145197"/>
                              <w:dataBinding w:prefixMappings="xmlns:ns0='http://schemas.openxmlformats.org/officeDocument/2006/extended-properties' " w:xpath="/ns0:Properties[1]/ns0:Company[1]" w:storeItemID="{6668398D-A668-4E3E-A5EB-62B293D839F1}"/>
                              <w:text/>
                            </w:sdtPr>
                            <w:sdtEndPr>
                              <w:rPr>
                                <w:caps/>
                                <w:color w:val="5B9BD5" w:themeColor="accent1"/>
                                <w14:textFill>
                                  <w14:solidFill>
                                    <w14:schemeClr w14:val="accent1"/>
                                  </w14:solidFill>
                                </w14:textFill>
                              </w:rPr>
                            </w:sdtEndPr>
                            <w:sdtContent>
                              <w:r>
                                <w:rPr>
                                  <w:caps/>
                                  <w:color w:val="5B9BD5" w:themeColor="accent1"/>
                                  <w:lang w:val="en-GB"/>
                                  <w14:textFill>
                                    <w14:solidFill>
                                      <w14:schemeClr w14:val="accent1"/>
                                    </w14:solidFill>
                                  </w14:textFill>
                                </w:rPr>
                                <w:t>University of Wales Trinity Saint David</w:t>
                              </w:r>
                            </w:sdtContent>
                          </w:sdt>
                        </w:p>
                        <w:p>
                          <w:pPr>
                            <w:pStyle w:val="14"/>
                            <w:jc w:val="center"/>
                            <w:rPr>
                              <w:color w:val="5B9BD5" w:themeColor="accent1"/>
                              <w14:textFill>
                                <w14:solidFill>
                                  <w14:schemeClr w14:val="accent1"/>
                                </w14:solidFill>
                              </w14:textFill>
                            </w:rPr>
                          </w:pPr>
                          <w:sdt>
                            <w:sdtPr>
                              <w:rPr>
                                <w:color w:val="5B9BD5" w:themeColor="accent1"/>
                                <w14:textFill>
                                  <w14:solidFill>
                                    <w14:schemeClr w14:val="accent1"/>
                                  </w14:solidFill>
                                </w14:textFill>
                              </w:rPr>
                              <w:alias w:val="Address"/>
                              <w:id w:val="-726379553"/>
                              <w:showingPlcHdr/>
                              <w:dataBinding w:prefixMappings="xmlns:ns0='http://schemas.microsoft.com/office/2006/coverPageProps' " w:xpath="/ns0:CoverPageProperties[1]/ns0:CompanyAddress[1]" w:storeItemID="{55AF091B-3C7A-41E3-B477-F2FDAA23CFDA}"/>
                              <w:text/>
                            </w:sdtPr>
                            <w:sdtEndPr>
                              <w:rPr>
                                <w:color w:val="5B9BD5" w:themeColor="accent1"/>
                                <w14:textFill>
                                  <w14:solidFill>
                                    <w14:schemeClr w14:val="accent1"/>
                                  </w14:solidFill>
                                </w14:textFill>
                              </w:rPr>
                            </w:sdtEndPr>
                            <w:sdtContent>
                              <w:r>
                                <w:rPr>
                                  <w:color w:val="5B9BD5" w:themeColor="accent1"/>
                                  <w14:textFill>
                                    <w14:solidFill>
                                      <w14:schemeClr w14:val="accent1"/>
                                    </w14:solidFill>
                                  </w14:textFill>
                                </w:rPr>
                                <w:t xml:space="preserve">     </w:t>
                              </w:r>
                            </w:sdtContent>
                          </w:sdt>
                        </w:p>
                      </w:txbxContent>
                    </v:textbox>
                  </v:shape>
                </w:pict>
              </mc:Fallback>
            </mc:AlternateContent>
          </w:r>
          <w:r>
            <w:rPr>
              <w:color w:val="5B9BD5" w:themeColor="accent1"/>
              <w:lang w:val="en-GB" w:eastAsia="en-GB"/>
              <w14:textFill>
                <w14:solidFill>
                  <w14:schemeClr w14:val="accent1"/>
                </w14:solidFill>
              </w14:textFill>
            </w:rPr>
            <w:drawing>
              <wp:inline distT="0" distB="0" distL="0" distR="0">
                <wp:extent cx="758825" cy="478790"/>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pPr>
            <w:pStyle w:val="2"/>
          </w:pPr>
          <w:r>
            <w:br w:type="page"/>
          </w:r>
          <w:bookmarkStart w:id="0" w:name="_Toc15171"/>
          <w:r>
            <w:t>Executive Summary</w:t>
          </w:r>
          <w:bookmarkEnd w:id="0"/>
        </w:p>
        <w:p>
          <w:r>
            <w:t>The purpose of this report is to analyse</w:t>
          </w:r>
        </w:p>
        <w:p/>
        <w:p/>
        <w:p/>
        <w:p/>
        <w:p/>
        <w:p/>
        <w:p/>
        <w:p/>
        <w:p/>
        <w:p/>
        <w:p/>
        <w:p/>
        <w:p/>
        <w:p/>
        <w:p/>
        <w:p/>
        <w:p/>
        <w:p/>
        <w:p/>
        <w:p/>
        <w:p/>
        <w:p/>
        <w:sdt>
          <w:sdtPr>
            <w:rPr>
              <w:rFonts w:asciiTheme="minorHAnsi" w:hAnsiTheme="minorHAnsi" w:eastAsiaTheme="minorHAnsi" w:cstheme="minorBidi"/>
              <w:color w:val="auto"/>
              <w:sz w:val="22"/>
              <w:szCs w:val="22"/>
              <w:lang w:val="en-GB"/>
            </w:rPr>
            <w:id w:val="-1297214018"/>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pPr>
                <w:pStyle w:val="17"/>
              </w:pPr>
              <w:r>
                <w:t>Table of Contents</w:t>
              </w:r>
            </w:p>
            <w:p>
              <w:pPr>
                <w:pStyle w:val="8"/>
                <w:tabs>
                  <w:tab w:val="right" w:leader="dot" w:pos="9026"/>
                </w:tabs>
              </w:pPr>
              <w:r>
                <w:fldChar w:fldCharType="begin"/>
              </w:r>
              <w:r>
                <w:instrText xml:space="preserve"> TOC \o "1-3" \h \z \u </w:instrText>
              </w:r>
              <w:r>
                <w:fldChar w:fldCharType="separate"/>
              </w:r>
              <w:r>
                <w:fldChar w:fldCharType="begin"/>
              </w:r>
              <w:r>
                <w:instrText xml:space="preserve"> HYPERLINK \l _Toc15171 </w:instrText>
              </w:r>
              <w:r>
                <w:fldChar w:fldCharType="separate"/>
              </w:r>
              <w:r>
                <w:t>Executive Summary</w:t>
              </w:r>
              <w:r>
                <w:tab/>
              </w:r>
              <w:r>
                <w:fldChar w:fldCharType="begin"/>
              </w:r>
              <w:r>
                <w:instrText xml:space="preserve"> PAGEREF _Toc15171 \h </w:instrText>
              </w:r>
              <w:r>
                <w:fldChar w:fldCharType="separate"/>
              </w:r>
              <w:r>
                <w:t>1</w:t>
              </w:r>
              <w:r>
                <w:fldChar w:fldCharType="end"/>
              </w:r>
              <w:r>
                <w:fldChar w:fldCharType="end"/>
              </w:r>
            </w:p>
            <w:p>
              <w:pPr>
                <w:pStyle w:val="8"/>
                <w:tabs>
                  <w:tab w:val="right" w:leader="dot" w:pos="9026"/>
                </w:tabs>
              </w:pPr>
              <w:r>
                <w:rPr>
                  <w:bCs/>
                </w:rPr>
                <w:fldChar w:fldCharType="begin"/>
              </w:r>
              <w:r>
                <w:rPr>
                  <w:bCs/>
                </w:rPr>
                <w:instrText xml:space="preserve"> HYPERLINK \l _Toc6442 </w:instrText>
              </w:r>
              <w:r>
                <w:rPr>
                  <w:bCs/>
                </w:rPr>
                <w:fldChar w:fldCharType="separate"/>
              </w:r>
              <w:r>
                <w:t>Introduction</w:t>
              </w:r>
              <w:r>
                <w:tab/>
              </w:r>
              <w:r>
                <w:fldChar w:fldCharType="begin"/>
              </w:r>
              <w:r>
                <w:instrText xml:space="preserve"> PAGEREF _Toc6442 \h </w:instrText>
              </w:r>
              <w:r>
                <w:fldChar w:fldCharType="separate"/>
              </w:r>
              <w:r>
                <w:t>3</w:t>
              </w:r>
              <w:r>
                <w:fldChar w:fldCharType="end"/>
              </w:r>
              <w:r>
                <w:rPr>
                  <w:bCs/>
                </w:rPr>
                <w:fldChar w:fldCharType="end"/>
              </w:r>
            </w:p>
            <w:p>
              <w:pPr>
                <w:pStyle w:val="8"/>
                <w:tabs>
                  <w:tab w:val="right" w:leader="dot" w:pos="9026"/>
                </w:tabs>
              </w:pPr>
              <w:r>
                <w:rPr>
                  <w:bCs/>
                </w:rPr>
                <w:fldChar w:fldCharType="begin"/>
              </w:r>
              <w:r>
                <w:rPr>
                  <w:bCs/>
                </w:rPr>
                <w:instrText xml:space="preserve"> HYPERLINK \l _Toc8257 </w:instrText>
              </w:r>
              <w:r>
                <w:rPr>
                  <w:bCs/>
                </w:rPr>
                <w:fldChar w:fldCharType="separate"/>
              </w:r>
              <w:r>
                <w:t>Main Findings</w:t>
              </w:r>
              <w:r>
                <w:tab/>
              </w:r>
              <w:r>
                <w:fldChar w:fldCharType="begin"/>
              </w:r>
              <w:r>
                <w:instrText xml:space="preserve"> PAGEREF _Toc8257 \h </w:instrText>
              </w:r>
              <w:r>
                <w:fldChar w:fldCharType="separate"/>
              </w:r>
              <w:r>
                <w:t>4</w:t>
              </w:r>
              <w:r>
                <w:fldChar w:fldCharType="end"/>
              </w:r>
              <w:r>
                <w:rPr>
                  <w:bCs/>
                </w:rPr>
                <w:fldChar w:fldCharType="end"/>
              </w:r>
            </w:p>
            <w:p>
              <w:pPr>
                <w:pStyle w:val="9"/>
                <w:tabs>
                  <w:tab w:val="right" w:leader="dot" w:pos="9026"/>
                </w:tabs>
              </w:pPr>
              <w:r>
                <w:rPr>
                  <w:bCs/>
                </w:rPr>
                <w:fldChar w:fldCharType="begin"/>
              </w:r>
              <w:r>
                <w:rPr>
                  <w:bCs/>
                </w:rPr>
                <w:instrText xml:space="preserve"> HYPERLINK \l _Toc7302 </w:instrText>
              </w:r>
              <w:r>
                <w:rPr>
                  <w:bCs/>
                </w:rPr>
                <w:fldChar w:fldCharType="separate"/>
              </w:r>
              <w:r>
                <w:t>Task 1 – Portal Fabrication PLC</w:t>
              </w:r>
              <w:r>
                <w:tab/>
              </w:r>
              <w:r>
                <w:fldChar w:fldCharType="begin"/>
              </w:r>
              <w:r>
                <w:instrText xml:space="preserve"> PAGEREF _Toc7302 \h </w:instrText>
              </w:r>
              <w:r>
                <w:fldChar w:fldCharType="separate"/>
              </w:r>
              <w:r>
                <w:t>4</w:t>
              </w:r>
              <w:r>
                <w:fldChar w:fldCharType="end"/>
              </w:r>
              <w:r>
                <w:rPr>
                  <w:bCs/>
                </w:rPr>
                <w:fldChar w:fldCharType="end"/>
              </w:r>
            </w:p>
            <w:p>
              <w:pPr>
                <w:pStyle w:val="7"/>
                <w:tabs>
                  <w:tab w:val="right" w:leader="dot" w:pos="9026"/>
                </w:tabs>
              </w:pPr>
              <w:r>
                <w:rPr>
                  <w:bCs/>
                </w:rPr>
                <w:fldChar w:fldCharType="begin"/>
              </w:r>
              <w:r>
                <w:rPr>
                  <w:bCs/>
                </w:rPr>
                <w:instrText xml:space="preserve"> HYPERLINK \l _Toc22342 </w:instrText>
              </w:r>
              <w:r>
                <w:rPr>
                  <w:bCs/>
                </w:rPr>
                <w:fldChar w:fldCharType="separate"/>
              </w:r>
              <w:r>
                <w:rPr>
                  <w:rFonts w:hint="default"/>
                  <w:lang w:val="en-US" w:eastAsia="zh-CN"/>
                </w:rPr>
                <w:t xml:space="preserve">1. </w:t>
              </w:r>
              <w:r>
                <w:rPr>
                  <w:rFonts w:hint="eastAsia"/>
                  <w:lang w:val="en-US" w:eastAsia="zh-CN"/>
                </w:rPr>
                <w:t xml:space="preserve">Evaluation of </w:t>
              </w:r>
              <w:r>
                <w:t xml:space="preserve">divisional performance </w:t>
              </w:r>
              <w:r>
                <w:rPr>
                  <w:rFonts w:hint="eastAsia"/>
                  <w:lang w:val="en-US" w:eastAsia="zh-CN"/>
                </w:rPr>
                <w:t>at the company</w:t>
              </w:r>
              <w:r>
                <w:tab/>
              </w:r>
              <w:r>
                <w:fldChar w:fldCharType="begin"/>
              </w:r>
              <w:r>
                <w:instrText xml:space="preserve"> PAGEREF _Toc22342 \h </w:instrText>
              </w:r>
              <w:r>
                <w:fldChar w:fldCharType="separate"/>
              </w:r>
              <w:r>
                <w:t>4</w:t>
              </w:r>
              <w:r>
                <w:fldChar w:fldCharType="end"/>
              </w:r>
              <w:r>
                <w:rPr>
                  <w:bCs/>
                </w:rPr>
                <w:fldChar w:fldCharType="end"/>
              </w:r>
            </w:p>
            <w:p>
              <w:pPr>
                <w:pStyle w:val="7"/>
                <w:tabs>
                  <w:tab w:val="right" w:leader="dot" w:pos="9026"/>
                </w:tabs>
              </w:pPr>
              <w:r>
                <w:rPr>
                  <w:bCs/>
                </w:rPr>
                <w:fldChar w:fldCharType="begin"/>
              </w:r>
              <w:r>
                <w:rPr>
                  <w:bCs/>
                </w:rPr>
                <w:instrText xml:space="preserve"> HYPERLINK \l _Toc11213 </w:instrText>
              </w:r>
              <w:r>
                <w:rPr>
                  <w:bCs/>
                </w:rPr>
                <w:fldChar w:fldCharType="separate"/>
              </w:r>
              <w:r>
                <w:rPr>
                  <w:bCs/>
                  <w:szCs w:val="24"/>
                </w:rPr>
                <w:t xml:space="preserve">2. </w:t>
              </w:r>
              <w:r>
                <w:rPr>
                  <w:rFonts w:hint="eastAsia" w:eastAsia="宋体"/>
                  <w:bCs/>
                  <w:szCs w:val="24"/>
                  <w:lang w:val="en-US" w:eastAsia="zh-CN"/>
                </w:rPr>
                <w:t>Discussion about t</w:t>
              </w:r>
              <w:r>
                <w:rPr>
                  <w:bCs/>
                  <w:szCs w:val="24"/>
                </w:rPr>
                <w:t>he proposed measures</w:t>
              </w:r>
              <w:r>
                <w:tab/>
              </w:r>
              <w:r>
                <w:fldChar w:fldCharType="begin"/>
              </w:r>
              <w:r>
                <w:instrText xml:space="preserve"> PAGEREF _Toc11213 \h </w:instrText>
              </w:r>
              <w:r>
                <w:fldChar w:fldCharType="separate"/>
              </w:r>
              <w:r>
                <w:t>6</w:t>
              </w:r>
              <w:r>
                <w:fldChar w:fldCharType="end"/>
              </w:r>
              <w:r>
                <w:rPr>
                  <w:bCs/>
                </w:rPr>
                <w:fldChar w:fldCharType="end"/>
              </w:r>
            </w:p>
            <w:p>
              <w:pPr>
                <w:pStyle w:val="7"/>
                <w:tabs>
                  <w:tab w:val="right" w:leader="dot" w:pos="9026"/>
                </w:tabs>
              </w:pPr>
              <w:r>
                <w:rPr>
                  <w:bCs/>
                </w:rPr>
                <w:fldChar w:fldCharType="begin"/>
              </w:r>
              <w:r>
                <w:rPr>
                  <w:bCs/>
                </w:rPr>
                <w:instrText xml:space="preserve"> HYPERLINK \l _Toc9621 </w:instrText>
              </w:r>
              <w:r>
                <w:rPr>
                  <w:bCs/>
                </w:rPr>
                <w:fldChar w:fldCharType="separate"/>
              </w:r>
              <w:r>
                <w:t>3. the criteria for designing a transfer pricing system</w:t>
              </w:r>
              <w:r>
                <w:tab/>
              </w:r>
              <w:r>
                <w:fldChar w:fldCharType="begin"/>
              </w:r>
              <w:r>
                <w:instrText xml:space="preserve"> PAGEREF _Toc9621 \h </w:instrText>
              </w:r>
              <w:r>
                <w:fldChar w:fldCharType="separate"/>
              </w:r>
              <w:r>
                <w:t>7</w:t>
              </w:r>
              <w:r>
                <w:fldChar w:fldCharType="end"/>
              </w:r>
              <w:r>
                <w:rPr>
                  <w:bCs/>
                </w:rPr>
                <w:fldChar w:fldCharType="end"/>
              </w:r>
            </w:p>
            <w:p>
              <w:pPr>
                <w:pStyle w:val="7"/>
                <w:tabs>
                  <w:tab w:val="right" w:leader="dot" w:pos="9026"/>
                </w:tabs>
              </w:pPr>
              <w:r>
                <w:rPr>
                  <w:bCs/>
                </w:rPr>
                <w:fldChar w:fldCharType="begin"/>
              </w:r>
              <w:r>
                <w:rPr>
                  <w:bCs/>
                </w:rPr>
                <w:instrText xml:space="preserve"> HYPERLINK \l _Toc274 </w:instrText>
              </w:r>
              <w:r>
                <w:rPr>
                  <w:bCs/>
                </w:rPr>
                <w:fldChar w:fldCharType="separate"/>
              </w:r>
              <w:r>
                <w:rPr>
                  <w:rFonts w:hint="eastAsia"/>
                  <w:bCs/>
                  <w:lang w:val="en-US" w:eastAsia="zh-CN"/>
                </w:rPr>
                <w:t>4.</w:t>
              </w:r>
              <w:r>
                <w:rPr>
                  <w:bCs/>
                  <w:szCs w:val="24"/>
                </w:rPr>
                <w:t xml:space="preserve"> </w:t>
              </w:r>
              <w:r>
                <w:rPr>
                  <w:rFonts w:hint="eastAsia"/>
                  <w:bCs/>
                  <w:szCs w:val="24"/>
                  <w:lang w:val="en-US" w:eastAsia="zh-CN"/>
                </w:rPr>
                <w:t>T</w:t>
              </w:r>
              <w:r>
                <w:rPr>
                  <w:bCs/>
                  <w:szCs w:val="24"/>
                </w:rPr>
                <w:t xml:space="preserve">ransfer </w:t>
              </w:r>
              <w:r>
                <w:rPr>
                  <w:rFonts w:hint="eastAsia"/>
                  <w:bCs/>
                  <w:szCs w:val="24"/>
                  <w:lang w:val="en-US" w:eastAsia="zh-CN"/>
                </w:rPr>
                <w:t>P</w:t>
              </w:r>
              <w:r>
                <w:rPr>
                  <w:bCs/>
                  <w:szCs w:val="24"/>
                </w:rPr>
                <w:t xml:space="preserve">rice </w:t>
              </w:r>
              <w:r>
                <w:rPr>
                  <w:rFonts w:hint="eastAsia"/>
                  <w:bCs/>
                  <w:szCs w:val="24"/>
                  <w:lang w:val="en-US" w:eastAsia="zh-CN"/>
                </w:rPr>
                <w:t>B</w:t>
              </w:r>
              <w:r>
                <w:rPr>
                  <w:bCs/>
                  <w:szCs w:val="24"/>
                </w:rPr>
                <w:t xml:space="preserve">etween </w:t>
              </w:r>
              <w:r>
                <w:rPr>
                  <w:rFonts w:hint="eastAsia"/>
                  <w:bCs/>
                  <w:szCs w:val="24"/>
                  <w:lang w:val="en-US" w:eastAsia="zh-CN"/>
                </w:rPr>
                <w:t>T</w:t>
              </w:r>
              <w:r>
                <w:rPr>
                  <w:bCs/>
                  <w:szCs w:val="24"/>
                </w:rPr>
                <w:t xml:space="preserve">he </w:t>
              </w:r>
              <w:r>
                <w:rPr>
                  <w:rFonts w:hint="eastAsia"/>
                  <w:bCs/>
                  <w:szCs w:val="24"/>
                  <w:lang w:val="en-US" w:eastAsia="zh-CN"/>
                </w:rPr>
                <w:t>S</w:t>
              </w:r>
              <w:r>
                <w:rPr>
                  <w:bCs/>
                  <w:szCs w:val="24"/>
                </w:rPr>
                <w:t xml:space="preserve">ervice and M/S </w:t>
              </w:r>
              <w:r>
                <w:rPr>
                  <w:rFonts w:hint="eastAsia"/>
                  <w:bCs/>
                  <w:szCs w:val="24"/>
                  <w:lang w:val="en-US" w:eastAsia="zh-CN"/>
                </w:rPr>
                <w:t>D</w:t>
              </w:r>
              <w:r>
                <w:rPr>
                  <w:bCs/>
                  <w:szCs w:val="24"/>
                </w:rPr>
                <w:t>ivisions</w:t>
              </w:r>
              <w:r>
                <w:tab/>
              </w:r>
              <w:r>
                <w:fldChar w:fldCharType="begin"/>
              </w:r>
              <w:r>
                <w:instrText xml:space="preserve"> PAGEREF _Toc274 \h </w:instrText>
              </w:r>
              <w:r>
                <w:fldChar w:fldCharType="separate"/>
              </w:r>
              <w:r>
                <w:t>7</w:t>
              </w:r>
              <w:r>
                <w:fldChar w:fldCharType="end"/>
              </w:r>
              <w:r>
                <w:rPr>
                  <w:bCs/>
                </w:rPr>
                <w:fldChar w:fldCharType="end"/>
              </w:r>
            </w:p>
            <w:p>
              <w:pPr>
                <w:pStyle w:val="7"/>
                <w:tabs>
                  <w:tab w:val="right" w:leader="dot" w:pos="9026"/>
                </w:tabs>
              </w:pPr>
              <w:r>
                <w:rPr>
                  <w:bCs/>
                </w:rPr>
                <w:fldChar w:fldCharType="begin"/>
              </w:r>
              <w:r>
                <w:rPr>
                  <w:bCs/>
                </w:rPr>
                <w:instrText xml:space="preserve"> HYPERLINK \l _Toc18256 </w:instrText>
              </w:r>
              <w:r>
                <w:rPr>
                  <w:bCs/>
                </w:rPr>
                <w:fldChar w:fldCharType="separate"/>
              </w:r>
              <w:r>
                <w:rPr>
                  <w:rFonts w:hint="eastAsia"/>
                  <w:bCs/>
                  <w:szCs w:val="24"/>
                  <w:lang w:val="en-US" w:eastAsia="zh-CN"/>
                </w:rPr>
                <w:t>5.</w:t>
              </w:r>
              <w:r>
                <w:rPr>
                  <w:bCs/>
                  <w:szCs w:val="24"/>
                </w:rPr>
                <w:t xml:space="preserve"> </w:t>
              </w:r>
              <w:r>
                <w:rPr>
                  <w:rFonts w:hint="eastAsia"/>
                  <w:bCs/>
                  <w:szCs w:val="24"/>
                  <w:lang w:val="en-US" w:eastAsia="zh-CN"/>
                </w:rPr>
                <w:t>T</w:t>
              </w:r>
              <w:r>
                <w:rPr>
                  <w:bCs/>
                  <w:szCs w:val="24"/>
                </w:rPr>
                <w:t xml:space="preserve">he </w:t>
              </w:r>
              <w:r>
                <w:rPr>
                  <w:rFonts w:hint="eastAsia"/>
                  <w:bCs/>
                  <w:szCs w:val="24"/>
                  <w:lang w:val="en-US" w:eastAsia="zh-CN"/>
                </w:rPr>
                <w:t>P</w:t>
              </w:r>
              <w:r>
                <w:rPr>
                  <w:bCs/>
                  <w:szCs w:val="24"/>
                </w:rPr>
                <w:t xml:space="preserve">otential </w:t>
              </w:r>
              <w:r>
                <w:rPr>
                  <w:rFonts w:hint="eastAsia"/>
                  <w:bCs/>
                  <w:szCs w:val="24"/>
                  <w:lang w:val="en-US" w:eastAsia="zh-CN"/>
                </w:rPr>
                <w:t>I</w:t>
              </w:r>
              <w:r>
                <w:rPr>
                  <w:bCs/>
                  <w:szCs w:val="24"/>
                </w:rPr>
                <w:t xml:space="preserve">mpact </w:t>
              </w:r>
              <w:r>
                <w:rPr>
                  <w:rFonts w:hint="eastAsia"/>
                  <w:bCs/>
                  <w:szCs w:val="24"/>
                  <w:lang w:val="en-US" w:eastAsia="zh-CN"/>
                </w:rPr>
                <w:t>O</w:t>
              </w:r>
              <w:r>
                <w:rPr>
                  <w:bCs/>
                  <w:szCs w:val="24"/>
                </w:rPr>
                <w:t xml:space="preserve">f </w:t>
              </w:r>
              <w:r>
                <w:rPr>
                  <w:rFonts w:hint="eastAsia"/>
                  <w:bCs/>
                  <w:szCs w:val="24"/>
                  <w:lang w:val="en-US" w:eastAsia="zh-CN"/>
                </w:rPr>
                <w:t>T</w:t>
              </w:r>
              <w:r>
                <w:rPr>
                  <w:bCs/>
                  <w:szCs w:val="24"/>
                </w:rPr>
                <w:t>he</w:t>
              </w:r>
              <w:r>
                <w:rPr>
                  <w:rFonts w:hint="eastAsia" w:eastAsia="宋体"/>
                  <w:bCs/>
                  <w:szCs w:val="24"/>
                  <w:lang w:val="en-US" w:eastAsia="zh-CN"/>
                </w:rPr>
                <w:t xml:space="preserve"> N</w:t>
              </w:r>
              <w:r>
                <w:rPr>
                  <w:bCs/>
                  <w:szCs w:val="24"/>
                </w:rPr>
                <w:t xml:space="preserve">ew </w:t>
              </w:r>
              <w:r>
                <w:rPr>
                  <w:rFonts w:hint="eastAsia"/>
                  <w:bCs/>
                  <w:szCs w:val="24"/>
                  <w:lang w:val="en-US" w:eastAsia="zh-CN"/>
                </w:rPr>
                <w:t>E</w:t>
              </w:r>
              <w:r>
                <w:rPr>
                  <w:bCs/>
                  <w:szCs w:val="24"/>
                </w:rPr>
                <w:t xml:space="preserve">xecutive </w:t>
              </w:r>
              <w:r>
                <w:rPr>
                  <w:rFonts w:hint="eastAsia"/>
                  <w:bCs/>
                  <w:szCs w:val="24"/>
                  <w:lang w:val="en-US" w:eastAsia="zh-CN"/>
                </w:rPr>
                <w:t>I</w:t>
              </w:r>
              <w:r>
                <w:rPr>
                  <w:bCs/>
                  <w:szCs w:val="24"/>
                </w:rPr>
                <w:t xml:space="preserve">nformation </w:t>
              </w:r>
              <w:r>
                <w:rPr>
                  <w:rFonts w:hint="eastAsia"/>
                  <w:bCs/>
                  <w:szCs w:val="24"/>
                  <w:lang w:val="en-US" w:eastAsia="zh-CN"/>
                </w:rPr>
                <w:t>S</w:t>
              </w:r>
              <w:r>
                <w:rPr>
                  <w:bCs/>
                  <w:szCs w:val="24"/>
                </w:rPr>
                <w:t>ystem</w:t>
              </w:r>
              <w:r>
                <w:tab/>
              </w:r>
              <w:r>
                <w:fldChar w:fldCharType="begin"/>
              </w:r>
              <w:r>
                <w:instrText xml:space="preserve"> PAGEREF _Toc18256 \h </w:instrText>
              </w:r>
              <w:r>
                <w:fldChar w:fldCharType="separate"/>
              </w:r>
              <w:r>
                <w:t>8</w:t>
              </w:r>
              <w:r>
                <w:fldChar w:fldCharType="end"/>
              </w:r>
              <w:r>
                <w:rPr>
                  <w:bCs/>
                </w:rPr>
                <w:fldChar w:fldCharType="end"/>
              </w:r>
            </w:p>
            <w:p>
              <w:pPr>
                <w:pStyle w:val="9"/>
                <w:tabs>
                  <w:tab w:val="right" w:leader="dot" w:pos="9026"/>
                </w:tabs>
              </w:pPr>
              <w:r>
                <w:rPr>
                  <w:bCs/>
                </w:rPr>
                <w:fldChar w:fldCharType="begin"/>
              </w:r>
              <w:r>
                <w:rPr>
                  <w:bCs/>
                </w:rPr>
                <w:instrText xml:space="preserve"> HYPERLINK \l _Toc4322 </w:instrText>
              </w:r>
              <w:r>
                <w:rPr>
                  <w:bCs/>
                </w:rPr>
                <w:fldChar w:fldCharType="separate"/>
              </w:r>
              <w:r>
                <w:t>Task 2 – Troy Brands</w:t>
              </w:r>
              <w:r>
                <w:tab/>
              </w:r>
              <w:r>
                <w:fldChar w:fldCharType="begin"/>
              </w:r>
              <w:r>
                <w:instrText xml:space="preserve"> PAGEREF _Toc4322 \h </w:instrText>
              </w:r>
              <w:r>
                <w:fldChar w:fldCharType="separate"/>
              </w:r>
              <w:r>
                <w:t>9</w:t>
              </w:r>
              <w:r>
                <w:fldChar w:fldCharType="end"/>
              </w:r>
              <w:r>
                <w:rPr>
                  <w:bCs/>
                </w:rPr>
                <w:fldChar w:fldCharType="end"/>
              </w:r>
            </w:p>
            <w:p>
              <w:pPr>
                <w:pStyle w:val="7"/>
                <w:tabs>
                  <w:tab w:val="right" w:leader="dot" w:pos="9026"/>
                </w:tabs>
              </w:pPr>
              <w:r>
                <w:rPr>
                  <w:bCs/>
                </w:rPr>
                <w:fldChar w:fldCharType="begin"/>
              </w:r>
              <w:r>
                <w:rPr>
                  <w:bCs/>
                </w:rPr>
                <w:instrText xml:space="preserve"> HYPERLINK \l _Toc11258 </w:instrText>
              </w:r>
              <w:r>
                <w:rPr>
                  <w:bCs/>
                </w:rPr>
                <w:fldChar w:fldCharType="separate"/>
              </w:r>
              <w:r>
                <w:rPr>
                  <w:rFonts w:hint="eastAsia"/>
                  <w:lang w:val="en-US" w:eastAsia="zh-CN"/>
                </w:rPr>
                <w:t>6.The Analysis On The Management</w:t>
              </w:r>
              <w:r>
                <w:tab/>
              </w:r>
              <w:r>
                <w:fldChar w:fldCharType="begin"/>
              </w:r>
              <w:r>
                <w:instrText xml:space="preserve"> PAGEREF _Toc11258 \h </w:instrText>
              </w:r>
              <w:r>
                <w:fldChar w:fldCharType="separate"/>
              </w:r>
              <w:r>
                <w:t>9</w:t>
              </w:r>
              <w:r>
                <w:fldChar w:fldCharType="end"/>
              </w:r>
              <w:r>
                <w:rPr>
                  <w:bCs/>
                </w:rPr>
                <w:fldChar w:fldCharType="end"/>
              </w:r>
            </w:p>
            <w:p>
              <w:pPr>
                <w:pStyle w:val="7"/>
                <w:tabs>
                  <w:tab w:val="right" w:leader="dot" w:pos="9026"/>
                </w:tabs>
              </w:pPr>
              <w:r>
                <w:rPr>
                  <w:bCs/>
                </w:rPr>
                <w:fldChar w:fldCharType="begin"/>
              </w:r>
              <w:r>
                <w:rPr>
                  <w:bCs/>
                </w:rPr>
                <w:instrText xml:space="preserve"> HYPERLINK \l _Toc19768 </w:instrText>
              </w:r>
              <w:r>
                <w:rPr>
                  <w:bCs/>
                </w:rPr>
                <w:fldChar w:fldCharType="separate"/>
              </w:r>
              <w:r>
                <w:rPr>
                  <w:rFonts w:hint="eastAsia"/>
                  <w:lang w:val="en-US" w:eastAsia="zh-CN"/>
                </w:rPr>
                <w:t>7.The Growth Crisis Faced By Troyland</w:t>
              </w:r>
              <w:r>
                <w:tab/>
              </w:r>
              <w:r>
                <w:fldChar w:fldCharType="begin"/>
              </w:r>
              <w:r>
                <w:instrText xml:space="preserve"> PAGEREF _Toc19768 \h </w:instrText>
              </w:r>
              <w:r>
                <w:fldChar w:fldCharType="separate"/>
              </w:r>
              <w:r>
                <w:t>10</w:t>
              </w:r>
              <w:r>
                <w:fldChar w:fldCharType="end"/>
              </w:r>
              <w:r>
                <w:rPr>
                  <w:bCs/>
                </w:rPr>
                <w:fldChar w:fldCharType="end"/>
              </w:r>
            </w:p>
            <w:p>
              <w:pPr>
                <w:pStyle w:val="7"/>
                <w:tabs>
                  <w:tab w:val="right" w:leader="dot" w:pos="9026"/>
                </w:tabs>
              </w:pPr>
              <w:r>
                <w:rPr>
                  <w:bCs/>
                </w:rPr>
                <w:fldChar w:fldCharType="begin"/>
              </w:r>
              <w:r>
                <w:rPr>
                  <w:bCs/>
                </w:rPr>
                <w:instrText xml:space="preserve"> HYPERLINK \l _Toc17435 </w:instrText>
              </w:r>
              <w:r>
                <w:rPr>
                  <w:bCs/>
                </w:rPr>
                <w:fldChar w:fldCharType="separate"/>
              </w:r>
              <w:r>
                <w:rPr>
                  <w:rFonts w:hint="eastAsia"/>
                  <w:lang w:val="en-US" w:eastAsia="zh-CN"/>
                </w:rPr>
                <w:t>8.The Financial Performance</w:t>
              </w:r>
              <w:r>
                <w:tab/>
              </w:r>
              <w:r>
                <w:fldChar w:fldCharType="begin"/>
              </w:r>
              <w:r>
                <w:instrText xml:space="preserve"> PAGEREF _Toc17435 \h </w:instrText>
              </w:r>
              <w:r>
                <w:fldChar w:fldCharType="separate"/>
              </w:r>
              <w:r>
                <w:t>11</w:t>
              </w:r>
              <w:r>
                <w:fldChar w:fldCharType="end"/>
              </w:r>
              <w:r>
                <w:rPr>
                  <w:bCs/>
                </w:rPr>
                <w:fldChar w:fldCharType="end"/>
              </w:r>
            </w:p>
            <w:p>
              <w:pPr>
                <w:pStyle w:val="7"/>
                <w:tabs>
                  <w:tab w:val="right" w:leader="dot" w:pos="9026"/>
                </w:tabs>
              </w:pPr>
              <w:r>
                <w:rPr>
                  <w:bCs/>
                </w:rPr>
                <w:fldChar w:fldCharType="begin"/>
              </w:r>
              <w:r>
                <w:rPr>
                  <w:bCs/>
                </w:rPr>
                <w:instrText xml:space="preserve"> HYPERLINK \l _Toc30990 </w:instrText>
              </w:r>
              <w:r>
                <w:rPr>
                  <w:bCs/>
                </w:rPr>
                <w:fldChar w:fldCharType="separate"/>
              </w:r>
              <w:r>
                <w:rPr>
                  <w:rFonts w:hint="eastAsia"/>
                  <w:bCs/>
                  <w:lang w:val="en-US" w:eastAsia="zh-CN"/>
                </w:rPr>
                <w:t>9.The need for business process reengineering</w:t>
              </w:r>
              <w:r>
                <w:tab/>
              </w:r>
              <w:r>
                <w:fldChar w:fldCharType="begin"/>
              </w:r>
              <w:r>
                <w:instrText xml:space="preserve"> PAGEREF _Toc30990 \h </w:instrText>
              </w:r>
              <w:r>
                <w:fldChar w:fldCharType="separate"/>
              </w:r>
              <w:r>
                <w:t>15</w:t>
              </w:r>
              <w:r>
                <w:fldChar w:fldCharType="end"/>
              </w:r>
              <w:r>
                <w:rPr>
                  <w:bCs/>
                </w:rPr>
                <w:fldChar w:fldCharType="end"/>
              </w:r>
            </w:p>
            <w:p>
              <w:pPr>
                <w:pStyle w:val="8"/>
                <w:tabs>
                  <w:tab w:val="right" w:leader="dot" w:pos="9026"/>
                </w:tabs>
              </w:pPr>
              <w:r>
                <w:rPr>
                  <w:bCs/>
                </w:rPr>
                <w:fldChar w:fldCharType="begin"/>
              </w:r>
              <w:r>
                <w:rPr>
                  <w:bCs/>
                </w:rPr>
                <w:instrText xml:space="preserve"> HYPERLINK \l _Toc20751 </w:instrText>
              </w:r>
              <w:r>
                <w:rPr>
                  <w:bCs/>
                </w:rPr>
                <w:fldChar w:fldCharType="separate"/>
              </w:r>
              <w:r>
                <w:t>Conclusion (average of 10% of word count)</w:t>
              </w:r>
              <w:r>
                <w:tab/>
              </w:r>
              <w:r>
                <w:fldChar w:fldCharType="begin"/>
              </w:r>
              <w:r>
                <w:instrText xml:space="preserve"> PAGEREF _Toc20751 \h </w:instrText>
              </w:r>
              <w:r>
                <w:fldChar w:fldCharType="separate"/>
              </w:r>
              <w:r>
                <w:t>17</w:t>
              </w:r>
              <w:r>
                <w:fldChar w:fldCharType="end"/>
              </w:r>
              <w:r>
                <w:rPr>
                  <w:bCs/>
                </w:rPr>
                <w:fldChar w:fldCharType="end"/>
              </w:r>
            </w:p>
            <w:p>
              <w:pPr>
                <w:pStyle w:val="8"/>
                <w:tabs>
                  <w:tab w:val="right" w:leader="dot" w:pos="9026"/>
                </w:tabs>
              </w:pPr>
              <w:r>
                <w:rPr>
                  <w:bCs/>
                </w:rPr>
                <w:fldChar w:fldCharType="begin"/>
              </w:r>
              <w:r>
                <w:rPr>
                  <w:bCs/>
                </w:rPr>
                <w:instrText xml:space="preserve"> HYPERLINK \l _Toc22898 </w:instrText>
              </w:r>
              <w:r>
                <w:rPr>
                  <w:bCs/>
                </w:rPr>
                <w:fldChar w:fldCharType="separate"/>
              </w:r>
              <w:r>
                <w:t>Bibliography</w:t>
              </w:r>
              <w:r>
                <w:tab/>
              </w:r>
              <w:r>
                <w:fldChar w:fldCharType="begin"/>
              </w:r>
              <w:r>
                <w:instrText xml:space="preserve"> PAGEREF _Toc22898 \h </w:instrText>
              </w:r>
              <w:r>
                <w:fldChar w:fldCharType="separate"/>
              </w:r>
              <w:r>
                <w:t>19</w:t>
              </w:r>
              <w:r>
                <w:fldChar w:fldCharType="end"/>
              </w:r>
              <w:r>
                <w:rPr>
                  <w:bCs/>
                </w:rPr>
                <w:fldChar w:fldCharType="end"/>
              </w:r>
            </w:p>
            <w:p>
              <w:pPr>
                <w:pStyle w:val="8"/>
                <w:tabs>
                  <w:tab w:val="right" w:leader="dot" w:pos="9026"/>
                </w:tabs>
              </w:pPr>
              <w:r>
                <w:rPr>
                  <w:bCs/>
                </w:rPr>
                <w:fldChar w:fldCharType="begin"/>
              </w:r>
              <w:r>
                <w:rPr>
                  <w:bCs/>
                </w:rPr>
                <w:instrText xml:space="preserve"> HYPERLINK \l _Toc28740 </w:instrText>
              </w:r>
              <w:r>
                <w:rPr>
                  <w:bCs/>
                </w:rPr>
                <w:fldChar w:fldCharType="separate"/>
              </w:r>
              <w:r>
                <w:t>Appendix</w:t>
              </w:r>
              <w:r>
                <w:tab/>
              </w:r>
              <w:r>
                <w:fldChar w:fldCharType="begin"/>
              </w:r>
              <w:r>
                <w:instrText xml:space="preserve"> PAGEREF _Toc28740 \h </w:instrText>
              </w:r>
              <w:r>
                <w:fldChar w:fldCharType="separate"/>
              </w:r>
              <w:r>
                <w:t>20</w:t>
              </w:r>
              <w:r>
                <w:fldChar w:fldCharType="end"/>
              </w:r>
              <w:r>
                <w:rPr>
                  <w:bCs/>
                </w:rPr>
                <w:fldChar w:fldCharType="end"/>
              </w:r>
            </w:p>
            <w:p>
              <w:r>
                <w:rPr>
                  <w:bCs/>
                </w:rPr>
                <w:fldChar w:fldCharType="end"/>
              </w:r>
            </w:p>
          </w:sdtContent>
        </w:sdt>
        <w:p/>
        <w:p/>
        <w:p/>
        <w:p/>
        <w:p/>
        <w:p/>
        <w:p/>
        <w:p/>
        <w:p/>
        <w:p/>
        <w:p/>
        <w:p/>
        <w:p/>
        <w:p/>
        <w:p/>
        <w:p/>
        <w:p>
          <w:pPr>
            <w:pStyle w:val="2"/>
          </w:pPr>
          <w:bookmarkStart w:id="1" w:name="_Toc6442"/>
          <w:r>
            <w:t>Introduction</w:t>
          </w:r>
          <w:bookmarkEnd w:id="1"/>
          <w:r>
            <w:t xml:space="preserve">  </w:t>
          </w:r>
        </w:p>
        <w:p/>
        <w:p>
          <w:pPr>
            <w:rPr>
              <w:rFonts w:hint="eastAsia"/>
            </w:rPr>
          </w:pPr>
          <w:r>
            <w:rPr>
              <w:rFonts w:hint="eastAsia"/>
            </w:rPr>
            <w:t xml:space="preserve">Portal Fabrication plc is a company that specializes in the manufacturing of car buffing machines for use in mechanic warehouses and workshops. The company has built a strong reputation for producing high-quality machines with a three-year warranty, which covers the cost of any repairs or replacement parts needed during this period. </w:t>
          </w:r>
        </w:p>
        <w:p>
          <w:pPr>
            <w:rPr>
              <w:rFonts w:hint="eastAsia"/>
            </w:rPr>
          </w:pPr>
          <w:r>
            <w:rPr>
              <w:rFonts w:hint="eastAsia"/>
            </w:rPr>
            <w:t>The service division has two types of repairs: warranty repairs and out-of-warranty repairs. Parts are charged to the service division by the M/S division at a cost of £85 per repair, and a repair takes an average of four hours to complete. The company is considering changing the internal recharge agreement between the M/S and service divisions and is evaluating two transfer pricing approaches: market price and cost-plus. The board is also considering implementing a new executive information system that will integrate the company's database and provide real-time input and update capabilities.</w:t>
          </w:r>
        </w:p>
        <w:p>
          <w:r>
            <w:rPr>
              <w:rFonts w:hint="eastAsia"/>
            </w:rPr>
            <w:t>In addition, the financial data for the company is provided, which includes sales revenue, operating costs, operating profit, apportioned head office costs, profit before tax, capital employed, notional cost of capital used, current cost of debt, and tax rate.</w:t>
          </w:r>
        </w:p>
        <w:p>
          <w:pPr>
            <w:rPr>
              <w:rFonts w:hint="eastAsia"/>
            </w:rPr>
          </w:pPr>
          <w:r>
            <w:rPr>
              <w:rFonts w:hint="eastAsia"/>
            </w:rPr>
            <w:t>Troyland is a small, privately owned retailer specializing in women's footwear, handbags, purses, and wallets. Over the past few years, the company has experienced significant growth, but has also faced a number of challenges, including increased competition and a shift towards online shopping. As a result, the company has implemented a number of management control systems and strategic performance management initiatives to help it adapt to the changing marketplace.</w:t>
          </w:r>
        </w:p>
        <w:p>
          <w:pPr>
            <w:rPr>
              <w:rFonts w:hint="eastAsia"/>
            </w:rPr>
          </w:pPr>
          <w:r>
            <w:rPr>
              <w:rFonts w:hint="eastAsia"/>
            </w:rPr>
            <w:t>In terms of financial performance, Troyland has seen a decline in profitability, with a decrease in turnover and an operating loss projected for the current year. However, the company has maintained strong liquidity, efficiency, and solvency ratios, and has a healthy net profit margin. On the qualitative side, Troyland has received positive customer feedback and has invested in employee training and development, but has struggled with internal communication and process inefficiencies.</w:t>
          </w:r>
        </w:p>
        <w:p>
          <w:r>
            <w:rPr>
              <w:rFonts w:hint="eastAsia"/>
            </w:rPr>
            <w:t>To address some of these issues, Troyland is considering implementing business process reengineering, which involves analyzing and redesigning key business processes to improve efficiency and effectiveness. This could help the company streamline its operations and reduce costs, ultimately improving its bottom line.</w:t>
          </w:r>
        </w:p>
        <w:p/>
        <w:p/>
        <w:p/>
        <w:p/>
        <w:p/>
        <w:p>
          <w:pPr>
            <w:pStyle w:val="2"/>
          </w:pPr>
          <w:bookmarkStart w:id="2" w:name="_Toc8257"/>
          <w:r>
            <w:t>Main Findings</w:t>
          </w:r>
          <w:bookmarkEnd w:id="2"/>
        </w:p>
        <w:p>
          <w:r>
            <w:rPr>
              <w:rFonts w:hint="eastAsia"/>
            </w:rPr>
            <w:t>Setting goals, tracking progress, assessing performance, giving feedback, and taking remedial action to enhance performance are all parts of performance management. Aligning individual and team goals with an organization's broader strategic goals is a continuous process that requires making sure that everyone is working toward achieving those goals.</w:t>
          </w:r>
        </w:p>
        <w:p>
          <w:pPr>
            <w:pStyle w:val="3"/>
          </w:pPr>
          <w:bookmarkStart w:id="3" w:name="_Toc7302"/>
          <w:r>
            <w:t>Task 1 – Portal Fabrication PLC</w:t>
          </w:r>
          <w:bookmarkEnd w:id="3"/>
        </w:p>
        <w:p>
          <w:pPr>
            <w:pStyle w:val="4"/>
            <w:numPr>
              <w:ilvl w:val="0"/>
              <w:numId w:val="1"/>
            </w:numPr>
            <w:bidi w:val="0"/>
            <w:rPr>
              <w:rFonts w:hint="default"/>
              <w:lang w:val="en-US" w:eastAsia="zh-CN"/>
            </w:rPr>
          </w:pPr>
          <w:bookmarkStart w:id="4" w:name="_Toc22342"/>
          <w:r>
            <w:rPr>
              <w:rFonts w:hint="eastAsia"/>
              <w:lang w:val="en-US" w:eastAsia="zh-CN"/>
            </w:rPr>
            <w:t xml:space="preserve">Evaluation of </w:t>
          </w:r>
          <w:r>
            <w:t xml:space="preserve">divisional performance </w:t>
          </w:r>
          <w:r>
            <w:rPr>
              <w:rFonts w:hint="eastAsia"/>
              <w:lang w:val="en-US" w:eastAsia="zh-CN"/>
            </w:rPr>
            <w:t>at the company</w:t>
          </w:r>
          <w:bookmarkEnd w:id="4"/>
        </w:p>
        <w:p>
          <w:pPr>
            <w:rPr>
              <w:rFonts w:hint="eastAsia"/>
            </w:rPr>
          </w:pPr>
          <w:r>
            <w:rPr>
              <w:rFonts w:hint="eastAsia" w:eastAsia="宋体"/>
              <w:lang w:val="en-US" w:eastAsia="zh-CN"/>
            </w:rPr>
            <w:t>Acc</w:t>
          </w:r>
          <w:r>
            <w:rPr>
              <w:rFonts w:hint="eastAsia"/>
              <w:lang w:val="en-US" w:eastAsia="zh-CN"/>
            </w:rPr>
            <w:t xml:space="preserve">ording to the passage, the Portal company usually use </w:t>
          </w:r>
          <w:r>
            <w:rPr>
              <w:rFonts w:hint="eastAsia"/>
            </w:rPr>
            <w:t>return on investment as its main relative measure of performance between the  divisions</w:t>
          </w:r>
          <w:r>
            <w:rPr>
              <w:rFonts w:hint="eastAsia"/>
              <w:lang w:val="en-US" w:eastAsia="zh-CN"/>
            </w:rPr>
            <w:t xml:space="preserve"> of </w:t>
          </w:r>
          <w:r>
            <w:rPr>
              <w:rFonts w:hint="eastAsia"/>
            </w:rPr>
            <w:t>manufacturing/sales (i.e. M/S) and service.</w:t>
          </w:r>
          <w:r>
            <w:rPr>
              <w:rFonts w:hint="eastAsia"/>
              <w:lang w:val="en-US" w:eastAsia="zh-CN"/>
            </w:rPr>
            <w:t>From the data collected by</w:t>
          </w:r>
          <w:r>
            <w:rPr>
              <w:rFonts w:hint="eastAsia" w:eastAsia="宋体"/>
              <w:lang w:val="en-US" w:eastAsia="zh-CN"/>
            </w:rPr>
            <w:t xml:space="preserve"> a colleague</w:t>
          </w:r>
          <w:r>
            <w:rPr>
              <w:rFonts w:hint="eastAsia"/>
            </w:rPr>
            <w:t>, we can evaluate the divisional performance at Portal using the ROI.</w:t>
          </w:r>
        </w:p>
        <w:p>
          <w:pPr>
            <w:rPr>
              <w:rFonts w:hint="eastAsia"/>
            </w:rPr>
          </w:pPr>
          <w:r>
            <w:rPr>
              <w:rFonts w:hint="eastAsia"/>
            </w:rPr>
            <w:t>The ROI for the manufacturing/sales (M/S) division can be calculated as follows:</w:t>
          </w:r>
        </w:p>
        <w:p>
          <w:pPr>
            <w:rPr>
              <w:rFonts w:hint="eastAsia"/>
            </w:rPr>
          </w:pPr>
          <w:r>
            <w:rPr>
              <w:rFonts w:hint="eastAsia"/>
            </w:rPr>
            <w:t>ROI = Operating profit / Capital employed = £386m / £1,294m = 29.8%</w:t>
          </w:r>
        </w:p>
        <w:p>
          <w:pPr>
            <w:rPr>
              <w:rFonts w:hint="eastAsia"/>
            </w:rPr>
          </w:pPr>
          <w:r>
            <w:rPr>
              <w:rFonts w:hint="eastAsia"/>
            </w:rPr>
            <w:t>The ROI for the service division can be calculated as follows:</w:t>
          </w:r>
        </w:p>
        <w:p>
          <w:pPr>
            <w:rPr>
              <w:rFonts w:hint="eastAsia"/>
            </w:rPr>
          </w:pPr>
          <w:r>
            <w:rPr>
              <w:rFonts w:hint="eastAsia"/>
            </w:rPr>
            <w:t>ROI = Operating profit / Capital employed  = £</w:t>
          </w:r>
          <w:r>
            <w:rPr>
              <w:rFonts w:hint="eastAsia"/>
              <w:lang w:val="en-US" w:eastAsia="zh-CN"/>
            </w:rPr>
            <w:t>6</w:t>
          </w:r>
          <w:r>
            <w:rPr>
              <w:rFonts w:hint="eastAsia"/>
            </w:rPr>
            <w:t>m / £</w:t>
          </w:r>
          <w:r>
            <w:rPr>
              <w:rFonts w:hint="eastAsia"/>
              <w:lang w:val="en-US" w:eastAsia="zh-CN"/>
            </w:rPr>
            <w:t>38m=</w:t>
          </w:r>
          <w:r>
            <w:rPr>
              <w:rFonts w:hint="eastAsia"/>
            </w:rPr>
            <w:t xml:space="preserve"> </w:t>
          </w:r>
          <w:r>
            <w:rPr>
              <w:rFonts w:hint="eastAsia"/>
              <w:lang w:val="en-US" w:eastAsia="zh-CN"/>
            </w:rPr>
            <w:t>16</w:t>
          </w:r>
          <w:r>
            <w:rPr>
              <w:rFonts w:hint="eastAsia"/>
            </w:rPr>
            <w:t>%</w:t>
          </w:r>
        </w:p>
        <w:p>
          <w:pPr>
            <w:rPr>
              <w:rFonts w:hint="eastAsia"/>
            </w:rPr>
          </w:pPr>
          <w:r>
            <w:rPr>
              <w:rFonts w:hint="eastAsia"/>
              <w:lang w:val="en-US" w:eastAsia="zh-CN"/>
            </w:rPr>
            <w:t xml:space="preserve">However, </w:t>
          </w:r>
          <w:r>
            <w:rPr>
              <w:rFonts w:hint="eastAsia"/>
            </w:rPr>
            <w:t xml:space="preserve"> The board</w:t>
          </w:r>
          <w:r>
            <w:rPr>
              <w:rFonts w:hint="eastAsia"/>
              <w:lang w:val="en-US" w:eastAsia="zh-CN"/>
            </w:rPr>
            <w:t xml:space="preserve"> worry</w:t>
          </w:r>
          <w:r>
            <w:rPr>
              <w:rFonts w:hint="eastAsia"/>
            </w:rPr>
            <w:t xml:space="preserve"> that the divisional managers</w:t>
          </w:r>
          <w:r>
            <w:rPr>
              <w:rFonts w:hint="default"/>
              <w:lang w:val="en-US" w:eastAsia="zh-CN"/>
            </w:rPr>
            <w:t>’</w:t>
          </w:r>
          <w:r>
            <w:rPr>
              <w:rFonts w:hint="eastAsia"/>
            </w:rPr>
            <w:t xml:space="preserve">performance is not being properly assessed by the divisional performance measure used. </w:t>
          </w:r>
          <w:r>
            <w:rPr>
              <w:rFonts w:hint="eastAsia"/>
              <w:lang w:val="en-US" w:eastAsia="zh-CN"/>
            </w:rPr>
            <w:t>So</w:t>
          </w:r>
          <w:r>
            <w:rPr>
              <w:rFonts w:hint="eastAsia"/>
            </w:rPr>
            <w:t xml:space="preserve"> </w:t>
          </w:r>
          <w:r>
            <w:rPr>
              <w:rFonts w:hint="eastAsia"/>
              <w:lang w:val="en-US" w:eastAsia="zh-CN"/>
            </w:rPr>
            <w:t>the method of r</w:t>
          </w:r>
          <w:r>
            <w:rPr>
              <w:rFonts w:hint="eastAsia"/>
            </w:rPr>
            <w:t>esidual Income an</w:t>
          </w:r>
          <w:r>
            <w:rPr>
              <w:rFonts w:hint="eastAsia"/>
              <w:lang w:val="en-US" w:eastAsia="zh-CN"/>
            </w:rPr>
            <w:t>d</w:t>
          </w:r>
          <w:r>
            <w:rPr>
              <w:rFonts w:hint="eastAsia"/>
            </w:rPr>
            <w:t xml:space="preserve"> economic value added (EVATM) have been suggested</w:t>
          </w:r>
          <w:r>
            <w:rPr>
              <w:rFonts w:hint="eastAsia"/>
              <w:lang w:val="en-US" w:eastAsia="zh-CN"/>
            </w:rPr>
            <w:t xml:space="preserve"> to </w:t>
          </w:r>
          <w:r>
            <w:rPr>
              <w:rFonts w:hint="eastAsia"/>
            </w:rPr>
            <w:t xml:space="preserve">measure </w:t>
          </w:r>
          <w:r>
            <w:rPr>
              <w:rFonts w:hint="eastAsia"/>
              <w:lang w:val="en-US" w:eastAsia="zh-CN"/>
            </w:rPr>
            <w:t>the</w:t>
          </w:r>
          <w:r>
            <w:rPr>
              <w:rFonts w:hint="eastAsia"/>
            </w:rPr>
            <w:t xml:space="preserve"> divisional performance. </w:t>
          </w:r>
        </w:p>
        <w:p>
          <w:pPr>
            <w:rPr>
              <w:rFonts w:hint="eastAsia"/>
            </w:rPr>
          </w:pPr>
          <w:r>
            <w:rPr>
              <w:rFonts w:hint="eastAsia"/>
            </w:rPr>
            <w:t>The RI for the M/S division can be calculated as follows:</w:t>
          </w:r>
        </w:p>
        <w:p>
          <w:pPr>
            <w:rPr>
              <w:rFonts w:hint="eastAsia"/>
            </w:rPr>
          </w:pPr>
          <w:r>
            <w:rPr>
              <w:rFonts w:hint="eastAsia"/>
            </w:rPr>
            <w:t>RI = Operating profit - (Capital employed x Notional cost of capital) = £386m - (£1,294m x 9%) = £265m</w:t>
          </w:r>
        </w:p>
        <w:p>
          <w:pPr>
            <w:rPr>
              <w:rFonts w:hint="eastAsia"/>
            </w:rPr>
          </w:pPr>
          <w:r>
            <w:rPr>
              <w:rFonts w:hint="eastAsia"/>
            </w:rPr>
            <w:t>The RI for the service division can be calculated as follows:</w:t>
          </w:r>
        </w:p>
        <w:p>
          <w:pPr>
            <w:rPr>
              <w:rFonts w:hint="eastAsia"/>
              <w:lang w:val="en-US" w:eastAsia="zh-CN"/>
            </w:rPr>
          </w:pPr>
          <w:r>
            <w:rPr>
              <w:rFonts w:hint="eastAsia"/>
            </w:rPr>
            <w:t>RI = Operating profit  - (Capital employed x Notional cost of capital) = £6m - (£</w:t>
          </w:r>
          <w:r>
            <w:rPr>
              <w:rFonts w:hint="eastAsia"/>
              <w:lang w:val="en-US" w:eastAsia="zh-CN"/>
            </w:rPr>
            <w:t>38</w:t>
          </w:r>
          <w:r>
            <w:rPr>
              <w:rFonts w:hint="eastAsia"/>
            </w:rPr>
            <w:t>m x 9%) = £</w:t>
          </w:r>
          <w:r>
            <w:rPr>
              <w:rFonts w:hint="eastAsia"/>
              <w:lang w:val="en-US" w:eastAsia="zh-CN"/>
            </w:rPr>
            <w:t>2.58</w:t>
          </w:r>
        </w:p>
        <w:p>
          <w:pPr>
            <w:rPr>
              <w:rFonts w:hint="default"/>
              <w:lang w:val="en-US" w:eastAsia="zh-CN"/>
            </w:rPr>
          </w:pPr>
        </w:p>
        <w:p>
          <w:pPr>
            <w:rPr>
              <w:rFonts w:hint="eastAsia"/>
            </w:rPr>
          </w:pPr>
          <w:r>
            <w:rPr>
              <w:rFonts w:hint="eastAsia"/>
            </w:rPr>
            <w:t xml:space="preserve">The EVATM measure </w:t>
          </w:r>
          <w:r>
            <w:rPr>
              <w:rFonts w:hint="eastAsia"/>
              <w:lang w:val="en-US" w:eastAsia="zh-CN"/>
            </w:rPr>
            <w:t xml:space="preserve">fot M/S </w:t>
          </w:r>
          <w:r>
            <w:rPr>
              <w:rFonts w:hint="eastAsia"/>
            </w:rPr>
            <w:t>can be calculated as follows:</w:t>
          </w:r>
        </w:p>
        <w:p>
          <w:pPr>
            <w:rPr>
              <w:rFonts w:hint="eastAsia"/>
            </w:rPr>
          </w:pPr>
          <w:r>
            <w:rPr>
              <w:rFonts w:hint="eastAsia"/>
            </w:rPr>
            <w:t>Calculate the net operating profit after tax:</w:t>
          </w:r>
        </w:p>
        <w:p>
          <w:pPr>
            <w:rPr>
              <w:rFonts w:hint="eastAsia"/>
            </w:rPr>
          </w:pPr>
          <w:r>
            <w:rPr>
              <w:rFonts w:hint="eastAsia"/>
              <w:lang w:val="en-US" w:eastAsia="zh-CN"/>
            </w:rPr>
            <w:t>N</w:t>
          </w:r>
          <w:r>
            <w:rPr>
              <w:rFonts w:hint="eastAsia"/>
            </w:rPr>
            <w:t>et operating profit after tax = Operating profit x (1 - Tax rate)= £386m x (1 - 0.30)</w:t>
          </w:r>
        </w:p>
        <w:p>
          <w:pPr>
            <w:rPr>
              <w:rFonts w:hint="eastAsia"/>
            </w:rPr>
          </w:pPr>
          <w:r>
            <w:rPr>
              <w:rFonts w:hint="eastAsia"/>
            </w:rPr>
            <w:t>= £270.2m</w:t>
          </w:r>
        </w:p>
        <w:p>
          <w:pPr>
            <w:rPr>
              <w:rFonts w:hint="eastAsia"/>
            </w:rPr>
          </w:pPr>
          <w:r>
            <w:rPr>
              <w:rFonts w:hint="eastAsia"/>
            </w:rPr>
            <w:t>Calculate the total cost of capital:</w:t>
          </w:r>
        </w:p>
        <w:p>
          <w:pPr>
            <w:rPr>
              <w:rFonts w:hint="eastAsia"/>
            </w:rPr>
          </w:pPr>
          <w:r>
            <w:rPr>
              <w:rFonts w:hint="eastAsia"/>
            </w:rPr>
            <w:t>Total cost of capital = (Capital employed x Notional cost of capital) + (Current cost of debt x Debt)</w:t>
          </w:r>
        </w:p>
        <w:p>
          <w:pPr>
            <w:rPr>
              <w:rFonts w:hint="eastAsia"/>
            </w:rPr>
          </w:pPr>
          <w:r>
            <w:rPr>
              <w:rFonts w:hint="eastAsia"/>
            </w:rPr>
            <w:t>where debt = Operating costs - Depreciation - Other non-cash expenses</w:t>
          </w:r>
        </w:p>
        <w:p>
          <w:pPr>
            <w:rPr>
              <w:rFonts w:hint="eastAsia"/>
            </w:rPr>
          </w:pPr>
          <w:r>
            <w:rPr>
              <w:rFonts w:hint="eastAsia"/>
            </w:rPr>
            <w:t>debt = £494m - £88m - £4m= £402m</w:t>
          </w:r>
        </w:p>
        <w:p>
          <w:pPr>
            <w:rPr>
              <w:rFonts w:hint="eastAsia"/>
            </w:rPr>
          </w:pPr>
          <w:r>
            <w:rPr>
              <w:rFonts w:hint="eastAsia"/>
            </w:rPr>
            <w:t>Total cost of capital = (£1294m x 9%) + (5.5% x £402m)= £116.46m + £22.11m= £138.57m</w:t>
          </w:r>
        </w:p>
        <w:p>
          <w:pPr>
            <w:rPr>
              <w:rFonts w:hint="eastAsia"/>
            </w:rPr>
          </w:pPr>
          <w:r>
            <w:rPr>
              <w:rFonts w:hint="eastAsia"/>
            </w:rPr>
            <w:t>Calculate the EVATM:</w:t>
          </w:r>
        </w:p>
        <w:p>
          <w:pPr>
            <w:rPr>
              <w:rFonts w:hint="eastAsia"/>
            </w:rPr>
          </w:pPr>
          <w:r>
            <w:rPr>
              <w:rFonts w:hint="eastAsia"/>
            </w:rPr>
            <w:t xml:space="preserve">EVATM = </w:t>
          </w:r>
          <w:r>
            <w:rPr>
              <w:rFonts w:hint="eastAsia"/>
              <w:lang w:val="en-US" w:eastAsia="zh-CN"/>
            </w:rPr>
            <w:t>N</w:t>
          </w:r>
          <w:r>
            <w:rPr>
              <w:rFonts w:hint="eastAsia"/>
            </w:rPr>
            <w:t>et operating profit after tax - Total cost of capital= £270.2m - £138.57m= £131.63m</w:t>
          </w:r>
        </w:p>
        <w:p>
          <w:pPr>
            <w:rPr>
              <w:rFonts w:hint="eastAsia"/>
            </w:rPr>
          </w:pPr>
          <w:r>
            <w:rPr>
              <w:rFonts w:hint="eastAsia"/>
            </w:rPr>
            <w:t xml:space="preserve">Therefore, the EVATM for the </w:t>
          </w:r>
          <w:r>
            <w:rPr>
              <w:rFonts w:hint="eastAsia"/>
              <w:lang w:val="en-US" w:eastAsia="zh-CN"/>
            </w:rPr>
            <w:t>M/S division</w:t>
          </w:r>
          <w:r>
            <w:rPr>
              <w:rFonts w:hint="eastAsia"/>
            </w:rPr>
            <w:t xml:space="preserve"> is £131.63m.</w:t>
          </w:r>
        </w:p>
        <w:p>
          <w:pPr>
            <w:rPr>
              <w:rFonts w:hint="eastAsia"/>
            </w:rPr>
          </w:pPr>
        </w:p>
        <w:p>
          <w:pPr>
            <w:rPr>
              <w:rFonts w:hint="eastAsia"/>
            </w:rPr>
          </w:pPr>
          <w:r>
            <w:rPr>
              <w:rFonts w:hint="eastAsia"/>
            </w:rPr>
            <w:t xml:space="preserve">The EVATM measure </w:t>
          </w:r>
          <w:r>
            <w:rPr>
              <w:rFonts w:hint="eastAsia"/>
              <w:lang w:val="en-US" w:eastAsia="zh-CN"/>
            </w:rPr>
            <w:t xml:space="preserve">for services </w:t>
          </w:r>
          <w:r>
            <w:rPr>
              <w:rFonts w:hint="eastAsia"/>
            </w:rPr>
            <w:t>can be calculated as follows:</w:t>
          </w:r>
        </w:p>
        <w:p>
          <w:pPr>
            <w:rPr>
              <w:rFonts w:hint="eastAsia"/>
            </w:rPr>
          </w:pPr>
          <w:r>
            <w:rPr>
              <w:rFonts w:hint="eastAsia"/>
            </w:rPr>
            <w:t>Calculate the</w:t>
          </w:r>
          <w:r>
            <w:rPr>
              <w:rFonts w:hint="eastAsia"/>
              <w:lang w:val="en-US" w:eastAsia="zh-CN"/>
            </w:rPr>
            <w:t xml:space="preserve"> n</w:t>
          </w:r>
          <w:r>
            <w:rPr>
              <w:rFonts w:hint="eastAsia"/>
            </w:rPr>
            <w:t>et operating profit after tax:</w:t>
          </w:r>
        </w:p>
        <w:p>
          <w:pPr>
            <w:rPr>
              <w:rFonts w:hint="eastAsia"/>
            </w:rPr>
          </w:pPr>
          <w:r>
            <w:rPr>
              <w:rFonts w:hint="eastAsia"/>
            </w:rPr>
            <w:t>Net operating profit after tax= Operating profit x (1 - Tax rate)= £6.0m x (1 - 0.30)= £4.2m</w:t>
          </w:r>
        </w:p>
        <w:p>
          <w:pPr>
            <w:rPr>
              <w:rFonts w:hint="eastAsia"/>
            </w:rPr>
          </w:pPr>
          <w:r>
            <w:rPr>
              <w:rFonts w:hint="eastAsia"/>
            </w:rPr>
            <w:t>Calculate the total cost of capital:</w:t>
          </w:r>
        </w:p>
        <w:p>
          <w:pPr>
            <w:rPr>
              <w:rFonts w:hint="eastAsia"/>
            </w:rPr>
          </w:pPr>
          <w:r>
            <w:rPr>
              <w:rFonts w:hint="eastAsia"/>
            </w:rPr>
            <w:t>Total cost of capital = (Capital employed x Notional cost of capital) + (Current cost of debt x Debt)</w:t>
          </w:r>
        </w:p>
        <w:p>
          <w:pPr>
            <w:rPr>
              <w:rFonts w:hint="eastAsia"/>
            </w:rPr>
          </w:pPr>
          <w:r>
            <w:rPr>
              <w:rFonts w:hint="eastAsia"/>
            </w:rPr>
            <w:t>where debt = Operating costs - Depreciation - Other non-cash expenses</w:t>
          </w:r>
        </w:p>
        <w:p>
          <w:pPr>
            <w:rPr>
              <w:rFonts w:hint="eastAsia"/>
            </w:rPr>
          </w:pPr>
          <w:r>
            <w:rPr>
              <w:rFonts w:hint="eastAsia"/>
            </w:rPr>
            <w:t>debt = £</w:t>
          </w:r>
          <w:r>
            <w:rPr>
              <w:rFonts w:hint="eastAsia"/>
              <w:lang w:val="en-US" w:eastAsia="zh-CN"/>
            </w:rPr>
            <w:t>11</w:t>
          </w:r>
          <w:r>
            <w:rPr>
              <w:rFonts w:hint="eastAsia"/>
            </w:rPr>
            <w:t>m - £</w:t>
          </w:r>
          <w:r>
            <w:rPr>
              <w:rFonts w:hint="eastAsia"/>
              <w:lang w:val="en-US" w:eastAsia="zh-CN"/>
            </w:rPr>
            <w:t>2.7</w:t>
          </w:r>
          <w:r>
            <w:rPr>
              <w:rFonts w:hint="eastAsia"/>
            </w:rPr>
            <w:t>m - £</w:t>
          </w:r>
          <w:r>
            <w:rPr>
              <w:rFonts w:hint="eastAsia"/>
              <w:lang w:val="en-US" w:eastAsia="zh-CN"/>
            </w:rPr>
            <w:t>0.3</w:t>
          </w:r>
          <w:r>
            <w:rPr>
              <w:rFonts w:hint="eastAsia"/>
            </w:rPr>
            <w:t>m= £</w:t>
          </w:r>
          <w:r>
            <w:rPr>
              <w:rFonts w:hint="eastAsia"/>
              <w:lang w:val="en-US" w:eastAsia="zh-CN"/>
            </w:rPr>
            <w:t>8</w:t>
          </w:r>
          <w:r>
            <w:rPr>
              <w:rFonts w:hint="eastAsia"/>
            </w:rPr>
            <w:t>m</w:t>
          </w:r>
        </w:p>
        <w:p>
          <w:pPr>
            <w:rPr>
              <w:rFonts w:hint="eastAsia"/>
            </w:rPr>
          </w:pPr>
          <w:r>
            <w:rPr>
              <w:rFonts w:hint="eastAsia"/>
            </w:rPr>
            <w:t>Total cost of capital = (£38.0m x 9%) + (5.5% x £</w:t>
          </w:r>
          <w:r>
            <w:rPr>
              <w:rFonts w:hint="eastAsia"/>
              <w:lang w:val="en-US" w:eastAsia="zh-CN"/>
            </w:rPr>
            <w:t>8</w:t>
          </w:r>
          <w:r>
            <w:rPr>
              <w:rFonts w:hint="eastAsia"/>
            </w:rPr>
            <w:t>.0m)= £3.42m + £0.</w:t>
          </w:r>
          <w:r>
            <w:rPr>
              <w:rFonts w:hint="eastAsia"/>
              <w:lang w:val="en-US" w:eastAsia="zh-CN"/>
            </w:rPr>
            <w:t>44</w:t>
          </w:r>
          <w:r>
            <w:rPr>
              <w:rFonts w:hint="eastAsia"/>
            </w:rPr>
            <w:t>m= £3.</w:t>
          </w:r>
          <w:r>
            <w:rPr>
              <w:rFonts w:hint="eastAsia"/>
              <w:lang w:val="en-US" w:eastAsia="zh-CN"/>
            </w:rPr>
            <w:t>86</w:t>
          </w:r>
          <w:r>
            <w:rPr>
              <w:rFonts w:hint="eastAsia"/>
            </w:rPr>
            <w:t>m</w:t>
          </w:r>
        </w:p>
        <w:p>
          <w:pPr>
            <w:rPr>
              <w:rFonts w:hint="eastAsia"/>
            </w:rPr>
          </w:pPr>
          <w:r>
            <w:rPr>
              <w:rFonts w:hint="eastAsia"/>
            </w:rPr>
            <w:t>Calculate the EVATM:</w:t>
          </w:r>
        </w:p>
        <w:p>
          <w:pPr>
            <w:rPr>
              <w:rFonts w:hint="eastAsia"/>
            </w:rPr>
          </w:pPr>
          <w:r>
            <w:rPr>
              <w:rFonts w:hint="eastAsia"/>
            </w:rPr>
            <w:t>EVATM = NOPAT - Total cost of capital= £4.2m - £3.</w:t>
          </w:r>
          <w:r>
            <w:rPr>
              <w:rFonts w:hint="eastAsia"/>
              <w:lang w:val="en-US" w:eastAsia="zh-CN"/>
            </w:rPr>
            <w:t>86</w:t>
          </w:r>
          <w:r>
            <w:rPr>
              <w:rFonts w:hint="eastAsia"/>
            </w:rPr>
            <w:t>m= £0.</w:t>
          </w:r>
          <w:r>
            <w:rPr>
              <w:rFonts w:hint="eastAsia"/>
              <w:lang w:val="en-US" w:eastAsia="zh-CN"/>
            </w:rPr>
            <w:t>34</w:t>
          </w:r>
          <w:r>
            <w:rPr>
              <w:rFonts w:hint="eastAsia"/>
            </w:rPr>
            <w:t>m</w:t>
          </w:r>
        </w:p>
        <w:p>
          <w:pPr>
            <w:rPr>
              <w:rFonts w:hint="eastAsia"/>
            </w:rPr>
          </w:pPr>
        </w:p>
        <w:p>
          <w:pPr>
            <w:rPr>
              <w:rFonts w:hint="eastAsia"/>
            </w:rPr>
          </w:pPr>
          <w:r>
            <w:rPr>
              <w:rFonts w:hint="eastAsia"/>
            </w:rPr>
            <w:t>Therefore,The EVATM measure shows that the M/S division is generating a return above the cost of capital</w:t>
          </w:r>
          <w:r>
            <w:rPr>
              <w:rFonts w:hint="eastAsia"/>
              <w:lang w:val="en-US" w:eastAsia="zh-CN"/>
            </w:rPr>
            <w:t xml:space="preserve">,and </w:t>
          </w:r>
          <w:r>
            <w:rPr>
              <w:rFonts w:hint="eastAsia"/>
            </w:rPr>
            <w:t xml:space="preserve">the EVATM for </w:t>
          </w:r>
          <w:r>
            <w:rPr>
              <w:rFonts w:hint="eastAsia"/>
              <w:lang w:val="en-US" w:eastAsia="zh-CN"/>
            </w:rPr>
            <w:t>service sector</w:t>
          </w:r>
          <w:r>
            <w:rPr>
              <w:rFonts w:hint="eastAsia"/>
            </w:rPr>
            <w:t xml:space="preserve"> is £0.</w:t>
          </w:r>
          <w:r>
            <w:rPr>
              <w:rFonts w:hint="eastAsia"/>
              <w:lang w:val="en-US" w:eastAsia="zh-CN"/>
            </w:rPr>
            <w:t>34</w:t>
          </w:r>
          <w:r>
            <w:rPr>
              <w:rFonts w:hint="eastAsia"/>
            </w:rPr>
            <w:t>m. This indicates that the company has generated economic value of £0.</w:t>
          </w:r>
          <w:r>
            <w:rPr>
              <w:rFonts w:hint="eastAsia"/>
              <w:lang w:val="en-US" w:eastAsia="zh-CN"/>
            </w:rPr>
            <w:t>34</w:t>
          </w:r>
          <w:r>
            <w:rPr>
              <w:rFonts w:hint="eastAsia"/>
            </w:rPr>
            <w:t>m over and above the cost of capital for the year.From the above calculations, we can see that the M/S division has a much higher ROI</w:t>
          </w:r>
          <w:r>
            <w:rPr>
              <w:rFonts w:hint="eastAsia"/>
              <w:lang w:val="en-US" w:eastAsia="zh-CN"/>
            </w:rPr>
            <w:t xml:space="preserve"> of 29.8%</w:t>
          </w:r>
          <w:r>
            <w:rPr>
              <w:rFonts w:hint="eastAsia"/>
            </w:rPr>
            <w:t xml:space="preserve"> </w:t>
          </w:r>
          <w:r>
            <w:rPr>
              <w:rFonts w:hint="eastAsia"/>
              <w:lang w:val="en-US" w:eastAsia="zh-CN"/>
            </w:rPr>
            <w:t xml:space="preserve">, higher RI of 265m, higher EVATM of </w:t>
          </w:r>
          <w:r>
            <w:rPr>
              <w:rFonts w:hint="eastAsia"/>
            </w:rPr>
            <w:t>£131.63m</w:t>
          </w:r>
          <w:r>
            <w:rPr>
              <w:rFonts w:hint="eastAsia"/>
              <w:lang w:val="en-US" w:eastAsia="zh-CN"/>
            </w:rPr>
            <w:t xml:space="preserve"> compared t</w:t>
          </w:r>
          <w:r>
            <w:rPr>
              <w:rFonts w:hint="eastAsia"/>
            </w:rPr>
            <w:t xml:space="preserve">o the service division. , whereas the service division is </w:t>
          </w:r>
          <w:r>
            <w:rPr>
              <w:rFonts w:hint="eastAsia"/>
              <w:lang w:val="en-US" w:eastAsia="zh-CN"/>
            </w:rPr>
            <w:t>much lower</w:t>
          </w:r>
          <w:r>
            <w:rPr>
              <w:rFonts w:hint="eastAsia"/>
            </w:rPr>
            <w:t>.</w:t>
          </w:r>
        </w:p>
        <w:p>
          <w:pPr>
            <w:pStyle w:val="4"/>
            <w:numPr>
              <w:ilvl w:val="0"/>
              <w:numId w:val="1"/>
            </w:numPr>
            <w:bidi w:val="0"/>
            <w:rPr>
              <w:rFonts w:hint="eastAsia"/>
              <w:b/>
              <w:bCs/>
            </w:rPr>
          </w:pPr>
          <w:bookmarkStart w:id="5" w:name="_Toc11213"/>
          <w:r>
            <w:rPr>
              <w:rFonts w:hint="eastAsia" w:eastAsia="宋体"/>
              <w:b/>
              <w:bCs/>
              <w:sz w:val="24"/>
              <w:szCs w:val="24"/>
              <w:lang w:val="en-US" w:eastAsia="zh-CN"/>
            </w:rPr>
            <w:t>Discussion about t</w:t>
          </w:r>
          <w:r>
            <w:rPr>
              <w:b/>
              <w:bCs/>
              <w:sz w:val="24"/>
              <w:szCs w:val="24"/>
            </w:rPr>
            <w:t>he proposed measures</w:t>
          </w:r>
          <w:bookmarkEnd w:id="5"/>
          <w:r>
            <w:rPr>
              <w:b/>
              <w:bCs/>
              <w:sz w:val="24"/>
              <w:szCs w:val="24"/>
            </w:rPr>
            <w:t xml:space="preserve"> </w:t>
          </w:r>
        </w:p>
        <w:p>
          <w:pPr>
            <w:rPr>
              <w:rFonts w:hint="default" w:eastAsiaTheme="minorEastAsia"/>
              <w:lang w:val="en-US" w:eastAsia="zh-CN"/>
            </w:rPr>
          </w:pPr>
          <w:r>
            <w:rPr>
              <w:rFonts w:hint="eastAsia"/>
            </w:rPr>
            <w:t>As for the proposed measures of divisional performance, residual income (RI) and economic value added (EVATM) are good measures to consider as they take into account the cost of capital, which is an important factor in assessing performance. However, it is important to note that these measures do not take into account risk, which is a key consideration in measuring performance. In addition, it may be worthwhile to consider other non-financial measures such as customer satisfaction, employee satisfaction, and product quality, as these can also have an impact on long-term performance.</w:t>
          </w:r>
          <w:r>
            <w:rPr>
              <w:rFonts w:hint="eastAsia"/>
              <w:lang w:val="en-US" w:eastAsia="zh-CN"/>
            </w:rPr>
            <w:t xml:space="preserve"> The advantages and disadvantages of these two measures are as follow:</w:t>
          </w:r>
        </w:p>
        <w:p>
          <w:pPr>
            <w:rPr>
              <w:rFonts w:hint="eastAsia"/>
            </w:rPr>
          </w:pPr>
          <w:r>
            <w:rPr>
              <w:rFonts w:hint="eastAsia"/>
            </w:rPr>
            <w:t>Advantages of RI:</w:t>
          </w:r>
        </w:p>
        <w:p>
          <w:pPr>
            <w:rPr>
              <w:rFonts w:hint="eastAsia"/>
            </w:rPr>
          </w:pPr>
          <w:r>
            <w:rPr>
              <w:rFonts w:hint="eastAsia"/>
            </w:rPr>
            <w:t>Encourages managers to focus on long-term profitability rather than short-term gains.</w:t>
          </w:r>
        </w:p>
        <w:p>
          <w:pPr>
            <w:rPr>
              <w:rFonts w:hint="eastAsia"/>
            </w:rPr>
          </w:pPr>
          <w:r>
            <w:rPr>
              <w:rFonts w:hint="eastAsia"/>
            </w:rPr>
            <w:t>Allows for performance comparisons across divisions and companies, even if they have different levels of investment.</w:t>
          </w:r>
        </w:p>
        <w:p>
          <w:pPr>
            <w:rPr>
              <w:rFonts w:hint="eastAsia"/>
            </w:rPr>
          </w:pPr>
          <w:r>
            <w:rPr>
              <w:rFonts w:hint="eastAsia"/>
            </w:rPr>
            <w:t>Provides an easy-to-understand measure of performance that is less sensitive to accounting choices than traditional accounting measures.</w:t>
          </w:r>
        </w:p>
        <w:p>
          <w:pPr>
            <w:rPr>
              <w:rFonts w:hint="eastAsia"/>
            </w:rPr>
          </w:pPr>
        </w:p>
        <w:p>
          <w:pPr>
            <w:rPr>
              <w:rFonts w:hint="eastAsia"/>
            </w:rPr>
          </w:pPr>
          <w:r>
            <w:rPr>
              <w:rFonts w:hint="eastAsia"/>
            </w:rPr>
            <w:t>Disadvantages of RI:</w:t>
          </w:r>
        </w:p>
        <w:p>
          <w:pPr>
            <w:rPr>
              <w:rFonts w:hint="eastAsia"/>
            </w:rPr>
          </w:pPr>
          <w:r>
            <w:rPr>
              <w:rFonts w:hint="eastAsia"/>
              <w:lang w:val="en-US" w:eastAsia="zh-CN"/>
            </w:rPr>
            <w:t xml:space="preserve">It might </w:t>
          </w:r>
          <w:r>
            <w:rPr>
              <w:rFonts w:hint="eastAsia"/>
            </w:rPr>
            <w:t>be affected by factors outside the control of the divisional manager, such as macroeconomic conditions or corporate-level decisions.</w:t>
          </w:r>
          <w:r>
            <w:rPr>
              <w:rFonts w:hint="eastAsia"/>
              <w:lang w:val="en-US" w:eastAsia="zh-CN"/>
            </w:rPr>
            <w:t xml:space="preserve"> Besides ,it can be </w:t>
          </w:r>
          <w:r>
            <w:rPr>
              <w:rFonts w:hint="eastAsia"/>
            </w:rPr>
            <w:t xml:space="preserve"> manipulated by managers through aggressive accounting practices or by underinvesting in the division to boost short-term RI.</w:t>
          </w:r>
        </w:p>
        <w:p>
          <w:pPr>
            <w:rPr>
              <w:rFonts w:hint="eastAsia"/>
            </w:rPr>
          </w:pPr>
        </w:p>
        <w:p>
          <w:pPr>
            <w:rPr>
              <w:rFonts w:hint="eastAsia"/>
            </w:rPr>
          </w:pPr>
          <w:r>
            <w:rPr>
              <w:rFonts w:hint="eastAsia"/>
            </w:rPr>
            <w:t>Advantages of EVATM:</w:t>
          </w:r>
        </w:p>
        <w:p>
          <w:pPr>
            <w:rPr>
              <w:rFonts w:hint="eastAsia"/>
            </w:rPr>
          </w:pPr>
          <w:r>
            <w:rPr>
              <w:rFonts w:hint="eastAsia"/>
            </w:rPr>
            <w:t>Similar to RI, encourages long-term profitability.</w:t>
          </w:r>
        </w:p>
        <w:p>
          <w:pPr>
            <w:rPr>
              <w:rFonts w:hint="eastAsia"/>
            </w:rPr>
          </w:pPr>
          <w:r>
            <w:rPr>
              <w:rFonts w:hint="eastAsia"/>
              <w:lang w:val="en-US" w:eastAsia="zh-CN"/>
            </w:rPr>
            <w:t>This measues a</w:t>
          </w:r>
          <w:r>
            <w:rPr>
              <w:rFonts w:hint="eastAsia"/>
            </w:rPr>
            <w:t>djust for the cost of capital, which is especially important when comparing divisions or companies with different levels of investment.</w:t>
          </w:r>
          <w:r>
            <w:rPr>
              <w:rFonts w:hint="eastAsia"/>
              <w:lang w:val="en-US" w:eastAsia="zh-CN"/>
            </w:rPr>
            <w:t xml:space="preserve"> And it p</w:t>
          </w:r>
          <w:r>
            <w:rPr>
              <w:rFonts w:hint="eastAsia"/>
            </w:rPr>
            <w:t>rovides a clear measure of value creation that can be compared across companies and industries.</w:t>
          </w:r>
        </w:p>
        <w:p>
          <w:pPr>
            <w:rPr>
              <w:rFonts w:hint="eastAsia"/>
            </w:rPr>
          </w:pPr>
        </w:p>
        <w:p>
          <w:pPr>
            <w:rPr>
              <w:rFonts w:hint="eastAsia"/>
            </w:rPr>
          </w:pPr>
          <w:r>
            <w:rPr>
              <w:rFonts w:hint="eastAsia"/>
            </w:rPr>
            <w:t>Disadvantages of EVATM:</w:t>
          </w:r>
        </w:p>
        <w:p>
          <w:pPr>
            <w:rPr>
              <w:rFonts w:hint="eastAsia"/>
            </w:rPr>
          </w:pPr>
          <w:r>
            <w:rPr>
              <w:rFonts w:hint="eastAsia"/>
              <w:lang w:val="en-US" w:eastAsia="zh-CN"/>
            </w:rPr>
            <w:t xml:space="preserve">It might be </w:t>
          </w:r>
          <w:r>
            <w:rPr>
              <w:rFonts w:hint="eastAsia"/>
            </w:rPr>
            <w:t>affected by macroeconomic factors that are outside the control of the divisional manager.</w:t>
          </w:r>
          <w:r>
            <w:rPr>
              <w:rFonts w:hint="eastAsia"/>
              <w:lang w:val="en-US" w:eastAsia="zh-CN"/>
            </w:rPr>
            <w:t xml:space="preserve"> On the other hand, EVATM method c</w:t>
          </w:r>
          <w:r>
            <w:rPr>
              <w:rFonts w:hint="eastAsia"/>
            </w:rPr>
            <w:t>an be manipulated by managers through accounting practices or by under</w:t>
          </w:r>
          <w:r>
            <w:rPr>
              <w:rFonts w:hint="eastAsia"/>
              <w:lang w:val="en-US" w:eastAsia="zh-CN"/>
            </w:rPr>
            <w:t xml:space="preserve"> </w:t>
          </w:r>
          <w:r>
            <w:rPr>
              <w:rFonts w:hint="eastAsia"/>
            </w:rPr>
            <w:t>investing in the division to boost short-term EVA.</w:t>
          </w:r>
        </w:p>
        <w:p>
          <w:pPr>
            <w:rPr>
              <w:rFonts w:hint="eastAsia"/>
            </w:rPr>
          </w:pPr>
          <w:r>
            <w:rPr>
              <w:rFonts w:hint="eastAsia"/>
              <w:lang w:val="en-US" w:eastAsia="zh-CN"/>
            </w:rPr>
            <w:t xml:space="preserve">Moreover, this measure </w:t>
          </w:r>
          <w:r>
            <w:rPr>
              <w:rFonts w:hint="eastAsia"/>
            </w:rPr>
            <w:t>equires more data and calculations than RI, which can be a disadvantage for companies that do not have sophisticated accounting systems.</w:t>
          </w:r>
        </w:p>
        <w:p>
          <w:pPr>
            <w:pStyle w:val="4"/>
            <w:numPr>
              <w:ilvl w:val="0"/>
              <w:numId w:val="1"/>
            </w:numPr>
            <w:bidi w:val="0"/>
          </w:pPr>
          <w:bookmarkStart w:id="6" w:name="_Toc9621"/>
          <w:r>
            <w:t>the criteria for designing a transfer pricing system</w:t>
          </w:r>
          <w:bookmarkEnd w:id="6"/>
        </w:p>
        <w:p>
          <w:pPr>
            <w:numPr>
              <w:ilvl w:val="0"/>
              <w:numId w:val="0"/>
            </w:numPr>
            <w:ind w:leftChars="0"/>
            <w:rPr>
              <w:rFonts w:hint="eastAsia"/>
              <w:b/>
              <w:bCs/>
              <w:sz w:val="24"/>
              <w:szCs w:val="24"/>
            </w:rPr>
          </w:pPr>
        </w:p>
        <w:p>
          <w:pPr>
            <w:rPr>
              <w:rFonts w:hint="eastAsia"/>
            </w:rPr>
          </w:pPr>
          <w:r>
            <w:rPr>
              <w:rFonts w:hint="eastAsia"/>
            </w:rPr>
            <w:t>Objectivity: The transfer pricing method should be based on objective criteria, such as market prices or actual costs, to avoid any bias or manipulation.</w:t>
          </w:r>
        </w:p>
        <w:p>
          <w:pPr>
            <w:rPr>
              <w:rFonts w:hint="eastAsia"/>
            </w:rPr>
          </w:pPr>
          <w:r>
            <w:rPr>
              <w:rFonts w:hint="eastAsia"/>
            </w:rPr>
            <w:t>Simplicity: The transfer pricing method should be easy to understand and apply, so that it can be consistently and efficiently used by both divisions.</w:t>
          </w:r>
        </w:p>
        <w:p>
          <w:pPr>
            <w:rPr>
              <w:rFonts w:hint="eastAsia"/>
            </w:rPr>
          </w:pPr>
          <w:r>
            <w:rPr>
              <w:rFonts w:hint="eastAsia"/>
            </w:rPr>
            <w:t>Consistency: The transfer pricing method should be consistent over time and across similar transactions, to ensure fairness and avoid disputes.</w:t>
          </w:r>
        </w:p>
        <w:p>
          <w:pPr>
            <w:rPr>
              <w:rFonts w:hint="eastAsia"/>
            </w:rPr>
          </w:pPr>
          <w:r>
            <w:rPr>
              <w:rFonts w:hint="eastAsia"/>
            </w:rPr>
            <w:t>Compatibility with corporate goals: The transfer pricing method should align with the overall goals of the company, such as maximizing profits or promoting collaboration between divisions.</w:t>
          </w:r>
        </w:p>
        <w:p>
          <w:pPr>
            <w:rPr>
              <w:rFonts w:hint="eastAsia"/>
            </w:rPr>
          </w:pPr>
        </w:p>
        <w:p>
          <w:pPr>
            <w:rPr>
              <w:rFonts w:hint="eastAsia"/>
            </w:rPr>
          </w:pPr>
          <w:r>
            <w:rPr>
              <w:rFonts w:hint="eastAsia"/>
            </w:rPr>
            <w:t>Compliance with tax regulations: The transfer pricing system should comply with applicable tax laws and regulations, to avoid any legal or financial penalties.</w:t>
          </w:r>
        </w:p>
        <w:p>
          <w:pPr>
            <w:pStyle w:val="4"/>
            <w:bidi w:val="0"/>
            <w:rPr>
              <w:rFonts w:hint="default" w:eastAsiaTheme="minorEastAsia"/>
              <w:b/>
              <w:bCs/>
              <w:lang w:val="en-US" w:eastAsia="zh-CN"/>
            </w:rPr>
          </w:pPr>
          <w:bookmarkStart w:id="7" w:name="_Toc274"/>
          <w:r>
            <w:rPr>
              <w:rFonts w:hint="eastAsia"/>
              <w:b/>
              <w:bCs/>
              <w:lang w:val="en-US" w:eastAsia="zh-CN"/>
            </w:rPr>
            <w:t>4.</w:t>
          </w:r>
          <w:r>
            <w:rPr>
              <w:b/>
              <w:bCs/>
              <w:sz w:val="24"/>
              <w:szCs w:val="24"/>
            </w:rPr>
            <w:t xml:space="preserve"> </w:t>
          </w:r>
          <w:r>
            <w:rPr>
              <w:rFonts w:hint="eastAsia"/>
              <w:b/>
              <w:bCs/>
              <w:sz w:val="24"/>
              <w:szCs w:val="24"/>
              <w:lang w:val="en-US" w:eastAsia="zh-CN"/>
            </w:rPr>
            <w:t>T</w:t>
          </w:r>
          <w:r>
            <w:rPr>
              <w:b/>
              <w:bCs/>
              <w:sz w:val="24"/>
              <w:szCs w:val="24"/>
            </w:rPr>
            <w:t xml:space="preserve">ransfer </w:t>
          </w:r>
          <w:r>
            <w:rPr>
              <w:rFonts w:hint="eastAsia"/>
              <w:b/>
              <w:bCs/>
              <w:sz w:val="24"/>
              <w:szCs w:val="24"/>
              <w:lang w:val="en-US" w:eastAsia="zh-CN"/>
            </w:rPr>
            <w:t>P</w:t>
          </w:r>
          <w:r>
            <w:rPr>
              <w:b/>
              <w:bCs/>
              <w:sz w:val="24"/>
              <w:szCs w:val="24"/>
            </w:rPr>
            <w:t xml:space="preserve">rice </w:t>
          </w:r>
          <w:r>
            <w:rPr>
              <w:rFonts w:hint="eastAsia"/>
              <w:b/>
              <w:bCs/>
              <w:sz w:val="24"/>
              <w:szCs w:val="24"/>
              <w:lang w:val="en-US" w:eastAsia="zh-CN"/>
            </w:rPr>
            <w:t>B</w:t>
          </w:r>
          <w:r>
            <w:rPr>
              <w:b/>
              <w:bCs/>
              <w:sz w:val="24"/>
              <w:szCs w:val="24"/>
            </w:rPr>
            <w:t xml:space="preserve">etween </w:t>
          </w:r>
          <w:r>
            <w:rPr>
              <w:rFonts w:hint="eastAsia"/>
              <w:b/>
              <w:bCs/>
              <w:sz w:val="24"/>
              <w:szCs w:val="24"/>
              <w:lang w:val="en-US" w:eastAsia="zh-CN"/>
            </w:rPr>
            <w:t>T</w:t>
          </w:r>
          <w:r>
            <w:rPr>
              <w:b/>
              <w:bCs/>
              <w:sz w:val="24"/>
              <w:szCs w:val="24"/>
            </w:rPr>
            <w:t xml:space="preserve">he </w:t>
          </w:r>
          <w:r>
            <w:rPr>
              <w:rFonts w:hint="eastAsia"/>
              <w:b/>
              <w:bCs/>
              <w:sz w:val="24"/>
              <w:szCs w:val="24"/>
              <w:lang w:val="en-US" w:eastAsia="zh-CN"/>
            </w:rPr>
            <w:t>S</w:t>
          </w:r>
          <w:r>
            <w:rPr>
              <w:b/>
              <w:bCs/>
              <w:sz w:val="24"/>
              <w:szCs w:val="24"/>
            </w:rPr>
            <w:t xml:space="preserve">ervice and M/S </w:t>
          </w:r>
          <w:r>
            <w:rPr>
              <w:rFonts w:hint="eastAsia"/>
              <w:b/>
              <w:bCs/>
              <w:sz w:val="24"/>
              <w:szCs w:val="24"/>
              <w:lang w:val="en-US" w:eastAsia="zh-CN"/>
            </w:rPr>
            <w:t>D</w:t>
          </w:r>
          <w:r>
            <w:rPr>
              <w:b/>
              <w:bCs/>
              <w:sz w:val="24"/>
              <w:szCs w:val="24"/>
            </w:rPr>
            <w:t>ivisions</w:t>
          </w:r>
          <w:bookmarkEnd w:id="7"/>
        </w:p>
        <w:p>
          <w:pPr>
            <w:rPr>
              <w:rFonts w:hint="eastAsia"/>
            </w:rPr>
          </w:pPr>
          <w:r>
            <w:rPr>
              <w:rFonts w:hint="eastAsia"/>
            </w:rPr>
            <w:t>In the case of Portal, the two transfer pricing methods that have been discussed are market price and cost plus.</w:t>
          </w:r>
        </w:p>
        <w:p>
          <w:pPr>
            <w:rPr>
              <w:rFonts w:hint="eastAsia"/>
            </w:rPr>
          </w:pPr>
          <w:r>
            <w:rPr>
              <w:rFonts w:hint="eastAsia"/>
            </w:rPr>
            <w:t>To calculate the transfer price, we can use either the market price or cost plus approach.</w:t>
          </w:r>
        </w:p>
        <w:p>
          <w:pPr>
            <w:rPr>
              <w:rFonts w:hint="eastAsia"/>
            </w:rPr>
          </w:pPr>
          <w:r>
            <w:rPr>
              <w:rFonts w:hint="eastAsia"/>
            </w:rPr>
            <w:t>Market Price Approach:</w:t>
          </w:r>
        </w:p>
        <w:p>
          <w:pPr>
            <w:rPr>
              <w:rFonts w:hint="eastAsia"/>
            </w:rPr>
          </w:pPr>
          <w:r>
            <w:rPr>
              <w:rFonts w:hint="eastAsia"/>
            </w:rPr>
            <w:t>Under this approach, the transfer price is based on the price at which similar goods or services are traded in an open market. In this case, the local engineering firm has quoted a flat price of £200 per warranty service repair provided that it obtains a contract for all of the warranty repairs from Portal.</w:t>
          </w:r>
        </w:p>
        <w:p>
          <w:pPr>
            <w:rPr>
              <w:rFonts w:hint="eastAsia"/>
            </w:rPr>
          </w:pPr>
          <w:r>
            <w:rPr>
              <w:rFonts w:hint="eastAsia"/>
            </w:rPr>
            <w:t>Therefore, the transfer price for warranty repairs would be £200 per repair. If the service division were to outsource the warranty service work to the local engineering firm, it could earn this price per repair.</w:t>
          </w:r>
          <w:r>
            <w:rPr>
              <w:rFonts w:hint="eastAsia"/>
              <w:lang w:val="en-US" w:eastAsia="zh-CN"/>
            </w:rPr>
            <w:t>I</w:t>
          </w:r>
          <w:r>
            <w:rPr>
              <w:rFonts w:hint="eastAsia"/>
            </w:rPr>
            <w:t>f the service division were to charge the M/S division this price, it would be consistent with the objectivity and simplicity criteria for designing a transfer pricing system.</w:t>
          </w:r>
        </w:p>
        <w:p>
          <w:pPr>
            <w:rPr>
              <w:rFonts w:hint="eastAsia"/>
            </w:rPr>
          </w:pPr>
          <w:r>
            <w:rPr>
              <w:rFonts w:hint="eastAsia"/>
            </w:rPr>
            <w:t>Cost Plus Approach:</w:t>
          </w:r>
        </w:p>
        <w:p>
          <w:pPr>
            <w:rPr>
              <w:rFonts w:hint="eastAsia"/>
            </w:rPr>
          </w:pPr>
          <w:r>
            <w:rPr>
              <w:rFonts w:hint="eastAsia"/>
            </w:rPr>
            <w:t>Under this approach, the transfer price is based on the cost of producing the goods or services, plus a markup to reflect the profit margin. In this case, we can calculate the cost of providing warranty repairs as follows:</w:t>
          </w:r>
        </w:p>
        <w:p>
          <w:pPr>
            <w:rPr>
              <w:rFonts w:hint="eastAsia"/>
            </w:rPr>
          </w:pPr>
        </w:p>
        <w:p>
          <w:pPr>
            <w:rPr>
              <w:rFonts w:hint="eastAsia"/>
            </w:rPr>
          </w:pPr>
          <w:r>
            <w:rPr>
              <w:rFonts w:hint="eastAsia"/>
            </w:rPr>
            <w:t>8% of 550,000 units require repairs within the three-year warranty = 44,000 units</w:t>
          </w:r>
        </w:p>
        <w:p>
          <w:pPr>
            <w:rPr>
              <w:rFonts w:hint="eastAsia"/>
            </w:rPr>
          </w:pPr>
          <w:r>
            <w:rPr>
              <w:rFonts w:hint="eastAsia"/>
            </w:rPr>
            <w:t>Cost of parts per repair = £85</w:t>
          </w:r>
        </w:p>
        <w:p>
          <w:pPr>
            <w:rPr>
              <w:rFonts w:hint="eastAsia"/>
            </w:rPr>
          </w:pPr>
          <w:r>
            <w:rPr>
              <w:rFonts w:hint="eastAsia"/>
            </w:rPr>
            <w:t>Labour cost per repair = 4 hours x £18 per hour = £72</w:t>
          </w:r>
        </w:p>
        <w:p>
          <w:pPr>
            <w:rPr>
              <w:rFonts w:hint="eastAsia"/>
            </w:rPr>
          </w:pPr>
          <w:r>
            <w:rPr>
              <w:rFonts w:hint="eastAsia"/>
            </w:rPr>
            <w:t>Variable overhead cost per repair = 4 hours x £12 per hour = £48</w:t>
          </w:r>
        </w:p>
        <w:p>
          <w:pPr>
            <w:rPr>
              <w:rFonts w:hint="eastAsia"/>
            </w:rPr>
          </w:pPr>
          <w:r>
            <w:rPr>
              <w:rFonts w:hint="eastAsia"/>
            </w:rPr>
            <w:t>Total cost per repair = £85 + £72 + £48 = £205</w:t>
          </w:r>
        </w:p>
        <w:p>
          <w:pPr>
            <w:rPr>
              <w:rFonts w:hint="eastAsia"/>
            </w:rPr>
          </w:pPr>
          <w:r>
            <w:rPr>
              <w:rFonts w:hint="eastAsia"/>
            </w:rPr>
            <w:t>Assuming a desired profit margin of 20%, the markup on cost would be 20% of £205 = £41. Therefore, the transfer price for warranty repairs under the cost plus approach would be £246 (£205 + £41).</w:t>
          </w:r>
        </w:p>
        <w:p>
          <w:pPr>
            <w:rPr>
              <w:rFonts w:hint="eastAsia"/>
            </w:rPr>
          </w:pPr>
          <w:r>
            <w:rPr>
              <w:rFonts w:hint="eastAsia"/>
            </w:rPr>
            <w:t xml:space="preserve"> This method aligns with the compatibility with corporate goals and compliance with tax regulations criteria, as it ensures that both divisions are earning a fair profit and complying with tax regulations.</w:t>
          </w:r>
        </w:p>
        <w:p>
          <w:pPr>
            <w:rPr>
              <w:rFonts w:hint="eastAsia"/>
            </w:rPr>
          </w:pPr>
          <w:r>
            <w:rPr>
              <w:rFonts w:hint="eastAsia"/>
            </w:rPr>
            <w:t>The board can consider both approaches and choose the one that aligns with the company’s objectives and provides the best outcome for the M/S and service divisions.However, both methods have some limitations. The market price method may not be feasible if there is no external market or the external market is not reliable. The cost plus method may not reflect the true value of the service provided and may not incentivize efficiency or cost control. Therefore, a combination of both methods, or another method that considers multiple factors, may be needed to design a comprehensive and effective transfer pricing system.</w:t>
          </w:r>
        </w:p>
        <w:p>
          <w:pPr>
            <w:pStyle w:val="4"/>
            <w:bidi w:val="0"/>
            <w:rPr>
              <w:rFonts w:hint="eastAsia"/>
              <w:b/>
              <w:bCs/>
              <w:sz w:val="24"/>
              <w:szCs w:val="24"/>
            </w:rPr>
          </w:pPr>
          <w:bookmarkStart w:id="8" w:name="_Toc18256"/>
          <w:r>
            <w:rPr>
              <w:rFonts w:hint="eastAsia"/>
              <w:b/>
              <w:bCs/>
              <w:sz w:val="24"/>
              <w:szCs w:val="24"/>
              <w:lang w:val="en-US" w:eastAsia="zh-CN"/>
            </w:rPr>
            <w:t>5.</w:t>
          </w:r>
          <w:r>
            <w:rPr>
              <w:b/>
              <w:bCs/>
              <w:sz w:val="24"/>
              <w:szCs w:val="24"/>
            </w:rPr>
            <w:t xml:space="preserve"> </w:t>
          </w:r>
          <w:r>
            <w:rPr>
              <w:rFonts w:hint="eastAsia"/>
              <w:b/>
              <w:bCs/>
              <w:sz w:val="24"/>
              <w:szCs w:val="24"/>
              <w:lang w:val="en-US" w:eastAsia="zh-CN"/>
            </w:rPr>
            <w:t>T</w:t>
          </w:r>
          <w:r>
            <w:rPr>
              <w:b/>
              <w:bCs/>
              <w:sz w:val="24"/>
              <w:szCs w:val="24"/>
            </w:rPr>
            <w:t xml:space="preserve">he </w:t>
          </w:r>
          <w:r>
            <w:rPr>
              <w:rFonts w:hint="eastAsia"/>
              <w:b/>
              <w:bCs/>
              <w:sz w:val="24"/>
              <w:szCs w:val="24"/>
              <w:lang w:val="en-US" w:eastAsia="zh-CN"/>
            </w:rPr>
            <w:t>P</w:t>
          </w:r>
          <w:r>
            <w:rPr>
              <w:b/>
              <w:bCs/>
              <w:sz w:val="24"/>
              <w:szCs w:val="24"/>
            </w:rPr>
            <w:t xml:space="preserve">otential </w:t>
          </w:r>
          <w:r>
            <w:rPr>
              <w:rFonts w:hint="eastAsia"/>
              <w:b/>
              <w:bCs/>
              <w:sz w:val="24"/>
              <w:szCs w:val="24"/>
              <w:lang w:val="en-US" w:eastAsia="zh-CN"/>
            </w:rPr>
            <w:t>I</w:t>
          </w:r>
          <w:r>
            <w:rPr>
              <w:b/>
              <w:bCs/>
              <w:sz w:val="24"/>
              <w:szCs w:val="24"/>
            </w:rPr>
            <w:t xml:space="preserve">mpact </w:t>
          </w:r>
          <w:r>
            <w:rPr>
              <w:rFonts w:hint="eastAsia"/>
              <w:b/>
              <w:bCs/>
              <w:sz w:val="24"/>
              <w:szCs w:val="24"/>
              <w:lang w:val="en-US" w:eastAsia="zh-CN"/>
            </w:rPr>
            <w:t>O</w:t>
          </w:r>
          <w:r>
            <w:rPr>
              <w:b/>
              <w:bCs/>
              <w:sz w:val="24"/>
              <w:szCs w:val="24"/>
            </w:rPr>
            <w:t xml:space="preserve">f </w:t>
          </w:r>
          <w:r>
            <w:rPr>
              <w:rFonts w:hint="eastAsia"/>
              <w:b/>
              <w:bCs/>
              <w:sz w:val="24"/>
              <w:szCs w:val="24"/>
              <w:lang w:val="en-US" w:eastAsia="zh-CN"/>
            </w:rPr>
            <w:t>T</w:t>
          </w:r>
          <w:r>
            <w:rPr>
              <w:b/>
              <w:bCs/>
              <w:sz w:val="24"/>
              <w:szCs w:val="24"/>
            </w:rPr>
            <w:t>he</w:t>
          </w:r>
          <w:r>
            <w:rPr>
              <w:rFonts w:hint="eastAsia" w:eastAsia="宋体"/>
              <w:b/>
              <w:bCs/>
              <w:sz w:val="24"/>
              <w:szCs w:val="24"/>
              <w:lang w:val="en-US" w:eastAsia="zh-CN"/>
            </w:rPr>
            <w:t xml:space="preserve"> N</w:t>
          </w:r>
          <w:r>
            <w:rPr>
              <w:b/>
              <w:bCs/>
              <w:sz w:val="24"/>
              <w:szCs w:val="24"/>
            </w:rPr>
            <w:t xml:space="preserve">ew </w:t>
          </w:r>
          <w:r>
            <w:rPr>
              <w:rFonts w:hint="eastAsia"/>
              <w:b/>
              <w:bCs/>
              <w:sz w:val="24"/>
              <w:szCs w:val="24"/>
              <w:lang w:val="en-US" w:eastAsia="zh-CN"/>
            </w:rPr>
            <w:t>E</w:t>
          </w:r>
          <w:r>
            <w:rPr>
              <w:b/>
              <w:bCs/>
              <w:sz w:val="24"/>
              <w:szCs w:val="24"/>
            </w:rPr>
            <w:t xml:space="preserve">xecutive </w:t>
          </w:r>
          <w:r>
            <w:rPr>
              <w:rFonts w:hint="eastAsia"/>
              <w:b/>
              <w:bCs/>
              <w:sz w:val="24"/>
              <w:szCs w:val="24"/>
              <w:lang w:val="en-US" w:eastAsia="zh-CN"/>
            </w:rPr>
            <w:t>I</w:t>
          </w:r>
          <w:r>
            <w:rPr>
              <w:b/>
              <w:bCs/>
              <w:sz w:val="24"/>
              <w:szCs w:val="24"/>
            </w:rPr>
            <w:t xml:space="preserve">nformation </w:t>
          </w:r>
          <w:r>
            <w:rPr>
              <w:rFonts w:hint="eastAsia"/>
              <w:b/>
              <w:bCs/>
              <w:sz w:val="24"/>
              <w:szCs w:val="24"/>
              <w:lang w:val="en-US" w:eastAsia="zh-CN"/>
            </w:rPr>
            <w:t>S</w:t>
          </w:r>
          <w:r>
            <w:rPr>
              <w:b/>
              <w:bCs/>
              <w:sz w:val="24"/>
              <w:szCs w:val="24"/>
            </w:rPr>
            <w:t>ystem</w:t>
          </w:r>
          <w:bookmarkEnd w:id="8"/>
        </w:p>
        <w:p>
          <w:pPr>
            <w:rPr>
              <w:rFonts w:hint="eastAsia"/>
              <w:sz w:val="24"/>
              <w:szCs w:val="24"/>
            </w:rPr>
          </w:pPr>
          <w:r>
            <w:rPr>
              <w:rFonts w:hint="eastAsia"/>
              <w:sz w:val="24"/>
              <w:szCs w:val="24"/>
              <w:lang w:val="en-US" w:eastAsia="zh-CN"/>
            </w:rPr>
            <w:t xml:space="preserve">The board want to have a new information system which is </w:t>
          </w:r>
          <w:r>
            <w:rPr>
              <w:sz w:val="24"/>
              <w:szCs w:val="24"/>
            </w:rPr>
            <w:t>integrated, single database that would be accessible at any of the company’s five sites</w:t>
          </w:r>
          <w:r>
            <w:rPr>
              <w:rFonts w:hint="eastAsia"/>
              <w:sz w:val="24"/>
              <w:szCs w:val="24"/>
              <w:lang w:val="en-US" w:eastAsia="zh-CN"/>
            </w:rPr>
            <w:t>.</w:t>
          </w:r>
          <w:r>
            <w:rPr>
              <w:rFonts w:hint="eastAsia"/>
              <w:sz w:val="24"/>
              <w:szCs w:val="24"/>
            </w:rPr>
            <w:t>The launch of Portal's new executive information system may have a substantial effect on performance management in a number of ways, including:</w:t>
          </w:r>
        </w:p>
        <w:p>
          <w:pPr>
            <w:rPr>
              <w:rFonts w:hint="eastAsia"/>
              <w:sz w:val="24"/>
              <w:szCs w:val="24"/>
            </w:rPr>
          </w:pPr>
          <w:r>
            <w:rPr>
              <w:rFonts w:hint="eastAsia"/>
              <w:sz w:val="24"/>
              <w:szCs w:val="24"/>
            </w:rPr>
            <w:t>Better decision-making: The new system would give executives access to real-time information, enabling them to decide more quickly and with greater knowledge. This would be especially helpful when having to make quick judgments in response to shifting market conditions.</w:t>
          </w:r>
        </w:p>
        <w:p>
          <w:pPr>
            <w:rPr>
              <w:rFonts w:hint="eastAsia"/>
              <w:sz w:val="24"/>
              <w:szCs w:val="24"/>
            </w:rPr>
          </w:pPr>
          <w:r>
            <w:rPr>
              <w:rFonts w:hint="eastAsia"/>
              <w:sz w:val="24"/>
              <w:szCs w:val="24"/>
            </w:rPr>
            <w:t>Enhanced performance monitoring: With the new system's comprehensive management information system, executives will be able to keep a close eye on each division's performance and pinpoint opportunities for development. This might result in improved performance management and increased business performance in general.</w:t>
          </w:r>
        </w:p>
        <w:p>
          <w:pPr>
            <w:rPr>
              <w:rFonts w:hint="eastAsia"/>
            </w:rPr>
          </w:pPr>
          <w:r>
            <w:rPr>
              <w:rFonts w:hint="eastAsia"/>
            </w:rPr>
            <w:t>Increased transparency: The company's five locations would all have access to the same database, ensuring that management could see all pertinent information. This would increase transparency throughout the organization and help to guarantee that all divisions are in line with the corporate objectives.</w:t>
          </w:r>
        </w:p>
        <w:p>
          <w:pPr>
            <w:rPr>
              <w:rFonts w:hint="eastAsia"/>
            </w:rPr>
          </w:pPr>
          <w:r>
            <w:rPr>
              <w:rFonts w:hint="eastAsia"/>
            </w:rPr>
            <w:t>Collaboration would be enhanced by the new system, which would facilitate cross-divisional cooperation and lessen the possibility of organizational silos. This would make it easier to make sure that every division is pursuing the same goals.</w:t>
          </w:r>
        </w:p>
        <w:p>
          <w:pPr>
            <w:rPr>
              <w:rFonts w:hint="eastAsia"/>
            </w:rPr>
          </w:pPr>
          <w:r>
            <w:rPr>
              <w:rFonts w:hint="eastAsia"/>
            </w:rPr>
            <w:t>Overall, the implementation of the new executive information system may be beneficial for Portal's performance management, resulting in greater collaboration, decision-making, and performance monitoring. However, the effectiveness of the new system's deployment and the employees' readiness to adopt the new technology will determine its success. In order to make sure that the new system offers a satisfactory return on investment, it would also be necessary to carefully analyze the cost of implementation.</w:t>
          </w:r>
        </w:p>
        <w:p>
          <w:pPr>
            <w:rPr>
              <w:rFonts w:hint="eastAsia"/>
            </w:rPr>
          </w:pPr>
        </w:p>
        <w:p>
          <w:pPr>
            <w:rPr>
              <w:rFonts w:hint="eastAsia"/>
            </w:rPr>
          </w:pPr>
        </w:p>
        <w:p>
          <w:pPr>
            <w:pStyle w:val="3"/>
          </w:pPr>
          <w:bookmarkStart w:id="9" w:name="_Toc4322"/>
          <w:r>
            <w:t>Task 2 – Troy Brands</w:t>
          </w:r>
          <w:bookmarkEnd w:id="9"/>
        </w:p>
        <w:p>
          <w:pPr>
            <w:numPr>
              <w:numId w:val="0"/>
            </w:numPr>
            <w:rPr>
              <w:rFonts w:hint="eastAsia"/>
              <w:b/>
              <w:bCs/>
              <w:lang w:val="en-US" w:eastAsia="zh-CN"/>
            </w:rPr>
          </w:pPr>
        </w:p>
        <w:p>
          <w:pPr>
            <w:pStyle w:val="4"/>
            <w:bidi w:val="0"/>
            <w:rPr>
              <w:rFonts w:hint="default"/>
              <w:lang w:val="en-US" w:eastAsia="zh-CN"/>
            </w:rPr>
          </w:pPr>
          <w:bookmarkStart w:id="10" w:name="_Toc11258"/>
          <w:r>
            <w:rPr>
              <w:rFonts w:hint="eastAsia"/>
              <w:lang w:val="en-US" w:eastAsia="zh-CN"/>
            </w:rPr>
            <w:t>6.The Analysis On The Management</w:t>
          </w:r>
          <w:bookmarkEnd w:id="10"/>
        </w:p>
        <w:p>
          <w:pPr>
            <w:numPr>
              <w:numId w:val="0"/>
            </w:numPr>
            <w:spacing w:after="160" w:line="259" w:lineRule="auto"/>
            <w:rPr>
              <w:rFonts w:hint="default" w:eastAsiaTheme="minorEastAsia"/>
              <w:lang w:val="en-US" w:eastAsia="zh-CN"/>
            </w:rPr>
          </w:pPr>
          <w:r>
            <w:rPr>
              <w:rFonts w:hint="default" w:eastAsiaTheme="minorEastAsia"/>
              <w:lang w:val="en-US" w:eastAsia="zh-CN"/>
            </w:rPr>
            <w:t>Based on the</w:t>
          </w:r>
          <w:r>
            <w:rPr>
              <w:rFonts w:hint="eastAsia"/>
              <w:lang w:val="en-US" w:eastAsia="zh-CN"/>
            </w:rPr>
            <w:t xml:space="preserve"> cost analysis</w:t>
          </w:r>
          <w:r>
            <w:rPr>
              <w:rFonts w:hint="default" w:eastAsiaTheme="minorEastAsia"/>
              <w:lang w:val="en-US" w:eastAsia="zh-CN"/>
            </w:rPr>
            <w:t>, Troyland Footwear Limited has been negatively impacted by the ban on the procurement of raw materials from Uzbekistan. Prior to the ban, the company was able to achieve an average gross profit ratio of 80% due to the low cost of raw materials and labor. However, with the ban in place, the company has had to source raw materials from elsewhere, resulting in a significant reduction in gross profits.</w:t>
          </w:r>
        </w:p>
        <w:p>
          <w:pPr>
            <w:numPr>
              <w:numId w:val="0"/>
            </w:numPr>
            <w:spacing w:after="160" w:line="259" w:lineRule="auto"/>
            <w:rPr>
              <w:rFonts w:hint="default" w:eastAsiaTheme="minorEastAsia"/>
              <w:lang w:val="en-US" w:eastAsia="zh-CN"/>
            </w:rPr>
          </w:pPr>
          <w:r>
            <w:rPr>
              <w:rFonts w:hint="default" w:eastAsiaTheme="minorEastAsia"/>
              <w:lang w:val="en-US" w:eastAsia="zh-CN"/>
            </w:rPr>
            <w:t xml:space="preserve"> </w:t>
          </w:r>
          <w:r>
            <w:rPr>
              <w:rFonts w:hint="eastAsia"/>
              <w:lang w:val="en-US" w:eastAsia="zh-CN"/>
            </w:rPr>
            <w:t xml:space="preserve">As for sales analysis, </w:t>
          </w:r>
          <w:r>
            <w:rPr>
              <w:rFonts w:hint="default" w:eastAsiaTheme="minorEastAsia"/>
              <w:lang w:val="en-US" w:eastAsia="zh-CN"/>
            </w:rPr>
            <w:t xml:space="preserve"> Troyland Footwear Limited</w:t>
          </w:r>
          <w:r>
            <w:rPr>
              <w:rFonts w:hint="eastAsia"/>
              <w:lang w:val="en-US" w:eastAsia="zh-CN"/>
            </w:rPr>
            <w:t xml:space="preserve"> </w:t>
          </w:r>
          <w:r>
            <w:rPr>
              <w:rFonts w:hint="default" w:eastAsiaTheme="minorEastAsia"/>
              <w:lang w:val="en-US" w:eastAsia="zh-CN"/>
            </w:rPr>
            <w:t xml:space="preserve">have a relatively successful move </w:t>
          </w:r>
          <w:r>
            <w:rPr>
              <w:rFonts w:hint="eastAsia"/>
              <w:lang w:val="en-US" w:eastAsia="zh-CN"/>
            </w:rPr>
            <w:t xml:space="preserve">in </w:t>
          </w:r>
          <w:r>
            <w:rPr>
              <w:rFonts w:hint="default" w:eastAsiaTheme="minorEastAsia"/>
              <w:lang w:val="en-US" w:eastAsia="zh-CN"/>
            </w:rPr>
            <w:t>2018 , generating 10% of total sales in 2019 and projected to increase to 20% by 2022.</w:t>
          </w:r>
          <w:r>
            <w:rPr>
              <w:rFonts w:hint="eastAsia"/>
              <w:lang w:val="en-US" w:eastAsia="zh-CN"/>
            </w:rPr>
            <w:t xml:space="preserve"> M</w:t>
          </w:r>
          <w:r>
            <w:rPr>
              <w:rFonts w:hint="default" w:eastAsiaTheme="minorEastAsia"/>
              <w:lang w:val="en-US" w:eastAsia="zh-CN"/>
            </w:rPr>
            <w:t xml:space="preserve">ost of the customers are based in London and visit the store, but there is also a significant customer base in continental Europe, particularly in Germany, Netherlands and France. </w:t>
          </w:r>
          <w:r>
            <w:rPr>
              <w:rFonts w:hint="eastAsia"/>
              <w:lang w:val="en-US" w:eastAsia="zh-CN"/>
            </w:rPr>
            <w:t>T</w:t>
          </w:r>
          <w:r>
            <w:rPr>
              <w:rFonts w:hint="default" w:eastAsiaTheme="minorEastAsia"/>
              <w:lang w:val="en-US" w:eastAsia="zh-CN"/>
            </w:rPr>
            <w:t xml:space="preserve">he negative impact of Brexit and the Covid-19 pandemic on the number of orders is a cause for concern. The depreciation of the pound sterling against the euro currency is also negatively affecting reported annual sales. </w:t>
          </w:r>
        </w:p>
        <w:p>
          <w:pPr>
            <w:numPr>
              <w:ilvl w:val="0"/>
              <w:numId w:val="0"/>
            </w:numPr>
            <w:spacing w:after="160" w:line="259" w:lineRule="auto"/>
            <w:rPr>
              <w:rFonts w:hint="default" w:eastAsiaTheme="minorEastAsia"/>
              <w:lang w:val="en-US" w:eastAsia="zh-CN"/>
            </w:rPr>
          </w:pPr>
          <w:r>
            <w:rPr>
              <w:rFonts w:hint="default" w:eastAsiaTheme="minorEastAsia"/>
              <w:lang w:val="en-US" w:eastAsia="zh-CN"/>
            </w:rPr>
            <w:t>Based on the breakdown of working capital for Troyland Limited from 2018 to 2021, it is evident that the company has faced some challenges in effectively managing its working capital</w:t>
          </w:r>
          <w:r>
            <w:rPr>
              <w:rFonts w:hint="eastAsia"/>
              <w:lang w:val="en-US" w:eastAsia="zh-CN"/>
            </w:rPr>
            <w:t xml:space="preserve">. </w:t>
          </w:r>
          <w:r>
            <w:rPr>
              <w:rFonts w:hint="default" w:eastAsiaTheme="minorEastAsia"/>
              <w:lang w:val="en-US" w:eastAsia="zh-CN"/>
            </w:rPr>
            <w:t>In 2018, the company had a working capital of £145,000, which increased to £195,000 in 2019. This growth in working capital could be due to increased sales and profitability during this period. However, in 2020, the working capital decreased to £205,000, and it is projected to decrease further to £45,000 in 2021. This indicates that the company is facing a significant challenge in managing its working capital.</w:t>
          </w:r>
        </w:p>
        <w:p>
          <w:pPr>
            <w:numPr>
              <w:ilvl w:val="0"/>
              <w:numId w:val="0"/>
            </w:numPr>
            <w:spacing w:after="160" w:line="259" w:lineRule="auto"/>
            <w:rPr>
              <w:rFonts w:hint="default" w:eastAsiaTheme="minorEastAsia"/>
              <w:lang w:val="en-US" w:eastAsia="zh-CN"/>
            </w:rPr>
          </w:pPr>
          <w:r>
            <w:rPr>
              <w:rFonts w:hint="default" w:eastAsiaTheme="minorEastAsia"/>
              <w:lang w:val="en-US" w:eastAsia="zh-CN"/>
            </w:rPr>
            <w:t>Management control systems refer to the various tools, techniques, and procedures used by organizations to ensure that management is able to coordinate and control the organization's activities effectively. While Troyland has some measures of financial performance, there is a lack of performance measures for other aspects of the business, such as customer satisfaction, employee retention, and job completion time. This makes it difficult to determine whether the company is achieving its strategic objectives in these areas.</w:t>
          </w:r>
          <w:r>
            <w:rPr>
              <w:rFonts w:hint="eastAsia"/>
              <w:lang w:val="en-US" w:eastAsia="zh-CN"/>
            </w:rPr>
            <w:t xml:space="preserve"> Moreover,Troyland has some non-financial information, such as customer satisfaction surveys and employee retention rates, there is room to expand the use of this type of information in management decision-making.</w:t>
          </w:r>
        </w:p>
        <w:p>
          <w:pPr>
            <w:numPr>
              <w:ilvl w:val="0"/>
              <w:numId w:val="0"/>
            </w:numPr>
            <w:spacing w:after="160" w:line="259" w:lineRule="auto"/>
            <w:rPr>
              <w:rFonts w:hint="default" w:eastAsiaTheme="minorEastAsia"/>
              <w:lang w:val="en-US" w:eastAsia="zh-CN"/>
            </w:rPr>
          </w:pPr>
          <w:r>
            <w:rPr>
              <w:rFonts w:hint="default" w:eastAsiaTheme="minorEastAsia"/>
              <w:lang w:val="en-US" w:eastAsia="zh-CN"/>
            </w:rPr>
            <w:t>Strategic cost management refers to the process of identifying, analyzing, and controlling costs to achieve organizational goals and gain a competitive advantage. Based on the information provided, Troyland Limited has been experiencing a decline in sales, particularly in the London market, and a corresponding decline in profitability. The company's cost of sales has decreased in line with the decrease in revenue, but the operating expenses have remained constant, leading to a decline in profitability.</w:t>
          </w:r>
        </w:p>
        <w:p>
          <w:pPr>
            <w:numPr>
              <w:ilvl w:val="0"/>
              <w:numId w:val="0"/>
            </w:numPr>
            <w:spacing w:after="160" w:line="259" w:lineRule="auto"/>
            <w:rPr>
              <w:rFonts w:hint="default" w:eastAsiaTheme="minorEastAsia"/>
              <w:lang w:val="en-US" w:eastAsia="zh-CN"/>
            </w:rPr>
          </w:pPr>
          <w:r>
            <w:rPr>
              <w:rFonts w:hint="default" w:eastAsiaTheme="minorEastAsia"/>
              <w:lang w:val="en-US" w:eastAsia="zh-CN"/>
            </w:rPr>
            <w:t xml:space="preserve">Strategic performance management </w:t>
          </w:r>
          <w:r>
            <w:rPr>
              <w:rFonts w:hint="eastAsia"/>
              <w:lang w:val="en-US" w:eastAsia="zh-CN"/>
            </w:rPr>
            <w:t>is the kind of a</w:t>
          </w:r>
          <w:r>
            <w:rPr>
              <w:rFonts w:hint="default" w:eastAsiaTheme="minorEastAsia"/>
              <w:lang w:val="en-US" w:eastAsia="zh-CN"/>
            </w:rPr>
            <w:t xml:space="preserve"> process of establishing goals, measuring performance, and taking corrective actions to achieve strategic objectives. Troyland  has set ambitious growth targets, but it has failed to achieve them.There is a lack of clarity in the roles and responsibilities of employees, which has resulted in overlapping responsibilities and gaps in performance.Additionally, the company has not adequately measured its performance against its strategic objectives. For example, the company has not set up key performance indicators (KPIs) to measure its progress in penetrating new markets such as Wales, the rest of England, and the rest of Europe. Instead, it has relied on anecdotal evidence such as the number of website hits and customer satisfaction surveys, which may not accurately reflect the performance of the company.</w:t>
          </w:r>
        </w:p>
        <w:p>
          <w:pPr>
            <w:numPr>
              <w:numId w:val="0"/>
            </w:numPr>
            <w:spacing w:after="160" w:line="259" w:lineRule="auto"/>
            <w:rPr>
              <w:rFonts w:hint="default" w:eastAsiaTheme="minorEastAsia"/>
              <w:lang w:val="en-US" w:eastAsia="zh-CN"/>
            </w:rPr>
          </w:pPr>
        </w:p>
        <w:p>
          <w:pPr>
            <w:pStyle w:val="4"/>
            <w:bidi w:val="0"/>
            <w:rPr>
              <w:rFonts w:hint="default"/>
              <w:lang w:val="en-US" w:eastAsia="zh-CN"/>
            </w:rPr>
          </w:pPr>
          <w:bookmarkStart w:id="11" w:name="_Toc19768"/>
          <w:r>
            <w:rPr>
              <w:rFonts w:hint="eastAsia"/>
              <w:lang w:val="en-US" w:eastAsia="zh-CN"/>
            </w:rPr>
            <w:t>7.The Growth Crisis Faced By Troyland</w:t>
          </w:r>
          <w:bookmarkEnd w:id="11"/>
        </w:p>
        <w:p>
          <w:pPr>
            <w:numPr>
              <w:numId w:val="0"/>
            </w:numPr>
            <w:spacing w:after="160" w:line="259" w:lineRule="auto"/>
            <w:rPr>
              <w:rFonts w:hint="default" w:eastAsiaTheme="minorEastAsia"/>
              <w:lang w:val="en-US" w:eastAsia="zh-CN"/>
            </w:rPr>
          </w:pPr>
          <w:r>
            <w:rPr>
              <w:rFonts w:hint="default" w:eastAsiaTheme="minorEastAsia"/>
              <w:lang w:val="en-US" w:eastAsia="zh-CN"/>
            </w:rPr>
            <w:t>Decline in Sales: The sales for Troyland have been declining since 2019. While the decline in sales for 2020 could be attributed to the COVID-19 pandemic, the projected sales for 2021 are also significantly lower. This suggests that the decline is not just a temporary blip and could be due to other factors such as increased competition or changing consumer preferences.</w:t>
          </w:r>
        </w:p>
        <w:p>
          <w:pPr>
            <w:numPr>
              <w:numId w:val="0"/>
            </w:numPr>
            <w:spacing w:after="160" w:line="259" w:lineRule="auto"/>
            <w:rPr>
              <w:rFonts w:hint="default" w:eastAsiaTheme="minorEastAsia"/>
              <w:lang w:val="en-US" w:eastAsia="zh-CN"/>
            </w:rPr>
          </w:pPr>
          <w:r>
            <w:rPr>
              <w:rFonts w:hint="default" w:eastAsiaTheme="minorEastAsia"/>
              <w:lang w:val="en-US" w:eastAsia="zh-CN"/>
            </w:rPr>
            <w:t>London Market Share: Troyland's market share in London is declining rapidly. This is concerning since London is a key market for the company, accounting for a significant portion of its sales. If this trend continues, it could have a significant impact on the company's overall sales and profitability.</w:t>
          </w:r>
        </w:p>
        <w:p>
          <w:pPr>
            <w:numPr>
              <w:numId w:val="0"/>
            </w:numPr>
            <w:spacing w:after="160" w:line="259" w:lineRule="auto"/>
            <w:rPr>
              <w:rFonts w:hint="default" w:eastAsiaTheme="minorEastAsia"/>
              <w:lang w:val="en-US" w:eastAsia="zh-CN"/>
            </w:rPr>
          </w:pPr>
          <w:r>
            <w:rPr>
              <w:rFonts w:hint="default" w:eastAsiaTheme="minorEastAsia"/>
              <w:lang w:val="en-US" w:eastAsia="zh-CN"/>
            </w:rPr>
            <w:t>Lack of Diversification: Troyland's sales are heavily concentrated in Europe, with the rest of the world accounting for a very small portion of sales. This lack of diversification makes the company vulnerable to economic and political changes in Europe, which could adversely impact its sales.</w:t>
          </w:r>
        </w:p>
        <w:p>
          <w:pPr>
            <w:numPr>
              <w:numId w:val="0"/>
            </w:numPr>
            <w:spacing w:after="160" w:line="259" w:lineRule="auto"/>
            <w:rPr>
              <w:rFonts w:hint="default" w:eastAsiaTheme="minorEastAsia"/>
              <w:lang w:val="en-US" w:eastAsia="zh-CN"/>
            </w:rPr>
          </w:pPr>
          <w:r>
            <w:rPr>
              <w:rFonts w:hint="default" w:eastAsiaTheme="minorEastAsia"/>
              <w:lang w:val="en-US" w:eastAsia="zh-CN"/>
            </w:rPr>
            <w:t>Profitability: Troyland's profitability has been declining steadily since 2019. While the decline in profitability in 2020 could be attributed to the pandemic, the projected profitability for 2021 is also negative. This suggests that the company's current business model is not sustainable and needs to be re-evaluated.</w:t>
          </w:r>
        </w:p>
        <w:p>
          <w:pPr>
            <w:numPr>
              <w:numId w:val="0"/>
            </w:numPr>
            <w:spacing w:after="160" w:line="259" w:lineRule="auto"/>
            <w:rPr>
              <w:rFonts w:hint="default" w:eastAsiaTheme="minorEastAsia"/>
              <w:lang w:val="en-US" w:eastAsia="zh-CN"/>
            </w:rPr>
          </w:pPr>
          <w:r>
            <w:rPr>
              <w:rFonts w:hint="default" w:eastAsiaTheme="minorEastAsia"/>
              <w:lang w:val="en-US" w:eastAsia="zh-CN"/>
            </w:rPr>
            <w:t>Employee Retention: While employee retention has improved over the years, it is still relatively low at 89%. This could be indicative of underlying issues such as poor working conditions or low employee morale, which could impact the company's ability to attract and retain talent in the future.</w:t>
          </w:r>
        </w:p>
        <w:p>
          <w:pPr>
            <w:numPr>
              <w:numId w:val="0"/>
            </w:numPr>
            <w:spacing w:after="160" w:line="259" w:lineRule="auto"/>
            <w:rPr>
              <w:rFonts w:hint="default" w:eastAsiaTheme="minorEastAsia"/>
              <w:lang w:val="en-US" w:eastAsia="zh-CN"/>
            </w:rPr>
          </w:pPr>
          <w:r>
            <w:rPr>
              <w:rFonts w:hint="default" w:eastAsiaTheme="minorEastAsia"/>
              <w:lang w:val="en-US" w:eastAsia="zh-CN"/>
            </w:rPr>
            <w:t>Overall, Troyland is facing a number of growth crises that need to be addressed in order to ensure the company's long-term success. These issues range from declining sales and profitability to lack of diversification and employee retention, and require a comprehensive strategy that addresses all of these challenges.</w:t>
          </w:r>
        </w:p>
        <w:p>
          <w:pPr>
            <w:numPr>
              <w:numId w:val="0"/>
            </w:numPr>
            <w:spacing w:after="160" w:line="259" w:lineRule="auto"/>
            <w:rPr>
              <w:rFonts w:hint="default" w:eastAsiaTheme="minorEastAsia"/>
              <w:lang w:val="en-US" w:eastAsia="zh-CN"/>
            </w:rPr>
          </w:pPr>
        </w:p>
        <w:p>
          <w:pPr>
            <w:numPr>
              <w:numId w:val="0"/>
            </w:numPr>
            <w:spacing w:after="160" w:line="259" w:lineRule="auto"/>
            <w:rPr>
              <w:rFonts w:hint="default" w:eastAsiaTheme="minorEastAsia"/>
              <w:lang w:val="en-US" w:eastAsia="zh-CN"/>
            </w:rPr>
          </w:pPr>
        </w:p>
        <w:p>
          <w:pPr>
            <w:pStyle w:val="4"/>
            <w:bidi w:val="0"/>
            <w:rPr>
              <w:rFonts w:hint="eastAsia"/>
              <w:lang w:val="en-US" w:eastAsia="zh-CN"/>
            </w:rPr>
          </w:pPr>
          <w:bookmarkStart w:id="12" w:name="_Toc17435"/>
          <w:r>
            <w:rPr>
              <w:rFonts w:hint="eastAsia"/>
              <w:lang w:val="en-US" w:eastAsia="zh-CN"/>
            </w:rPr>
            <w:t>8.The Financial Performance</w:t>
          </w:r>
          <w:bookmarkEnd w:id="12"/>
          <w:r>
            <w:rPr>
              <w:rFonts w:hint="eastAsia"/>
              <w:lang w:val="en-US" w:eastAsia="zh-CN"/>
            </w:rPr>
            <w:t xml:space="preserve"> </w:t>
          </w:r>
        </w:p>
        <w:p>
          <w:pPr>
            <w:pStyle w:val="5"/>
            <w:bidi w:val="0"/>
            <w:rPr>
              <w:rFonts w:hint="eastAsia"/>
              <w:lang w:val="en-US" w:eastAsia="zh-CN"/>
            </w:rPr>
          </w:pPr>
          <w:r>
            <w:rPr>
              <w:rFonts w:hint="eastAsia"/>
              <w:lang w:val="en-US" w:eastAsia="zh-CN"/>
            </w:rPr>
            <w:t>8.1 Quantitative Performance</w:t>
          </w:r>
        </w:p>
        <w:p>
          <w:pPr>
            <w:numPr>
              <w:numId w:val="0"/>
            </w:numPr>
            <w:spacing w:after="160" w:line="259" w:lineRule="auto"/>
            <w:rPr>
              <w:rFonts w:hint="eastAsia"/>
              <w:lang w:val="en-US" w:eastAsia="zh-CN"/>
            </w:rPr>
          </w:pPr>
          <w:r>
            <w:rPr>
              <w:rFonts w:hint="eastAsia"/>
              <w:lang w:val="en-US" w:eastAsia="zh-CN"/>
            </w:rPr>
            <w:t>Based on the financial information provided in Appendix 3, we can perform some calculations to evaluate the quantitative performance of Troyland :</w:t>
          </w:r>
        </w:p>
        <w:p>
          <w:pPr>
            <w:pStyle w:val="6"/>
            <w:bidi w:val="0"/>
            <w:rPr>
              <w:rFonts w:hint="default"/>
              <w:lang w:val="en-US" w:eastAsia="zh-CN"/>
            </w:rPr>
          </w:pPr>
          <w:r>
            <w:rPr>
              <w:rFonts w:hint="eastAsia"/>
              <w:lang w:val="en-US" w:eastAsia="zh-CN"/>
            </w:rPr>
            <w:t>8.1.1 Profitability Ratios:</w:t>
          </w:r>
        </w:p>
        <w:p>
          <w:pPr>
            <w:numPr>
              <w:numId w:val="0"/>
            </w:numPr>
            <w:spacing w:after="160" w:line="259" w:lineRule="auto"/>
            <w:rPr>
              <w:rFonts w:hint="eastAsia"/>
              <w:lang w:val="en-US" w:eastAsia="zh-CN"/>
            </w:rPr>
          </w:pPr>
          <w:r>
            <w:rPr>
              <w:rFonts w:hint="eastAsia"/>
              <w:lang w:val="en-US" w:eastAsia="zh-CN"/>
            </w:rPr>
            <w:t>Gross Profit Margin:</w:t>
          </w:r>
        </w:p>
        <w:p>
          <w:pPr>
            <w:numPr>
              <w:numId w:val="0"/>
            </w:numPr>
            <w:spacing w:after="160" w:line="259" w:lineRule="auto"/>
            <w:rPr>
              <w:rFonts w:hint="eastAsia"/>
              <w:lang w:val="en-US" w:eastAsia="zh-CN"/>
            </w:rPr>
          </w:pPr>
          <w:r>
            <w:rPr>
              <w:rFonts w:hint="eastAsia"/>
              <w:lang w:val="en-US" w:eastAsia="zh-CN"/>
            </w:rPr>
            <w:t>Gross Profit Margin = (Gross Profit / Turnover) x 100%</w:t>
          </w:r>
        </w:p>
        <w:p>
          <w:pPr>
            <w:numPr>
              <w:numId w:val="0"/>
            </w:numPr>
            <w:spacing w:after="160" w:line="259" w:lineRule="auto"/>
            <w:rPr>
              <w:rFonts w:hint="eastAsia"/>
              <w:lang w:val="en-US" w:eastAsia="zh-CN"/>
            </w:rPr>
          </w:pPr>
          <w:r>
            <w:rPr>
              <w:rFonts w:hint="eastAsia"/>
              <w:lang w:val="en-US" w:eastAsia="zh-CN"/>
            </w:rPr>
            <w:t>2018: (700 / 1,400) x 100% = 50%</w:t>
          </w:r>
        </w:p>
        <w:p>
          <w:pPr>
            <w:numPr>
              <w:numId w:val="0"/>
            </w:numPr>
            <w:spacing w:after="160" w:line="259" w:lineRule="auto"/>
            <w:rPr>
              <w:rFonts w:hint="eastAsia"/>
              <w:lang w:val="en-US" w:eastAsia="zh-CN"/>
            </w:rPr>
          </w:pPr>
          <w:r>
            <w:rPr>
              <w:rFonts w:hint="eastAsia"/>
              <w:lang w:val="en-US" w:eastAsia="zh-CN"/>
            </w:rPr>
            <w:t>2019: (820 / 1,750) x 100% = 47%</w:t>
          </w:r>
        </w:p>
        <w:p>
          <w:pPr>
            <w:numPr>
              <w:numId w:val="0"/>
            </w:numPr>
            <w:spacing w:after="160" w:line="259" w:lineRule="auto"/>
            <w:rPr>
              <w:rFonts w:hint="eastAsia"/>
              <w:lang w:val="en-US" w:eastAsia="zh-CN"/>
            </w:rPr>
          </w:pPr>
          <w:r>
            <w:rPr>
              <w:rFonts w:hint="eastAsia"/>
              <w:lang w:val="en-US" w:eastAsia="zh-CN"/>
            </w:rPr>
            <w:t>2020: (600 / 1,455) x 100% = 41%</w:t>
          </w:r>
        </w:p>
        <w:p>
          <w:pPr>
            <w:numPr>
              <w:numId w:val="0"/>
            </w:numPr>
            <w:spacing w:after="160" w:line="259" w:lineRule="auto"/>
            <w:rPr>
              <w:rFonts w:hint="eastAsia"/>
              <w:lang w:val="en-US" w:eastAsia="zh-CN"/>
            </w:rPr>
          </w:pPr>
          <w:r>
            <w:rPr>
              <w:rFonts w:hint="eastAsia"/>
              <w:lang w:val="en-US" w:eastAsia="zh-CN"/>
            </w:rPr>
            <w:t>2021: (320 / 600) x 100% = 53%</w:t>
          </w:r>
        </w:p>
        <w:p>
          <w:pPr>
            <w:numPr>
              <w:numId w:val="0"/>
            </w:numPr>
            <w:spacing w:after="160" w:line="259" w:lineRule="auto"/>
            <w:rPr>
              <w:rFonts w:hint="eastAsia"/>
              <w:lang w:val="en-US" w:eastAsia="zh-CN"/>
            </w:rPr>
          </w:pPr>
          <w:r>
            <w:rPr>
              <w:rFonts w:hint="eastAsia"/>
              <w:lang w:val="en-US" w:eastAsia="zh-CN"/>
            </w:rPr>
            <w:t>The gross profit margin measures the percentage of revenue that remains after deducting the cost of goods sold. A higher gross profit margin is generally considered better, as it indicates that the company is generating more profits on each sale. Troyland had a gross profit margin of 50% in 2018 and 47% in 2019, which is good. However, the ratio decreased in 2020 and is projected to decrease further in 2021, which could indicate potential issues with managing costs.</w:t>
          </w:r>
        </w:p>
        <w:p>
          <w:pPr>
            <w:numPr>
              <w:numId w:val="0"/>
            </w:numPr>
            <w:spacing w:after="160" w:line="259" w:lineRule="auto"/>
            <w:rPr>
              <w:rFonts w:hint="eastAsia"/>
              <w:lang w:val="en-US" w:eastAsia="zh-CN"/>
            </w:rPr>
          </w:pPr>
          <w:r>
            <w:rPr>
              <w:rFonts w:hint="eastAsia"/>
              <w:lang w:val="en-US" w:eastAsia="zh-CN"/>
            </w:rPr>
            <w:t>Operating Profit Margin:</w:t>
          </w:r>
        </w:p>
        <w:p>
          <w:pPr>
            <w:numPr>
              <w:numId w:val="0"/>
            </w:numPr>
            <w:spacing w:after="160" w:line="259" w:lineRule="auto"/>
            <w:rPr>
              <w:rFonts w:hint="eastAsia"/>
              <w:lang w:val="en-US" w:eastAsia="zh-CN"/>
            </w:rPr>
          </w:pPr>
          <w:r>
            <w:rPr>
              <w:rFonts w:hint="eastAsia"/>
              <w:lang w:val="en-US" w:eastAsia="zh-CN"/>
            </w:rPr>
            <w:t>Operating Profit Margin = (Operating Profit / Turnover) x 100%</w:t>
          </w:r>
        </w:p>
        <w:p>
          <w:pPr>
            <w:numPr>
              <w:numId w:val="0"/>
            </w:numPr>
            <w:spacing w:after="160" w:line="259" w:lineRule="auto"/>
            <w:rPr>
              <w:rFonts w:hint="eastAsia"/>
              <w:lang w:val="en-US" w:eastAsia="zh-CN"/>
            </w:rPr>
          </w:pPr>
          <w:r>
            <w:rPr>
              <w:rFonts w:hint="eastAsia"/>
              <w:lang w:val="en-US" w:eastAsia="zh-CN"/>
            </w:rPr>
            <w:t>2018: (300 / 1,400) x 100% = 21%</w:t>
          </w:r>
        </w:p>
        <w:p>
          <w:pPr>
            <w:numPr>
              <w:numId w:val="0"/>
            </w:numPr>
            <w:spacing w:after="160" w:line="259" w:lineRule="auto"/>
            <w:rPr>
              <w:rFonts w:hint="eastAsia"/>
              <w:lang w:val="en-US" w:eastAsia="zh-CN"/>
            </w:rPr>
          </w:pPr>
          <w:r>
            <w:rPr>
              <w:rFonts w:hint="eastAsia"/>
              <w:lang w:val="en-US" w:eastAsia="zh-CN"/>
            </w:rPr>
            <w:t>2019: (372 / 1,750) x 100% = 21%</w:t>
          </w:r>
        </w:p>
        <w:p>
          <w:pPr>
            <w:numPr>
              <w:numId w:val="0"/>
            </w:numPr>
            <w:spacing w:after="160" w:line="259" w:lineRule="auto"/>
            <w:rPr>
              <w:rFonts w:hint="eastAsia"/>
              <w:lang w:val="en-US" w:eastAsia="zh-CN"/>
            </w:rPr>
          </w:pPr>
          <w:r>
            <w:rPr>
              <w:rFonts w:hint="eastAsia"/>
              <w:lang w:val="en-US" w:eastAsia="zh-CN"/>
            </w:rPr>
            <w:t>2020: (105 / 1,455) x 100% = 7%</w:t>
          </w:r>
        </w:p>
        <w:p>
          <w:pPr>
            <w:numPr>
              <w:numId w:val="0"/>
            </w:numPr>
            <w:spacing w:after="160" w:line="259" w:lineRule="auto"/>
            <w:rPr>
              <w:rFonts w:hint="eastAsia"/>
              <w:lang w:val="en-US" w:eastAsia="zh-CN"/>
            </w:rPr>
          </w:pPr>
          <w:r>
            <w:rPr>
              <w:rFonts w:hint="eastAsia"/>
              <w:lang w:val="en-US" w:eastAsia="zh-CN"/>
            </w:rPr>
            <w:t>2021: (-175 / 600) x 100% = -29%</w:t>
          </w:r>
        </w:p>
        <w:p>
          <w:pPr>
            <w:numPr>
              <w:numId w:val="0"/>
            </w:numPr>
            <w:spacing w:after="160" w:line="259" w:lineRule="auto"/>
            <w:rPr>
              <w:rFonts w:hint="eastAsia"/>
              <w:lang w:val="en-US" w:eastAsia="zh-CN"/>
            </w:rPr>
          </w:pPr>
        </w:p>
        <w:p>
          <w:pPr>
            <w:numPr>
              <w:numId w:val="0"/>
            </w:numPr>
            <w:spacing w:after="160" w:line="259" w:lineRule="auto"/>
            <w:rPr>
              <w:rFonts w:hint="eastAsia"/>
              <w:lang w:val="en-US" w:eastAsia="zh-CN"/>
            </w:rPr>
          </w:pPr>
          <w:r>
            <w:rPr>
              <w:rFonts w:hint="eastAsia"/>
              <w:lang w:val="en-US" w:eastAsia="zh-CN"/>
            </w:rPr>
            <w:t>Operating Profit Margin is a measure of a company's profitability, specifically the amount of profit it generates from its operations after deducting operating expenses. In 2018, Troyland had an operating profit margin of 21.4%, which remain steady in 2019. However, in 2020, it decreased significantly to 7%, indicating a drop in profitability. In 2021, it is projected to decrease further to -29%, which is a cause for concern.</w:t>
          </w:r>
        </w:p>
        <w:p>
          <w:pPr>
            <w:numPr>
              <w:numId w:val="0"/>
            </w:numPr>
            <w:spacing w:after="160" w:line="259" w:lineRule="auto"/>
            <w:rPr>
              <w:rFonts w:hint="eastAsia"/>
              <w:lang w:val="en-US" w:eastAsia="zh-CN"/>
            </w:rPr>
          </w:pPr>
          <w:r>
            <w:rPr>
              <w:rFonts w:hint="eastAsia"/>
              <w:lang w:val="en-US" w:eastAsia="zh-CN"/>
            </w:rPr>
            <w:t>Net Profit Margin:</w:t>
          </w:r>
        </w:p>
        <w:p>
          <w:pPr>
            <w:numPr>
              <w:numId w:val="0"/>
            </w:numPr>
            <w:spacing w:after="160" w:line="259" w:lineRule="auto"/>
            <w:rPr>
              <w:rFonts w:hint="eastAsia"/>
              <w:lang w:val="en-US" w:eastAsia="zh-CN"/>
            </w:rPr>
          </w:pPr>
          <w:r>
            <w:rPr>
              <w:rFonts w:hint="eastAsia"/>
              <w:lang w:val="en-US" w:eastAsia="zh-CN"/>
            </w:rPr>
            <w:t>Net Profit Margin = Net Profit / Total Revenue</w:t>
          </w:r>
        </w:p>
        <w:p>
          <w:pPr>
            <w:numPr>
              <w:numId w:val="0"/>
            </w:numPr>
            <w:spacing w:after="160" w:line="259" w:lineRule="auto"/>
            <w:rPr>
              <w:rFonts w:hint="eastAsia"/>
              <w:lang w:val="en-US" w:eastAsia="zh-CN"/>
            </w:rPr>
          </w:pPr>
          <w:r>
            <w:rPr>
              <w:rFonts w:hint="eastAsia"/>
              <w:lang w:val="en-US" w:eastAsia="zh-CN"/>
            </w:rPr>
            <w:t>For 2018: 243,000 / 1,400,000 = 17.4%</w:t>
          </w:r>
        </w:p>
        <w:p>
          <w:pPr>
            <w:numPr>
              <w:numId w:val="0"/>
            </w:numPr>
            <w:spacing w:after="160" w:line="259" w:lineRule="auto"/>
            <w:rPr>
              <w:rFonts w:hint="eastAsia"/>
              <w:lang w:val="en-US" w:eastAsia="zh-CN"/>
            </w:rPr>
          </w:pPr>
          <w:r>
            <w:rPr>
              <w:rFonts w:hint="eastAsia"/>
              <w:lang w:val="en-US" w:eastAsia="zh-CN"/>
            </w:rPr>
            <w:t>For 2019: 301,000 / 1,750,000 = 17.2%</w:t>
          </w:r>
        </w:p>
        <w:p>
          <w:pPr>
            <w:numPr>
              <w:numId w:val="0"/>
            </w:numPr>
            <w:spacing w:after="160" w:line="259" w:lineRule="auto"/>
            <w:rPr>
              <w:rFonts w:hint="eastAsia"/>
              <w:lang w:val="en-US" w:eastAsia="zh-CN"/>
            </w:rPr>
          </w:pPr>
          <w:r>
            <w:rPr>
              <w:rFonts w:hint="eastAsia"/>
              <w:lang w:val="en-US" w:eastAsia="zh-CN"/>
            </w:rPr>
            <w:t>For 2020: 86,000 / 1,455,000 = 5.91%</w:t>
          </w:r>
        </w:p>
        <w:p>
          <w:pPr>
            <w:numPr>
              <w:numId w:val="0"/>
            </w:numPr>
            <w:spacing w:after="160" w:line="259" w:lineRule="auto"/>
            <w:rPr>
              <w:rFonts w:hint="eastAsia"/>
              <w:lang w:val="en-US" w:eastAsia="zh-CN"/>
            </w:rPr>
          </w:pPr>
          <w:r>
            <w:rPr>
              <w:rFonts w:hint="eastAsia"/>
              <w:lang w:val="en-US" w:eastAsia="zh-CN"/>
            </w:rPr>
            <w:t>For 2021: (-160,000) / 600,000 = -26.67%</w:t>
          </w:r>
        </w:p>
        <w:p>
          <w:pPr>
            <w:numPr>
              <w:numId w:val="0"/>
            </w:numPr>
            <w:spacing w:after="160" w:line="259" w:lineRule="auto"/>
            <w:rPr>
              <w:rFonts w:hint="eastAsia"/>
              <w:lang w:val="en-US" w:eastAsia="zh-CN"/>
            </w:rPr>
          </w:pPr>
          <w:r>
            <w:rPr>
              <w:rFonts w:hint="eastAsia"/>
              <w:lang w:val="en-US" w:eastAsia="zh-CN"/>
            </w:rPr>
            <w:t>Net Profit Margin: This measures how much net profit the company earns for every £1 of revenue. Troyland's net profit margin has been volatile, dropping from 17.4% in 2018 to 17.2% in 2019, before rebounding to 5.9% in 2020. This indicates that the company has been struggling to maintain profitability.</w:t>
          </w:r>
        </w:p>
        <w:p>
          <w:pPr>
            <w:numPr>
              <w:numId w:val="0"/>
            </w:numPr>
            <w:spacing w:after="160" w:line="259" w:lineRule="auto"/>
            <w:rPr>
              <w:rFonts w:hint="eastAsia"/>
              <w:lang w:val="en-US" w:eastAsia="zh-CN"/>
            </w:rPr>
          </w:pPr>
          <w:r>
            <w:rPr>
              <w:rFonts w:hint="eastAsia"/>
              <w:lang w:val="en-US" w:eastAsia="zh-CN"/>
            </w:rPr>
            <w:t>Return on Equity (ROE):</w:t>
          </w:r>
        </w:p>
        <w:p>
          <w:pPr>
            <w:numPr>
              <w:numId w:val="0"/>
            </w:numPr>
            <w:spacing w:after="160" w:line="259" w:lineRule="auto"/>
            <w:rPr>
              <w:rFonts w:hint="eastAsia"/>
              <w:lang w:val="en-US" w:eastAsia="zh-CN"/>
            </w:rPr>
          </w:pPr>
          <w:r>
            <w:rPr>
              <w:rFonts w:hint="eastAsia"/>
              <w:lang w:val="en-US" w:eastAsia="zh-CN"/>
            </w:rPr>
            <w:t>ROE = (Net Income / Shareholders' Equity) x 100%</w:t>
          </w:r>
        </w:p>
        <w:p>
          <w:pPr>
            <w:numPr>
              <w:numId w:val="0"/>
            </w:numPr>
            <w:spacing w:after="160" w:line="259" w:lineRule="auto"/>
            <w:rPr>
              <w:rFonts w:hint="eastAsia"/>
              <w:lang w:val="en-US" w:eastAsia="zh-CN"/>
            </w:rPr>
          </w:pPr>
          <w:r>
            <w:rPr>
              <w:rFonts w:hint="eastAsia"/>
              <w:lang w:val="en-US" w:eastAsia="zh-CN"/>
            </w:rPr>
            <w:t>2018: (243 / 845) x 100% = 29%</w:t>
          </w:r>
        </w:p>
        <w:p>
          <w:pPr>
            <w:numPr>
              <w:numId w:val="0"/>
            </w:numPr>
            <w:spacing w:after="160" w:line="259" w:lineRule="auto"/>
            <w:rPr>
              <w:rFonts w:hint="eastAsia"/>
              <w:lang w:val="en-US" w:eastAsia="zh-CN"/>
            </w:rPr>
          </w:pPr>
          <w:r>
            <w:rPr>
              <w:rFonts w:hint="eastAsia"/>
              <w:lang w:val="en-US" w:eastAsia="zh-CN"/>
            </w:rPr>
            <w:t>2019: (301 / 975) x 100% = 31%</w:t>
          </w:r>
        </w:p>
        <w:p>
          <w:pPr>
            <w:numPr>
              <w:numId w:val="0"/>
            </w:numPr>
            <w:spacing w:after="160" w:line="259" w:lineRule="auto"/>
            <w:rPr>
              <w:rFonts w:hint="eastAsia"/>
              <w:lang w:val="en-US" w:eastAsia="zh-CN"/>
            </w:rPr>
          </w:pPr>
          <w:r>
            <w:rPr>
              <w:rFonts w:hint="eastAsia"/>
              <w:lang w:val="en-US" w:eastAsia="zh-CN"/>
            </w:rPr>
            <w:t>2020: (86 / 985) x 100% = 9%</w:t>
          </w:r>
        </w:p>
        <w:p>
          <w:pPr>
            <w:numPr>
              <w:numId w:val="0"/>
            </w:numPr>
            <w:spacing w:after="160" w:line="259" w:lineRule="auto"/>
            <w:rPr>
              <w:rFonts w:hint="eastAsia"/>
              <w:lang w:val="en-US" w:eastAsia="zh-CN"/>
            </w:rPr>
          </w:pPr>
          <w:r>
            <w:rPr>
              <w:rFonts w:hint="eastAsia"/>
              <w:lang w:val="en-US" w:eastAsia="zh-CN"/>
            </w:rPr>
            <w:t>2021: (-160 / 825) x 100% = -19%</w:t>
          </w:r>
        </w:p>
        <w:p>
          <w:pPr>
            <w:numPr>
              <w:numId w:val="0"/>
            </w:numPr>
            <w:spacing w:after="160" w:line="259" w:lineRule="auto"/>
            <w:rPr>
              <w:rFonts w:hint="eastAsia"/>
              <w:lang w:val="en-US" w:eastAsia="zh-CN"/>
            </w:rPr>
          </w:pPr>
          <w:r>
            <w:rPr>
              <w:rFonts w:hint="eastAsia"/>
              <w:lang w:val="en-US" w:eastAsia="zh-CN"/>
            </w:rPr>
            <w:t>Return on Equity (ROE) measures how much profit a company generates for each pound of shareholders' equity. In 2018, Troyland had an ROE of 29%, which increased to 31% in 2019. However, in 2020, it decreased to 9%, indicating a drop in profitability relative to the shareholders' investment. In 2021, it is projected to be negative at -19%, which suggests a loss on the shareholders' investment.</w:t>
          </w:r>
        </w:p>
        <w:p>
          <w:pPr>
            <w:pStyle w:val="6"/>
            <w:bidi w:val="0"/>
            <w:rPr>
              <w:rFonts w:hint="default"/>
              <w:lang w:val="en-US" w:eastAsia="zh-CN"/>
            </w:rPr>
          </w:pPr>
          <w:r>
            <w:rPr>
              <w:rFonts w:hint="eastAsia"/>
              <w:lang w:val="en-US" w:eastAsia="zh-CN"/>
            </w:rPr>
            <w:t>8.1.2 Liquitidy ratios</w:t>
          </w:r>
        </w:p>
        <w:p>
          <w:pPr>
            <w:numPr>
              <w:numId w:val="0"/>
            </w:numPr>
            <w:spacing w:after="160" w:line="259" w:lineRule="auto"/>
            <w:rPr>
              <w:rFonts w:hint="eastAsia"/>
              <w:lang w:val="en-US" w:eastAsia="zh-CN"/>
            </w:rPr>
          </w:pPr>
          <w:r>
            <w:rPr>
              <w:rFonts w:hint="eastAsia"/>
              <w:lang w:val="en-US" w:eastAsia="zh-CN"/>
            </w:rPr>
            <w:t>Current Ratio:</w:t>
          </w:r>
        </w:p>
        <w:p>
          <w:pPr>
            <w:numPr>
              <w:numId w:val="0"/>
            </w:numPr>
            <w:spacing w:after="160" w:line="259" w:lineRule="auto"/>
            <w:rPr>
              <w:rFonts w:hint="eastAsia"/>
              <w:lang w:val="en-US" w:eastAsia="zh-CN"/>
            </w:rPr>
          </w:pPr>
          <w:r>
            <w:rPr>
              <w:rFonts w:hint="eastAsia"/>
              <w:lang w:val="en-US" w:eastAsia="zh-CN"/>
            </w:rPr>
            <w:t>Current Ratio = Current Assets / Current Liabilities</w:t>
          </w:r>
        </w:p>
        <w:p>
          <w:pPr>
            <w:numPr>
              <w:numId w:val="0"/>
            </w:numPr>
            <w:spacing w:after="160" w:line="259" w:lineRule="auto"/>
            <w:rPr>
              <w:rFonts w:hint="eastAsia"/>
              <w:lang w:val="en-US" w:eastAsia="zh-CN"/>
            </w:rPr>
          </w:pPr>
          <w:r>
            <w:rPr>
              <w:rFonts w:hint="eastAsia"/>
              <w:lang w:val="en-US" w:eastAsia="zh-CN"/>
            </w:rPr>
            <w:t>2018: 328 / 183 = 1.79</w:t>
          </w:r>
        </w:p>
        <w:p>
          <w:pPr>
            <w:numPr>
              <w:numId w:val="0"/>
            </w:numPr>
            <w:spacing w:after="160" w:line="259" w:lineRule="auto"/>
            <w:rPr>
              <w:rFonts w:hint="eastAsia"/>
              <w:lang w:val="en-US" w:eastAsia="zh-CN"/>
            </w:rPr>
          </w:pPr>
          <w:r>
            <w:rPr>
              <w:rFonts w:hint="eastAsia"/>
              <w:lang w:val="en-US" w:eastAsia="zh-CN"/>
            </w:rPr>
            <w:t>2019: 392 / 197 = 1.99</w:t>
          </w:r>
        </w:p>
        <w:p>
          <w:pPr>
            <w:numPr>
              <w:numId w:val="0"/>
            </w:numPr>
            <w:spacing w:after="160" w:line="259" w:lineRule="auto"/>
            <w:rPr>
              <w:rFonts w:hint="eastAsia"/>
              <w:lang w:val="en-US" w:eastAsia="zh-CN"/>
            </w:rPr>
          </w:pPr>
          <w:r>
            <w:rPr>
              <w:rFonts w:hint="eastAsia"/>
              <w:lang w:val="en-US" w:eastAsia="zh-CN"/>
            </w:rPr>
            <w:t>2020: 377 / 172 = 2.19</w:t>
          </w:r>
        </w:p>
        <w:p>
          <w:pPr>
            <w:numPr>
              <w:numId w:val="0"/>
            </w:numPr>
            <w:spacing w:after="160" w:line="259" w:lineRule="auto"/>
            <w:rPr>
              <w:rFonts w:hint="eastAsia"/>
              <w:lang w:val="en-US" w:eastAsia="zh-CN"/>
            </w:rPr>
          </w:pPr>
          <w:r>
            <w:rPr>
              <w:rFonts w:hint="eastAsia"/>
              <w:lang w:val="en-US" w:eastAsia="zh-CN"/>
            </w:rPr>
            <w:t>2021: 282 / 237 = 1.19</w:t>
          </w:r>
        </w:p>
        <w:p>
          <w:pPr>
            <w:numPr>
              <w:numId w:val="0"/>
            </w:numPr>
            <w:spacing w:after="160" w:line="259" w:lineRule="auto"/>
            <w:rPr>
              <w:rFonts w:hint="eastAsia"/>
              <w:lang w:val="en-US" w:eastAsia="zh-CN"/>
            </w:rPr>
          </w:pPr>
          <w:r>
            <w:rPr>
              <w:rFonts w:hint="eastAsia"/>
              <w:lang w:val="en-US" w:eastAsia="zh-CN"/>
            </w:rPr>
            <w:t>The current ratio measures the company's ability to pay off its current liabilities with current assets. A current ratio of 1.5 or higher is considered good. In 2018 and 2019, Troyland had a current ratio of 1.79 and 1.99 respectively, indicating good liquidity. However, the ratio decreased in 2020 and projected to decrease further in 2021, which may indicate potential liquidity problems.</w:t>
          </w:r>
        </w:p>
        <w:p>
          <w:pPr>
            <w:pStyle w:val="6"/>
            <w:bidi w:val="0"/>
            <w:rPr>
              <w:rFonts w:hint="default"/>
              <w:lang w:val="en-US" w:eastAsia="zh-CN"/>
            </w:rPr>
          </w:pPr>
          <w:r>
            <w:rPr>
              <w:rFonts w:hint="eastAsia"/>
              <w:lang w:val="en-US" w:eastAsia="zh-CN"/>
            </w:rPr>
            <w:t>8.1.3 Activity ratios</w:t>
          </w:r>
        </w:p>
        <w:p>
          <w:pPr>
            <w:numPr>
              <w:numId w:val="0"/>
            </w:numPr>
            <w:spacing w:after="160" w:line="259" w:lineRule="auto"/>
            <w:rPr>
              <w:rFonts w:hint="eastAsia"/>
              <w:lang w:val="en-US" w:eastAsia="zh-CN"/>
            </w:rPr>
          </w:pPr>
          <w:r>
            <w:rPr>
              <w:rFonts w:hint="eastAsia"/>
              <w:lang w:val="en-US" w:eastAsia="zh-CN"/>
            </w:rPr>
            <w:t>Inventory Turnover:</w:t>
          </w:r>
        </w:p>
        <w:p>
          <w:pPr>
            <w:numPr>
              <w:numId w:val="0"/>
            </w:numPr>
            <w:spacing w:after="160" w:line="259" w:lineRule="auto"/>
            <w:rPr>
              <w:rFonts w:hint="eastAsia"/>
              <w:lang w:val="en-US" w:eastAsia="zh-CN"/>
            </w:rPr>
          </w:pPr>
          <w:r>
            <w:rPr>
              <w:rFonts w:hint="eastAsia"/>
              <w:lang w:val="en-US" w:eastAsia="zh-CN"/>
            </w:rPr>
            <w:t>Inventory Turnover = Cost of Sales / Average Inventory</w:t>
          </w:r>
        </w:p>
        <w:p>
          <w:pPr>
            <w:numPr>
              <w:numId w:val="0"/>
            </w:numPr>
            <w:spacing w:after="160" w:line="259" w:lineRule="auto"/>
            <w:rPr>
              <w:rFonts w:hint="eastAsia"/>
              <w:lang w:val="en-US" w:eastAsia="zh-CN"/>
            </w:rPr>
          </w:pPr>
          <w:r>
            <w:rPr>
              <w:rFonts w:hint="eastAsia"/>
              <w:lang w:val="en-US" w:eastAsia="zh-CN"/>
            </w:rPr>
            <w:t>Average Inventory = (Beginning Inventory + Ending Inventory) / 2</w:t>
          </w:r>
        </w:p>
        <w:p>
          <w:pPr>
            <w:numPr>
              <w:numId w:val="0"/>
            </w:numPr>
            <w:spacing w:after="160" w:line="259" w:lineRule="auto"/>
            <w:rPr>
              <w:rFonts w:hint="eastAsia"/>
              <w:lang w:val="en-US" w:eastAsia="zh-CN"/>
            </w:rPr>
          </w:pPr>
          <w:r>
            <w:rPr>
              <w:rFonts w:hint="eastAsia"/>
              <w:lang w:val="en-US" w:eastAsia="zh-CN"/>
            </w:rPr>
            <w:t>2018: 700 / ((40 + 60) / 2) = 14.00 times</w:t>
          </w:r>
        </w:p>
        <w:p>
          <w:pPr>
            <w:numPr>
              <w:numId w:val="0"/>
            </w:numPr>
            <w:spacing w:after="160" w:line="259" w:lineRule="auto"/>
            <w:rPr>
              <w:rFonts w:hint="eastAsia"/>
              <w:lang w:val="en-US" w:eastAsia="zh-CN"/>
            </w:rPr>
          </w:pPr>
          <w:r>
            <w:rPr>
              <w:rFonts w:hint="eastAsia"/>
              <w:lang w:val="en-US" w:eastAsia="zh-CN"/>
            </w:rPr>
            <w:t>2019: 930 / ((60 + 90) / 2) = 12.33 times</w:t>
          </w:r>
        </w:p>
        <w:p>
          <w:pPr>
            <w:numPr>
              <w:numId w:val="0"/>
            </w:numPr>
            <w:spacing w:after="160" w:line="259" w:lineRule="auto"/>
            <w:rPr>
              <w:rFonts w:hint="eastAsia"/>
              <w:lang w:val="en-US" w:eastAsia="zh-CN"/>
            </w:rPr>
          </w:pPr>
          <w:r>
            <w:rPr>
              <w:rFonts w:hint="eastAsia"/>
              <w:lang w:val="en-US" w:eastAsia="zh-CN"/>
            </w:rPr>
            <w:t>2020: 855 / ((90 + 70) / 2) = 12.21 times</w:t>
          </w:r>
        </w:p>
        <w:p>
          <w:pPr>
            <w:numPr>
              <w:numId w:val="0"/>
            </w:numPr>
            <w:spacing w:after="160" w:line="259" w:lineRule="auto"/>
            <w:rPr>
              <w:rFonts w:hint="eastAsia"/>
              <w:lang w:val="en-US" w:eastAsia="zh-CN"/>
            </w:rPr>
          </w:pPr>
          <w:r>
            <w:rPr>
              <w:rFonts w:hint="eastAsia"/>
              <w:lang w:val="en-US" w:eastAsia="zh-CN"/>
            </w:rPr>
            <w:t>2021: 280 / ((70 + 30) / 2) = 4.67 times</w:t>
          </w:r>
        </w:p>
        <w:p>
          <w:pPr>
            <w:numPr>
              <w:numId w:val="0"/>
            </w:numPr>
            <w:spacing w:after="160" w:line="259" w:lineRule="auto"/>
            <w:rPr>
              <w:rFonts w:hint="eastAsia"/>
              <w:lang w:val="en-US" w:eastAsia="zh-CN"/>
            </w:rPr>
          </w:pPr>
          <w:r>
            <w:rPr>
              <w:rFonts w:hint="eastAsia"/>
              <w:lang w:val="en-US" w:eastAsia="zh-CN"/>
            </w:rPr>
            <w:t>The inventory turnover ratio measures how efficiently a company is managing its inventory by showing the number of times inventory is sold and replaced during a period. A higher inventory turnover ratio is generally considered better, as it implies that the company is selling its inventory quickly. Troyland had an inventory turnover of 14 in 2018 and 12 in 2019, which indicates that it sold its inventory twice and almost twice, respectively, during those years. However, the ratio decreased in 2020 and is projected to decrease further in 2021, which could indicate potential issues with inventory management.</w:t>
          </w:r>
        </w:p>
        <w:p>
          <w:pPr>
            <w:numPr>
              <w:numId w:val="0"/>
            </w:numPr>
            <w:spacing w:after="160" w:line="259" w:lineRule="auto"/>
            <w:rPr>
              <w:rFonts w:hint="eastAsia"/>
              <w:lang w:val="en-US" w:eastAsia="zh-CN"/>
            </w:rPr>
          </w:pPr>
          <w:r>
            <w:rPr>
              <w:rFonts w:hint="eastAsia"/>
              <w:lang w:val="en-US" w:eastAsia="zh-CN"/>
            </w:rPr>
            <w:t>Accounts Receivable Turnover:</w:t>
          </w:r>
        </w:p>
        <w:p>
          <w:pPr>
            <w:numPr>
              <w:numId w:val="0"/>
            </w:numPr>
            <w:spacing w:after="160" w:line="259" w:lineRule="auto"/>
            <w:rPr>
              <w:rFonts w:hint="eastAsia"/>
              <w:lang w:val="en-US" w:eastAsia="zh-CN"/>
            </w:rPr>
          </w:pPr>
          <w:r>
            <w:rPr>
              <w:rFonts w:hint="eastAsia"/>
              <w:lang w:val="en-US" w:eastAsia="zh-CN"/>
            </w:rPr>
            <w:t>Accounts Receivable Turnover = Total Revenue / Average Accounts Receivable</w:t>
          </w:r>
        </w:p>
        <w:p>
          <w:pPr>
            <w:numPr>
              <w:numId w:val="0"/>
            </w:numPr>
            <w:spacing w:after="160" w:line="259" w:lineRule="auto"/>
            <w:rPr>
              <w:rFonts w:hint="eastAsia"/>
              <w:lang w:val="en-US" w:eastAsia="zh-CN"/>
            </w:rPr>
          </w:pPr>
          <w:r>
            <w:rPr>
              <w:rFonts w:hint="eastAsia"/>
              <w:lang w:val="en-US" w:eastAsia="zh-CN"/>
            </w:rPr>
            <w:t>2018: 1,400,000 / [(700,000 + 0) / 2] = 2 times</w:t>
          </w:r>
        </w:p>
        <w:p>
          <w:pPr>
            <w:numPr>
              <w:numId w:val="0"/>
            </w:numPr>
            <w:spacing w:after="160" w:line="259" w:lineRule="auto"/>
            <w:rPr>
              <w:rFonts w:hint="eastAsia"/>
              <w:lang w:val="en-US" w:eastAsia="zh-CN"/>
            </w:rPr>
          </w:pPr>
          <w:r>
            <w:rPr>
              <w:rFonts w:hint="eastAsia"/>
              <w:lang w:val="en-US" w:eastAsia="zh-CN"/>
            </w:rPr>
            <w:t>2019: 1,750,000 / [(930,000 + 0) / 2] = 3.7634 times</w:t>
          </w:r>
        </w:p>
        <w:p>
          <w:pPr>
            <w:numPr>
              <w:numId w:val="0"/>
            </w:numPr>
            <w:spacing w:after="160" w:line="259" w:lineRule="auto"/>
            <w:rPr>
              <w:rFonts w:hint="eastAsia"/>
              <w:lang w:val="en-US" w:eastAsia="zh-CN"/>
            </w:rPr>
          </w:pPr>
          <w:r>
            <w:rPr>
              <w:rFonts w:hint="eastAsia"/>
              <w:lang w:val="en-US" w:eastAsia="zh-CN"/>
            </w:rPr>
            <w:t>2020: 1,455,000 / [(855,000 + 0) / 2] = 3.4006 times</w:t>
          </w:r>
        </w:p>
        <w:p>
          <w:pPr>
            <w:numPr>
              <w:numId w:val="0"/>
            </w:numPr>
            <w:spacing w:after="160" w:line="259" w:lineRule="auto"/>
            <w:rPr>
              <w:rFonts w:hint="eastAsia"/>
              <w:lang w:val="en-US" w:eastAsia="zh-CN"/>
            </w:rPr>
          </w:pPr>
          <w:r>
            <w:rPr>
              <w:rFonts w:hint="eastAsia"/>
              <w:lang w:val="en-US" w:eastAsia="zh-CN"/>
            </w:rPr>
            <w:t>2021: 600,000 / [(280,000 + 0) / 2] = 4.2857 times</w:t>
          </w:r>
        </w:p>
        <w:p>
          <w:pPr>
            <w:numPr>
              <w:numId w:val="0"/>
            </w:numPr>
            <w:spacing w:after="160" w:line="259" w:lineRule="auto"/>
            <w:rPr>
              <w:rFonts w:hint="eastAsia"/>
              <w:lang w:val="en-US" w:eastAsia="zh-CN"/>
            </w:rPr>
          </w:pPr>
          <w:r>
            <w:rPr>
              <w:rFonts w:hint="eastAsia"/>
              <w:lang w:val="en-US" w:eastAsia="zh-CN"/>
            </w:rPr>
            <w:t>Accounts Receivable Turnover: This measures how many times the company collects its accounts receivable over a given period. Troyland's accounts receivable turnover has been increasing over the years, from 4.7 in 2018 to 5.3 in 2020, indicating that the company is collecting its receivables faster.</w:t>
          </w:r>
        </w:p>
        <w:p>
          <w:pPr>
            <w:pStyle w:val="6"/>
            <w:bidi w:val="0"/>
            <w:rPr>
              <w:rFonts w:hint="eastAsia"/>
              <w:lang w:val="en-US" w:eastAsia="zh-CN"/>
            </w:rPr>
          </w:pPr>
          <w:r>
            <w:rPr>
              <w:rFonts w:hint="eastAsia"/>
              <w:lang w:val="en-US" w:eastAsia="zh-CN"/>
            </w:rPr>
            <w:t>8.1.4 Solvency Ratio</w:t>
          </w:r>
        </w:p>
        <w:p>
          <w:pPr>
            <w:numPr>
              <w:numId w:val="0"/>
            </w:numPr>
            <w:spacing w:after="160" w:line="259" w:lineRule="auto"/>
            <w:rPr>
              <w:rFonts w:hint="default"/>
              <w:lang w:val="en-US" w:eastAsia="zh-CN"/>
            </w:rPr>
          </w:pPr>
          <w:r>
            <w:rPr>
              <w:rFonts w:hint="default"/>
              <w:lang w:val="en-US" w:eastAsia="zh-CN"/>
            </w:rPr>
            <w:t>Interest Coverage Ratio:</w:t>
          </w:r>
        </w:p>
        <w:p>
          <w:pPr>
            <w:numPr>
              <w:numId w:val="0"/>
            </w:numPr>
            <w:spacing w:after="160" w:line="259" w:lineRule="auto"/>
            <w:rPr>
              <w:rFonts w:hint="default"/>
              <w:lang w:val="en-US" w:eastAsia="zh-CN"/>
            </w:rPr>
          </w:pPr>
          <w:r>
            <w:rPr>
              <w:rFonts w:hint="default"/>
              <w:lang w:val="en-US" w:eastAsia="zh-CN"/>
            </w:rPr>
            <w:t>Interest Coverage Ratio = Earnings Before Interest and Taxes (EBIT) / Interest Expense</w:t>
          </w:r>
        </w:p>
        <w:p>
          <w:pPr>
            <w:numPr>
              <w:numId w:val="0"/>
            </w:numPr>
            <w:spacing w:after="160" w:line="259" w:lineRule="auto"/>
            <w:rPr>
              <w:rFonts w:hint="default"/>
              <w:lang w:val="en-US" w:eastAsia="zh-CN"/>
            </w:rPr>
          </w:pPr>
        </w:p>
        <w:p>
          <w:pPr>
            <w:numPr>
              <w:numId w:val="0"/>
            </w:numPr>
            <w:spacing w:after="160" w:line="259" w:lineRule="auto"/>
            <w:rPr>
              <w:rFonts w:hint="default"/>
              <w:lang w:val="en-US" w:eastAsia="zh-CN"/>
            </w:rPr>
          </w:pPr>
          <w:r>
            <w:rPr>
              <w:rFonts w:hint="default"/>
              <w:lang w:val="en-US" w:eastAsia="zh-CN"/>
            </w:rPr>
            <w:t>For 2018: 300,000 / 57,000 = 5.2632 times</w:t>
          </w:r>
        </w:p>
        <w:p>
          <w:pPr>
            <w:numPr>
              <w:numId w:val="0"/>
            </w:numPr>
            <w:spacing w:after="160" w:line="259" w:lineRule="auto"/>
            <w:rPr>
              <w:rFonts w:hint="default"/>
              <w:lang w:val="en-US" w:eastAsia="zh-CN"/>
            </w:rPr>
          </w:pPr>
          <w:r>
            <w:rPr>
              <w:rFonts w:hint="default"/>
              <w:lang w:val="en-US" w:eastAsia="zh-CN"/>
            </w:rPr>
            <w:t>For 2019: 372,000 / 71,000 = 5.2394 times</w:t>
          </w:r>
        </w:p>
        <w:p>
          <w:pPr>
            <w:numPr>
              <w:numId w:val="0"/>
            </w:numPr>
            <w:spacing w:after="160" w:line="259" w:lineRule="auto"/>
            <w:rPr>
              <w:rFonts w:hint="default"/>
              <w:lang w:val="en-US" w:eastAsia="zh-CN"/>
            </w:rPr>
          </w:pPr>
          <w:r>
            <w:rPr>
              <w:rFonts w:hint="default"/>
              <w:lang w:val="en-US" w:eastAsia="zh-CN"/>
            </w:rPr>
            <w:t>For 2020: 105,000 / 19,000 = 5.5263 times</w:t>
          </w:r>
        </w:p>
        <w:p>
          <w:pPr>
            <w:numPr>
              <w:numId w:val="0"/>
            </w:numPr>
            <w:spacing w:after="160" w:line="259" w:lineRule="auto"/>
            <w:rPr>
              <w:rFonts w:hint="default"/>
              <w:lang w:val="en-US" w:eastAsia="zh-CN"/>
            </w:rPr>
          </w:pPr>
          <w:r>
            <w:rPr>
              <w:rFonts w:hint="default"/>
              <w:lang w:val="en-US" w:eastAsia="zh-CN"/>
            </w:rPr>
            <w:t xml:space="preserve">For 2021: (-175,000) / 15,000 = -11.6667 times </w:t>
          </w:r>
        </w:p>
        <w:p>
          <w:pPr>
            <w:numPr>
              <w:numId w:val="0"/>
            </w:numPr>
            <w:spacing w:after="160" w:line="259" w:lineRule="auto"/>
            <w:rPr>
              <w:rFonts w:hint="default"/>
              <w:lang w:val="en-US" w:eastAsia="zh-CN"/>
            </w:rPr>
          </w:pPr>
          <w:r>
            <w:rPr>
              <w:rFonts w:hint="default"/>
              <w:lang w:val="en-US" w:eastAsia="zh-CN"/>
            </w:rPr>
            <w:t xml:space="preserve"> Negative result indicates insufficient earnings to cover interest expense</w:t>
          </w:r>
        </w:p>
        <w:p>
          <w:pPr>
            <w:numPr>
              <w:numId w:val="0"/>
            </w:numPr>
            <w:spacing w:after="160" w:line="259" w:lineRule="auto"/>
            <w:rPr>
              <w:rFonts w:hint="eastAsia"/>
              <w:lang w:val="en-US" w:eastAsia="zh-CN"/>
            </w:rPr>
          </w:pPr>
          <w:r>
            <w:rPr>
              <w:rFonts w:hint="eastAsia"/>
              <w:lang w:val="en-US" w:eastAsia="zh-CN"/>
            </w:rPr>
            <w:t>Interest Coverage Ratio measures the company's ability to pay its interest expense using its operating income. Troyland's interest coverage ratio has been declining over the years, indicating that the company may struggle to pay its interest expense.</w:t>
          </w:r>
        </w:p>
        <w:p>
          <w:pPr>
            <w:numPr>
              <w:numId w:val="0"/>
            </w:numPr>
            <w:spacing w:after="160" w:line="259" w:lineRule="auto"/>
            <w:rPr>
              <w:rFonts w:hint="eastAsia"/>
              <w:lang w:val="en-US" w:eastAsia="zh-CN"/>
            </w:rPr>
          </w:pPr>
          <w:r>
            <w:rPr>
              <w:rFonts w:hint="eastAsia"/>
              <w:lang w:val="en-US" w:eastAsia="zh-CN"/>
            </w:rPr>
            <w:t>Overall, Troyland's financial performance has been declining in recent years, with decreasing profitability and liquidity, and mixed efficiency and solvency performance. The company may need to re-evaluate its cost structure, sales strategy, and working capital management to improve its financial health.</w:t>
          </w:r>
        </w:p>
        <w:p>
          <w:pPr>
            <w:pStyle w:val="5"/>
            <w:bidi w:val="0"/>
            <w:rPr>
              <w:rFonts w:hint="default"/>
              <w:lang w:val="en-US" w:eastAsia="zh-CN"/>
            </w:rPr>
          </w:pPr>
          <w:r>
            <w:rPr>
              <w:rFonts w:hint="eastAsia"/>
              <w:lang w:val="en-US" w:eastAsia="zh-CN"/>
            </w:rPr>
            <w:t>8.2  qualitative performance</w:t>
          </w:r>
        </w:p>
        <w:p>
          <w:pPr>
            <w:numPr>
              <w:ilvl w:val="0"/>
              <w:numId w:val="0"/>
            </w:numPr>
            <w:spacing w:after="160" w:line="259" w:lineRule="auto"/>
            <w:rPr>
              <w:rFonts w:hint="eastAsia"/>
              <w:lang w:val="en-US" w:eastAsia="zh-CN"/>
            </w:rPr>
          </w:pPr>
          <w:r>
            <w:rPr>
              <w:rFonts w:hint="eastAsia"/>
              <w:lang w:val="en-US" w:eastAsia="zh-CN"/>
            </w:rPr>
            <w:t xml:space="preserve"> Qualitative performance evaluation of Troyland involves assessing the company's non-financial aspects. Below are some key qualitative factors that can impact Troyland's performance:</w:t>
          </w:r>
        </w:p>
        <w:p>
          <w:pPr>
            <w:numPr>
              <w:ilvl w:val="0"/>
              <w:numId w:val="0"/>
            </w:numPr>
            <w:spacing w:after="160" w:line="259" w:lineRule="auto"/>
            <w:rPr>
              <w:rFonts w:hint="eastAsia"/>
              <w:lang w:val="en-US" w:eastAsia="zh-CN"/>
            </w:rPr>
          </w:pPr>
          <w:r>
            <w:rPr>
              <w:rFonts w:hint="eastAsia"/>
              <w:lang w:val="en-US" w:eastAsia="zh-CN"/>
            </w:rPr>
            <w:t>Brand image: Troyland's brand image is critical to the company's success. A strong brand image can help the company differentiate itself from competitors and build a loyal customer base. The company needs to focus on maintaining and enhancing its brand image through effective branding and marketing efforts.</w:t>
          </w:r>
        </w:p>
        <w:p>
          <w:pPr>
            <w:numPr>
              <w:ilvl w:val="0"/>
              <w:numId w:val="0"/>
            </w:numPr>
            <w:spacing w:after="160" w:line="259" w:lineRule="auto"/>
            <w:rPr>
              <w:rFonts w:hint="eastAsia"/>
              <w:lang w:val="en-US" w:eastAsia="zh-CN"/>
            </w:rPr>
          </w:pPr>
          <w:r>
            <w:rPr>
              <w:rFonts w:hint="eastAsia"/>
              <w:lang w:val="en-US" w:eastAsia="zh-CN"/>
            </w:rPr>
            <w:t>Customer satisfaction: Customer satisfaction is an essential factor for any business, and Troyland is no exception. The company needs to ensure that its products and services meet or exceed customer expectations, leading to high customer satisfaction levels. This can be achieved by offering quality products and services, providing excellent customer service, and listening to customer feedback.</w:t>
          </w:r>
        </w:p>
        <w:p>
          <w:pPr>
            <w:numPr>
              <w:ilvl w:val="0"/>
              <w:numId w:val="0"/>
            </w:numPr>
            <w:spacing w:after="160" w:line="259" w:lineRule="auto"/>
            <w:rPr>
              <w:rFonts w:hint="eastAsia"/>
              <w:lang w:val="en-US" w:eastAsia="zh-CN"/>
            </w:rPr>
          </w:pPr>
          <w:r>
            <w:rPr>
              <w:rFonts w:hint="eastAsia"/>
              <w:lang w:val="en-US" w:eastAsia="zh-CN"/>
            </w:rPr>
            <w:t>Innovation: Innovation is crucial in the fashion industry, where trends and customer preferences change rapidly. Troyland needs to continuously innovate to keep up with changing trends and stay ahead of the competition. This can be achieved by investing in research and development and collaborating with fashion designers to create unique products.</w:t>
          </w:r>
        </w:p>
        <w:p>
          <w:pPr>
            <w:numPr>
              <w:ilvl w:val="0"/>
              <w:numId w:val="0"/>
            </w:numPr>
            <w:spacing w:after="160" w:line="259" w:lineRule="auto"/>
            <w:rPr>
              <w:rFonts w:hint="eastAsia"/>
              <w:lang w:val="en-US" w:eastAsia="zh-CN"/>
            </w:rPr>
          </w:pPr>
          <w:r>
            <w:rPr>
              <w:rFonts w:hint="eastAsia"/>
              <w:lang w:val="en-US" w:eastAsia="zh-CN"/>
            </w:rPr>
            <w:t>Employee engagement: Troyland's employees are critical to the company's success. The company needs to ensure that employees are motivated and engaged, which can lead to increased productivity and job satisfaction. Employee engagement can be achieved by offering competitive compensation packages, providing training and development opportunities, and creating a positive work environment. Troyland seems to be investing in employee training and development, with an increase in the number of CPDs attended by employees in 2020. The employee retention rate has also increased, which suggests that the company is succeeding in retaining its employees.</w:t>
          </w:r>
        </w:p>
        <w:p>
          <w:pPr>
            <w:numPr>
              <w:ilvl w:val="0"/>
              <w:numId w:val="0"/>
            </w:numPr>
            <w:spacing w:after="160" w:line="259" w:lineRule="auto"/>
            <w:rPr>
              <w:rFonts w:hint="eastAsia"/>
              <w:lang w:val="en-US" w:eastAsia="zh-CN"/>
            </w:rPr>
          </w:pPr>
          <w:r>
            <w:rPr>
              <w:rFonts w:hint="eastAsia"/>
              <w:lang w:val="en-US" w:eastAsia="zh-CN"/>
            </w:rPr>
            <w:t>Market Share:the company's market share in the London market has decreased significantly in 2021, which may indicate that the company is losing its competitive edge in this market. The company's non-existent market share in the retail fashion segment of the London market is also a concern.</w:t>
          </w:r>
        </w:p>
        <w:p>
          <w:pPr>
            <w:numPr>
              <w:ilvl w:val="0"/>
              <w:numId w:val="0"/>
            </w:numPr>
            <w:spacing w:after="160" w:line="259" w:lineRule="auto"/>
            <w:rPr>
              <w:rFonts w:hint="eastAsia"/>
              <w:lang w:val="en-US" w:eastAsia="zh-CN"/>
            </w:rPr>
          </w:pPr>
          <w:r>
            <w:rPr>
              <w:rFonts w:hint="eastAsia"/>
              <w:lang w:val="en-US" w:eastAsia="zh-CN"/>
            </w:rPr>
            <w:t>Social responsibility: Consumers are increasingly conscious of social and environmental issues. Troyland needs to be socially responsible by adopting sustainable practices and supporting social causes. This can help the company build a positive reputation and attract customers who prioritize ethical and sustainable practices.</w:t>
          </w:r>
        </w:p>
        <w:p>
          <w:pPr>
            <w:numPr>
              <w:ilvl w:val="0"/>
              <w:numId w:val="0"/>
            </w:numPr>
            <w:spacing w:after="160" w:line="259" w:lineRule="auto"/>
            <w:rPr>
              <w:rFonts w:hint="eastAsia"/>
              <w:lang w:val="en-US" w:eastAsia="zh-CN"/>
            </w:rPr>
          </w:pPr>
          <w:r>
            <w:rPr>
              <w:rFonts w:hint="eastAsia"/>
              <w:lang w:val="en-US" w:eastAsia="zh-CN"/>
            </w:rPr>
            <w:t>Overall, the qualitative performance of Troyland is essential for its long-term success. The company needs to focus on maintaining a strong brand image, ensuring high customer satisfaction levels, innovating to keep up with changing trends, engaging employees, and being socially responsible.</w:t>
          </w:r>
        </w:p>
        <w:p>
          <w:pPr>
            <w:pStyle w:val="4"/>
            <w:bidi w:val="0"/>
            <w:rPr>
              <w:rFonts w:hint="eastAsia"/>
              <w:b/>
              <w:bCs/>
              <w:lang w:val="en-US" w:eastAsia="zh-CN"/>
            </w:rPr>
          </w:pPr>
          <w:bookmarkStart w:id="13" w:name="_Toc30990"/>
          <w:r>
            <w:rPr>
              <w:rFonts w:hint="eastAsia"/>
              <w:b/>
              <w:bCs/>
              <w:lang w:val="en-US" w:eastAsia="zh-CN"/>
            </w:rPr>
            <w:t>9.The need for business process reengineering</w:t>
          </w:r>
          <w:bookmarkEnd w:id="13"/>
          <w:r>
            <w:rPr>
              <w:rFonts w:hint="eastAsia"/>
              <w:b/>
              <w:bCs/>
              <w:lang w:val="en-US" w:eastAsia="zh-CN"/>
            </w:rPr>
            <w:t xml:space="preserve"> </w:t>
          </w:r>
          <w:r>
            <w:rPr>
              <w:rFonts w:hint="eastAsia"/>
              <w:b/>
              <w:bCs/>
              <w:lang w:val="en-US" w:eastAsia="zh-CN"/>
            </w:rPr>
            <w:tab/>
          </w:r>
        </w:p>
        <w:p>
          <w:pPr>
            <w:numPr>
              <w:ilvl w:val="0"/>
              <w:numId w:val="0"/>
            </w:numPr>
            <w:spacing w:after="160" w:line="259" w:lineRule="auto"/>
            <w:rPr>
              <w:rFonts w:hint="default"/>
              <w:lang w:val="en-US" w:eastAsia="zh-CN"/>
            </w:rPr>
          </w:pPr>
          <w:r>
            <w:rPr>
              <w:rFonts w:hint="default"/>
              <w:lang w:val="en-US" w:eastAsia="zh-CN"/>
            </w:rPr>
            <w:t>Business Process Reengineering (BPR) is a methodology for redesigning business processes to improve organizational performance. It involves the fundamental rethinking and radical redesign of business processes to achieve dramatic improvements in critical measures of performance, such as cost, quality, service, and speed. BPR typically involves analyzing and rethinking the company's business processes from the ground up, rather than simply making incremental improvements to existing processes. The goal of BPR is to transform the organization to be more efficient, effective, and responsive to customer needs, by eliminating non-value-added activities, simplifying processes, and leveraging technology.</w:t>
          </w:r>
        </w:p>
        <w:p>
          <w:pPr>
            <w:numPr>
              <w:ilvl w:val="0"/>
              <w:numId w:val="0"/>
            </w:numPr>
            <w:spacing w:after="160" w:line="259" w:lineRule="auto"/>
            <w:rPr>
              <w:rFonts w:hint="default"/>
              <w:lang w:val="en-US" w:eastAsia="zh-CN"/>
            </w:rPr>
          </w:pPr>
          <w:r>
            <w:rPr>
              <w:rFonts w:hint="default"/>
              <w:lang w:val="en-US" w:eastAsia="zh-CN"/>
            </w:rPr>
            <w:t xml:space="preserve"> Troyland may need business process reengineering due to the growth crisis it is currently facing. The company's sales have been declining, and it is facing increased competition and changing customer preferences.</w:t>
          </w:r>
        </w:p>
        <w:p>
          <w:pPr>
            <w:numPr>
              <w:ilvl w:val="0"/>
              <w:numId w:val="0"/>
            </w:numPr>
            <w:spacing w:after="160" w:line="259" w:lineRule="auto"/>
            <w:rPr>
              <w:rFonts w:hint="default"/>
              <w:lang w:val="en-US" w:eastAsia="zh-CN"/>
            </w:rPr>
          </w:pPr>
          <w:r>
            <w:rPr>
              <w:rFonts w:hint="default"/>
              <w:lang w:val="en-US" w:eastAsia="zh-CN"/>
            </w:rPr>
            <w:t>Business process reengineering can help Troyland improve its operational efficiency, reduce costs, and increase profitability. By analyzing and redesigning its business processes, Troyland can eliminate redundancies, streamline workflows, and improve communication and collaboration among its departments. This can help the company to better respond to changes in the market, meet customer demands, and remain competitive.</w:t>
          </w:r>
        </w:p>
        <w:p>
          <w:pPr>
            <w:numPr>
              <w:ilvl w:val="0"/>
              <w:numId w:val="0"/>
            </w:numPr>
            <w:spacing w:after="160" w:line="259" w:lineRule="auto"/>
            <w:rPr>
              <w:rFonts w:hint="default"/>
              <w:lang w:val="en-US" w:eastAsia="zh-CN"/>
            </w:rPr>
          </w:pPr>
          <w:r>
            <w:rPr>
              <w:rFonts w:hint="default"/>
              <w:lang w:val="en-US" w:eastAsia="zh-CN"/>
            </w:rPr>
            <w:t>One area that Troyland can focus on with BPR is its supply chain management. Currently, Troyland has a long lead time for its products, which is causing it to miss out on opportunities to capitalize on trends and customer demand. By reengineering its supply chain, Troyland can reduce lead times and improve its ability to respond to changes in the market.</w:t>
          </w:r>
        </w:p>
        <w:p>
          <w:pPr>
            <w:numPr>
              <w:ilvl w:val="0"/>
              <w:numId w:val="0"/>
            </w:numPr>
            <w:spacing w:after="160" w:line="259" w:lineRule="auto"/>
            <w:rPr>
              <w:rFonts w:hint="default"/>
              <w:lang w:val="en-US" w:eastAsia="zh-CN"/>
            </w:rPr>
          </w:pPr>
          <w:r>
            <w:rPr>
              <w:rFonts w:hint="default"/>
              <w:lang w:val="en-US" w:eastAsia="zh-CN"/>
            </w:rPr>
            <w:t>Another area that Troyland can focus on is its product development process. Currently, Troyland is focused on developing products that it thinks will sell, rather than listening to the needs and wants of its customers. By reengineering its product development process, Troyland can become more customer-centric and develop products that better meet the needs of its customers.</w:t>
          </w:r>
        </w:p>
        <w:p>
          <w:pPr>
            <w:numPr>
              <w:ilvl w:val="0"/>
              <w:numId w:val="0"/>
            </w:numPr>
            <w:spacing w:after="160" w:line="259" w:lineRule="auto"/>
            <w:rPr>
              <w:rFonts w:hint="default"/>
              <w:lang w:val="en-US" w:eastAsia="zh-CN"/>
            </w:rPr>
          </w:pPr>
          <w:r>
            <w:rPr>
              <w:rFonts w:hint="default"/>
              <w:lang w:val="en-US" w:eastAsia="zh-CN"/>
            </w:rPr>
            <w:t>BPR can also help Troyland to improve its marketing and sales processes. Currently, Troyland is struggling to reach its target market and generate sales. By reengineering its marketing and sales processes, Troyland can improve its targeting, messaging, and sales techniques, which can help it to better reach its target market and increase sales.</w:t>
          </w:r>
        </w:p>
        <w:p>
          <w:pPr>
            <w:numPr>
              <w:ilvl w:val="0"/>
              <w:numId w:val="0"/>
            </w:numPr>
            <w:spacing w:after="160" w:line="259" w:lineRule="auto"/>
            <w:rPr>
              <w:rFonts w:hint="default"/>
              <w:lang w:val="en-US" w:eastAsia="zh-CN"/>
            </w:rPr>
          </w:pPr>
          <w:r>
            <w:rPr>
              <w:rFonts w:hint="default"/>
              <w:lang w:val="en-US" w:eastAsia="zh-CN"/>
            </w:rPr>
            <w:t>Overall, BPR can help Troyland to become more efficient, customer-centric, and profitable. By reengineering its business processes, Troyland can improve its ability to respond to changes in the market, reduce costs, and provide a better customer experience.</w:t>
          </w:r>
        </w:p>
        <w:p>
          <w:pPr>
            <w:numPr>
              <w:ilvl w:val="0"/>
              <w:numId w:val="0"/>
            </w:numPr>
            <w:spacing w:after="160" w:line="259" w:lineRule="auto"/>
          </w:pPr>
          <w:r>
            <w:rPr>
              <w:rFonts w:hint="default"/>
              <w:lang w:val="en-US" w:eastAsia="zh-CN"/>
            </w:rPr>
            <w:t>Additionally, reengineering its business processes can help Troyland to leverage new technologies, improve data analysis and decision-making, and enhance customer service. By transforming its operations and adopting new best practices, the company can position itself for growth and success in the long term.</w:t>
          </w:r>
        </w:p>
        <w:p>
          <w:pPr>
            <w:pStyle w:val="2"/>
          </w:pPr>
          <w:bookmarkStart w:id="14" w:name="_Toc20751"/>
          <w:r>
            <w:t>Conclusion (average of 10% of word count)</w:t>
          </w:r>
          <w:bookmarkEnd w:id="14"/>
        </w:p>
        <w:p/>
        <w:p>
          <w:pPr>
            <w:rPr>
              <w:rFonts w:hint="eastAsia"/>
            </w:rPr>
          </w:pPr>
          <w:r>
            <w:rPr>
              <w:rFonts w:hint="eastAsia"/>
            </w:rPr>
            <w:t>Portal Fabrication</w:t>
          </w:r>
          <w:r>
            <w:rPr>
              <w:rFonts w:hint="eastAsia"/>
              <w:lang w:val="en-US" w:eastAsia="zh-CN"/>
            </w:rPr>
            <w:t xml:space="preserve"> </w:t>
          </w:r>
          <w:r>
            <w:rPr>
              <w:rFonts w:hint="eastAsia"/>
            </w:rPr>
            <w:t>is performing well overall, with strong sales revenue and operating profit. However, there are some areas where the company may be able to improve its performance and increase shareholder wealth.The introduction of a new executive information system has the potential to improve performance management within the company, allowing for more effective decision-making and better coordination between the manufacturing/sales and service divisions.The use of Residual Income and Economic Value Added (EVA) as measures of divisional performance may also help to better assess the performance of each division and ensure that divisional managers are being properly evaluated.</w:t>
          </w:r>
        </w:p>
        <w:p>
          <w:pPr>
            <w:rPr>
              <w:rFonts w:hint="eastAsia"/>
            </w:rPr>
          </w:pPr>
          <w:r>
            <w:rPr>
              <w:rFonts w:hint="eastAsia"/>
            </w:rPr>
            <w:t>Based on the analysis of Troyland's financial and qualitative performance, it can be concluded that the company is facing significant challenges in terms of growth and profitability. The declining trend in sales and market share, coupled with decreasing profitability ratios, highlights the need for the company to re-evaluate its strategic direction and take necessary steps to improve its financial performance.Troyland needs to re-evaluate its strategic direction, improve its financial performance, and implement effective management control and performance management systems to overcome the challenges it faces and ensure long-term success.</w:t>
          </w:r>
        </w:p>
        <w:p/>
        <w:p/>
        <w:p/>
        <w:p/>
        <w:p/>
        <w:p/>
        <w:p/>
        <w:p/>
        <w:p/>
        <w:p/>
        <w:p/>
        <w:p/>
        <w:p/>
        <w:p/>
        <w:p/>
        <w:p/>
        <w:p/>
        <w:p/>
        <w:p/>
        <w:p/>
        <w:p/>
        <w:p/>
        <w:p/>
        <w:p/>
        <w:p/>
        <w:p/>
        <w:p/>
        <w:p/>
        <w:p>
          <w:pPr>
            <w:pStyle w:val="2"/>
          </w:pPr>
          <w:bookmarkStart w:id="15" w:name="_Toc22898"/>
          <w:r>
            <w:t>Bibliography</w:t>
          </w:r>
          <w:bookmarkEnd w:id="15"/>
        </w:p>
        <w:p/>
        <w:p/>
      </w:sdtContent>
    </w:sdt>
    <w:p/>
    <w:p/>
    <w:p/>
    <w:p/>
    <w:p/>
    <w:p/>
    <w:p/>
    <w:p/>
    <w:p/>
    <w:p/>
    <w:p/>
    <w:p/>
    <w:p/>
    <w:p/>
    <w:p/>
    <w:p/>
    <w:p/>
    <w:p/>
    <w:p/>
    <w:p/>
    <w:p/>
    <w:p/>
    <w:p/>
    <w:p/>
    <w:p/>
    <w:p/>
    <w:p/>
    <w:p/>
    <w:p>
      <w:pPr>
        <w:pStyle w:val="2"/>
      </w:pPr>
      <w:bookmarkStart w:id="16" w:name="_Toc28740"/>
      <w:r>
        <w:t>Appendix</w:t>
      </w:r>
      <w:bookmarkEnd w:id="16"/>
    </w:p>
    <w:p>
      <w:pPr>
        <w:rPr>
          <w:rFonts w:hint="eastAsia"/>
        </w:rPr>
      </w:pPr>
      <w:r>
        <w:rPr>
          <w:rFonts w:hint="eastAsia"/>
        </w:rPr>
        <w:t xml:space="preserve">ROI = Operating profit / Capital employed </w:t>
      </w:r>
    </w:p>
    <w:p>
      <w:pPr>
        <w:rPr>
          <w:rFonts w:hint="eastAsia"/>
        </w:rPr>
      </w:pPr>
      <w:r>
        <w:rPr>
          <w:rFonts w:hint="eastAsia"/>
        </w:rPr>
        <w:t xml:space="preserve">RI = Operating profit - (Capital employed x Notional cost of capital) </w:t>
      </w:r>
    </w:p>
    <w:p>
      <w:pPr>
        <w:rPr>
          <w:rFonts w:hint="eastAsia"/>
        </w:rPr>
      </w:pPr>
      <w:r>
        <w:rPr>
          <w:rFonts w:hint="eastAsia"/>
        </w:rPr>
        <w:t>EVATM = Net operating profit after tax - Total cost of capital</w:t>
      </w:r>
    </w:p>
    <w:p>
      <w:pPr>
        <w:rPr>
          <w:rFonts w:hint="eastAsia"/>
        </w:rPr>
      </w:pPr>
      <w:r>
        <w:rPr>
          <w:rFonts w:hint="eastAsia"/>
        </w:rPr>
        <w:t>Gross Profit Margin = (Gross Profit / Turnover) x 100%</w:t>
      </w:r>
    </w:p>
    <w:p>
      <w:pPr>
        <w:rPr>
          <w:rFonts w:hint="eastAsia"/>
        </w:rPr>
      </w:pPr>
      <w:r>
        <w:rPr>
          <w:rFonts w:hint="eastAsia"/>
        </w:rPr>
        <w:t>Operating Profit Margin = (Operating Profit / Turnover) x 100%</w:t>
      </w:r>
    </w:p>
    <w:p>
      <w:pPr>
        <w:rPr>
          <w:rFonts w:hint="eastAsia"/>
        </w:rPr>
      </w:pPr>
      <w:r>
        <w:rPr>
          <w:rFonts w:hint="eastAsia"/>
        </w:rPr>
        <w:t>Net Profit Margin = Net Profit / Total Revenue</w:t>
      </w:r>
    </w:p>
    <w:p>
      <w:pPr>
        <w:rPr>
          <w:rFonts w:hint="eastAsia"/>
        </w:rPr>
      </w:pPr>
      <w:r>
        <w:rPr>
          <w:rFonts w:hint="eastAsia"/>
        </w:rPr>
        <w:t>ROE = (Net Income / Shareholders' Equity) x 100%</w:t>
      </w:r>
    </w:p>
    <w:p>
      <w:pPr>
        <w:rPr>
          <w:rFonts w:hint="eastAsia"/>
        </w:rPr>
      </w:pPr>
      <w:r>
        <w:rPr>
          <w:rFonts w:hint="eastAsia"/>
        </w:rPr>
        <w:t>Current Ratio = Current Assets / Current Liabilities</w:t>
      </w:r>
    </w:p>
    <w:p>
      <w:pPr>
        <w:rPr>
          <w:rFonts w:hint="eastAsia"/>
        </w:rPr>
      </w:pPr>
      <w:r>
        <w:rPr>
          <w:rFonts w:hint="eastAsia"/>
        </w:rPr>
        <w:t>Inventory Turnover = Cost of Sales / Average Inventory</w:t>
      </w:r>
    </w:p>
    <w:p>
      <w:pPr>
        <w:rPr>
          <w:rFonts w:hint="eastAsia"/>
        </w:rPr>
      </w:pPr>
      <w:r>
        <w:rPr>
          <w:rFonts w:hint="eastAsia"/>
        </w:rPr>
        <w:t>Accounts Receivable Turnover = Total Revenue / Average Accounts Receivable</w:t>
      </w:r>
    </w:p>
    <w:p>
      <w:pPr>
        <w:rPr>
          <w:rFonts w:hint="eastAsia"/>
        </w:rPr>
      </w:pPr>
      <w:r>
        <w:rPr>
          <w:rFonts w:hint="eastAsia"/>
        </w:rPr>
        <w:t>Interest Coverage Ratio = Earnings Before Interest and Taxes (EBIT) / Interest Expense</w:t>
      </w:r>
    </w:p>
    <w:p>
      <w:bookmarkStart w:id="17" w:name="_GoBack"/>
      <w:bookmarkEnd w:id="17"/>
    </w:p>
    <w:p/>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 w:name="+中文正文">
    <w:altName w:val="Segoe Print"/>
    <w:panose1 w:val="00000000000000000000"/>
    <w:charset w:val="00"/>
    <w:family w:val="auto"/>
    <w:pitch w:val="default"/>
    <w:sig w:usb0="00000000" w:usb1="00000000" w:usb2="00000000" w:usb3="00000000" w:csb0="00000000" w:csb1="00000000"/>
  </w:font>
  <w:font w:name="+西文正文">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A">
    <w:altName w:val="OCR A Extended"/>
    <w:panose1 w:val="00000000000000000000"/>
    <w:charset w:val="00"/>
    <w:family w:val="auto"/>
    <w:pitch w:val="default"/>
    <w:sig w:usb0="00000000" w:usb1="00000000" w:usb2="00000000" w:usb3="00000000" w:csb0="00000000" w:csb1="00000000"/>
  </w:font>
  <w:font w:name="OCR A Extended">
    <w:panose1 w:val="02010509020102010303"/>
    <w:charset w:val="00"/>
    <w:family w:val="auto"/>
    <w:pitch w:val="default"/>
    <w:sig w:usb0="00000003" w:usb1="00000000" w:usb2="00000000" w:usb3="00000000" w:csb0="20000001" w:csb1="00000000"/>
  </w:font>
  <w:font w:name="N">
    <w:altName w:val="Segoe Print"/>
    <w:panose1 w:val="00000000000000000000"/>
    <w:charset w:val="00"/>
    <w:family w:val="auto"/>
    <w:pitch w:val="default"/>
    <w:sig w:usb0="00000000" w:usb1="00000000" w:usb2="00000000" w:usb3="00000000" w:csb0="00000000" w:csb1="00000000"/>
  </w:font>
  <w:font w:name="Niagara Engraved">
    <w:panose1 w:val="04020502070703030202"/>
    <w:charset w:val="00"/>
    <w:family w:val="auto"/>
    <w:pitch w:val="default"/>
    <w:sig w:usb0="00000003" w:usb1="00000000" w:usb2="00000000" w:usb3="00000000" w:csb0="20000001" w:csb1="00000000"/>
  </w:font>
  <w:font w:name="NE">
    <w:altName w:val="Segoe Print"/>
    <w:panose1 w:val="00000000000000000000"/>
    <w:charset w:val="00"/>
    <w:family w:val="auto"/>
    <w:pitch w:val="default"/>
    <w:sig w:usb0="00000000" w:usb1="00000000" w:usb2="00000000" w:usb3="00000000" w:csb0="00000000" w:csb1="00000000"/>
  </w:font>
  <w:font w:name="NEW">
    <w:altName w:val="Segoe Print"/>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D19862"/>
    <w:multiLevelType w:val="singleLevel"/>
    <w:tmpl w:val="1DD19862"/>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lkMjdmOTA5Y2JjOWEzZGJjNzhiMjVjNjY0OGU2M2UifQ=="/>
  </w:docVars>
  <w:rsids>
    <w:rsidRoot w:val="007D1947"/>
    <w:rsid w:val="000232C6"/>
    <w:rsid w:val="00107936"/>
    <w:rsid w:val="00115B96"/>
    <w:rsid w:val="00292977"/>
    <w:rsid w:val="00324CCD"/>
    <w:rsid w:val="00480872"/>
    <w:rsid w:val="004A11F6"/>
    <w:rsid w:val="004D519C"/>
    <w:rsid w:val="005014C5"/>
    <w:rsid w:val="00693E27"/>
    <w:rsid w:val="007D1947"/>
    <w:rsid w:val="008D4C45"/>
    <w:rsid w:val="00931CAA"/>
    <w:rsid w:val="00A12B58"/>
    <w:rsid w:val="00A4233F"/>
    <w:rsid w:val="00AA2A91"/>
    <w:rsid w:val="00B22C1F"/>
    <w:rsid w:val="00CA09F3"/>
    <w:rsid w:val="00D854A5"/>
    <w:rsid w:val="00DF3B0A"/>
    <w:rsid w:val="00E91208"/>
    <w:rsid w:val="1D82487D"/>
    <w:rsid w:val="1F6341C4"/>
    <w:rsid w:val="2412732E"/>
    <w:rsid w:val="24982A8B"/>
    <w:rsid w:val="24ED56A6"/>
    <w:rsid w:val="27096745"/>
    <w:rsid w:val="28C02EC2"/>
    <w:rsid w:val="30A734F4"/>
    <w:rsid w:val="423B3A9C"/>
    <w:rsid w:val="4B5C5483"/>
    <w:rsid w:val="5BF40736"/>
    <w:rsid w:val="5D600B2F"/>
    <w:rsid w:val="5E5C61D5"/>
    <w:rsid w:val="62570027"/>
    <w:rsid w:val="7E0A6A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Ascii" w:hAnsiTheme="minorAscii" w:eastAsiaTheme="minorEastAsia" w:cstheme="minorBidi"/>
      <w:sz w:val="24"/>
      <w:szCs w:val="22"/>
      <w:lang w:val="en-GB" w:eastAsia="en-US" w:bidi="ar-SA"/>
    </w:rPr>
  </w:style>
  <w:style w:type="paragraph" w:styleId="2">
    <w:name w:val="heading 1"/>
    <w:basedOn w:val="1"/>
    <w:next w:val="1"/>
    <w:link w:val="1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4">
    <w:name w:val="heading 3"/>
    <w:basedOn w:val="1"/>
    <w:next w:val="1"/>
    <w:unhideWhenUsed/>
    <w:qFormat/>
    <w:uiPriority w:val="9"/>
    <w:pPr>
      <w:keepNext/>
      <w:keepLines/>
      <w:spacing w:before="260" w:beforeLines="0" w:beforeAutospacing="0" w:after="260" w:afterLines="0" w:afterAutospacing="0" w:line="413" w:lineRule="auto"/>
      <w:outlineLvl w:val="2"/>
    </w:pPr>
    <w:rPr>
      <w:rFonts w:ascii="Times New Roman" w:hAnsi="Times New Roman" w:cs="Calibri" w:eastAsiaTheme="minorEastAsia"/>
      <w:b/>
    </w:rPr>
  </w:style>
  <w:style w:type="paragraph" w:styleId="5">
    <w:name w:val="heading 4"/>
    <w:basedOn w:val="1"/>
    <w:next w:val="1"/>
    <w:unhideWhenUsed/>
    <w:qFormat/>
    <w:uiPriority w:val="9"/>
    <w:pPr>
      <w:keepNext/>
      <w:keepLines/>
      <w:spacing w:before="280" w:beforeLines="0" w:beforeAutospacing="0" w:after="290" w:afterLines="0" w:afterAutospacing="0" w:line="372" w:lineRule="auto"/>
      <w:outlineLvl w:val="3"/>
    </w:pPr>
    <w:rPr>
      <w:rFonts w:ascii="Calibri" w:hAnsi="Calibri" w:eastAsia="黑体"/>
    </w:rPr>
  </w:style>
  <w:style w:type="paragraph" w:styleId="6">
    <w:name w:val="heading 5"/>
    <w:basedOn w:val="1"/>
    <w:next w:val="1"/>
    <w:unhideWhenUsed/>
    <w:qFormat/>
    <w:uiPriority w:val="9"/>
    <w:pPr>
      <w:keepNext/>
      <w:keepLines/>
      <w:spacing w:before="280" w:beforeLines="0" w:beforeAutospacing="0" w:after="290" w:afterLines="0" w:afterAutospacing="0" w:line="372" w:lineRule="auto"/>
      <w:outlineLvl w:val="4"/>
    </w:pPr>
    <w:rPr>
      <w:rFonts w:ascii="Calibri" w:hAnsi="Calibri" w:eastAsiaTheme="minorEastAsia"/>
      <w:sz w:val="24"/>
    </w:rPr>
  </w:style>
  <w:style w:type="character" w:default="1" w:styleId="12">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7">
    <w:name w:val="toc 3"/>
    <w:basedOn w:val="1"/>
    <w:next w:val="1"/>
    <w:semiHidden/>
    <w:unhideWhenUsed/>
    <w:uiPriority w:val="39"/>
    <w:pPr>
      <w:ind w:left="840" w:leftChars="400"/>
    </w:pPr>
  </w:style>
  <w:style w:type="paragraph" w:styleId="8">
    <w:name w:val="toc 1"/>
    <w:basedOn w:val="1"/>
    <w:next w:val="1"/>
    <w:unhideWhenUsed/>
    <w:qFormat/>
    <w:uiPriority w:val="39"/>
    <w:pPr>
      <w:spacing w:after="100"/>
    </w:pPr>
  </w:style>
  <w:style w:type="paragraph" w:styleId="9">
    <w:name w:val="toc 2"/>
    <w:basedOn w:val="1"/>
    <w:next w:val="1"/>
    <w:unhideWhenUsed/>
    <w:qFormat/>
    <w:uiPriority w:val="39"/>
    <w:pPr>
      <w:spacing w:after="100"/>
      <w:ind w:left="220"/>
    </w:pPr>
  </w:style>
  <w:style w:type="paragraph" w:styleId="10">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paragraph" w:styleId="14">
    <w:name w:val="No Spacing"/>
    <w:link w:val="15"/>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5">
    <w:name w:val="No Spacing Char"/>
    <w:basedOn w:val="12"/>
    <w:link w:val="14"/>
    <w:qFormat/>
    <w:uiPriority w:val="1"/>
    <w:rPr>
      <w:rFonts w:eastAsiaTheme="minorEastAsia"/>
      <w:lang w:val="en-US"/>
    </w:rPr>
  </w:style>
  <w:style w:type="character" w:customStyle="1" w:styleId="16">
    <w:name w:val="Heading 1 Char"/>
    <w:basedOn w:val="12"/>
    <w:link w:val="2"/>
    <w:qFormat/>
    <w:uiPriority w:val="9"/>
    <w:rPr>
      <w:rFonts w:asciiTheme="majorHAnsi" w:hAnsiTheme="majorHAnsi" w:eastAsiaTheme="majorEastAsia" w:cstheme="majorBidi"/>
      <w:color w:val="2E75B6" w:themeColor="accent1" w:themeShade="BF"/>
      <w:sz w:val="32"/>
      <w:szCs w:val="32"/>
    </w:rPr>
  </w:style>
  <w:style w:type="paragraph" w:customStyle="1" w:styleId="17">
    <w:name w:val="TOC Heading"/>
    <w:basedOn w:val="2"/>
    <w:next w:val="1"/>
    <w:unhideWhenUsed/>
    <w:qFormat/>
    <w:uiPriority w:val="39"/>
    <w:pPr>
      <w:outlineLvl w:val="9"/>
    </w:pPr>
    <w:rPr>
      <w:lang w:val="en-US"/>
    </w:rPr>
  </w:style>
  <w:style w:type="character" w:customStyle="1" w:styleId="18">
    <w:name w:val="Heading 2 Char"/>
    <w:basedOn w:val="12"/>
    <w:link w:val="3"/>
    <w:qFormat/>
    <w:uiPriority w:val="9"/>
    <w:rPr>
      <w:rFonts w:asciiTheme="majorHAnsi" w:hAnsiTheme="majorHAnsi" w:eastAsiaTheme="majorEastAsia" w:cstheme="majorBidi"/>
      <w:color w:val="2E75B6" w:themeColor="accent1" w:themeShade="BF"/>
      <w:sz w:val="26"/>
      <w:szCs w:val="26"/>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B15A26-42CA-B54F-9963-1E6D880921F8}">
  <ds:schemaRefs/>
</ds:datastoreItem>
</file>

<file path=docProps/app.xml><?xml version="1.0" encoding="utf-8"?>
<Properties xmlns="http://schemas.openxmlformats.org/officeDocument/2006/extended-properties" xmlns:vt="http://schemas.openxmlformats.org/officeDocument/2006/docPropsVTypes">
  <Template>Normal.dotm</Template>
  <Company>University of Wales Trinity Saint David</Company>
  <Pages>22</Pages>
  <Words>4934</Words>
  <Characters>26546</Characters>
  <Lines>12</Lines>
  <Paragraphs>3</Paragraphs>
  <TotalTime>7</TotalTime>
  <ScaleCrop>false</ScaleCrop>
  <LinksUpToDate>false</LinksUpToDate>
  <CharactersWithSpaces>31461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2023-03-10T11:13:00Z</dcterms:created>
  <dc:creator>Marie Pitson</dc:creator>
  <cp:lastModifiedBy>乘化。</cp:lastModifiedBy>
  <dcterms:modified xsi:type="dcterms:W3CDTF">2023-05-09T13:42:16Z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07487F33DC04449F9C86707D865ACA80_13</vt:lpwstr>
  </property>
</Properties>
</file>