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4C43B" w14:textId="4352679D" w:rsidR="00A4603A" w:rsidRPr="00EE3ECC" w:rsidRDefault="00A4603A" w:rsidP="007640AE">
      <w:pPr>
        <w:spacing w:line="480" w:lineRule="auto"/>
        <w:jc w:val="both"/>
        <w:rPr>
          <w:rFonts w:ascii="Arial" w:hAnsi="Arial" w:cs="Arial"/>
          <w:sz w:val="36"/>
          <w:szCs w:val="36"/>
        </w:rPr>
      </w:pPr>
      <w:r w:rsidRPr="00EE3ECC">
        <w:rPr>
          <w:rFonts w:ascii="Arial" w:hAnsi="Arial" w:cs="Arial"/>
          <w:sz w:val="36"/>
          <w:szCs w:val="36"/>
        </w:rPr>
        <w:t>APPLIED SOCIAL AND EDUCATIONAL RESEARCH</w:t>
      </w:r>
    </w:p>
    <w:p w14:paraId="03E9E785" w14:textId="77777777" w:rsidR="00A4603A" w:rsidRPr="00EE3ECC" w:rsidRDefault="00A4603A" w:rsidP="007640AE">
      <w:pPr>
        <w:spacing w:line="480" w:lineRule="auto"/>
        <w:jc w:val="both"/>
        <w:rPr>
          <w:rFonts w:ascii="Arial" w:hAnsi="Arial" w:cs="Arial"/>
        </w:rPr>
      </w:pPr>
    </w:p>
    <w:p w14:paraId="5EE94A35" w14:textId="77777777" w:rsidR="00F829F3" w:rsidRPr="00EE3ECC" w:rsidRDefault="00F829F3" w:rsidP="007640AE">
      <w:pPr>
        <w:spacing w:line="480" w:lineRule="auto"/>
        <w:jc w:val="both"/>
        <w:rPr>
          <w:rFonts w:ascii="Arial" w:hAnsi="Arial" w:cs="Arial"/>
        </w:rPr>
      </w:pPr>
    </w:p>
    <w:p w14:paraId="2EF03097" w14:textId="338A6249" w:rsidR="00A4603A" w:rsidRPr="00EE3ECC" w:rsidRDefault="00A4603A" w:rsidP="007640AE">
      <w:pPr>
        <w:spacing w:line="480" w:lineRule="auto"/>
        <w:jc w:val="both"/>
        <w:rPr>
          <w:rFonts w:ascii="Arial" w:hAnsi="Arial" w:cs="Arial"/>
          <w:b/>
          <w:bCs/>
        </w:rPr>
      </w:pPr>
      <w:r w:rsidRPr="00EE3ECC">
        <w:rPr>
          <w:rFonts w:ascii="Arial" w:hAnsi="Arial" w:cs="Arial"/>
          <w:b/>
          <w:bCs/>
        </w:rPr>
        <w:t>CONTENTS</w:t>
      </w:r>
    </w:p>
    <w:p w14:paraId="3D8019D4" w14:textId="6F960C9B" w:rsidR="007640AE" w:rsidRPr="00EE3ECC" w:rsidRDefault="00A4603A" w:rsidP="007640AE">
      <w:pPr>
        <w:spacing w:line="480" w:lineRule="auto"/>
        <w:jc w:val="both"/>
        <w:rPr>
          <w:rFonts w:ascii="Arial" w:hAnsi="Arial" w:cs="Arial"/>
        </w:rPr>
      </w:pPr>
      <w:r w:rsidRPr="00EE3ECC">
        <w:rPr>
          <w:rFonts w:ascii="Arial" w:hAnsi="Arial" w:cs="Arial"/>
        </w:rPr>
        <w:t xml:space="preserve">Page 1 </w:t>
      </w:r>
      <w:r w:rsidR="007640AE" w:rsidRPr="00EE3ECC">
        <w:rPr>
          <w:rFonts w:ascii="Arial" w:hAnsi="Arial" w:cs="Arial"/>
        </w:rPr>
        <w:t xml:space="preserve">– contents, AI declaration and </w:t>
      </w:r>
      <w:r w:rsidR="00EE3ECC" w:rsidRPr="00EE3ECC">
        <w:rPr>
          <w:rFonts w:ascii="Arial" w:hAnsi="Arial" w:cs="Arial"/>
        </w:rPr>
        <w:t>portfolio introduction</w:t>
      </w:r>
    </w:p>
    <w:p w14:paraId="21DE57C9" w14:textId="2FE5C42B" w:rsidR="00A4603A" w:rsidRPr="00EE3ECC" w:rsidRDefault="00EE3ECC" w:rsidP="007640AE">
      <w:pPr>
        <w:spacing w:line="480" w:lineRule="auto"/>
        <w:jc w:val="both"/>
        <w:rPr>
          <w:rFonts w:ascii="Arial" w:hAnsi="Arial" w:cs="Arial"/>
        </w:rPr>
      </w:pPr>
      <w:r>
        <w:rPr>
          <w:rFonts w:ascii="Arial" w:hAnsi="Arial" w:cs="Arial"/>
        </w:rPr>
        <w:t>Page 2-</w:t>
      </w:r>
      <w:r w:rsidR="00810A3B">
        <w:rPr>
          <w:rFonts w:ascii="Arial" w:hAnsi="Arial" w:cs="Arial"/>
        </w:rPr>
        <w:t>7</w:t>
      </w:r>
      <w:r>
        <w:rPr>
          <w:rFonts w:ascii="Arial" w:hAnsi="Arial" w:cs="Arial"/>
        </w:rPr>
        <w:t xml:space="preserve"> </w:t>
      </w:r>
      <w:r w:rsidR="00A4603A" w:rsidRPr="00EE3ECC">
        <w:rPr>
          <w:rFonts w:ascii="Arial" w:hAnsi="Arial" w:cs="Arial"/>
        </w:rPr>
        <w:t xml:space="preserve">– Part one : Critical evaluation of a journal </w:t>
      </w:r>
      <w:r w:rsidR="009468A1" w:rsidRPr="00EE3ECC">
        <w:rPr>
          <w:rFonts w:ascii="Arial" w:hAnsi="Arial" w:cs="Arial"/>
        </w:rPr>
        <w:t>article</w:t>
      </w:r>
    </w:p>
    <w:p w14:paraId="0CD4C3CD" w14:textId="000E6F10" w:rsidR="00A4603A" w:rsidRDefault="00A4603A" w:rsidP="007640AE">
      <w:pPr>
        <w:spacing w:line="480" w:lineRule="auto"/>
        <w:jc w:val="both"/>
        <w:rPr>
          <w:rFonts w:ascii="Arial" w:hAnsi="Arial" w:cs="Arial"/>
        </w:rPr>
      </w:pPr>
      <w:r w:rsidRPr="00EE3ECC">
        <w:rPr>
          <w:rFonts w:ascii="Arial" w:hAnsi="Arial" w:cs="Arial"/>
        </w:rPr>
        <w:t>Page</w:t>
      </w:r>
      <w:r w:rsidR="00810A3B">
        <w:rPr>
          <w:rFonts w:ascii="Arial" w:hAnsi="Arial" w:cs="Arial"/>
        </w:rPr>
        <w:t xml:space="preserve"> 8 </w:t>
      </w:r>
      <w:r w:rsidR="00234064">
        <w:rPr>
          <w:rFonts w:ascii="Arial" w:hAnsi="Arial" w:cs="Arial"/>
        </w:rPr>
        <w:t>–</w:t>
      </w:r>
      <w:r w:rsidR="00810A3B">
        <w:rPr>
          <w:rFonts w:ascii="Arial" w:hAnsi="Arial" w:cs="Arial"/>
        </w:rPr>
        <w:t xml:space="preserve"> </w:t>
      </w:r>
      <w:r w:rsidR="00234064">
        <w:rPr>
          <w:rFonts w:ascii="Arial" w:hAnsi="Arial" w:cs="Arial"/>
        </w:rPr>
        <w:t>references for part one</w:t>
      </w:r>
    </w:p>
    <w:p w14:paraId="7FB1560E" w14:textId="703BA25C" w:rsidR="00A34733" w:rsidRDefault="00234064" w:rsidP="007640AE">
      <w:pPr>
        <w:spacing w:line="480" w:lineRule="auto"/>
        <w:jc w:val="both"/>
        <w:rPr>
          <w:rFonts w:ascii="Arial" w:hAnsi="Arial" w:cs="Arial"/>
        </w:rPr>
      </w:pPr>
      <w:r>
        <w:rPr>
          <w:rFonts w:ascii="Arial" w:hAnsi="Arial" w:cs="Arial"/>
        </w:rPr>
        <w:t xml:space="preserve">Page 9-14 - </w:t>
      </w:r>
      <w:r w:rsidR="00A34733" w:rsidRPr="00EE3ECC">
        <w:rPr>
          <w:rFonts w:ascii="Arial" w:hAnsi="Arial" w:cs="Arial"/>
        </w:rPr>
        <w:t xml:space="preserve">Part two : Research ethics and reflection </w:t>
      </w:r>
    </w:p>
    <w:p w14:paraId="6D6A8D9A" w14:textId="2D32821C" w:rsidR="00234064" w:rsidRPr="00EE3ECC" w:rsidRDefault="00234064" w:rsidP="007640AE">
      <w:pPr>
        <w:spacing w:line="480" w:lineRule="auto"/>
        <w:jc w:val="both"/>
        <w:rPr>
          <w:rFonts w:ascii="Arial" w:hAnsi="Arial" w:cs="Arial"/>
        </w:rPr>
      </w:pPr>
      <w:r>
        <w:rPr>
          <w:rFonts w:ascii="Arial" w:hAnsi="Arial" w:cs="Arial"/>
        </w:rPr>
        <w:t xml:space="preserve">Page 15 – references </w:t>
      </w:r>
      <w:r w:rsidR="00F55F14">
        <w:rPr>
          <w:rFonts w:ascii="Arial" w:hAnsi="Arial" w:cs="Arial"/>
        </w:rPr>
        <w:t>for part two</w:t>
      </w:r>
    </w:p>
    <w:p w14:paraId="62D79631" w14:textId="77777777" w:rsidR="00A4603A" w:rsidRPr="00EE3ECC" w:rsidRDefault="00A4603A" w:rsidP="007640AE">
      <w:pPr>
        <w:spacing w:line="480" w:lineRule="auto"/>
        <w:jc w:val="both"/>
        <w:rPr>
          <w:rFonts w:ascii="Arial" w:hAnsi="Arial" w:cs="Arial"/>
        </w:rPr>
      </w:pPr>
    </w:p>
    <w:p w14:paraId="060D3261" w14:textId="77777777" w:rsidR="00A4603A" w:rsidRPr="00EE3ECC" w:rsidRDefault="00A4603A" w:rsidP="007640AE">
      <w:pPr>
        <w:spacing w:line="480" w:lineRule="auto"/>
        <w:jc w:val="both"/>
        <w:rPr>
          <w:rFonts w:ascii="Arial" w:hAnsi="Arial" w:cs="Arial"/>
        </w:rPr>
      </w:pPr>
    </w:p>
    <w:p w14:paraId="63F51770" w14:textId="77777777" w:rsidR="00A4603A" w:rsidRPr="00EE3ECC" w:rsidRDefault="00A4603A" w:rsidP="007640AE">
      <w:pPr>
        <w:spacing w:line="480" w:lineRule="auto"/>
        <w:jc w:val="both"/>
        <w:rPr>
          <w:rFonts w:ascii="Arial" w:hAnsi="Arial" w:cs="Arial"/>
          <w:b/>
          <w:bCs/>
        </w:rPr>
      </w:pPr>
      <w:r w:rsidRPr="00EE3ECC">
        <w:rPr>
          <w:rFonts w:ascii="Arial" w:hAnsi="Arial" w:cs="Arial"/>
          <w:b/>
          <w:bCs/>
        </w:rPr>
        <w:t xml:space="preserve">AI declaration </w:t>
      </w:r>
    </w:p>
    <w:p w14:paraId="373E1695" w14:textId="50308AC1" w:rsidR="00A4603A" w:rsidRPr="00EE3ECC" w:rsidRDefault="00A4603A" w:rsidP="007640AE">
      <w:pPr>
        <w:spacing w:line="480" w:lineRule="auto"/>
        <w:jc w:val="both"/>
        <w:rPr>
          <w:rFonts w:ascii="Arial" w:hAnsi="Arial" w:cs="Arial"/>
        </w:rPr>
      </w:pPr>
      <w:r w:rsidRPr="00EE3ECC">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9E547D6" w14:textId="77777777" w:rsidR="007640AE" w:rsidRPr="00EE3ECC" w:rsidRDefault="007640AE" w:rsidP="007640AE">
      <w:pPr>
        <w:spacing w:line="480" w:lineRule="auto"/>
        <w:jc w:val="both"/>
        <w:rPr>
          <w:rFonts w:ascii="Arial" w:hAnsi="Arial" w:cs="Arial"/>
        </w:rPr>
      </w:pPr>
    </w:p>
    <w:p w14:paraId="1E9CF103" w14:textId="1BFF79C0" w:rsidR="00A4603A" w:rsidRPr="00EE3ECC" w:rsidRDefault="00A4603A" w:rsidP="007640AE">
      <w:pPr>
        <w:spacing w:line="480" w:lineRule="auto"/>
        <w:jc w:val="both"/>
        <w:rPr>
          <w:rFonts w:ascii="Arial" w:hAnsi="Arial" w:cs="Arial"/>
          <w:b/>
          <w:bCs/>
        </w:rPr>
      </w:pPr>
      <w:r w:rsidRPr="00EE3ECC">
        <w:rPr>
          <w:rFonts w:ascii="Arial" w:hAnsi="Arial" w:cs="Arial"/>
          <w:b/>
          <w:bCs/>
        </w:rPr>
        <w:t>Introduction</w:t>
      </w:r>
    </w:p>
    <w:p w14:paraId="5A992DB7" w14:textId="1806EB8B" w:rsidR="00A4603A" w:rsidRPr="00EE3ECC" w:rsidRDefault="00A4603A" w:rsidP="007640AE">
      <w:pPr>
        <w:spacing w:line="480" w:lineRule="auto"/>
        <w:jc w:val="both"/>
        <w:rPr>
          <w:rFonts w:ascii="Arial" w:hAnsi="Arial" w:cs="Arial"/>
        </w:rPr>
      </w:pPr>
      <w:r w:rsidRPr="00EE3ECC">
        <w:rPr>
          <w:rFonts w:ascii="Arial" w:hAnsi="Arial" w:cs="Arial"/>
        </w:rPr>
        <w:t xml:space="preserve">This portfolio is separated into two sections. In part one, the author will critically evaluate a journal article. In part two, the author will then reflect on research ethics. </w:t>
      </w:r>
    </w:p>
    <w:p w14:paraId="45E1AE89" w14:textId="77777777" w:rsidR="00A4603A" w:rsidRDefault="00A4603A" w:rsidP="007640AE">
      <w:pPr>
        <w:spacing w:line="480" w:lineRule="auto"/>
        <w:jc w:val="both"/>
        <w:rPr>
          <w:rFonts w:ascii="Arial" w:hAnsi="Arial" w:cs="Arial"/>
          <w:b/>
          <w:bCs/>
        </w:rPr>
      </w:pPr>
    </w:p>
    <w:p w14:paraId="6EBFABA1" w14:textId="77777777" w:rsidR="00F55F14" w:rsidRPr="00EE3ECC" w:rsidRDefault="00F55F14" w:rsidP="007640AE">
      <w:pPr>
        <w:spacing w:line="480" w:lineRule="auto"/>
        <w:jc w:val="both"/>
        <w:rPr>
          <w:rFonts w:ascii="Arial" w:hAnsi="Arial" w:cs="Arial"/>
          <w:b/>
          <w:bCs/>
        </w:rPr>
      </w:pPr>
    </w:p>
    <w:p w14:paraId="360D6778" w14:textId="219F61CE" w:rsidR="00A4603A" w:rsidRPr="00EE3ECC" w:rsidRDefault="00B26208" w:rsidP="007640AE">
      <w:pPr>
        <w:spacing w:line="480" w:lineRule="auto"/>
        <w:jc w:val="both"/>
        <w:rPr>
          <w:rFonts w:ascii="Arial" w:hAnsi="Arial" w:cs="Arial"/>
          <w:b/>
          <w:bCs/>
        </w:rPr>
      </w:pPr>
      <w:r w:rsidRPr="00EE3ECC">
        <w:rPr>
          <w:rFonts w:ascii="Arial" w:hAnsi="Arial" w:cs="Arial"/>
          <w:b/>
          <w:bCs/>
        </w:rPr>
        <w:lastRenderedPageBreak/>
        <w:t xml:space="preserve">Part 1: </w:t>
      </w:r>
      <w:r w:rsidR="00A4603A" w:rsidRPr="00EE3ECC">
        <w:rPr>
          <w:rFonts w:ascii="Arial" w:hAnsi="Arial" w:cs="Arial"/>
          <w:b/>
          <w:bCs/>
        </w:rPr>
        <w:t>Critical evaluation of a journal article</w:t>
      </w:r>
    </w:p>
    <w:p w14:paraId="78E7DCBF" w14:textId="77777777" w:rsidR="00365BB6" w:rsidRPr="00EE3ECC" w:rsidRDefault="00365BB6" w:rsidP="007640AE">
      <w:pPr>
        <w:spacing w:line="480" w:lineRule="auto"/>
        <w:jc w:val="both"/>
        <w:rPr>
          <w:rFonts w:ascii="Arial" w:hAnsi="Arial" w:cs="Arial"/>
          <w:b/>
          <w:bCs/>
        </w:rPr>
      </w:pPr>
    </w:p>
    <w:p w14:paraId="108955B8" w14:textId="77777777" w:rsidR="00365BB6" w:rsidRPr="00EE3ECC" w:rsidRDefault="00365BB6" w:rsidP="007640AE">
      <w:pPr>
        <w:spacing w:line="480" w:lineRule="auto"/>
        <w:jc w:val="both"/>
        <w:rPr>
          <w:rFonts w:ascii="Arial" w:hAnsi="Arial" w:cs="Arial"/>
          <w:b/>
          <w:bCs/>
        </w:rPr>
      </w:pPr>
      <w:r w:rsidRPr="00EE3ECC">
        <w:rPr>
          <w:rFonts w:ascii="Arial" w:hAnsi="Arial" w:cs="Arial"/>
          <w:b/>
          <w:bCs/>
        </w:rPr>
        <w:t>Introduction</w:t>
      </w:r>
    </w:p>
    <w:p w14:paraId="7FAA3255" w14:textId="77777777" w:rsidR="00365BB6" w:rsidRPr="00EE3ECC" w:rsidRDefault="00365BB6" w:rsidP="007640AE">
      <w:pPr>
        <w:spacing w:line="480" w:lineRule="auto"/>
        <w:jc w:val="both"/>
        <w:rPr>
          <w:rFonts w:ascii="Arial" w:hAnsi="Arial" w:cs="Arial"/>
        </w:rPr>
      </w:pPr>
      <w:r w:rsidRPr="00EE3ECC">
        <w:rPr>
          <w:rFonts w:ascii="Arial" w:hAnsi="Arial" w:cs="Arial"/>
        </w:rPr>
        <w:t>Below, the student will provide a critical evaluation of the journal article written by Williams and Richardson (2024) titled ‘‘What do JNC youth workers conceive of as ‘professional maturity’ in youth work practice’’. The author aims to highlight the strengths and weakness regarding the articles relevance. To summarise, the journal article is a piece of research conducted by Williams and Richardson which its main purpose was to record a glimpse of ‘what JNC practitioners in youth and community work defined as ‘’professional maturity’’’(2024, p.1).</w:t>
      </w:r>
    </w:p>
    <w:p w14:paraId="3F59D373" w14:textId="77777777" w:rsidR="00365BB6" w:rsidRPr="00EE3ECC" w:rsidRDefault="00365BB6" w:rsidP="007640AE">
      <w:pPr>
        <w:spacing w:line="480" w:lineRule="auto"/>
        <w:jc w:val="both"/>
        <w:rPr>
          <w:rFonts w:ascii="Arial" w:hAnsi="Arial" w:cs="Arial"/>
          <w:b/>
          <w:bCs/>
        </w:rPr>
      </w:pPr>
      <w:r w:rsidRPr="00EE3ECC">
        <w:rPr>
          <w:rFonts w:ascii="Arial" w:hAnsi="Arial" w:cs="Arial"/>
          <w:b/>
          <w:bCs/>
        </w:rPr>
        <w:t xml:space="preserve">Article weaknesses  </w:t>
      </w:r>
    </w:p>
    <w:p w14:paraId="7411C442" w14:textId="77777777" w:rsidR="00365BB6" w:rsidRPr="00EE3ECC" w:rsidRDefault="00365BB6" w:rsidP="007640AE">
      <w:pPr>
        <w:spacing w:line="480" w:lineRule="auto"/>
        <w:jc w:val="both"/>
        <w:rPr>
          <w:rFonts w:ascii="Arial" w:hAnsi="Arial" w:cs="Arial"/>
        </w:rPr>
      </w:pPr>
      <w:r w:rsidRPr="00EE3ECC">
        <w:rPr>
          <w:rFonts w:ascii="Arial" w:hAnsi="Arial" w:cs="Arial"/>
        </w:rPr>
        <w:t xml:space="preserve">To begin with, this journal article already holds less significance as it is not a peer reviewed article. If Williams and Richardson had gone through the process of getting their article reviewed through other professional peers within the field of youth work, then the journal article would have had much stronger credibility. The reason for this is because by having their article peer reviewed, their research information would have been critiqued and either deemed accurate or inaccurate by experts. </w:t>
      </w:r>
    </w:p>
    <w:p w14:paraId="68A2FDE0" w14:textId="77777777" w:rsidR="00365BB6" w:rsidRPr="00EE3ECC" w:rsidRDefault="00365BB6" w:rsidP="007640AE">
      <w:pPr>
        <w:spacing w:line="480" w:lineRule="auto"/>
        <w:jc w:val="both"/>
        <w:rPr>
          <w:rFonts w:ascii="Arial" w:hAnsi="Arial" w:cs="Arial"/>
        </w:rPr>
      </w:pPr>
      <w:r w:rsidRPr="00EE3ECC">
        <w:rPr>
          <w:rFonts w:ascii="Arial" w:hAnsi="Arial" w:cs="Arial"/>
        </w:rPr>
        <w:t xml:space="preserve">Another disadvantageous aspect of the journal article is that the authors have failed to specifically define who ‘JNC’ is. The authors have just assumed that the reader will be aware of who JNC is and do not provide any context or definition of the role of JNC. This is not good practice as JNC plays a significant role in the research journal. Furthermore, the authors have also not provided a formal or agreed upon definition from the </w:t>
      </w:r>
      <w:proofErr w:type="spellStart"/>
      <w:r w:rsidRPr="00EE3ECC">
        <w:rPr>
          <w:rFonts w:ascii="Arial" w:hAnsi="Arial" w:cs="Arial"/>
        </w:rPr>
        <w:t>on set</w:t>
      </w:r>
      <w:proofErr w:type="spellEnd"/>
      <w:r w:rsidRPr="00EE3ECC">
        <w:rPr>
          <w:rFonts w:ascii="Arial" w:hAnsi="Arial" w:cs="Arial"/>
        </w:rPr>
        <w:t xml:space="preserve"> of what ‘professional maturity’ is. By not having a starting and clear definition for the reader to understand the journal title, the authors can create confusion. The authors instead, have chosen to describe the term ‘maturity’ and have provided multiple sources of reference in regard to their understanding of the term (2024, p.4). </w:t>
      </w:r>
    </w:p>
    <w:p w14:paraId="4FF27BC7" w14:textId="77777777" w:rsidR="00365BB6" w:rsidRPr="00EE3ECC" w:rsidRDefault="00365BB6" w:rsidP="007640AE">
      <w:pPr>
        <w:spacing w:line="480" w:lineRule="auto"/>
        <w:jc w:val="both"/>
        <w:rPr>
          <w:rFonts w:ascii="Arial" w:hAnsi="Arial" w:cs="Arial"/>
        </w:rPr>
      </w:pPr>
      <w:r w:rsidRPr="00EE3ECC">
        <w:rPr>
          <w:rFonts w:ascii="Arial" w:hAnsi="Arial" w:cs="Arial"/>
        </w:rPr>
        <w:lastRenderedPageBreak/>
        <w:t xml:space="preserve">The journal article has been written through a UK lens. A sample size of ‘fifty six respondents’ (2024, p.7) were involved. It is unclear what number of respondents were involved from different parts of the UK. This is slightly concerning as youth workers that operate within Wales will follow different policy that youth workers adhere to in England. This contrast means that there are a number of factors that the authors may have not taken into account when gathering data from their respondents. </w:t>
      </w:r>
    </w:p>
    <w:p w14:paraId="24834F5F" w14:textId="77777777" w:rsidR="00365BB6" w:rsidRPr="00EE3ECC" w:rsidRDefault="00365BB6" w:rsidP="007640AE">
      <w:pPr>
        <w:spacing w:line="480" w:lineRule="auto"/>
        <w:jc w:val="both"/>
        <w:rPr>
          <w:rFonts w:ascii="Arial" w:hAnsi="Arial" w:cs="Arial"/>
        </w:rPr>
      </w:pPr>
      <w:r w:rsidRPr="00EE3ECC">
        <w:rPr>
          <w:rFonts w:ascii="Arial" w:hAnsi="Arial" w:cs="Arial"/>
        </w:rPr>
        <w:t>One weakness of the journal article is that the authors choose to label their research participants as ‘’respondents’’ (2024, p.7). While in one sense this is still good practice as the researchers are not releasing any personal details of the participants involved in their research, it does take away the humanistic element. In other words, by not using some form of pseudonyms for the research participants, the authors can risk devaluing the effort and time that the respondents provided for their research. Moreover, it can take away the humanistic approach that the youth work sector values. The youth work sector is founded on the person centred approach. Having a made up name to represent different respondents contributions would have enabled the reader to remember that the research has been gathered from real people.</w:t>
      </w:r>
    </w:p>
    <w:p w14:paraId="5C88AD53" w14:textId="77777777" w:rsidR="00365BB6" w:rsidRPr="00EE3ECC" w:rsidRDefault="00365BB6" w:rsidP="007640AE">
      <w:pPr>
        <w:spacing w:line="480" w:lineRule="auto"/>
        <w:jc w:val="both"/>
        <w:rPr>
          <w:rFonts w:ascii="Arial" w:hAnsi="Arial" w:cs="Arial"/>
        </w:rPr>
      </w:pPr>
      <w:r w:rsidRPr="00EE3ECC">
        <w:rPr>
          <w:rFonts w:ascii="Arial" w:hAnsi="Arial" w:cs="Arial"/>
        </w:rPr>
        <w:t xml:space="preserve">As mentioned, the journal articles purpose is to provide a ‘snapshot’ (2024, p.1). This then argues the importance of the journal article. Williams and Richardson write that it is not ‘’the intention of the research to debate the outcomes, but rather to provide the current picture from practice’’ (2024, p.8). This then begs the question as to whether or not their research is worthwhile as what they have discovered can not necessarily have a big impact on the future practice of youth workers. Furthermore, the journal article is not really able to provide any ground breaking or solution to a gap in knowledge within the youth work sector. It makes the reader wonder if the research conducted by the authors was really necessary. The journal article does not indicate how they will know that their study has had an impact on the practice of their JNC youth work qualified practitioners. </w:t>
      </w:r>
    </w:p>
    <w:p w14:paraId="026E43BD" w14:textId="77777777" w:rsidR="00365BB6" w:rsidRPr="00EE3ECC" w:rsidRDefault="00365BB6" w:rsidP="007640AE">
      <w:pPr>
        <w:spacing w:line="480" w:lineRule="auto"/>
        <w:jc w:val="both"/>
        <w:rPr>
          <w:rFonts w:ascii="Arial" w:hAnsi="Arial" w:cs="Arial"/>
        </w:rPr>
      </w:pPr>
      <w:r w:rsidRPr="00EE3ECC">
        <w:rPr>
          <w:rFonts w:ascii="Arial" w:hAnsi="Arial" w:cs="Arial"/>
        </w:rPr>
        <w:lastRenderedPageBreak/>
        <w:t xml:space="preserve">Something that the journal article does not include is that of the National Occupational Standards (CLD Standards Council Scotland, 2019) for youth work. In addition to the JNC, the National Occupational Standards are a key factor in the approaches that youth work practitioners in the UK follow. The National Occupational Standards are a form of measurement for youth workers to get qualified. Failure to mention these is like discrediting the value that the National Occupational Standards have for qualified youth workers. </w:t>
      </w:r>
    </w:p>
    <w:p w14:paraId="5B29636E" w14:textId="77777777" w:rsidR="00365BB6" w:rsidRPr="00EE3ECC" w:rsidRDefault="00365BB6" w:rsidP="007640AE">
      <w:pPr>
        <w:spacing w:line="480" w:lineRule="auto"/>
        <w:jc w:val="both"/>
        <w:rPr>
          <w:rFonts w:ascii="Arial" w:hAnsi="Arial" w:cs="Arial"/>
        </w:rPr>
      </w:pPr>
      <w:r w:rsidRPr="00EE3ECC">
        <w:rPr>
          <w:rFonts w:ascii="Arial" w:hAnsi="Arial" w:cs="Arial"/>
        </w:rPr>
        <w:t xml:space="preserve">The authors state that respondents ‘did not have access to the recording’ (2024, p.8) of their online semi-structured interview. It is also unclear if the authors took into account the role of hermeneutics throughout their semi-structured interviews. </w:t>
      </w:r>
    </w:p>
    <w:p w14:paraId="5DD84E86" w14:textId="77777777" w:rsidR="00365BB6" w:rsidRPr="00EE3ECC" w:rsidRDefault="00365BB6" w:rsidP="007640AE">
      <w:pPr>
        <w:spacing w:line="480" w:lineRule="auto"/>
        <w:jc w:val="both"/>
        <w:rPr>
          <w:rFonts w:ascii="Arial" w:hAnsi="Arial" w:cs="Arial"/>
        </w:rPr>
      </w:pPr>
      <w:r w:rsidRPr="00EE3ECC">
        <w:rPr>
          <w:rFonts w:ascii="Arial" w:hAnsi="Arial" w:cs="Arial"/>
        </w:rPr>
        <w:t xml:space="preserve">The authors mention how the online questionnaire was ‘built using Microsoft Forms’ (2024, p.7) however they fail to mention if they also used the Microsoft Forms built in tools for analysing the data that they had gathered through it. </w:t>
      </w:r>
    </w:p>
    <w:p w14:paraId="4E495A2C" w14:textId="77777777" w:rsidR="00365BB6" w:rsidRPr="00EE3ECC" w:rsidRDefault="00365BB6" w:rsidP="007640AE">
      <w:pPr>
        <w:spacing w:line="480" w:lineRule="auto"/>
        <w:jc w:val="both"/>
        <w:rPr>
          <w:rFonts w:ascii="Arial" w:hAnsi="Arial" w:cs="Arial"/>
        </w:rPr>
      </w:pPr>
      <w:r w:rsidRPr="00EE3ECC">
        <w:rPr>
          <w:rFonts w:ascii="Arial" w:hAnsi="Arial" w:cs="Arial"/>
        </w:rPr>
        <w:t xml:space="preserve">Another angle that the authors could have approached their research topic is by agreeing on a clear definition of what professional immaturity looks like. This definition could have been provided to the respondents in order to get a better understanding of what the opposite could be. </w:t>
      </w:r>
    </w:p>
    <w:p w14:paraId="6F152E9C" w14:textId="77777777" w:rsidR="00365BB6" w:rsidRPr="00EE3ECC" w:rsidRDefault="00365BB6" w:rsidP="007640AE">
      <w:pPr>
        <w:spacing w:line="480" w:lineRule="auto"/>
        <w:jc w:val="both"/>
        <w:rPr>
          <w:rFonts w:ascii="Arial" w:hAnsi="Arial" w:cs="Arial"/>
        </w:rPr>
      </w:pPr>
      <w:r w:rsidRPr="00EE3ECC">
        <w:rPr>
          <w:rFonts w:ascii="Arial" w:hAnsi="Arial" w:cs="Arial"/>
        </w:rPr>
        <w:t xml:space="preserve">One major issue that the journal article poses is that the authors did not conduct a ‘physical check’ (2024, p.7) regarding the respondents level of qualification. How can the reader therefore be certain that the respondents are legit and actually qualified to the extent that the researchers say that they are? This creates a level of uncertainty with the information that the researchers have gathered as how can the reader expect what the respondents have said to match with their supposed level of qualification? </w:t>
      </w:r>
    </w:p>
    <w:p w14:paraId="1AAA14B4" w14:textId="77777777" w:rsidR="00365BB6" w:rsidRPr="00EE3ECC" w:rsidRDefault="00365BB6" w:rsidP="007640AE">
      <w:pPr>
        <w:spacing w:line="480" w:lineRule="auto"/>
        <w:jc w:val="both"/>
        <w:rPr>
          <w:rFonts w:ascii="Arial" w:hAnsi="Arial" w:cs="Arial"/>
          <w:b/>
          <w:bCs/>
        </w:rPr>
      </w:pPr>
      <w:r w:rsidRPr="00EE3ECC">
        <w:rPr>
          <w:rFonts w:ascii="Arial" w:hAnsi="Arial" w:cs="Arial"/>
          <w:b/>
          <w:bCs/>
        </w:rPr>
        <w:t xml:space="preserve">Article strengths </w:t>
      </w:r>
    </w:p>
    <w:p w14:paraId="09E904F3" w14:textId="77777777" w:rsidR="00365BB6" w:rsidRPr="00EE3ECC" w:rsidRDefault="00365BB6" w:rsidP="007640AE">
      <w:pPr>
        <w:spacing w:line="480" w:lineRule="auto"/>
        <w:jc w:val="both"/>
        <w:rPr>
          <w:rFonts w:ascii="Arial" w:hAnsi="Arial" w:cs="Arial"/>
        </w:rPr>
      </w:pPr>
      <w:r w:rsidRPr="00EE3ECC">
        <w:rPr>
          <w:rFonts w:ascii="Arial" w:hAnsi="Arial" w:cs="Arial"/>
        </w:rPr>
        <w:t xml:space="preserve">One major strength of the journal article is that both </w:t>
      </w:r>
      <w:proofErr w:type="spellStart"/>
      <w:r w:rsidRPr="00EE3ECC">
        <w:rPr>
          <w:rFonts w:ascii="Arial" w:hAnsi="Arial" w:cs="Arial"/>
        </w:rPr>
        <w:t>quantitave</w:t>
      </w:r>
      <w:proofErr w:type="spellEnd"/>
      <w:r w:rsidRPr="00EE3ECC">
        <w:rPr>
          <w:rFonts w:ascii="Arial" w:hAnsi="Arial" w:cs="Arial"/>
        </w:rPr>
        <w:t xml:space="preserve"> and qualitative methods of research were used. The use of an ‘’online questionnaire  and an online semi-structured interview’’ (Williams and Richardson, 2024, p.1) reflect how the authors chose to use a mixed </w:t>
      </w:r>
      <w:r w:rsidRPr="00EE3ECC">
        <w:rPr>
          <w:rFonts w:ascii="Arial" w:hAnsi="Arial" w:cs="Arial"/>
        </w:rPr>
        <w:lastRenderedPageBreak/>
        <w:t xml:space="preserve">methodology approach within their research process. This meant that the authors did not just rely on numerical data, instead they also gathered quotes and information through conversations about the JNC youth work qualified experiences. By having multiple types of data to analyse, the authors would be able to gather a more in depth outlook in order to form their conclusions. Using semi-structured interviews and not interviews meant that the authors could have created a less formal approach when talking with their respondents. The authors mention how the semi-structured interviews gave ‘’space for exploration of ideas’’ (2024, p.8). However, it is unclear if or how the authors handled conversations going off topic within the interviews. It should however be noted, that all the research methods that were used were done online. The authors discuss the reason behind this being due to the fact that the research gathering ‘’took place during the Covid-19 pandemic’’ (2024, p.2). </w:t>
      </w:r>
    </w:p>
    <w:p w14:paraId="4B6FA3A9" w14:textId="77777777" w:rsidR="00365BB6" w:rsidRPr="00EE3ECC" w:rsidRDefault="00365BB6" w:rsidP="007640AE">
      <w:pPr>
        <w:spacing w:line="480" w:lineRule="auto"/>
        <w:jc w:val="both"/>
        <w:rPr>
          <w:rFonts w:ascii="Arial" w:hAnsi="Arial" w:cs="Arial"/>
        </w:rPr>
      </w:pPr>
      <w:r w:rsidRPr="00EE3ECC">
        <w:rPr>
          <w:rFonts w:ascii="Arial" w:hAnsi="Arial" w:cs="Arial"/>
        </w:rPr>
        <w:t xml:space="preserve">The authors have shared their awareness regarding to their own limitations. They have been self-critical and transparent about bias approach. For example, the authors write how they were ‘’conscious of the respondents’ own backgrounds, experiences, and potential for bias’’ (2024, p.2). Willliams and Richardson provide a description of their own background and experiences as practitioners to the reader (2024, p.6). This demonstrates to the reader that the researchers value transparency. The authors go on to explain how they held meetings in order to directly address any areas of bias that they might come across (2024, p.6). the authors also write how they used the ‘’reflective nature of youth work to underpin their approach’ in the research process. This is a strength of the journal article as it demonstrates that the authors have shared knowledge of the sector that they are researching in. More of the authors reflections and ‘pondering’ (2024, p.7) can be evident throughout the journal article where the authors discuss the analysing process of their data. </w:t>
      </w:r>
    </w:p>
    <w:p w14:paraId="14E66BE1" w14:textId="77777777" w:rsidR="00365BB6" w:rsidRPr="00EE3ECC" w:rsidRDefault="00365BB6" w:rsidP="007640AE">
      <w:pPr>
        <w:spacing w:line="480" w:lineRule="auto"/>
        <w:jc w:val="both"/>
        <w:rPr>
          <w:rFonts w:ascii="Arial" w:hAnsi="Arial" w:cs="Arial"/>
        </w:rPr>
      </w:pPr>
      <w:r w:rsidRPr="00EE3ECC">
        <w:rPr>
          <w:rFonts w:ascii="Arial" w:hAnsi="Arial" w:cs="Arial"/>
        </w:rPr>
        <w:t xml:space="preserve">A positive of the journal article is that the authors have indicated that they received ethical permission (2024, p.8). Williams and Richardson express how they also provided ‘support’ to their respondents through IYW (2024, p.8). This point gives the reader the impression that the authors were careful, respectful and considerate of their respondents contribution towards </w:t>
      </w:r>
      <w:r w:rsidRPr="00EE3ECC">
        <w:rPr>
          <w:rFonts w:ascii="Arial" w:hAnsi="Arial" w:cs="Arial"/>
        </w:rPr>
        <w:lastRenderedPageBreak/>
        <w:t xml:space="preserve">their research. To further strengthen their research and persuaded their readers that they were thorough in their planning, the authors could have incorporated the British Educational Research Association’s Ethical Guidelines (2024). </w:t>
      </w:r>
    </w:p>
    <w:p w14:paraId="66C55647" w14:textId="77777777" w:rsidR="00365BB6" w:rsidRPr="00EE3ECC" w:rsidRDefault="00365BB6" w:rsidP="007640AE">
      <w:pPr>
        <w:spacing w:line="480" w:lineRule="auto"/>
        <w:jc w:val="both"/>
        <w:rPr>
          <w:rFonts w:ascii="Arial" w:hAnsi="Arial" w:cs="Arial"/>
        </w:rPr>
      </w:pPr>
      <w:r w:rsidRPr="00EE3ECC">
        <w:rPr>
          <w:rFonts w:ascii="Arial" w:hAnsi="Arial" w:cs="Arial"/>
        </w:rPr>
        <w:t xml:space="preserve">Through the journal article, it is evident to see that Williams and Richardson (2024) have used a combination of primary and secondary research to form their article. For example, the use of gathering primary research, research directly from JNC qualified youth practitioners has meant that the authors can analyse raw date from people who have real life experiences and degrees of knowledge within their field. The use of secondary data, sources and references from other authors and institutions is also consistent throughout their piece of work. </w:t>
      </w:r>
    </w:p>
    <w:p w14:paraId="3B8BBCD5" w14:textId="77777777" w:rsidR="00365BB6" w:rsidRPr="00EE3ECC" w:rsidRDefault="00365BB6" w:rsidP="007640AE">
      <w:pPr>
        <w:spacing w:line="480" w:lineRule="auto"/>
        <w:jc w:val="both"/>
        <w:rPr>
          <w:rFonts w:ascii="Arial" w:hAnsi="Arial" w:cs="Arial"/>
        </w:rPr>
      </w:pPr>
      <w:r w:rsidRPr="00EE3ECC">
        <w:rPr>
          <w:rFonts w:ascii="Arial" w:hAnsi="Arial" w:cs="Arial"/>
        </w:rPr>
        <w:t xml:space="preserve">The way that the research data was presented was satisfactory. The authors used direct quotes from respondents and included tables that displayed the data in an appropriate manner. However, the model of ‘professional maturity’ (2024, p.15), without the written explanation behind the diagram, is not an easy diagram to view. Personally, it does not look like something that can easily be explained at a quick glance. </w:t>
      </w:r>
    </w:p>
    <w:p w14:paraId="7AD80573" w14:textId="77777777" w:rsidR="00365BB6" w:rsidRPr="00EE3ECC" w:rsidRDefault="00365BB6" w:rsidP="007640AE">
      <w:pPr>
        <w:spacing w:line="480" w:lineRule="auto"/>
        <w:jc w:val="both"/>
        <w:rPr>
          <w:rFonts w:ascii="Arial" w:hAnsi="Arial" w:cs="Arial"/>
        </w:rPr>
      </w:pPr>
      <w:r w:rsidRPr="00EE3ECC">
        <w:rPr>
          <w:rFonts w:ascii="Arial" w:hAnsi="Arial" w:cs="Arial"/>
        </w:rPr>
        <w:t>It is reassuring that the authors have included declarations at the end of their journal article (2024, p.17). This shows the authors intentions and dedication towards the research process. It also reinforces their respect for the respondents that participated in the research.</w:t>
      </w:r>
    </w:p>
    <w:p w14:paraId="4C561752" w14:textId="77777777" w:rsidR="00365BB6" w:rsidRPr="00EE3ECC" w:rsidRDefault="00365BB6" w:rsidP="007640AE">
      <w:pPr>
        <w:spacing w:line="480" w:lineRule="auto"/>
        <w:jc w:val="both"/>
        <w:rPr>
          <w:rFonts w:ascii="Arial" w:hAnsi="Arial" w:cs="Arial"/>
          <w:b/>
          <w:bCs/>
        </w:rPr>
      </w:pPr>
      <w:r w:rsidRPr="00EE3ECC">
        <w:rPr>
          <w:rFonts w:ascii="Arial" w:hAnsi="Arial" w:cs="Arial"/>
          <w:b/>
          <w:bCs/>
        </w:rPr>
        <w:t>Conclusion</w:t>
      </w:r>
    </w:p>
    <w:p w14:paraId="1DC97916" w14:textId="09378725" w:rsidR="00365BB6" w:rsidRPr="00EE3ECC" w:rsidRDefault="00365BB6" w:rsidP="007640AE">
      <w:pPr>
        <w:spacing w:line="480" w:lineRule="auto"/>
        <w:jc w:val="both"/>
        <w:rPr>
          <w:rFonts w:ascii="Arial" w:hAnsi="Arial" w:cs="Arial"/>
        </w:rPr>
      </w:pPr>
      <w:r w:rsidRPr="00EE3ECC">
        <w:rPr>
          <w:rFonts w:ascii="Arial" w:hAnsi="Arial" w:cs="Arial"/>
        </w:rPr>
        <w:t xml:space="preserve">In conclusion, the student believes that whilst the journal article had some key strengths, the rest of it could have been further researched and developed in order to present a much more balanced and </w:t>
      </w:r>
      <w:r w:rsidR="00EE3ECC" w:rsidRPr="00EE3ECC">
        <w:rPr>
          <w:rFonts w:ascii="Arial" w:hAnsi="Arial" w:cs="Arial"/>
        </w:rPr>
        <w:t>well-structured</w:t>
      </w:r>
      <w:r w:rsidRPr="00EE3ECC">
        <w:rPr>
          <w:rFonts w:ascii="Arial" w:hAnsi="Arial" w:cs="Arial"/>
        </w:rPr>
        <w:t xml:space="preserve"> piece of research. The student does not believe that the journal article was entirely worthwhile. The journal article did provide a cross section of a time in history and its intention was not to provide answers or a solution for future youth work practitioners. There were some fundamental elements that questioned its validity. Overall, the journal article was successful in provoking thinking for the reader and holds great significance in the development of understanding what ‘professional maturity’ can look like. It is the </w:t>
      </w:r>
      <w:r w:rsidRPr="00EE3ECC">
        <w:rPr>
          <w:rFonts w:ascii="Arial" w:hAnsi="Arial" w:cs="Arial"/>
        </w:rPr>
        <w:lastRenderedPageBreak/>
        <w:t xml:space="preserve">students opinion that the journal article would have benefit from a further research process and greater consistency of data collected and gathered. On the other hand, the student believes that the research conducted created more good than harm and it was evident that to some small extent, ethics were considered. Even the authors have acknowledged their limitations writing that ‘‘future research and development are needed to more deeply explore the impact and changes from this moment in time’’ (2024, p.9). Furthermore, more thought could have been involved when designing how to display the different types of results from the research in order for it to be easier to understand for the reader. </w:t>
      </w:r>
    </w:p>
    <w:p w14:paraId="553701BB" w14:textId="77777777" w:rsidR="00365BB6" w:rsidRPr="00EE3ECC" w:rsidRDefault="00365BB6" w:rsidP="007640AE">
      <w:pPr>
        <w:spacing w:line="480" w:lineRule="auto"/>
        <w:jc w:val="both"/>
        <w:rPr>
          <w:rFonts w:ascii="Arial" w:hAnsi="Arial" w:cs="Arial"/>
        </w:rPr>
      </w:pPr>
    </w:p>
    <w:p w14:paraId="3A4A3A60" w14:textId="77777777" w:rsidR="00365BB6" w:rsidRPr="00EE3ECC" w:rsidRDefault="00365BB6" w:rsidP="007640AE">
      <w:pPr>
        <w:spacing w:line="480" w:lineRule="auto"/>
        <w:jc w:val="both"/>
        <w:rPr>
          <w:rFonts w:ascii="Arial" w:hAnsi="Arial" w:cs="Arial"/>
        </w:rPr>
      </w:pPr>
    </w:p>
    <w:p w14:paraId="4CAE4DBD" w14:textId="77777777" w:rsidR="00365BB6" w:rsidRPr="00EE3ECC" w:rsidRDefault="00365BB6" w:rsidP="007640AE">
      <w:pPr>
        <w:spacing w:line="480" w:lineRule="auto"/>
        <w:jc w:val="both"/>
        <w:rPr>
          <w:rFonts w:ascii="Arial" w:hAnsi="Arial" w:cs="Arial"/>
        </w:rPr>
      </w:pPr>
    </w:p>
    <w:p w14:paraId="55E935D5" w14:textId="77777777" w:rsidR="00365BB6" w:rsidRPr="00EE3ECC" w:rsidRDefault="00365BB6" w:rsidP="007640AE">
      <w:pPr>
        <w:spacing w:line="480" w:lineRule="auto"/>
        <w:jc w:val="both"/>
        <w:rPr>
          <w:rFonts w:ascii="Arial" w:hAnsi="Arial" w:cs="Arial"/>
          <w:b/>
          <w:bCs/>
        </w:rPr>
      </w:pPr>
    </w:p>
    <w:p w14:paraId="6EC314FA" w14:textId="77777777" w:rsidR="00365BB6" w:rsidRPr="00EE3ECC" w:rsidRDefault="00365BB6" w:rsidP="007640AE">
      <w:pPr>
        <w:spacing w:line="480" w:lineRule="auto"/>
        <w:jc w:val="both"/>
      </w:pPr>
    </w:p>
    <w:p w14:paraId="4D08AA8A" w14:textId="77777777" w:rsidR="00365BB6" w:rsidRPr="00EE3ECC" w:rsidRDefault="00365BB6" w:rsidP="007640AE">
      <w:pPr>
        <w:spacing w:line="480" w:lineRule="auto"/>
        <w:jc w:val="both"/>
      </w:pPr>
    </w:p>
    <w:p w14:paraId="60834360" w14:textId="77777777" w:rsidR="00365BB6" w:rsidRDefault="00365BB6" w:rsidP="007640AE">
      <w:pPr>
        <w:spacing w:line="480" w:lineRule="auto"/>
        <w:ind w:left="360"/>
        <w:jc w:val="both"/>
      </w:pPr>
    </w:p>
    <w:p w14:paraId="1BE39B8D" w14:textId="77777777" w:rsidR="00EE3ECC" w:rsidRDefault="00EE3ECC" w:rsidP="007640AE">
      <w:pPr>
        <w:spacing w:line="480" w:lineRule="auto"/>
        <w:ind w:left="360"/>
        <w:jc w:val="both"/>
      </w:pPr>
    </w:p>
    <w:p w14:paraId="13A81230" w14:textId="77777777" w:rsidR="00EE3ECC" w:rsidRDefault="00EE3ECC" w:rsidP="007640AE">
      <w:pPr>
        <w:spacing w:line="480" w:lineRule="auto"/>
        <w:ind w:left="360"/>
        <w:jc w:val="both"/>
      </w:pPr>
    </w:p>
    <w:p w14:paraId="5A6A572F" w14:textId="77777777" w:rsidR="00EE3ECC" w:rsidRDefault="00EE3ECC" w:rsidP="007640AE">
      <w:pPr>
        <w:spacing w:line="480" w:lineRule="auto"/>
        <w:ind w:left="360"/>
        <w:jc w:val="both"/>
      </w:pPr>
    </w:p>
    <w:p w14:paraId="4EEF5AB0" w14:textId="77777777" w:rsidR="00EE3ECC" w:rsidRDefault="00EE3ECC" w:rsidP="007640AE">
      <w:pPr>
        <w:spacing w:line="480" w:lineRule="auto"/>
        <w:ind w:left="360"/>
        <w:jc w:val="both"/>
      </w:pPr>
    </w:p>
    <w:p w14:paraId="1F6E2C68" w14:textId="77777777" w:rsidR="00EE3ECC" w:rsidRPr="00EE3ECC" w:rsidRDefault="00EE3ECC" w:rsidP="007640AE">
      <w:pPr>
        <w:spacing w:line="480" w:lineRule="auto"/>
        <w:ind w:left="360"/>
        <w:jc w:val="both"/>
      </w:pPr>
    </w:p>
    <w:p w14:paraId="66F20A90" w14:textId="77777777" w:rsidR="00365BB6" w:rsidRPr="00EE3ECC" w:rsidRDefault="00365BB6" w:rsidP="007640AE">
      <w:pPr>
        <w:spacing w:line="480" w:lineRule="auto"/>
        <w:jc w:val="both"/>
        <w:rPr>
          <w:rFonts w:ascii="Arial" w:hAnsi="Arial" w:cs="Arial"/>
          <w:b/>
          <w:bCs/>
        </w:rPr>
      </w:pPr>
    </w:p>
    <w:p w14:paraId="10E3DC5B" w14:textId="77777777" w:rsidR="00365BB6" w:rsidRPr="00EE3ECC" w:rsidRDefault="00365BB6" w:rsidP="007640AE">
      <w:pPr>
        <w:spacing w:line="480" w:lineRule="auto"/>
        <w:jc w:val="both"/>
        <w:rPr>
          <w:rFonts w:ascii="Arial" w:hAnsi="Arial" w:cs="Arial"/>
          <w:b/>
          <w:bCs/>
        </w:rPr>
      </w:pPr>
    </w:p>
    <w:p w14:paraId="3AC85AFA" w14:textId="790F2312" w:rsidR="00D36501" w:rsidRPr="00EE3ECC" w:rsidRDefault="00B26208" w:rsidP="007640AE">
      <w:pPr>
        <w:spacing w:line="480" w:lineRule="auto"/>
        <w:jc w:val="both"/>
        <w:rPr>
          <w:rFonts w:ascii="Arial" w:hAnsi="Arial" w:cs="Arial"/>
          <w:b/>
          <w:bCs/>
        </w:rPr>
      </w:pPr>
      <w:r w:rsidRPr="00EE3ECC">
        <w:rPr>
          <w:rFonts w:ascii="Arial" w:hAnsi="Arial" w:cs="Arial"/>
          <w:b/>
          <w:bCs/>
        </w:rPr>
        <w:lastRenderedPageBreak/>
        <w:t xml:space="preserve">References for part one: </w:t>
      </w:r>
    </w:p>
    <w:p w14:paraId="3DFACDF7" w14:textId="77777777" w:rsidR="00A37B15" w:rsidRPr="00EE3ECC" w:rsidRDefault="00A37B15" w:rsidP="007640AE">
      <w:pPr>
        <w:spacing w:line="480" w:lineRule="auto"/>
        <w:jc w:val="both"/>
      </w:pPr>
      <w:r w:rsidRPr="00EE3ECC">
        <w:t>British Educational Research Association (2024) Ethical guidelines for educational research. 5</w:t>
      </w:r>
      <w:r w:rsidRPr="00EE3ECC">
        <w:rPr>
          <w:vertAlign w:val="superscript"/>
        </w:rPr>
        <w:t>th</w:t>
      </w:r>
      <w:r w:rsidRPr="00EE3ECC">
        <w:t xml:space="preserve"> </w:t>
      </w:r>
      <w:proofErr w:type="spellStart"/>
      <w:r w:rsidRPr="00EE3ECC">
        <w:t>edn</w:t>
      </w:r>
      <w:proofErr w:type="spellEnd"/>
      <w:r w:rsidRPr="00EE3ECC">
        <w:t>. London: BERA.</w:t>
      </w:r>
    </w:p>
    <w:p w14:paraId="4290B324" w14:textId="6C961230" w:rsidR="0028598C" w:rsidRPr="00EE3ECC" w:rsidRDefault="0028598C" w:rsidP="007640AE">
      <w:pPr>
        <w:spacing w:line="480" w:lineRule="auto"/>
        <w:jc w:val="both"/>
        <w:rPr>
          <w:rFonts w:ascii="Arial" w:hAnsi="Arial" w:cs="Arial"/>
        </w:rPr>
      </w:pPr>
      <w:r w:rsidRPr="00EE3ECC">
        <w:rPr>
          <w:rFonts w:ascii="Arial" w:hAnsi="Arial" w:cs="Arial"/>
        </w:rPr>
        <w:t xml:space="preserve">CLD Standards Council Scotland (2019) </w:t>
      </w:r>
      <w:r w:rsidR="00050C45" w:rsidRPr="00EE3ECC">
        <w:rPr>
          <w:rFonts w:ascii="Arial" w:hAnsi="Arial" w:cs="Arial"/>
        </w:rPr>
        <w:t>Available</w:t>
      </w:r>
      <w:r w:rsidRPr="00EE3ECC">
        <w:rPr>
          <w:rFonts w:ascii="Arial" w:hAnsi="Arial" w:cs="Arial"/>
        </w:rPr>
        <w:t xml:space="preserve"> at: </w:t>
      </w:r>
      <w:hyperlink r:id="rId8" w:history="1">
        <w:r w:rsidRPr="00EE3ECC">
          <w:rPr>
            <w:rStyle w:val="Hyperlink"/>
            <w:rFonts w:ascii="Arial" w:hAnsi="Arial" w:cs="Arial"/>
          </w:rPr>
          <w:t>Combin</w:t>
        </w:r>
        <w:r w:rsidRPr="00EE3ECC">
          <w:rPr>
            <w:rStyle w:val="Hyperlink"/>
            <w:rFonts w:ascii="Arial" w:hAnsi="Arial" w:cs="Arial"/>
          </w:rPr>
          <w:t>edYouthWorkNOS.pdf</w:t>
        </w:r>
      </w:hyperlink>
      <w:r w:rsidRPr="00EE3ECC">
        <w:rPr>
          <w:rFonts w:ascii="Arial" w:hAnsi="Arial" w:cs="Arial"/>
        </w:rPr>
        <w:t xml:space="preserve">  (Accessed on: 23</w:t>
      </w:r>
      <w:r w:rsidRPr="00EE3ECC">
        <w:rPr>
          <w:rFonts w:ascii="Arial" w:hAnsi="Arial" w:cs="Arial"/>
          <w:vertAlign w:val="superscript"/>
        </w:rPr>
        <w:t>rd</w:t>
      </w:r>
      <w:r w:rsidRPr="00EE3ECC">
        <w:rPr>
          <w:rFonts w:ascii="Arial" w:hAnsi="Arial" w:cs="Arial"/>
        </w:rPr>
        <w:t xml:space="preserve"> April 2026)</w:t>
      </w:r>
    </w:p>
    <w:p w14:paraId="678F85FC" w14:textId="41E59F4E" w:rsidR="00050C45" w:rsidRPr="00EE3ECC" w:rsidRDefault="0068046D" w:rsidP="007640AE">
      <w:pPr>
        <w:spacing w:line="480" w:lineRule="auto"/>
        <w:jc w:val="both"/>
      </w:pPr>
      <w:r w:rsidRPr="00EE3ECC">
        <w:t xml:space="preserve">Williams, S. and Richardson, R. (2024) What do JNC youth workers conceive of as ‘professional maturity’ in youth work practice. Available at: </w:t>
      </w:r>
      <w:hyperlink r:id="rId9" w:history="1">
        <w:r w:rsidRPr="00EE3ECC">
          <w:rPr>
            <w:rStyle w:val="Hyperlink"/>
          </w:rPr>
          <w:t>https://moodle.uwtsd.ac.uk/course/format/tiles/mod_view.php?cmid=732265</w:t>
        </w:r>
      </w:hyperlink>
      <w:r w:rsidRPr="00EE3ECC">
        <w:t xml:space="preserve"> (Accessed on: 28</w:t>
      </w:r>
      <w:r w:rsidRPr="00EE3ECC">
        <w:rPr>
          <w:vertAlign w:val="superscript"/>
        </w:rPr>
        <w:t>th</w:t>
      </w:r>
      <w:r w:rsidRPr="00EE3ECC">
        <w:t xml:space="preserve"> April 2026)</w:t>
      </w:r>
    </w:p>
    <w:p w14:paraId="7DF5321E" w14:textId="77777777" w:rsidR="0028598C" w:rsidRPr="00EE3ECC" w:rsidRDefault="0028598C" w:rsidP="007640AE">
      <w:pPr>
        <w:spacing w:line="480" w:lineRule="auto"/>
        <w:jc w:val="both"/>
      </w:pPr>
    </w:p>
    <w:p w14:paraId="4EA4AA26" w14:textId="77777777" w:rsidR="001D0A67" w:rsidRPr="00EE3ECC" w:rsidRDefault="001D0A67" w:rsidP="007640AE">
      <w:pPr>
        <w:spacing w:line="480" w:lineRule="auto"/>
        <w:jc w:val="both"/>
        <w:rPr>
          <w:rFonts w:ascii="Arial" w:hAnsi="Arial" w:cs="Arial"/>
          <w:b/>
          <w:bCs/>
        </w:rPr>
      </w:pPr>
    </w:p>
    <w:p w14:paraId="583E4563" w14:textId="77777777" w:rsidR="001D0A67" w:rsidRPr="00EE3ECC" w:rsidRDefault="001D0A67" w:rsidP="007640AE">
      <w:pPr>
        <w:spacing w:line="480" w:lineRule="auto"/>
        <w:jc w:val="both"/>
        <w:rPr>
          <w:rFonts w:ascii="Arial" w:hAnsi="Arial" w:cs="Arial"/>
          <w:b/>
          <w:bCs/>
        </w:rPr>
      </w:pPr>
    </w:p>
    <w:p w14:paraId="50ACC69B" w14:textId="77777777" w:rsidR="001D0A67" w:rsidRPr="00EE3ECC" w:rsidRDefault="001D0A67" w:rsidP="007640AE">
      <w:pPr>
        <w:spacing w:line="480" w:lineRule="auto"/>
        <w:jc w:val="both"/>
        <w:rPr>
          <w:rFonts w:ascii="Arial" w:hAnsi="Arial" w:cs="Arial"/>
          <w:b/>
          <w:bCs/>
        </w:rPr>
      </w:pPr>
    </w:p>
    <w:p w14:paraId="73097151" w14:textId="77777777" w:rsidR="001D0A67" w:rsidRDefault="001D0A67" w:rsidP="007640AE">
      <w:pPr>
        <w:spacing w:line="480" w:lineRule="auto"/>
        <w:jc w:val="both"/>
        <w:rPr>
          <w:rFonts w:ascii="Arial" w:hAnsi="Arial" w:cs="Arial"/>
          <w:b/>
          <w:bCs/>
        </w:rPr>
      </w:pPr>
    </w:p>
    <w:p w14:paraId="03F56FB0" w14:textId="77777777" w:rsidR="00EE3ECC" w:rsidRDefault="00EE3ECC" w:rsidP="007640AE">
      <w:pPr>
        <w:spacing w:line="480" w:lineRule="auto"/>
        <w:jc w:val="both"/>
        <w:rPr>
          <w:rFonts w:ascii="Arial" w:hAnsi="Arial" w:cs="Arial"/>
          <w:b/>
          <w:bCs/>
        </w:rPr>
      </w:pPr>
    </w:p>
    <w:p w14:paraId="66B34C10" w14:textId="77777777" w:rsidR="00EE3ECC" w:rsidRDefault="00EE3ECC" w:rsidP="007640AE">
      <w:pPr>
        <w:spacing w:line="480" w:lineRule="auto"/>
        <w:jc w:val="both"/>
        <w:rPr>
          <w:rFonts w:ascii="Arial" w:hAnsi="Arial" w:cs="Arial"/>
          <w:b/>
          <w:bCs/>
        </w:rPr>
      </w:pPr>
    </w:p>
    <w:p w14:paraId="6C7E7E36" w14:textId="77777777" w:rsidR="00EE3ECC" w:rsidRDefault="00EE3ECC" w:rsidP="007640AE">
      <w:pPr>
        <w:spacing w:line="480" w:lineRule="auto"/>
        <w:jc w:val="both"/>
        <w:rPr>
          <w:rFonts w:ascii="Arial" w:hAnsi="Arial" w:cs="Arial"/>
          <w:b/>
          <w:bCs/>
        </w:rPr>
      </w:pPr>
    </w:p>
    <w:p w14:paraId="26999E6B" w14:textId="77777777" w:rsidR="00EE3ECC" w:rsidRDefault="00EE3ECC" w:rsidP="007640AE">
      <w:pPr>
        <w:spacing w:line="480" w:lineRule="auto"/>
        <w:jc w:val="both"/>
        <w:rPr>
          <w:rFonts w:ascii="Arial" w:hAnsi="Arial" w:cs="Arial"/>
          <w:b/>
          <w:bCs/>
        </w:rPr>
      </w:pPr>
    </w:p>
    <w:p w14:paraId="564A78BF" w14:textId="77777777" w:rsidR="00EE3ECC" w:rsidRDefault="00EE3ECC" w:rsidP="007640AE">
      <w:pPr>
        <w:spacing w:line="480" w:lineRule="auto"/>
        <w:jc w:val="both"/>
        <w:rPr>
          <w:rFonts w:ascii="Arial" w:hAnsi="Arial" w:cs="Arial"/>
          <w:b/>
          <w:bCs/>
        </w:rPr>
      </w:pPr>
    </w:p>
    <w:p w14:paraId="68543FE4" w14:textId="77777777" w:rsidR="00EE3ECC" w:rsidRDefault="00EE3ECC" w:rsidP="007640AE">
      <w:pPr>
        <w:spacing w:line="480" w:lineRule="auto"/>
        <w:jc w:val="both"/>
        <w:rPr>
          <w:rFonts w:ascii="Arial" w:hAnsi="Arial" w:cs="Arial"/>
          <w:b/>
          <w:bCs/>
        </w:rPr>
      </w:pPr>
    </w:p>
    <w:p w14:paraId="14DFE3C3" w14:textId="77777777" w:rsidR="00EE3ECC" w:rsidRPr="00EE3ECC" w:rsidRDefault="00EE3ECC" w:rsidP="007640AE">
      <w:pPr>
        <w:spacing w:line="480" w:lineRule="auto"/>
        <w:jc w:val="both"/>
        <w:rPr>
          <w:rFonts w:ascii="Arial" w:hAnsi="Arial" w:cs="Arial"/>
          <w:b/>
          <w:bCs/>
        </w:rPr>
      </w:pPr>
    </w:p>
    <w:p w14:paraId="2A72D190" w14:textId="77777777" w:rsidR="00D36501" w:rsidRPr="00EE3ECC" w:rsidRDefault="00D36501" w:rsidP="007640AE">
      <w:pPr>
        <w:spacing w:line="480" w:lineRule="auto"/>
        <w:jc w:val="both"/>
        <w:rPr>
          <w:rFonts w:ascii="Arial" w:hAnsi="Arial" w:cs="Arial"/>
          <w:b/>
          <w:bCs/>
        </w:rPr>
      </w:pPr>
    </w:p>
    <w:p w14:paraId="51501AF6" w14:textId="36B79633" w:rsidR="007423C6" w:rsidRDefault="007423C6" w:rsidP="007640AE">
      <w:pPr>
        <w:spacing w:line="480" w:lineRule="auto"/>
        <w:jc w:val="both"/>
        <w:rPr>
          <w:rFonts w:ascii="Arial" w:hAnsi="Arial" w:cs="Arial"/>
          <w:b/>
          <w:bCs/>
        </w:rPr>
      </w:pPr>
      <w:r w:rsidRPr="00EE3ECC">
        <w:rPr>
          <w:rFonts w:ascii="Arial" w:hAnsi="Arial" w:cs="Arial"/>
          <w:b/>
          <w:bCs/>
        </w:rPr>
        <w:lastRenderedPageBreak/>
        <w:t xml:space="preserve">Part 2: Research Ethics and Reflection Portfolio </w:t>
      </w:r>
    </w:p>
    <w:p w14:paraId="40374685" w14:textId="77777777" w:rsidR="00EE3ECC" w:rsidRPr="00EE3ECC" w:rsidRDefault="00EE3ECC" w:rsidP="007640AE">
      <w:pPr>
        <w:spacing w:line="480" w:lineRule="auto"/>
        <w:jc w:val="both"/>
        <w:rPr>
          <w:rFonts w:ascii="Arial" w:hAnsi="Arial" w:cs="Arial"/>
          <w:b/>
          <w:bCs/>
        </w:rPr>
      </w:pPr>
    </w:p>
    <w:p w14:paraId="5FB0F754" w14:textId="77777777" w:rsidR="003D62D2" w:rsidRPr="00EE3ECC" w:rsidRDefault="003D62D2" w:rsidP="007640AE">
      <w:pPr>
        <w:spacing w:line="480" w:lineRule="auto"/>
        <w:jc w:val="both"/>
        <w:rPr>
          <w:b/>
          <w:bCs/>
        </w:rPr>
      </w:pPr>
      <w:r w:rsidRPr="00EE3ECC">
        <w:rPr>
          <w:b/>
          <w:bCs/>
        </w:rPr>
        <w:t>Introduction and reasons for research ethics</w:t>
      </w:r>
    </w:p>
    <w:p w14:paraId="230D4A87" w14:textId="77777777" w:rsidR="003D62D2" w:rsidRPr="00EE3ECC" w:rsidRDefault="003D62D2" w:rsidP="007640AE">
      <w:pPr>
        <w:spacing w:line="480" w:lineRule="auto"/>
        <w:jc w:val="both"/>
      </w:pPr>
      <w:r w:rsidRPr="00EE3ECC">
        <w:t xml:space="preserve">In this section, the author aims to reflect on the importance of research ethics. The term ‘code of ethics’, as described by </w:t>
      </w:r>
      <w:proofErr w:type="spellStart"/>
      <w:r w:rsidRPr="00EE3ECC">
        <w:t>Sarantakos</w:t>
      </w:r>
      <w:proofErr w:type="spellEnd"/>
      <w:r w:rsidRPr="00EE3ECC">
        <w:t xml:space="preserve">, surrounds ensuring that there are no ‘’physical and mental harm to respondents, covert or hidden research, invasion of privacy, violation of anonymity and confidentiality, deception, coercion, plagiarism, and fabrication or concealment of findings’’ (2013, p.16 ). In other words, ethics is attached to ‘the idea of morality’’ (Denscombe, 2002, p.174). Researchers have a duty to ensure that the way in which they gather the information that they need is done in a respectful manner. </w:t>
      </w:r>
    </w:p>
    <w:p w14:paraId="4FF0DDEE" w14:textId="77777777" w:rsidR="003D62D2" w:rsidRPr="00EE3ECC" w:rsidRDefault="003D62D2" w:rsidP="007640AE">
      <w:pPr>
        <w:spacing w:line="480" w:lineRule="auto"/>
        <w:jc w:val="both"/>
      </w:pPr>
      <w:r w:rsidRPr="00EE3ECC">
        <w:t xml:space="preserve">Ethics should not just be the foundation of a research project, instead it should be like a thread that runs through the project from start to finish. Standish explains how ethics does not only come into play during the physical research process, instead it begins ‘’at the start of our actions and projects’’(2001, p.212). In other words, the consideration of ethics is ‘’not only in the manner in which it is conducted, but in its aims and orientation’’(2001, p.212). Being aware of the ethics involved in research will ensure all participants, young people and researchers, are respected. </w:t>
      </w:r>
    </w:p>
    <w:p w14:paraId="667ED8D6" w14:textId="77777777" w:rsidR="003D62D2" w:rsidRPr="00EE3ECC" w:rsidRDefault="003D62D2" w:rsidP="007640AE">
      <w:pPr>
        <w:spacing w:line="480" w:lineRule="auto"/>
        <w:jc w:val="both"/>
      </w:pPr>
      <w:r w:rsidRPr="00EE3ECC">
        <w:t>There are multiple reasons as to why research ethics should be at the core of youth work research projects. One of these is to safeguard the wellbeing of the young people who take part. Not only are researchers in a position of authority to make certain that no troubles are brought upon participants, but researchers also have a duty to end any research that has proved to be harmful to participants/those involved (</w:t>
      </w:r>
      <w:proofErr w:type="spellStart"/>
      <w:r w:rsidRPr="00EE3ECC">
        <w:t>Sarantakos</w:t>
      </w:r>
      <w:proofErr w:type="spellEnd"/>
      <w:r w:rsidRPr="00EE3ECC">
        <w:t>, 2013, p.17-18). Furthermore, Denscombe draws attention to the fact that the process of receiving consent from research participants ‘’reminds the researcher that the participants are free to say ‘no’ at any stage’’ (2002, p.189).</w:t>
      </w:r>
    </w:p>
    <w:p w14:paraId="2B5180BB" w14:textId="77777777" w:rsidR="003D62D2" w:rsidRPr="00EE3ECC" w:rsidRDefault="003D62D2" w:rsidP="007640AE">
      <w:pPr>
        <w:spacing w:line="480" w:lineRule="auto"/>
        <w:jc w:val="both"/>
      </w:pPr>
      <w:r w:rsidRPr="00EE3ECC">
        <w:lastRenderedPageBreak/>
        <w:t xml:space="preserve">Another reason as to why ethics play an important role within research is to prevent confusion and protected privacy. Research ethics provides researchers with guidance of how they are able to store data collected from their research participants. The type of data that this could involve are that of numerical statistics or they could be personal quotes such as lived experiences. In a research project it is important that the researcher indicates the degree of confidentiality. This is even more important as the researcher could be receiving information from young people who require parental consent to take part, or are sharing sensitive information. Keeping lines of communication clear between the different research parties will ensure a smoother research process and will help eliminate confusion as to the role each party plays in the process. Another reason as to why transparency is extremely important when conducting research is because a researcher needs to be able to provide a participant with clear guidelines of what and how their contribution will be used. Denscombe highlights how the relevance of research should ‘’never be taken for granted’’ (2002, p.61). This is more pressing within the youth work research context as some of the participants of research may be young people. The ages of these young people can greatly vary, their level of literacy will also be variable. If a young person is not aware of the significance of their responses to a research project, then they could be taken advantage of. This is why the purpose of research has to be carefully explained to young participants in words that they will understand. Young people will need to be aware of what they are signing up for and how their contribution will be used. </w:t>
      </w:r>
    </w:p>
    <w:p w14:paraId="356AA555" w14:textId="67B4C2F5" w:rsidR="003D62D2" w:rsidRPr="00EE3ECC" w:rsidRDefault="003D62D2" w:rsidP="007640AE">
      <w:pPr>
        <w:spacing w:line="480" w:lineRule="auto"/>
        <w:jc w:val="both"/>
        <w:rPr>
          <w:b/>
          <w:bCs/>
        </w:rPr>
      </w:pPr>
      <w:r w:rsidRPr="00EE3ECC">
        <w:rPr>
          <w:b/>
          <w:bCs/>
        </w:rPr>
        <w:t>Different types of data collection methods</w:t>
      </w:r>
    </w:p>
    <w:p w14:paraId="57557489" w14:textId="77777777" w:rsidR="003D62D2" w:rsidRPr="00EE3ECC" w:rsidRDefault="003D62D2" w:rsidP="007640AE">
      <w:pPr>
        <w:spacing w:line="480" w:lineRule="auto"/>
        <w:jc w:val="both"/>
      </w:pPr>
      <w:r w:rsidRPr="00EE3ECC">
        <w:t xml:space="preserve">There are a wide range of different date collection methods. The two most common forms of data collection are through quantitative and qualitative methods. Both quantitative and qualitative research methods have their strengths and weaknesses. Quantitative research primarily involves gathering numerical data such as the number of votes in an election. On the other hand, qualitative research such as interviews are used in order to gather information regarding </w:t>
      </w:r>
      <w:r w:rsidRPr="00EE3ECC">
        <w:lastRenderedPageBreak/>
        <w:t xml:space="preserve">‘’people’s life histories or everyday behaviours’’ (Silverman, 2005, p.6). In most cases, a combination of both research methods are used; this is known as a mixed methodology research approach. Silverman writes that ‘’no method of research, quantitative or qualitative, is intrinsically better’’ (2005, p.6) which is why having a mix of the two research styles can build stronger evidence around a particular research focus. </w:t>
      </w:r>
    </w:p>
    <w:p w14:paraId="046490A1" w14:textId="77777777" w:rsidR="003D62D2" w:rsidRPr="00EE3ECC" w:rsidRDefault="003D62D2" w:rsidP="007640AE">
      <w:pPr>
        <w:spacing w:line="480" w:lineRule="auto"/>
        <w:jc w:val="both"/>
      </w:pPr>
      <w:r w:rsidRPr="00EE3ECC">
        <w:t xml:space="preserve">Furthermore, researchers are able to use primary and secondary research in their process. Primary research is information that has been gathered directly from a source whereas secondary research involves information taken from other sources. Both types of research have advantages and disadvantages. For example, primary research is usually more trustworthy as it has been accessed through one communication channel and the data can be described as raw. </w:t>
      </w:r>
    </w:p>
    <w:p w14:paraId="210D1056" w14:textId="77777777" w:rsidR="003D62D2" w:rsidRPr="00EE3ECC" w:rsidRDefault="003D62D2" w:rsidP="007640AE">
      <w:pPr>
        <w:spacing w:line="480" w:lineRule="auto"/>
        <w:jc w:val="both"/>
        <w:rPr>
          <w:b/>
          <w:bCs/>
        </w:rPr>
      </w:pPr>
      <w:r w:rsidRPr="00EE3ECC">
        <w:rPr>
          <w:b/>
          <w:bCs/>
        </w:rPr>
        <w:t>Analysing data</w:t>
      </w:r>
    </w:p>
    <w:p w14:paraId="0D386E4A" w14:textId="77777777" w:rsidR="003D62D2" w:rsidRPr="00EE3ECC" w:rsidRDefault="003D62D2" w:rsidP="007640AE">
      <w:pPr>
        <w:spacing w:line="480" w:lineRule="auto"/>
        <w:jc w:val="both"/>
      </w:pPr>
      <w:r w:rsidRPr="00EE3ECC">
        <w:t xml:space="preserve">A literature review is an example of a method of analysing data. In this case, a researcher would be writing a review based on data that already exists and has already been gathered. The process of analysing data greatly depends on the amount of data gathered. If there is a lot of data to process, the length of time to analyse would be much longer. Today, the use of technology has meant that methods of analysing data have been able to become a lot faster. There has been some uncertainty as to whether or not technology should be used when analysing research data. In the current world, ethics, not just within a research context, are being debated. For example, people are deciding the extent humans should be depending on artificial intelligence in their everyday lives. One of the arguments against using technology to analyse research data is due to the fact that there have been previous cases where there have been data breaches or examples of situations where the research data was not stored safely and kept confidential. From these incidents, it is even more important to understand why a code of ethics is crucial within any research project. It means the researcher and participants are able to have guidelines of a safe </w:t>
      </w:r>
      <w:r w:rsidRPr="00EE3ECC">
        <w:lastRenderedPageBreak/>
        <w:t xml:space="preserve">research practice. Lastly, by ensuring strict access to research data, the researcher will be more capable of ensuring the participants privacy. </w:t>
      </w:r>
    </w:p>
    <w:p w14:paraId="48EBC574" w14:textId="77777777" w:rsidR="003D62D2" w:rsidRPr="00EE3ECC" w:rsidRDefault="003D62D2" w:rsidP="007640AE">
      <w:pPr>
        <w:spacing w:line="480" w:lineRule="auto"/>
        <w:jc w:val="both"/>
        <w:rPr>
          <w:b/>
          <w:bCs/>
        </w:rPr>
      </w:pPr>
      <w:r w:rsidRPr="00EE3ECC">
        <w:rPr>
          <w:b/>
          <w:bCs/>
        </w:rPr>
        <w:t>The role of reflection and importance of location oneself</w:t>
      </w:r>
    </w:p>
    <w:p w14:paraId="1802D24D" w14:textId="77777777" w:rsidR="003D62D2" w:rsidRPr="00EE3ECC" w:rsidRDefault="003D62D2" w:rsidP="007640AE">
      <w:pPr>
        <w:spacing w:line="480" w:lineRule="auto"/>
        <w:jc w:val="both"/>
      </w:pPr>
      <w:r w:rsidRPr="00EE3ECC">
        <w:t>Reflection is a crucial part throughout the research process. At the beginning of a research project, the researcher will think through and plan out their research project. Through this process, the researcher is able to draw upon their past and present knowledge and experiences of their chosen research topic. They are able to be decisive about what they hope to achieve. During this reflection, a researcher will also reflect on what opinions and values they have as their own person. In order for an unbiased research project, the researcher has to be able to set these aside when interacting with other parties. By locating oneself, Smith says a researcher will be more equipped to ‘’deflect questions that might be too personal and could compromise our working relationship’’ (2010, p.36).</w:t>
      </w:r>
    </w:p>
    <w:p w14:paraId="3F4AA1AC" w14:textId="77777777" w:rsidR="003D62D2" w:rsidRPr="00EE3ECC" w:rsidRDefault="003D62D2" w:rsidP="007640AE">
      <w:pPr>
        <w:spacing w:line="480" w:lineRule="auto"/>
        <w:jc w:val="both"/>
        <w:rPr>
          <w:b/>
          <w:bCs/>
        </w:rPr>
      </w:pPr>
      <w:r w:rsidRPr="00EE3ECC">
        <w:rPr>
          <w:b/>
          <w:bCs/>
        </w:rPr>
        <w:t>Research within the youth work sector</w:t>
      </w:r>
    </w:p>
    <w:p w14:paraId="2D292B30" w14:textId="77777777" w:rsidR="003D62D2" w:rsidRPr="00EE3ECC" w:rsidRDefault="003D62D2" w:rsidP="007640AE">
      <w:pPr>
        <w:spacing w:line="480" w:lineRule="auto"/>
        <w:jc w:val="both"/>
      </w:pPr>
      <w:r w:rsidRPr="00EE3ECC">
        <w:t xml:space="preserve">Educational research in the UK is heavily influenced by the British Educational Research Association (2024) (henceforth: BERA). BERA is a charity that is responsible for outlining the ethical standards that ‘’anyone undertaking educational research’’ (2024, p.7) has to use. This is to ensure that the quality of research undertaken across the UK is of good quality. BERA also helps to enable the advancement of policy (BERA, 2024, p.4). The main aims of the BERA guidelines is to provide recommendations to researchers for a safe practice and promote respect between researchers and their participants. Furthermore, the BERA guidelines highlight the ‘’responsibilities to participants’’ through topics such as ‘’consent, transparency, right to withdraw, incentives, harm arising from participation in research, privacy and data storage and disclosure’’ (2024, p.3). BERA also highlights the duties to ‘’sponsors, clients, stakeholders and the environment’’, ‘’to the community of educational researchers’’, ‘’for publication and dissemination’’ as well as ‘’for researcher’s wellbeing and development’’ (2024, p.3). Ethical </w:t>
      </w:r>
      <w:r w:rsidRPr="00EE3ECC">
        <w:lastRenderedPageBreak/>
        <w:t>guidelines and organisations like BERA play an important role as they are like a set of rules that researchers have to follow in order to achieve a safe and well planned research project. The purpose of BERA is promote good research practice methods and create more good than harm.</w:t>
      </w:r>
    </w:p>
    <w:p w14:paraId="1F6A92E7" w14:textId="77777777" w:rsidR="003D62D2" w:rsidRPr="00EE3ECC" w:rsidRDefault="003D62D2" w:rsidP="007640AE">
      <w:pPr>
        <w:spacing w:line="480" w:lineRule="auto"/>
        <w:jc w:val="both"/>
      </w:pPr>
      <w:r w:rsidRPr="00EE3ECC">
        <w:t xml:space="preserve">The University of Wales Trinity Saint David are an example of an establishment that have their own research ethical guidelines. Their guidance, referred to as the ‘’Research Ethics and Integrity Code of Practice’’ (2022, p.2), was designed to expresses the university’s ‘’commitment to ethical standards’’ (2022, p.3). Just like BERA, they similarly underline a set of regulations for research projects that are undertaken through the university’s association. </w:t>
      </w:r>
    </w:p>
    <w:p w14:paraId="56925FD0" w14:textId="77777777" w:rsidR="003D62D2" w:rsidRPr="00EE3ECC" w:rsidRDefault="003D62D2" w:rsidP="007640AE">
      <w:pPr>
        <w:spacing w:line="480" w:lineRule="auto"/>
        <w:jc w:val="both"/>
      </w:pPr>
      <w:r w:rsidRPr="00EE3ECC">
        <w:t xml:space="preserve">Due to historical events of research participants being taken advantage of, the need to develop ethical codes for research projects has increased. This can be seen as a positive as it means that people who choose to be involved in research are protected and less likely to fall victims to poorly designed research projects. </w:t>
      </w:r>
    </w:p>
    <w:p w14:paraId="48729BBC" w14:textId="77777777" w:rsidR="003D62D2" w:rsidRPr="00EE3ECC" w:rsidRDefault="003D62D2" w:rsidP="007640AE">
      <w:pPr>
        <w:spacing w:line="480" w:lineRule="auto"/>
        <w:jc w:val="both"/>
        <w:rPr>
          <w:b/>
          <w:bCs/>
        </w:rPr>
      </w:pPr>
      <w:r w:rsidRPr="00EE3ECC">
        <w:rPr>
          <w:b/>
          <w:bCs/>
        </w:rPr>
        <w:t>Participation in research</w:t>
      </w:r>
    </w:p>
    <w:p w14:paraId="6FCD47B9" w14:textId="77777777" w:rsidR="003D62D2" w:rsidRPr="00EE3ECC" w:rsidRDefault="003D62D2" w:rsidP="007640AE">
      <w:pPr>
        <w:spacing w:line="480" w:lineRule="auto"/>
        <w:jc w:val="both"/>
      </w:pPr>
      <w:r w:rsidRPr="00EE3ECC">
        <w:t xml:space="preserve">The youth work practice is founded on the value of youth workers building voluntary relationships with young people (National Youth Agency, 2026, no page number). This then means that research that youth workers conduct with young people have to be undertaken a little bit differently from other general research projects. In youth work, young people have the choice to choose whether or not they want to participate, not only in a research project, but in any activity that a youth worker may organise. Youth workers that conduct research within their sector will focus to ensure that they have the right type of consent from a young person and that the young person is also aware of when they can withdraw. A youth worker would opt to not select candidates for their research project as this would lead to a biased result. Furthermore, social research surrounds the involvement of people. It is important that youth workers are able to keep the young people there are involving in their research at the focus as they are important </w:t>
      </w:r>
      <w:r w:rsidRPr="00EE3ECC">
        <w:lastRenderedPageBreak/>
        <w:t xml:space="preserve">contributors. Ethical guidelines such as BERA, will enable youth workers to keep young people safe throughout their research process. </w:t>
      </w:r>
    </w:p>
    <w:p w14:paraId="3145688A" w14:textId="77777777" w:rsidR="003D62D2" w:rsidRPr="00EE3ECC" w:rsidRDefault="003D62D2" w:rsidP="007640AE">
      <w:pPr>
        <w:spacing w:line="480" w:lineRule="auto"/>
        <w:jc w:val="both"/>
        <w:rPr>
          <w:b/>
          <w:bCs/>
        </w:rPr>
      </w:pPr>
      <w:r w:rsidRPr="00EE3ECC">
        <w:rPr>
          <w:b/>
          <w:bCs/>
        </w:rPr>
        <w:t>Conclusion</w:t>
      </w:r>
    </w:p>
    <w:p w14:paraId="4EC83200" w14:textId="77777777" w:rsidR="003D62D2" w:rsidRPr="00EE3ECC" w:rsidRDefault="003D62D2" w:rsidP="007640AE">
      <w:pPr>
        <w:spacing w:line="480" w:lineRule="auto"/>
        <w:jc w:val="both"/>
      </w:pPr>
      <w:r w:rsidRPr="00EE3ECC">
        <w:t xml:space="preserve">The author has reflected upon different types of ethical issues within the research process. They have observed how research within the youth work sector differs from other general research projects. Ethical guidance from BERA and UWTSD have also been highlighted in order to explain the key importance of conducting safe and respectful research. Other topics such as participation, location of self, the analysing of data as well as descriptions of different types of data and collection methods have been outlined. Examples of reasons why ethical research is crucial has been discussed, including multiple forms of harm that can become a result of not following ethical research standards. </w:t>
      </w:r>
    </w:p>
    <w:p w14:paraId="713308DB" w14:textId="77777777" w:rsidR="003D62D2" w:rsidRPr="00EE3ECC" w:rsidRDefault="003D62D2" w:rsidP="007640AE">
      <w:pPr>
        <w:spacing w:line="480" w:lineRule="auto"/>
        <w:jc w:val="both"/>
      </w:pPr>
    </w:p>
    <w:p w14:paraId="4DE7B81D" w14:textId="77777777" w:rsidR="003D62D2" w:rsidRPr="00EE3ECC" w:rsidRDefault="003D62D2" w:rsidP="007640AE">
      <w:pPr>
        <w:spacing w:line="480" w:lineRule="auto"/>
        <w:jc w:val="both"/>
      </w:pPr>
    </w:p>
    <w:p w14:paraId="4D8F026E" w14:textId="77777777" w:rsidR="003D62D2" w:rsidRPr="00EE3ECC" w:rsidRDefault="003D62D2" w:rsidP="007640AE">
      <w:pPr>
        <w:spacing w:line="480" w:lineRule="auto"/>
        <w:jc w:val="both"/>
      </w:pPr>
    </w:p>
    <w:p w14:paraId="025D2442" w14:textId="77777777" w:rsidR="003D62D2" w:rsidRPr="00EE3ECC" w:rsidRDefault="003D62D2" w:rsidP="007640AE">
      <w:pPr>
        <w:spacing w:line="480" w:lineRule="auto"/>
        <w:jc w:val="both"/>
      </w:pPr>
    </w:p>
    <w:p w14:paraId="4A44B9D7" w14:textId="77777777" w:rsidR="003D62D2" w:rsidRPr="00EE3ECC" w:rsidRDefault="003D62D2" w:rsidP="007640AE">
      <w:pPr>
        <w:spacing w:line="480" w:lineRule="auto"/>
        <w:jc w:val="both"/>
      </w:pPr>
    </w:p>
    <w:p w14:paraId="499A39FC" w14:textId="77777777" w:rsidR="003D62D2" w:rsidRPr="00EE3ECC" w:rsidRDefault="003D62D2" w:rsidP="007640AE">
      <w:pPr>
        <w:spacing w:line="480" w:lineRule="auto"/>
        <w:jc w:val="both"/>
      </w:pPr>
    </w:p>
    <w:p w14:paraId="3CAF50F6" w14:textId="77777777" w:rsidR="003D62D2" w:rsidRDefault="003D62D2" w:rsidP="007640AE">
      <w:pPr>
        <w:spacing w:line="480" w:lineRule="auto"/>
        <w:jc w:val="both"/>
      </w:pPr>
    </w:p>
    <w:p w14:paraId="47D66D2B" w14:textId="77777777" w:rsidR="00EE3ECC" w:rsidRDefault="00EE3ECC" w:rsidP="007640AE">
      <w:pPr>
        <w:spacing w:line="480" w:lineRule="auto"/>
        <w:jc w:val="both"/>
      </w:pPr>
    </w:p>
    <w:p w14:paraId="57D50C01" w14:textId="77777777" w:rsidR="00EE3ECC" w:rsidRDefault="00EE3ECC" w:rsidP="007640AE">
      <w:pPr>
        <w:spacing w:line="480" w:lineRule="auto"/>
        <w:jc w:val="both"/>
      </w:pPr>
    </w:p>
    <w:p w14:paraId="105A8F4A" w14:textId="77777777" w:rsidR="00EE3ECC" w:rsidRPr="00EE3ECC" w:rsidRDefault="00EE3ECC" w:rsidP="007640AE">
      <w:pPr>
        <w:spacing w:line="480" w:lineRule="auto"/>
        <w:jc w:val="both"/>
      </w:pPr>
    </w:p>
    <w:p w14:paraId="3FC625B0" w14:textId="77777777" w:rsidR="00176935" w:rsidRPr="00EE3ECC" w:rsidRDefault="00176935" w:rsidP="007640AE">
      <w:pPr>
        <w:spacing w:line="480" w:lineRule="auto"/>
        <w:jc w:val="both"/>
        <w:rPr>
          <w:rFonts w:ascii="Arial" w:hAnsi="Arial" w:cs="Arial"/>
        </w:rPr>
      </w:pPr>
    </w:p>
    <w:p w14:paraId="77213717" w14:textId="28C24462" w:rsidR="00176935" w:rsidRPr="00EE3ECC" w:rsidRDefault="00176935" w:rsidP="007640AE">
      <w:pPr>
        <w:spacing w:line="480" w:lineRule="auto"/>
        <w:jc w:val="both"/>
        <w:rPr>
          <w:rFonts w:ascii="Arial" w:hAnsi="Arial" w:cs="Arial"/>
          <w:b/>
          <w:bCs/>
        </w:rPr>
      </w:pPr>
      <w:r w:rsidRPr="00EE3ECC">
        <w:rPr>
          <w:b/>
          <w:bCs/>
        </w:rPr>
        <w:lastRenderedPageBreak/>
        <w:t>References for part two:</w:t>
      </w:r>
    </w:p>
    <w:p w14:paraId="504B6FBB" w14:textId="77777777" w:rsidR="00176935" w:rsidRPr="00EE3ECC" w:rsidRDefault="00176935" w:rsidP="007640AE">
      <w:pPr>
        <w:spacing w:line="480" w:lineRule="auto"/>
        <w:jc w:val="both"/>
      </w:pPr>
      <w:r w:rsidRPr="00EE3ECC">
        <w:t>British Educational Research Association (2024) Ethical guidelines for educational research. 5</w:t>
      </w:r>
      <w:r w:rsidRPr="00EE3ECC">
        <w:rPr>
          <w:vertAlign w:val="superscript"/>
        </w:rPr>
        <w:t>th</w:t>
      </w:r>
      <w:r w:rsidRPr="00EE3ECC">
        <w:t xml:space="preserve"> </w:t>
      </w:r>
      <w:proofErr w:type="spellStart"/>
      <w:r w:rsidRPr="00EE3ECC">
        <w:t>edn</w:t>
      </w:r>
      <w:proofErr w:type="spellEnd"/>
      <w:r w:rsidRPr="00EE3ECC">
        <w:t>. London: BERA.</w:t>
      </w:r>
    </w:p>
    <w:p w14:paraId="790A34DE" w14:textId="77777777" w:rsidR="00176935" w:rsidRPr="00EE3ECC" w:rsidRDefault="00176935" w:rsidP="007640AE">
      <w:pPr>
        <w:spacing w:line="480" w:lineRule="auto"/>
        <w:jc w:val="both"/>
      </w:pPr>
      <w:r w:rsidRPr="00EE3ECC">
        <w:t>Denscombe, M. (2002) Ground Rules for Good Research: a 10 point guide for social researchers. Buckingham: Open University Press.</w:t>
      </w:r>
    </w:p>
    <w:p w14:paraId="179B23FC" w14:textId="77777777" w:rsidR="00176935" w:rsidRPr="00EE3ECC" w:rsidRDefault="00176935" w:rsidP="007640AE">
      <w:pPr>
        <w:spacing w:line="480" w:lineRule="auto"/>
        <w:jc w:val="both"/>
      </w:pPr>
      <w:r w:rsidRPr="00EE3ECC">
        <w:t>Jeffs, T. and Smith, M. (2010) Youth work practice: Engaging in conversation. Hampshire: Palgrave Macmillan.</w:t>
      </w:r>
    </w:p>
    <w:p w14:paraId="35C02D6D" w14:textId="77777777" w:rsidR="00176935" w:rsidRPr="00EE3ECC" w:rsidRDefault="00176935" w:rsidP="007640AE">
      <w:pPr>
        <w:spacing w:line="480" w:lineRule="auto"/>
        <w:jc w:val="both"/>
      </w:pPr>
      <w:r w:rsidRPr="00EE3ECC">
        <w:t xml:space="preserve">National Youth Agency. (2026) What is youth work? Available at: </w:t>
      </w:r>
      <w:hyperlink r:id="rId10" w:history="1">
        <w:r w:rsidRPr="00EE3ECC">
          <w:rPr>
            <w:rStyle w:val="Hyperlink"/>
          </w:rPr>
          <w:t>https://nya.org.uk/what-is-youth-work/</w:t>
        </w:r>
      </w:hyperlink>
      <w:r w:rsidRPr="00EE3ECC">
        <w:t xml:space="preserve"> (Accessed on: 6</w:t>
      </w:r>
      <w:r w:rsidRPr="00EE3ECC">
        <w:rPr>
          <w:vertAlign w:val="superscript"/>
        </w:rPr>
        <w:t>th</w:t>
      </w:r>
      <w:r w:rsidRPr="00EE3ECC">
        <w:t xml:space="preserve"> May 2026)</w:t>
      </w:r>
    </w:p>
    <w:p w14:paraId="289B6EE3" w14:textId="77777777" w:rsidR="00176935" w:rsidRPr="00EE3ECC" w:rsidRDefault="00176935" w:rsidP="007640AE">
      <w:pPr>
        <w:spacing w:line="480" w:lineRule="auto"/>
        <w:jc w:val="both"/>
      </w:pPr>
      <w:proofErr w:type="spellStart"/>
      <w:r w:rsidRPr="00EE3ECC">
        <w:t>Sarantakos</w:t>
      </w:r>
      <w:proofErr w:type="spellEnd"/>
      <w:r w:rsidRPr="00EE3ECC">
        <w:t>, S. (2013) Social Research. 4</w:t>
      </w:r>
      <w:r w:rsidRPr="00EE3ECC">
        <w:rPr>
          <w:vertAlign w:val="superscript"/>
        </w:rPr>
        <w:t>th</w:t>
      </w:r>
      <w:r w:rsidRPr="00EE3ECC">
        <w:t xml:space="preserve"> </w:t>
      </w:r>
      <w:proofErr w:type="spellStart"/>
      <w:r w:rsidRPr="00EE3ECC">
        <w:t>edn</w:t>
      </w:r>
      <w:proofErr w:type="spellEnd"/>
      <w:r w:rsidRPr="00EE3ECC">
        <w:t>. Hampshire: Palgrave Macmillan.</w:t>
      </w:r>
    </w:p>
    <w:p w14:paraId="6DF9CE75" w14:textId="77777777" w:rsidR="00176935" w:rsidRPr="00EE3ECC" w:rsidRDefault="00176935" w:rsidP="007640AE">
      <w:pPr>
        <w:spacing w:line="480" w:lineRule="auto"/>
        <w:jc w:val="both"/>
      </w:pPr>
      <w:r w:rsidRPr="00EE3ECC">
        <w:t>Standish, P. (2001) The ethics of educational research: data return: the sense of the given in educational research. Oxford: Blackwell Publishing.</w:t>
      </w:r>
    </w:p>
    <w:p w14:paraId="23725019" w14:textId="77777777" w:rsidR="00176935" w:rsidRPr="00EE3ECC" w:rsidRDefault="00176935" w:rsidP="007640AE">
      <w:pPr>
        <w:spacing w:line="480" w:lineRule="auto"/>
        <w:jc w:val="both"/>
      </w:pPr>
      <w:r w:rsidRPr="00EE3ECC">
        <w:t>Silverman, D. (2005) Doing Qualitative Research. 2</w:t>
      </w:r>
      <w:r w:rsidRPr="00EE3ECC">
        <w:rPr>
          <w:vertAlign w:val="superscript"/>
        </w:rPr>
        <w:t>nd</w:t>
      </w:r>
      <w:r w:rsidRPr="00EE3ECC">
        <w:t xml:space="preserve"> </w:t>
      </w:r>
      <w:proofErr w:type="spellStart"/>
      <w:r w:rsidRPr="00EE3ECC">
        <w:t>Edn</w:t>
      </w:r>
      <w:proofErr w:type="spellEnd"/>
      <w:r w:rsidRPr="00EE3ECC">
        <w:t>. London: Sage Publications.</w:t>
      </w:r>
    </w:p>
    <w:p w14:paraId="737790A4" w14:textId="77777777" w:rsidR="00176935" w:rsidRPr="00EE3ECC" w:rsidRDefault="00176935" w:rsidP="007640AE">
      <w:pPr>
        <w:spacing w:line="480" w:lineRule="auto"/>
        <w:jc w:val="both"/>
      </w:pPr>
      <w:r w:rsidRPr="00EE3ECC">
        <w:t xml:space="preserve">University of Wales Trinity Saint David (2022) Research Ethics and Integrity Code of Practice. Available at: </w:t>
      </w:r>
      <w:hyperlink r:id="rId11" w:history="1">
        <w:r w:rsidRPr="00EE3ECC">
          <w:rPr>
            <w:rStyle w:val="Hyperlink"/>
          </w:rPr>
          <w:t>https://www.uwtsd.ac.uk/sites/default/files/2024-02/REICoP-July-2022.pdf</w:t>
        </w:r>
      </w:hyperlink>
      <w:r w:rsidRPr="00EE3ECC">
        <w:t xml:space="preserve"> (Accessed on: 28</w:t>
      </w:r>
      <w:r w:rsidRPr="00EE3ECC">
        <w:rPr>
          <w:vertAlign w:val="superscript"/>
        </w:rPr>
        <w:t>th</w:t>
      </w:r>
      <w:r w:rsidRPr="00EE3ECC">
        <w:t xml:space="preserve"> April 2026)</w:t>
      </w:r>
    </w:p>
    <w:p w14:paraId="21465429" w14:textId="77777777" w:rsidR="00C30889" w:rsidRPr="00F829F3" w:rsidRDefault="00C30889" w:rsidP="007640AE">
      <w:pPr>
        <w:spacing w:line="480" w:lineRule="auto"/>
        <w:jc w:val="both"/>
        <w:rPr>
          <w:rFonts w:ascii="Arial" w:hAnsi="Arial" w:cs="Arial"/>
        </w:rPr>
      </w:pPr>
    </w:p>
    <w:sectPr w:rsidR="00C30889" w:rsidRPr="00F829F3">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27565" w14:textId="77777777" w:rsidR="00A93FC3" w:rsidRPr="00EE3ECC" w:rsidRDefault="00A93FC3" w:rsidP="007423C6">
      <w:pPr>
        <w:spacing w:after="0" w:line="240" w:lineRule="auto"/>
      </w:pPr>
      <w:r w:rsidRPr="00EE3ECC">
        <w:separator/>
      </w:r>
    </w:p>
  </w:endnote>
  <w:endnote w:type="continuationSeparator" w:id="0">
    <w:p w14:paraId="02FB2510" w14:textId="77777777" w:rsidR="00A93FC3" w:rsidRPr="00EE3ECC" w:rsidRDefault="00A93FC3" w:rsidP="007423C6">
      <w:pPr>
        <w:spacing w:after="0" w:line="240" w:lineRule="auto"/>
      </w:pPr>
      <w:r w:rsidRPr="00EE3EC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9151380"/>
      <w:docPartObj>
        <w:docPartGallery w:val="Page Numbers (Bottom of Page)"/>
        <w:docPartUnique/>
      </w:docPartObj>
    </w:sdtPr>
    <w:sdtContent>
      <w:p w14:paraId="7BFF0B78" w14:textId="6A5232C0" w:rsidR="007423C6" w:rsidRPr="00EE3ECC" w:rsidRDefault="007423C6">
        <w:pPr>
          <w:pStyle w:val="Footer"/>
          <w:jc w:val="center"/>
        </w:pPr>
        <w:r w:rsidRPr="00EE3ECC">
          <w:fldChar w:fldCharType="begin"/>
        </w:r>
        <w:r w:rsidRPr="00EE3ECC">
          <w:instrText xml:space="preserve"> PAGE   \* MERGEFORMAT </w:instrText>
        </w:r>
        <w:r w:rsidRPr="00EE3ECC">
          <w:fldChar w:fldCharType="separate"/>
        </w:r>
        <w:r w:rsidRPr="00EE3ECC">
          <w:t>2</w:t>
        </w:r>
        <w:r w:rsidRPr="00EE3ECC">
          <w:fldChar w:fldCharType="end"/>
        </w:r>
      </w:p>
    </w:sdtContent>
  </w:sdt>
  <w:p w14:paraId="07F37A39" w14:textId="77777777" w:rsidR="007423C6" w:rsidRPr="00EE3ECC" w:rsidRDefault="007423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F2F75" w14:textId="77777777" w:rsidR="00A93FC3" w:rsidRPr="00EE3ECC" w:rsidRDefault="00A93FC3" w:rsidP="007423C6">
      <w:pPr>
        <w:spacing w:after="0" w:line="240" w:lineRule="auto"/>
      </w:pPr>
      <w:r w:rsidRPr="00EE3ECC">
        <w:separator/>
      </w:r>
    </w:p>
  </w:footnote>
  <w:footnote w:type="continuationSeparator" w:id="0">
    <w:p w14:paraId="0AAF9035" w14:textId="77777777" w:rsidR="00A93FC3" w:rsidRPr="00EE3ECC" w:rsidRDefault="00A93FC3" w:rsidP="007423C6">
      <w:pPr>
        <w:spacing w:after="0" w:line="240" w:lineRule="auto"/>
      </w:pPr>
      <w:r w:rsidRPr="00EE3EC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532A4" w14:textId="0371D53A" w:rsidR="007423C6" w:rsidRPr="00EE3ECC" w:rsidRDefault="007423C6">
    <w:pPr>
      <w:pStyle w:val="Header"/>
    </w:pPr>
    <w:r w:rsidRPr="00EE3ECC">
      <w:t>Student number: 2404615                                                                           Module code: ECYW5007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D4ED9"/>
    <w:multiLevelType w:val="multilevel"/>
    <w:tmpl w:val="9E0823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 w15:restartNumberingAfterBreak="0">
    <w:nsid w:val="13B068EE"/>
    <w:multiLevelType w:val="hybridMultilevel"/>
    <w:tmpl w:val="61C66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35179E"/>
    <w:multiLevelType w:val="hybridMultilevel"/>
    <w:tmpl w:val="9718D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92199A"/>
    <w:multiLevelType w:val="multilevel"/>
    <w:tmpl w:val="A9F0D0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F1767D"/>
    <w:multiLevelType w:val="multilevel"/>
    <w:tmpl w:val="9E0823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5" w15:restartNumberingAfterBreak="0">
    <w:nsid w:val="3F3EB154"/>
    <w:multiLevelType w:val="hybridMultilevel"/>
    <w:tmpl w:val="852C58E4"/>
    <w:lvl w:ilvl="0" w:tplc="8442511C">
      <w:start w:val="1"/>
      <w:numFmt w:val="bullet"/>
      <w:lvlText w:val=""/>
      <w:lvlJc w:val="left"/>
      <w:pPr>
        <w:ind w:left="720" w:hanging="360"/>
      </w:pPr>
      <w:rPr>
        <w:rFonts w:ascii="Symbol" w:hAnsi="Symbol" w:hint="default"/>
      </w:rPr>
    </w:lvl>
    <w:lvl w:ilvl="1" w:tplc="0DA616BC">
      <w:start w:val="1"/>
      <w:numFmt w:val="bullet"/>
      <w:lvlText w:val="o"/>
      <w:lvlJc w:val="left"/>
      <w:pPr>
        <w:ind w:left="1440" w:hanging="360"/>
      </w:pPr>
      <w:rPr>
        <w:rFonts w:ascii="Courier New" w:hAnsi="Courier New" w:cs="Times New Roman" w:hint="default"/>
      </w:rPr>
    </w:lvl>
    <w:lvl w:ilvl="2" w:tplc="AB461CA8">
      <w:start w:val="1"/>
      <w:numFmt w:val="bullet"/>
      <w:lvlText w:val=""/>
      <w:lvlJc w:val="left"/>
      <w:pPr>
        <w:ind w:left="2160" w:hanging="360"/>
      </w:pPr>
      <w:rPr>
        <w:rFonts w:ascii="Wingdings" w:hAnsi="Wingdings" w:hint="default"/>
      </w:rPr>
    </w:lvl>
    <w:lvl w:ilvl="3" w:tplc="B5F650CE">
      <w:start w:val="1"/>
      <w:numFmt w:val="bullet"/>
      <w:lvlText w:val=""/>
      <w:lvlJc w:val="left"/>
      <w:pPr>
        <w:ind w:left="2880" w:hanging="360"/>
      </w:pPr>
      <w:rPr>
        <w:rFonts w:ascii="Symbol" w:hAnsi="Symbol" w:hint="default"/>
      </w:rPr>
    </w:lvl>
    <w:lvl w:ilvl="4" w:tplc="679C3D0A">
      <w:start w:val="1"/>
      <w:numFmt w:val="bullet"/>
      <w:lvlText w:val="o"/>
      <w:lvlJc w:val="left"/>
      <w:pPr>
        <w:ind w:left="3600" w:hanging="360"/>
      </w:pPr>
      <w:rPr>
        <w:rFonts w:ascii="Courier New" w:hAnsi="Courier New" w:cs="Times New Roman" w:hint="default"/>
      </w:rPr>
    </w:lvl>
    <w:lvl w:ilvl="5" w:tplc="0F7EC3AE">
      <w:start w:val="1"/>
      <w:numFmt w:val="bullet"/>
      <w:lvlText w:val=""/>
      <w:lvlJc w:val="left"/>
      <w:pPr>
        <w:ind w:left="4320" w:hanging="360"/>
      </w:pPr>
      <w:rPr>
        <w:rFonts w:ascii="Wingdings" w:hAnsi="Wingdings" w:hint="default"/>
      </w:rPr>
    </w:lvl>
    <w:lvl w:ilvl="6" w:tplc="78642DBC">
      <w:start w:val="1"/>
      <w:numFmt w:val="bullet"/>
      <w:lvlText w:val=""/>
      <w:lvlJc w:val="left"/>
      <w:pPr>
        <w:ind w:left="5040" w:hanging="360"/>
      </w:pPr>
      <w:rPr>
        <w:rFonts w:ascii="Symbol" w:hAnsi="Symbol" w:hint="default"/>
      </w:rPr>
    </w:lvl>
    <w:lvl w:ilvl="7" w:tplc="08B45A6A">
      <w:start w:val="1"/>
      <w:numFmt w:val="bullet"/>
      <w:lvlText w:val="o"/>
      <w:lvlJc w:val="left"/>
      <w:pPr>
        <w:ind w:left="5760" w:hanging="360"/>
      </w:pPr>
      <w:rPr>
        <w:rFonts w:ascii="Courier New" w:hAnsi="Courier New" w:cs="Times New Roman" w:hint="default"/>
      </w:rPr>
    </w:lvl>
    <w:lvl w:ilvl="8" w:tplc="FB383DEE">
      <w:start w:val="1"/>
      <w:numFmt w:val="bullet"/>
      <w:lvlText w:val=""/>
      <w:lvlJc w:val="left"/>
      <w:pPr>
        <w:ind w:left="6480" w:hanging="360"/>
      </w:pPr>
      <w:rPr>
        <w:rFonts w:ascii="Wingdings" w:hAnsi="Wingdings" w:hint="default"/>
      </w:rPr>
    </w:lvl>
  </w:abstractNum>
  <w:abstractNum w:abstractNumId="6" w15:restartNumberingAfterBreak="0">
    <w:nsid w:val="4861F064"/>
    <w:multiLevelType w:val="hybridMultilevel"/>
    <w:tmpl w:val="661A7C0C"/>
    <w:lvl w:ilvl="0" w:tplc="6ADE24EA">
      <w:start w:val="1"/>
      <w:numFmt w:val="bullet"/>
      <w:lvlText w:val="·"/>
      <w:lvlJc w:val="left"/>
      <w:pPr>
        <w:ind w:left="720" w:hanging="360"/>
      </w:pPr>
      <w:rPr>
        <w:rFonts w:ascii="Symbol" w:hAnsi="Symbol" w:hint="default"/>
      </w:rPr>
    </w:lvl>
    <w:lvl w:ilvl="1" w:tplc="958A61CA">
      <w:start w:val="1"/>
      <w:numFmt w:val="bullet"/>
      <w:lvlText w:val="o"/>
      <w:lvlJc w:val="left"/>
      <w:pPr>
        <w:ind w:left="1440" w:hanging="360"/>
      </w:pPr>
      <w:rPr>
        <w:rFonts w:ascii="Courier New" w:hAnsi="Courier New" w:cs="Times New Roman" w:hint="default"/>
      </w:rPr>
    </w:lvl>
    <w:lvl w:ilvl="2" w:tplc="ED2A1222">
      <w:start w:val="1"/>
      <w:numFmt w:val="bullet"/>
      <w:lvlText w:val=""/>
      <w:lvlJc w:val="left"/>
      <w:pPr>
        <w:ind w:left="2160" w:hanging="360"/>
      </w:pPr>
      <w:rPr>
        <w:rFonts w:ascii="Wingdings" w:hAnsi="Wingdings" w:hint="default"/>
      </w:rPr>
    </w:lvl>
    <w:lvl w:ilvl="3" w:tplc="E47E7A6A">
      <w:start w:val="1"/>
      <w:numFmt w:val="bullet"/>
      <w:lvlText w:val=""/>
      <w:lvlJc w:val="left"/>
      <w:pPr>
        <w:ind w:left="2880" w:hanging="360"/>
      </w:pPr>
      <w:rPr>
        <w:rFonts w:ascii="Symbol" w:hAnsi="Symbol" w:hint="default"/>
      </w:rPr>
    </w:lvl>
    <w:lvl w:ilvl="4" w:tplc="AF76D086">
      <w:start w:val="1"/>
      <w:numFmt w:val="bullet"/>
      <w:lvlText w:val="o"/>
      <w:lvlJc w:val="left"/>
      <w:pPr>
        <w:ind w:left="3600" w:hanging="360"/>
      </w:pPr>
      <w:rPr>
        <w:rFonts w:ascii="Courier New" w:hAnsi="Courier New" w:cs="Times New Roman" w:hint="default"/>
      </w:rPr>
    </w:lvl>
    <w:lvl w:ilvl="5" w:tplc="4806741C">
      <w:start w:val="1"/>
      <w:numFmt w:val="bullet"/>
      <w:lvlText w:val=""/>
      <w:lvlJc w:val="left"/>
      <w:pPr>
        <w:ind w:left="4320" w:hanging="360"/>
      </w:pPr>
      <w:rPr>
        <w:rFonts w:ascii="Wingdings" w:hAnsi="Wingdings" w:hint="default"/>
      </w:rPr>
    </w:lvl>
    <w:lvl w:ilvl="6" w:tplc="C18A60D6">
      <w:start w:val="1"/>
      <w:numFmt w:val="bullet"/>
      <w:lvlText w:val=""/>
      <w:lvlJc w:val="left"/>
      <w:pPr>
        <w:ind w:left="5040" w:hanging="360"/>
      </w:pPr>
      <w:rPr>
        <w:rFonts w:ascii="Symbol" w:hAnsi="Symbol" w:hint="default"/>
      </w:rPr>
    </w:lvl>
    <w:lvl w:ilvl="7" w:tplc="7E3C367C">
      <w:start w:val="1"/>
      <w:numFmt w:val="bullet"/>
      <w:lvlText w:val="o"/>
      <w:lvlJc w:val="left"/>
      <w:pPr>
        <w:ind w:left="5760" w:hanging="360"/>
      </w:pPr>
      <w:rPr>
        <w:rFonts w:ascii="Courier New" w:hAnsi="Courier New" w:cs="Times New Roman" w:hint="default"/>
      </w:rPr>
    </w:lvl>
    <w:lvl w:ilvl="8" w:tplc="8B3016C0">
      <w:start w:val="1"/>
      <w:numFmt w:val="bullet"/>
      <w:lvlText w:val=""/>
      <w:lvlJc w:val="left"/>
      <w:pPr>
        <w:ind w:left="6480" w:hanging="360"/>
      </w:pPr>
      <w:rPr>
        <w:rFonts w:ascii="Wingdings" w:hAnsi="Wingdings" w:hint="default"/>
      </w:rPr>
    </w:lvl>
  </w:abstractNum>
  <w:abstractNum w:abstractNumId="7" w15:restartNumberingAfterBreak="0">
    <w:nsid w:val="78EB3359"/>
    <w:multiLevelType w:val="multilevel"/>
    <w:tmpl w:val="9E0823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num w:numId="1" w16cid:durableId="1994990125">
    <w:abstractNumId w:val="7"/>
    <w:lvlOverride w:ilvl="0"/>
    <w:lvlOverride w:ilvl="1"/>
    <w:lvlOverride w:ilvl="2"/>
    <w:lvlOverride w:ilvl="3"/>
    <w:lvlOverride w:ilvl="4"/>
    <w:lvlOverride w:ilvl="5"/>
    <w:lvlOverride w:ilvl="6"/>
    <w:lvlOverride w:ilvl="7"/>
    <w:lvlOverride w:ilvl="8"/>
  </w:num>
  <w:num w:numId="2" w16cid:durableId="223416773">
    <w:abstractNumId w:val="0"/>
    <w:lvlOverride w:ilvl="0"/>
    <w:lvlOverride w:ilvl="1"/>
    <w:lvlOverride w:ilvl="2"/>
    <w:lvlOverride w:ilvl="3"/>
    <w:lvlOverride w:ilvl="4"/>
    <w:lvlOverride w:ilvl="5"/>
    <w:lvlOverride w:ilvl="6"/>
    <w:lvlOverride w:ilvl="7"/>
    <w:lvlOverride w:ilvl="8"/>
  </w:num>
  <w:num w:numId="3" w16cid:durableId="2021346276">
    <w:abstractNumId w:val="4"/>
    <w:lvlOverride w:ilvl="0"/>
    <w:lvlOverride w:ilvl="1"/>
    <w:lvlOverride w:ilvl="2"/>
    <w:lvlOverride w:ilvl="3"/>
    <w:lvlOverride w:ilvl="4"/>
    <w:lvlOverride w:ilvl="5"/>
    <w:lvlOverride w:ilvl="6"/>
    <w:lvlOverride w:ilvl="7"/>
    <w:lvlOverride w:ilvl="8"/>
  </w:num>
  <w:num w:numId="4" w16cid:durableId="1754158671">
    <w:abstractNumId w:val="3"/>
    <w:lvlOverride w:ilvl="0"/>
    <w:lvlOverride w:ilvl="1"/>
    <w:lvlOverride w:ilvl="2"/>
    <w:lvlOverride w:ilvl="3"/>
    <w:lvlOverride w:ilvl="4"/>
    <w:lvlOverride w:ilvl="5"/>
    <w:lvlOverride w:ilvl="6"/>
    <w:lvlOverride w:ilvl="7"/>
    <w:lvlOverride w:ilvl="8"/>
  </w:num>
  <w:num w:numId="5" w16cid:durableId="2114932104">
    <w:abstractNumId w:val="5"/>
    <w:lvlOverride w:ilvl="0"/>
    <w:lvlOverride w:ilvl="1"/>
    <w:lvlOverride w:ilvl="2"/>
    <w:lvlOverride w:ilvl="3"/>
    <w:lvlOverride w:ilvl="4"/>
    <w:lvlOverride w:ilvl="5"/>
    <w:lvlOverride w:ilvl="6"/>
    <w:lvlOverride w:ilvl="7"/>
    <w:lvlOverride w:ilvl="8"/>
  </w:num>
  <w:num w:numId="6" w16cid:durableId="524054025">
    <w:abstractNumId w:val="6"/>
    <w:lvlOverride w:ilvl="0"/>
    <w:lvlOverride w:ilvl="1"/>
    <w:lvlOverride w:ilvl="2"/>
    <w:lvlOverride w:ilvl="3"/>
    <w:lvlOverride w:ilvl="4"/>
    <w:lvlOverride w:ilvl="5"/>
    <w:lvlOverride w:ilvl="6"/>
    <w:lvlOverride w:ilvl="7"/>
    <w:lvlOverride w:ilvl="8"/>
  </w:num>
  <w:num w:numId="7" w16cid:durableId="1008947936">
    <w:abstractNumId w:val="2"/>
  </w:num>
  <w:num w:numId="8" w16cid:durableId="19788726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3C6"/>
    <w:rsid w:val="00050C45"/>
    <w:rsid w:val="00066B77"/>
    <w:rsid w:val="0009158A"/>
    <w:rsid w:val="000C5E3B"/>
    <w:rsid w:val="000D572C"/>
    <w:rsid w:val="001520E6"/>
    <w:rsid w:val="00155275"/>
    <w:rsid w:val="001577DD"/>
    <w:rsid w:val="00176935"/>
    <w:rsid w:val="001D0A67"/>
    <w:rsid w:val="00234064"/>
    <w:rsid w:val="0028598C"/>
    <w:rsid w:val="003356D8"/>
    <w:rsid w:val="00351B23"/>
    <w:rsid w:val="00365BB6"/>
    <w:rsid w:val="00374F8E"/>
    <w:rsid w:val="00391C6C"/>
    <w:rsid w:val="003A18FE"/>
    <w:rsid w:val="003D62D2"/>
    <w:rsid w:val="00426A45"/>
    <w:rsid w:val="004F5551"/>
    <w:rsid w:val="00526459"/>
    <w:rsid w:val="005F6DD3"/>
    <w:rsid w:val="006006FC"/>
    <w:rsid w:val="006021C2"/>
    <w:rsid w:val="0068046D"/>
    <w:rsid w:val="00713B2D"/>
    <w:rsid w:val="007423C6"/>
    <w:rsid w:val="007640AE"/>
    <w:rsid w:val="00805809"/>
    <w:rsid w:val="00810A3B"/>
    <w:rsid w:val="00860570"/>
    <w:rsid w:val="00887CB9"/>
    <w:rsid w:val="008F4712"/>
    <w:rsid w:val="009468A1"/>
    <w:rsid w:val="00A34733"/>
    <w:rsid w:val="00A37B15"/>
    <w:rsid w:val="00A4148B"/>
    <w:rsid w:val="00A4603A"/>
    <w:rsid w:val="00A87FC0"/>
    <w:rsid w:val="00A93FC3"/>
    <w:rsid w:val="00AB2C79"/>
    <w:rsid w:val="00AB6443"/>
    <w:rsid w:val="00AC2D5F"/>
    <w:rsid w:val="00B25F7C"/>
    <w:rsid w:val="00B26208"/>
    <w:rsid w:val="00B27F95"/>
    <w:rsid w:val="00BC6066"/>
    <w:rsid w:val="00BF2EA5"/>
    <w:rsid w:val="00C03E0E"/>
    <w:rsid w:val="00C30889"/>
    <w:rsid w:val="00CC44C1"/>
    <w:rsid w:val="00CF2AB2"/>
    <w:rsid w:val="00D36501"/>
    <w:rsid w:val="00E273FF"/>
    <w:rsid w:val="00EE0954"/>
    <w:rsid w:val="00EE3ECC"/>
    <w:rsid w:val="00F55F14"/>
    <w:rsid w:val="00F57EB0"/>
    <w:rsid w:val="00F704A7"/>
    <w:rsid w:val="00F829F3"/>
    <w:rsid w:val="00FD6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46314"/>
  <w15:chartTrackingRefBased/>
  <w15:docId w15:val="{94D73095-18C9-489A-8C3D-67470FDC1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ZA"/>
    </w:rPr>
  </w:style>
  <w:style w:type="paragraph" w:styleId="Heading1">
    <w:name w:val="heading 1"/>
    <w:basedOn w:val="Normal"/>
    <w:next w:val="Normal"/>
    <w:link w:val="Heading1Char"/>
    <w:uiPriority w:val="9"/>
    <w:qFormat/>
    <w:rsid w:val="007423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23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23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23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23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23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23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23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23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3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23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23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23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23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23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23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23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23C6"/>
    <w:rPr>
      <w:rFonts w:eastAsiaTheme="majorEastAsia" w:cstheme="majorBidi"/>
      <w:color w:val="272727" w:themeColor="text1" w:themeTint="D8"/>
    </w:rPr>
  </w:style>
  <w:style w:type="paragraph" w:styleId="Title">
    <w:name w:val="Title"/>
    <w:basedOn w:val="Normal"/>
    <w:next w:val="Normal"/>
    <w:link w:val="TitleChar"/>
    <w:uiPriority w:val="10"/>
    <w:qFormat/>
    <w:rsid w:val="007423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23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23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23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23C6"/>
    <w:pPr>
      <w:spacing w:before="160"/>
      <w:jc w:val="center"/>
    </w:pPr>
    <w:rPr>
      <w:i/>
      <w:iCs/>
      <w:color w:val="404040" w:themeColor="text1" w:themeTint="BF"/>
    </w:rPr>
  </w:style>
  <w:style w:type="character" w:customStyle="1" w:styleId="QuoteChar">
    <w:name w:val="Quote Char"/>
    <w:basedOn w:val="DefaultParagraphFont"/>
    <w:link w:val="Quote"/>
    <w:uiPriority w:val="29"/>
    <w:rsid w:val="007423C6"/>
    <w:rPr>
      <w:i/>
      <w:iCs/>
      <w:color w:val="404040" w:themeColor="text1" w:themeTint="BF"/>
    </w:rPr>
  </w:style>
  <w:style w:type="paragraph" w:styleId="ListParagraph">
    <w:name w:val="List Paragraph"/>
    <w:basedOn w:val="Normal"/>
    <w:uiPriority w:val="34"/>
    <w:qFormat/>
    <w:rsid w:val="007423C6"/>
    <w:pPr>
      <w:ind w:left="720"/>
      <w:contextualSpacing/>
    </w:pPr>
  </w:style>
  <w:style w:type="character" w:styleId="IntenseEmphasis">
    <w:name w:val="Intense Emphasis"/>
    <w:basedOn w:val="DefaultParagraphFont"/>
    <w:uiPriority w:val="21"/>
    <w:qFormat/>
    <w:rsid w:val="007423C6"/>
    <w:rPr>
      <w:i/>
      <w:iCs/>
      <w:color w:val="0F4761" w:themeColor="accent1" w:themeShade="BF"/>
    </w:rPr>
  </w:style>
  <w:style w:type="paragraph" w:styleId="IntenseQuote">
    <w:name w:val="Intense Quote"/>
    <w:basedOn w:val="Normal"/>
    <w:next w:val="Normal"/>
    <w:link w:val="IntenseQuoteChar"/>
    <w:uiPriority w:val="30"/>
    <w:qFormat/>
    <w:rsid w:val="007423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23C6"/>
    <w:rPr>
      <w:i/>
      <w:iCs/>
      <w:color w:val="0F4761" w:themeColor="accent1" w:themeShade="BF"/>
    </w:rPr>
  </w:style>
  <w:style w:type="character" w:styleId="IntenseReference">
    <w:name w:val="Intense Reference"/>
    <w:basedOn w:val="DefaultParagraphFont"/>
    <w:uiPriority w:val="32"/>
    <w:qFormat/>
    <w:rsid w:val="007423C6"/>
    <w:rPr>
      <w:b/>
      <w:bCs/>
      <w:smallCaps/>
      <w:color w:val="0F4761" w:themeColor="accent1" w:themeShade="BF"/>
      <w:spacing w:val="5"/>
    </w:rPr>
  </w:style>
  <w:style w:type="paragraph" w:styleId="Header">
    <w:name w:val="header"/>
    <w:basedOn w:val="Normal"/>
    <w:link w:val="HeaderChar"/>
    <w:uiPriority w:val="99"/>
    <w:unhideWhenUsed/>
    <w:rsid w:val="007423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23C6"/>
  </w:style>
  <w:style w:type="paragraph" w:styleId="Footer">
    <w:name w:val="footer"/>
    <w:basedOn w:val="Normal"/>
    <w:link w:val="FooterChar"/>
    <w:uiPriority w:val="99"/>
    <w:unhideWhenUsed/>
    <w:rsid w:val="007423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23C6"/>
  </w:style>
  <w:style w:type="character" w:styleId="Hyperlink">
    <w:name w:val="Hyperlink"/>
    <w:basedOn w:val="DefaultParagraphFont"/>
    <w:uiPriority w:val="99"/>
    <w:unhideWhenUsed/>
    <w:rsid w:val="007423C6"/>
    <w:rPr>
      <w:color w:val="467886" w:themeColor="hyperlink"/>
      <w:u w:val="single"/>
    </w:rPr>
  </w:style>
  <w:style w:type="character" w:styleId="UnresolvedMention">
    <w:name w:val="Unresolved Mention"/>
    <w:basedOn w:val="DefaultParagraphFont"/>
    <w:uiPriority w:val="99"/>
    <w:semiHidden/>
    <w:unhideWhenUsed/>
    <w:rsid w:val="007423C6"/>
    <w:rPr>
      <w:color w:val="605E5C"/>
      <w:shd w:val="clear" w:color="auto" w:fill="E1DFDD"/>
    </w:rPr>
  </w:style>
  <w:style w:type="character" w:styleId="FollowedHyperlink">
    <w:name w:val="FollowedHyperlink"/>
    <w:basedOn w:val="DefaultParagraphFont"/>
    <w:uiPriority w:val="99"/>
    <w:semiHidden/>
    <w:unhideWhenUsed/>
    <w:rsid w:val="00B25F7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idar\OneDrive\Personal\School\Uni\2024-2025\CombinedYouthWorkNOS.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sites/default/files/2024-02/REICoP-July-2022.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nya.org.uk/what-is-youth-work/" TargetMode="External"/><Relationship Id="rId4" Type="http://schemas.openxmlformats.org/officeDocument/2006/relationships/settings" Target="settings.xml"/><Relationship Id="rId9" Type="http://schemas.openxmlformats.org/officeDocument/2006/relationships/hyperlink" Target="https://moodle.uwtsd.ac.uk/course/format/tiles/mod_view.php?cmid=73226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1D15F-B4CD-4CB0-A7FE-54D8EE9FD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9961</TotalTime>
  <Pages>15</Pages>
  <Words>3857</Words>
  <Characters>21986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Arnott</dc:creator>
  <cp:keywords/>
  <dc:description/>
  <cp:lastModifiedBy>Sarah Arnott</cp:lastModifiedBy>
  <cp:revision>23</cp:revision>
  <cp:lastPrinted>2026-04-28T21:20:00Z</cp:lastPrinted>
  <dcterms:created xsi:type="dcterms:W3CDTF">2026-04-28T20:22:00Z</dcterms:created>
  <dcterms:modified xsi:type="dcterms:W3CDTF">2026-05-06T11:36:00Z</dcterms:modified>
</cp:coreProperties>
</file>