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sz w:val="32"/>
          <w:szCs w:val="32"/>
          <w:u w:val="single"/>
          <w:lang w:val="en-GB"/>
        </w:rPr>
      </w:pPr>
    </w:p>
    <w:p>
      <w:pPr>
        <w:jc w:val="center"/>
        <w:rPr>
          <w:b/>
          <w:sz w:val="32"/>
          <w:szCs w:val="32"/>
          <w:u w:val="single"/>
          <w:lang w:val="en-GB"/>
        </w:rPr>
      </w:pPr>
    </w:p>
    <w:p>
      <w:pPr>
        <w:jc w:val="center"/>
        <w:rPr>
          <w:b/>
          <w:sz w:val="32"/>
          <w:szCs w:val="32"/>
          <w:u w:val="single"/>
          <w:lang w:val="en-GB"/>
        </w:rPr>
      </w:pPr>
    </w:p>
    <w:p>
      <w:pPr>
        <w:jc w:val="center"/>
        <w:rPr>
          <w:b/>
          <w:sz w:val="32"/>
          <w:szCs w:val="32"/>
          <w:u w:val="single"/>
          <w:lang w:val="en-GB"/>
        </w:rPr>
      </w:pPr>
    </w:p>
    <w:p>
      <w:pPr>
        <w:jc w:val="center"/>
        <w:rPr>
          <w:b/>
          <w:sz w:val="32"/>
          <w:szCs w:val="32"/>
          <w:u w:val="single"/>
          <w:lang w:val="en-GB"/>
        </w:rPr>
      </w:pPr>
    </w:p>
    <w:p>
      <w:pPr>
        <w:jc w:val="center"/>
        <w:rPr>
          <w:b/>
          <w:sz w:val="32"/>
          <w:szCs w:val="32"/>
          <w:u w:val="single"/>
          <w:lang w:val="en-GB"/>
        </w:rPr>
      </w:pPr>
    </w:p>
    <w:p>
      <w:pPr>
        <w:jc w:val="center"/>
        <w:rPr>
          <w:b/>
          <w:sz w:val="32"/>
          <w:szCs w:val="32"/>
          <w:u w:val="single"/>
          <w:lang w:val="en-GB"/>
        </w:rPr>
      </w:pPr>
    </w:p>
    <w:p>
      <w:pPr>
        <w:jc w:val="center"/>
        <w:rPr>
          <w:b/>
          <w:bCs w:val="0"/>
          <w:i w:val="0"/>
          <w:iCs w:val="0"/>
          <w:sz w:val="32"/>
          <w:szCs w:val="32"/>
          <w:u w:val="single"/>
          <w:lang w:val="en-GB"/>
        </w:rPr>
      </w:pPr>
      <w:r>
        <w:rPr>
          <w:b/>
          <w:bCs w:val="0"/>
          <w:sz w:val="32"/>
          <w:szCs w:val="32"/>
          <w:u w:val="single"/>
          <w:lang w:val="en-GB"/>
        </w:rPr>
        <w:t>BA International Hotel Management</w:t>
      </w:r>
      <w:r>
        <w:rPr>
          <w:rFonts w:hint="default"/>
          <w:b/>
          <w:bCs w:val="0"/>
          <w:i w:val="0"/>
          <w:iCs w:val="0"/>
          <w:sz w:val="32"/>
          <w:szCs w:val="32"/>
          <w:u w:val="single"/>
          <w:lang w:val="en-GB"/>
        </w:rPr>
        <w:t xml:space="preserve"> Assessment 1 </w:t>
      </w:r>
      <w:r>
        <w:rPr>
          <w:b/>
          <w:bCs w:val="0"/>
          <w:i w:val="0"/>
          <w:iCs w:val="0"/>
          <w:sz w:val="32"/>
          <w:szCs w:val="32"/>
          <w:u w:val="single"/>
          <w:lang w:val="en-GB"/>
        </w:rPr>
        <w:t>Portfolio 4 components</w:t>
      </w:r>
    </w:p>
    <w:p>
      <w:pPr>
        <w:jc w:val="center"/>
        <w:rPr>
          <w:b/>
          <w:sz w:val="32"/>
          <w:szCs w:val="32"/>
          <w:u w:val="single"/>
          <w:lang w:val="en-GB"/>
        </w:rPr>
      </w:pPr>
    </w:p>
    <w:p>
      <w:pPr>
        <w:jc w:val="center"/>
        <w:rPr>
          <w:rFonts w:hint="default"/>
          <w:b/>
          <w:i/>
          <w:lang w:val="en-GB"/>
        </w:rPr>
      </w:pPr>
      <w:r>
        <w:rPr>
          <w:b/>
          <w:i/>
          <w:lang w:val="en-GB"/>
        </w:rPr>
        <w:t xml:space="preserve">Module Code: </w:t>
      </w:r>
      <w:r>
        <w:rPr>
          <w:rFonts w:hint="default"/>
          <w:b/>
          <w:i/>
          <w:lang w:val="en-GB"/>
        </w:rPr>
        <w:t>BMIH5003</w:t>
      </w:r>
    </w:p>
    <w:p>
      <w:pPr>
        <w:jc w:val="center"/>
        <w:rPr>
          <w:b/>
          <w:i/>
          <w:lang w:val="en-GB"/>
        </w:rPr>
      </w:pPr>
      <w:r>
        <w:rPr>
          <w:rFonts w:hint="default"/>
          <w:b/>
          <w:i/>
          <w:lang w:val="en-GB"/>
        </w:rPr>
        <w:t>Foreign Languages and Cultural Awareness</w:t>
      </w:r>
    </w:p>
    <w:p>
      <w:pPr>
        <w:jc w:val="center"/>
        <w:rPr>
          <w:rFonts w:hint="default"/>
          <w:b/>
          <w:i/>
          <w:lang w:val="en-GB"/>
        </w:rPr>
      </w:pPr>
      <w:r>
        <w:rPr>
          <w:b/>
          <w:i/>
          <w:lang w:val="en-GB"/>
        </w:rPr>
        <w:t>Student Name:</w:t>
      </w:r>
      <w:r>
        <w:rPr>
          <w:rFonts w:hint="default"/>
          <w:b/>
          <w:i/>
          <w:lang w:val="en-GB"/>
        </w:rPr>
        <w:t xml:space="preserve"> Bianca Negreanu </w:t>
      </w:r>
    </w:p>
    <w:p>
      <w:pPr>
        <w:jc w:val="center"/>
        <w:rPr>
          <w:rFonts w:hint="default"/>
          <w:b/>
          <w:i/>
          <w:lang w:val="en-GB"/>
        </w:rPr>
      </w:pPr>
      <w:r>
        <w:rPr>
          <w:b/>
          <w:i/>
          <w:lang w:val="en-GB"/>
        </w:rPr>
        <w:t>Student ID:</w:t>
      </w:r>
      <w:r>
        <w:rPr>
          <w:rFonts w:hint="default"/>
          <w:b/>
          <w:i/>
          <w:lang w:val="en-GB"/>
        </w:rPr>
        <w:t xml:space="preserve">  2244613</w:t>
      </w:r>
    </w:p>
    <w:p>
      <w:pPr>
        <w:jc w:val="center"/>
        <w:rPr>
          <w:rFonts w:hint="default"/>
          <w:b/>
          <w:i/>
          <w:lang w:val="en-GB"/>
        </w:rPr>
      </w:pPr>
      <w:r>
        <w:rPr>
          <w:rFonts w:hint="default"/>
          <w:b/>
          <w:i/>
          <w:lang w:val="en-GB"/>
        </w:rPr>
        <w:t>Module leader : Giulia Chifari</w:t>
      </w:r>
      <w:bookmarkStart w:id="11" w:name="_GoBack"/>
      <w:bookmarkEnd w:id="11"/>
    </w:p>
    <w:p>
      <w:pPr>
        <w:jc w:val="center"/>
        <w:rPr>
          <w:b/>
          <w:i/>
          <w:lang w:val="en-GB"/>
        </w:rPr>
      </w:pPr>
      <w:r>
        <w:rPr>
          <w:lang w:val="en-GB"/>
        </w:rPr>
        <w:br w:type="page"/>
      </w:r>
    </w:p>
    <w:sdt>
      <w:sdtPr>
        <w:rPr>
          <w:rFonts w:ascii="Times New Roman" w:hAnsi="Times New Roman" w:eastAsia="Times New Roman" w:cs="Times New Roman"/>
          <w:color w:val="auto"/>
          <w:sz w:val="24"/>
          <w:szCs w:val="24"/>
          <w:lang w:val="en-IN" w:eastAsia="en-IN"/>
        </w:rPr>
        <w:id w:val="1027148314"/>
        <w:docPartObj>
          <w:docPartGallery w:val="Table of Contents"/>
          <w:docPartUnique/>
        </w:docPartObj>
      </w:sdtPr>
      <w:sdtEndPr>
        <w:rPr>
          <w:rFonts w:ascii="Times New Roman" w:hAnsi="Times New Roman" w:eastAsia="Times New Roman" w:cs="Times New Roman"/>
          <w:b/>
          <w:bCs/>
          <w:color w:val="auto"/>
          <w:sz w:val="24"/>
          <w:szCs w:val="24"/>
          <w:lang w:val="en-IN" w:eastAsia="en-IN"/>
        </w:rPr>
      </w:sdtEndPr>
      <w:sdtContent>
        <w:p>
          <w:pPr>
            <w:pStyle w:val="25"/>
            <w:jc w:val="center"/>
            <w:rPr>
              <w:rFonts w:ascii="Times New Roman" w:hAnsi="Times New Roman" w:cs="Times New Roman"/>
              <w:b/>
              <w:color w:val="auto"/>
              <w:sz w:val="24"/>
            </w:rPr>
          </w:pPr>
          <w:bookmarkStart w:id="0" w:name="_tamfqxb0dqey" w:colFirst="0" w:colLast="0"/>
          <w:bookmarkEnd w:id="0"/>
          <w:r>
            <w:rPr>
              <w:rFonts w:ascii="Times New Roman" w:hAnsi="Times New Roman" w:cs="Times New Roman"/>
              <w:b/>
              <w:color w:val="auto"/>
              <w:sz w:val="24"/>
            </w:rPr>
            <w:t>Table of Contents</w:t>
          </w:r>
        </w:p>
        <w:p>
          <w:pPr>
            <w:pStyle w:val="19"/>
            <w:tabs>
              <w:tab w:val="right" w:leader="dot" w:pos="9019"/>
            </w:tabs>
            <w:rPr>
              <w:rFonts w:asciiTheme="minorHAnsi" w:hAnsiTheme="minorHAnsi" w:eastAsiaTheme="minorEastAsia" w:cstheme="minorBidi"/>
              <w:sz w:val="22"/>
              <w:szCs w:val="22"/>
              <w:lang w:val="en-US" w:eastAsia="en-US"/>
            </w:rPr>
          </w:pPr>
          <w:r>
            <w:fldChar w:fldCharType="begin"/>
          </w:r>
          <w:r>
            <w:instrText xml:space="preserve"> TOC \o "1-3" \h \z \u </w:instrText>
          </w:r>
          <w:r>
            <w:fldChar w:fldCharType="separate"/>
          </w:r>
          <w:r>
            <w:fldChar w:fldCharType="begin"/>
          </w:r>
          <w:r>
            <w:instrText xml:space="preserve"> HYPERLINK \l "_Toc165478233" </w:instrText>
          </w:r>
          <w:r>
            <w:fldChar w:fldCharType="separate"/>
          </w:r>
          <w:r>
            <w:rPr>
              <w:rStyle w:val="15"/>
              <w:lang w:val="en-GB"/>
            </w:rPr>
            <w:t>Introduction</w:t>
          </w:r>
          <w:r>
            <w:tab/>
          </w:r>
          <w:r>
            <w:fldChar w:fldCharType="begin"/>
          </w:r>
          <w:r>
            <w:instrText xml:space="preserve"> PAGEREF _Toc165478233 \h </w:instrText>
          </w:r>
          <w:r>
            <w:fldChar w:fldCharType="separate"/>
          </w:r>
          <w:r>
            <w:t>3</w:t>
          </w:r>
          <w:r>
            <w:fldChar w:fldCharType="end"/>
          </w:r>
          <w:r>
            <w:fldChar w:fldCharType="end"/>
          </w:r>
        </w:p>
        <w:p>
          <w:pPr>
            <w:pStyle w:val="19"/>
            <w:tabs>
              <w:tab w:val="right" w:leader="dot" w:pos="9019"/>
            </w:tabs>
            <w:rPr>
              <w:rFonts w:asciiTheme="minorHAnsi" w:hAnsiTheme="minorHAnsi" w:eastAsiaTheme="minorEastAsia" w:cstheme="minorBidi"/>
              <w:sz w:val="22"/>
              <w:szCs w:val="22"/>
              <w:lang w:val="en-US" w:eastAsia="en-US"/>
            </w:rPr>
          </w:pPr>
          <w:r>
            <w:fldChar w:fldCharType="begin"/>
          </w:r>
          <w:r>
            <w:instrText xml:space="preserve"> HYPERLINK \l "_Toc165478234" </w:instrText>
          </w:r>
          <w:r>
            <w:fldChar w:fldCharType="separate"/>
          </w:r>
          <w:r>
            <w:rPr>
              <w:rStyle w:val="15"/>
              <w:lang w:val="en-GB"/>
            </w:rPr>
            <w:t>Component 1 - Professional reflection</w:t>
          </w:r>
          <w:r>
            <w:tab/>
          </w:r>
          <w:r>
            <w:fldChar w:fldCharType="begin"/>
          </w:r>
          <w:r>
            <w:instrText xml:space="preserve"> PAGEREF _Toc165478234 \h </w:instrText>
          </w:r>
          <w:r>
            <w:fldChar w:fldCharType="separate"/>
          </w:r>
          <w:r>
            <w:t>3</w:t>
          </w:r>
          <w:r>
            <w:fldChar w:fldCharType="end"/>
          </w:r>
          <w:r>
            <w:fldChar w:fldCharType="end"/>
          </w:r>
        </w:p>
        <w:p>
          <w:pPr>
            <w:pStyle w:val="19"/>
            <w:tabs>
              <w:tab w:val="right" w:leader="dot" w:pos="9019"/>
            </w:tabs>
            <w:rPr>
              <w:rFonts w:asciiTheme="minorHAnsi" w:hAnsiTheme="minorHAnsi" w:eastAsiaTheme="minorEastAsia" w:cstheme="minorBidi"/>
              <w:sz w:val="22"/>
              <w:szCs w:val="22"/>
              <w:lang w:val="en-US" w:eastAsia="en-US"/>
            </w:rPr>
          </w:pPr>
          <w:r>
            <w:fldChar w:fldCharType="begin"/>
          </w:r>
          <w:r>
            <w:instrText xml:space="preserve"> HYPERLINK \l "_Toc165478235" </w:instrText>
          </w:r>
          <w:r>
            <w:fldChar w:fldCharType="separate"/>
          </w:r>
          <w:r>
            <w:rPr>
              <w:rStyle w:val="15"/>
              <w:lang w:val="en-GB"/>
            </w:rPr>
            <w:t>Component 2 - Training plan</w:t>
          </w:r>
          <w:r>
            <w:tab/>
          </w:r>
          <w:r>
            <w:fldChar w:fldCharType="begin"/>
          </w:r>
          <w:r>
            <w:instrText xml:space="preserve"> PAGEREF _Toc165478235 \h </w:instrText>
          </w:r>
          <w:r>
            <w:fldChar w:fldCharType="separate"/>
          </w:r>
          <w:r>
            <w:t>4</w:t>
          </w:r>
          <w:r>
            <w:fldChar w:fldCharType="end"/>
          </w:r>
          <w:r>
            <w:fldChar w:fldCharType="end"/>
          </w:r>
        </w:p>
        <w:p>
          <w:pPr>
            <w:pStyle w:val="19"/>
            <w:tabs>
              <w:tab w:val="right" w:leader="dot" w:pos="9019"/>
            </w:tabs>
            <w:rPr>
              <w:rFonts w:asciiTheme="minorHAnsi" w:hAnsiTheme="minorHAnsi" w:eastAsiaTheme="minorEastAsia" w:cstheme="minorBidi"/>
              <w:sz w:val="22"/>
              <w:szCs w:val="22"/>
              <w:lang w:val="en-US" w:eastAsia="en-US"/>
            </w:rPr>
          </w:pPr>
          <w:r>
            <w:fldChar w:fldCharType="begin"/>
          </w:r>
          <w:r>
            <w:instrText xml:space="preserve"> HYPERLINK \l "_Toc165478236" </w:instrText>
          </w:r>
          <w:r>
            <w:fldChar w:fldCharType="separate"/>
          </w:r>
          <w:r>
            <w:rPr>
              <w:rStyle w:val="15"/>
              <w:lang w:val="en-GB"/>
            </w:rPr>
            <w:t>Component 3 - Student self-reflection</w:t>
          </w:r>
          <w:r>
            <w:tab/>
          </w:r>
          <w:r>
            <w:fldChar w:fldCharType="begin"/>
          </w:r>
          <w:r>
            <w:instrText xml:space="preserve"> PAGEREF _Toc165478236 \h </w:instrText>
          </w:r>
          <w:r>
            <w:fldChar w:fldCharType="separate"/>
          </w:r>
          <w:r>
            <w:t>6</w:t>
          </w:r>
          <w:r>
            <w:fldChar w:fldCharType="end"/>
          </w:r>
          <w:r>
            <w:fldChar w:fldCharType="end"/>
          </w:r>
        </w:p>
        <w:p>
          <w:pPr>
            <w:pStyle w:val="19"/>
            <w:tabs>
              <w:tab w:val="right" w:leader="dot" w:pos="9019"/>
            </w:tabs>
            <w:rPr>
              <w:rFonts w:asciiTheme="minorHAnsi" w:hAnsiTheme="minorHAnsi" w:eastAsiaTheme="minorEastAsia" w:cstheme="minorBidi"/>
              <w:sz w:val="22"/>
              <w:szCs w:val="22"/>
              <w:lang w:val="en-US" w:eastAsia="en-US"/>
            </w:rPr>
          </w:pPr>
          <w:r>
            <w:fldChar w:fldCharType="begin"/>
          </w:r>
          <w:r>
            <w:instrText xml:space="preserve"> HYPERLINK \l "_Toc165478237" </w:instrText>
          </w:r>
          <w:r>
            <w:fldChar w:fldCharType="separate"/>
          </w:r>
          <w:r>
            <w:rPr>
              <w:rStyle w:val="15"/>
              <w:lang w:val="en-GB"/>
            </w:rPr>
            <w:t>Component 4 - Training presentation</w:t>
          </w:r>
          <w:r>
            <w:tab/>
          </w:r>
          <w:r>
            <w:fldChar w:fldCharType="begin"/>
          </w:r>
          <w:r>
            <w:instrText xml:space="preserve"> PAGEREF _Toc165478237 \h </w:instrText>
          </w:r>
          <w:r>
            <w:fldChar w:fldCharType="separate"/>
          </w:r>
          <w:r>
            <w:t>7</w:t>
          </w:r>
          <w:r>
            <w:fldChar w:fldCharType="end"/>
          </w:r>
          <w:r>
            <w:fldChar w:fldCharType="end"/>
          </w:r>
        </w:p>
        <w:p>
          <w:pPr>
            <w:pStyle w:val="19"/>
            <w:tabs>
              <w:tab w:val="right" w:leader="dot" w:pos="9019"/>
            </w:tabs>
            <w:rPr>
              <w:rFonts w:asciiTheme="minorHAnsi" w:hAnsiTheme="minorHAnsi" w:eastAsiaTheme="minorEastAsia" w:cstheme="minorBidi"/>
              <w:sz w:val="22"/>
              <w:szCs w:val="22"/>
              <w:lang w:val="en-US" w:eastAsia="en-US"/>
            </w:rPr>
          </w:pPr>
          <w:r>
            <w:fldChar w:fldCharType="begin"/>
          </w:r>
          <w:r>
            <w:instrText xml:space="preserve"> HYPERLINK \l "_Toc165478238" </w:instrText>
          </w:r>
          <w:r>
            <w:fldChar w:fldCharType="separate"/>
          </w:r>
          <w:r>
            <w:rPr>
              <w:rStyle w:val="15"/>
              <w:lang w:val="en-GB"/>
            </w:rPr>
            <w:t>Conclusion</w:t>
          </w:r>
          <w:r>
            <w:tab/>
          </w:r>
          <w:r>
            <w:fldChar w:fldCharType="begin"/>
          </w:r>
          <w:r>
            <w:instrText xml:space="preserve"> PAGEREF _Toc165478238 \h </w:instrText>
          </w:r>
          <w:r>
            <w:fldChar w:fldCharType="separate"/>
          </w:r>
          <w:r>
            <w:t>15</w:t>
          </w:r>
          <w:r>
            <w:fldChar w:fldCharType="end"/>
          </w:r>
          <w:r>
            <w:fldChar w:fldCharType="end"/>
          </w:r>
        </w:p>
        <w:p>
          <w:r>
            <w:rPr>
              <w:b/>
              <w:bCs/>
            </w:rPr>
            <w:fldChar w:fldCharType="end"/>
          </w:r>
        </w:p>
      </w:sdtContent>
    </w:sdt>
    <w:p>
      <w:pPr>
        <w:rPr>
          <w:b/>
          <w:lang w:val="en-GB"/>
        </w:rPr>
      </w:pPr>
      <w:r>
        <w:rPr>
          <w:lang w:val="en-GB"/>
        </w:rPr>
        <w:br w:type="page"/>
      </w:r>
    </w:p>
    <w:p>
      <w:pPr>
        <w:pStyle w:val="2"/>
        <w:rPr>
          <w:lang w:val="en-GB"/>
        </w:rPr>
      </w:pPr>
      <w:bookmarkStart w:id="1" w:name="_Toc165478233"/>
      <w:r>
        <w:rPr>
          <w:lang w:val="en-GB"/>
        </w:rPr>
        <w:t>Introduction</w:t>
      </w:r>
      <w:bookmarkEnd w:id="1"/>
    </w:p>
    <w:p>
      <w:pPr>
        <w:rPr>
          <w:lang w:val="en-GB"/>
        </w:rPr>
      </w:pPr>
      <w:r>
        <w:rPr>
          <w:lang w:val="en-GB"/>
        </w:rPr>
        <w:t xml:space="preserve">The current set of tasks has four individual components that address specific activities depending on the requirements. It focuses on my experience regarding the level four placement as a food and beverage staff at the Hyatt Hotel, UK. The components together harness the application of cross-cultural communication and management in the hospitality industry. </w:t>
      </w:r>
    </w:p>
    <w:p>
      <w:pPr>
        <w:pStyle w:val="2"/>
        <w:rPr>
          <w:lang w:val="en-GB"/>
        </w:rPr>
      </w:pPr>
      <w:bookmarkStart w:id="2" w:name="_1sdlf965qpzd" w:colFirst="0" w:colLast="0"/>
      <w:bookmarkEnd w:id="2"/>
      <w:bookmarkStart w:id="3" w:name="_Toc165478234"/>
      <w:r>
        <w:rPr>
          <w:lang w:val="en-GB"/>
        </w:rPr>
        <w:t>Component 1 - Professional reflection</w:t>
      </w:r>
      <w:bookmarkEnd w:id="3"/>
      <w:r>
        <w:rPr>
          <w:lang w:val="en-GB"/>
        </w:rPr>
        <w:t xml:space="preserve"> </w:t>
      </w:r>
    </w:p>
    <w:p>
      <w:pPr>
        <w:rPr>
          <w:b/>
          <w:lang w:val="en-GB"/>
        </w:rPr>
      </w:pPr>
      <w:r>
        <w:rPr>
          <w:b/>
          <w:lang w:val="en-GB"/>
        </w:rPr>
        <w:t>Ways in which cultural misunderstanding can occur</w:t>
      </w:r>
    </w:p>
    <w:p>
      <w:pPr>
        <w:rPr>
          <w:lang w:val="en-GB"/>
        </w:rPr>
      </w:pPr>
      <w:r>
        <w:rPr>
          <w:lang w:val="en-GB"/>
        </w:rPr>
        <w:t xml:space="preserve">As per the views of Zheng </w:t>
      </w:r>
      <w:r>
        <w:rPr>
          <w:i/>
          <w:lang w:val="en-GB"/>
        </w:rPr>
        <w:t xml:space="preserve">et al., </w:t>
      </w:r>
      <w:r>
        <w:rPr>
          <w:lang w:val="en-GB"/>
        </w:rPr>
        <w:t xml:space="preserve">(2021), cultural differences in an organisational environment are an unavoidable substance that has its own benefits and drawbacks. Organisational management has to focus on mainstreaming the key advantages to procreate the benefits on an extended level (Shavitt and Barnes, 2020, p.41). As a food and beverage employee at Hyatt, I have come across several individuals who have differences in terms of social aspects, cultural influence, and educational backgrounds. I also consider the diversity of the customers availing the services as a part of the cultural differences applicable in the workplace. The primary difference that I have assessed is the difference in taste. As a food and beverage employee, I have been trained to work on perspectives, which is essentially to consider the customer’s viewpoint about certain tastes and preferences of food. However, I found that, there are multiple dimensions, in which people taste work and that can create variations. For example, some can like the way I have presented the food, while others can hate the approach. Some customers love the quantity and others can like the quality. I have observed that a customer once threw away the dish just because; it was the wrong item the waiter served in the bar. The customer was one of the esteemed guests of the hotel; however, the customer did not show the behavioural instinct of esteemed guests. Later, the investigation found that the plate was exchanged in the kitchen for which the waiter was not at all guilty. These are differences that I feel primarily occur in food and beverage options. In other terms, differences in languages, differences in perspectives about relationship management, behavioural instinct and personal choices can ignite misunderstanding at any place. </w:t>
      </w:r>
    </w:p>
    <w:p>
      <w:pPr>
        <w:rPr>
          <w:b/>
          <w:lang w:val="en-GB"/>
        </w:rPr>
      </w:pPr>
      <w:r>
        <w:rPr>
          <w:b/>
          <w:lang w:val="en-GB"/>
        </w:rPr>
        <w:t>Reflection on the skills that are required to develop or any behavioural changes</w:t>
      </w:r>
    </w:p>
    <w:p>
      <w:pPr>
        <w:rPr>
          <w:lang w:val="en-GB"/>
        </w:rPr>
      </w:pPr>
      <w:r>
        <w:rPr>
          <w:lang w:val="en-GB"/>
        </w:rPr>
        <w:t xml:space="preserve">The practices associated with behavioural management initialise the communication efforts and body language in the case of the hospitality industry (Seo </w:t>
      </w:r>
      <w:r>
        <w:rPr>
          <w:i/>
          <w:lang w:val="en-GB"/>
        </w:rPr>
        <w:t xml:space="preserve">et al., </w:t>
      </w:r>
      <w:r>
        <w:rPr>
          <w:lang w:val="en-GB"/>
        </w:rPr>
        <w:t xml:space="preserve">2021, p.176). Considering the behavioural aspects of the customers in different stages and the management instructions that I have to follow as an employee, I intend to be more careful in terms of my approach and work inside the restaurant. I know that there are ethnic and traditional beliefs associated with people’s food habits, which I have to respect as a representative of an international hospitality brand. I would reconcile with my manager and team leader and inherit their views and expertise in case of managing customers from different cultures and attributes. I intend to be more dedicated to placing the right kind of words and body language that are preferable according to the diversified customs of different cultures that come into the hotel. </w:t>
      </w:r>
    </w:p>
    <w:p>
      <w:pPr>
        <w:pStyle w:val="2"/>
        <w:rPr>
          <w:lang w:val="en-GB"/>
        </w:rPr>
      </w:pPr>
      <w:bookmarkStart w:id="4" w:name="_h0m9jryiv76b" w:colFirst="0" w:colLast="0"/>
      <w:bookmarkEnd w:id="4"/>
      <w:bookmarkStart w:id="5" w:name="_Toc165478235"/>
      <w:r>
        <w:rPr>
          <w:lang w:val="en-GB"/>
        </w:rPr>
        <w:t>Component 2 - Training plan</w:t>
      </w:r>
      <w:bookmarkEnd w:id="5"/>
      <w:r>
        <w:rPr>
          <w:lang w:val="en-GB"/>
        </w:rPr>
        <w:t xml:space="preserve"> </w:t>
      </w:r>
    </w:p>
    <w:tbl>
      <w:tblPr>
        <w:tblStyle w:val="20"/>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800"/>
        <w:gridCol w:w="2055"/>
        <w:gridCol w:w="1965"/>
        <w:gridCol w:w="2085"/>
        <w:gridCol w:w="109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80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left"/>
              <w:rPr>
                <w:b/>
                <w:lang w:val="en-GB"/>
              </w:rPr>
            </w:pPr>
            <w:r>
              <w:rPr>
                <w:b/>
                <w:lang w:val="en-GB"/>
              </w:rPr>
              <w:t>Objectives</w:t>
            </w:r>
          </w:p>
        </w:tc>
        <w:tc>
          <w:tcPr>
            <w:tcW w:w="205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left"/>
              <w:rPr>
                <w:b/>
                <w:lang w:val="en-GB"/>
              </w:rPr>
            </w:pPr>
            <w:r>
              <w:rPr>
                <w:b/>
                <w:lang w:val="en-GB"/>
              </w:rPr>
              <w:t>Considerable Actions</w:t>
            </w:r>
          </w:p>
        </w:tc>
        <w:tc>
          <w:tcPr>
            <w:tcW w:w="19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left"/>
              <w:rPr>
                <w:b/>
                <w:lang w:val="en-GB"/>
              </w:rPr>
            </w:pPr>
            <w:r>
              <w:rPr>
                <w:b/>
                <w:lang w:val="en-GB"/>
              </w:rPr>
              <w:t>Required Resources</w:t>
            </w:r>
          </w:p>
        </w:tc>
        <w:tc>
          <w:tcPr>
            <w:tcW w:w="208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left"/>
              <w:rPr>
                <w:b/>
                <w:lang w:val="en-GB"/>
              </w:rPr>
            </w:pPr>
            <w:r>
              <w:rPr>
                <w:b/>
                <w:lang w:val="en-GB"/>
              </w:rPr>
              <w:t>Success Criteria</w:t>
            </w:r>
          </w:p>
        </w:tc>
        <w:tc>
          <w:tcPr>
            <w:tcW w:w="109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left"/>
              <w:rPr>
                <w:b/>
                <w:lang w:val="en-GB"/>
              </w:rPr>
            </w:pPr>
            <w:r>
              <w:rPr>
                <w:b/>
                <w:lang w:val="en-GB"/>
              </w:rPr>
              <w:t>Time Frame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80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b/>
                <w:lang w:val="en-GB"/>
              </w:rPr>
            </w:pPr>
            <w:r>
              <w:rPr>
                <w:b/>
                <w:lang w:val="en-GB"/>
              </w:rPr>
              <w:t>To adhere to the minimum linguistic requirements for an international hotel</w:t>
            </w:r>
          </w:p>
        </w:tc>
        <w:tc>
          <w:tcPr>
            <w:tcW w:w="205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Language practices,</w:t>
            </w:r>
          </w:p>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Inter-house group discussion and interaction in different languages.</w:t>
            </w:r>
          </w:p>
        </w:tc>
        <w:tc>
          <w:tcPr>
            <w:tcW w:w="19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Language trainer, simulators for practices and investment from the management.</w:t>
            </w:r>
          </w:p>
        </w:tc>
        <w:tc>
          <w:tcPr>
            <w:tcW w:w="208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 xml:space="preserve">I would be able to communicate in at least 3 different languages that enhance my linguistic requirements in an international hotel. </w:t>
            </w:r>
          </w:p>
        </w:tc>
        <w:tc>
          <w:tcPr>
            <w:tcW w:w="109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2 weeks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80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b/>
                <w:lang w:val="en-GB"/>
              </w:rPr>
            </w:pPr>
            <w:r>
              <w:rPr>
                <w:b/>
                <w:lang w:val="en-GB"/>
              </w:rPr>
              <w:t>To develop smart approachable techniques that suit all the customers</w:t>
            </w:r>
          </w:p>
        </w:tc>
        <w:tc>
          <w:tcPr>
            <w:tcW w:w="205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 xml:space="preserve">Understanding and performing techniques such as briefing the customers and indulging in conversation that suits their criteria. </w:t>
            </w:r>
          </w:p>
        </w:tc>
        <w:tc>
          <w:tcPr>
            <w:tcW w:w="19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I would require the management’s attention regarding the processes to be inherited. I would like to shadow my seniors to identify their approaches.</w:t>
            </w:r>
          </w:p>
        </w:tc>
        <w:tc>
          <w:tcPr>
            <w:tcW w:w="208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 xml:space="preserve">The success criteria would be successfully analysed and identify the key requirements of customers and act according to the processes. </w:t>
            </w:r>
          </w:p>
        </w:tc>
        <w:tc>
          <w:tcPr>
            <w:tcW w:w="109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1 week</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80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b/>
                <w:lang w:val="en-GB"/>
              </w:rPr>
            </w:pPr>
            <w:r>
              <w:rPr>
                <w:b/>
                <w:lang w:val="en-GB"/>
              </w:rPr>
              <w:t>To learn the cognitive gesture and support facilities applicable to food and beverage services</w:t>
            </w:r>
          </w:p>
        </w:tc>
        <w:tc>
          <w:tcPr>
            <w:tcW w:w="205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 xml:space="preserve">I want to participate in different kinds of behavioural enhancement processes. I want to understand the importance of chivalry and communication practices applicable in the hospitality industry. </w:t>
            </w:r>
          </w:p>
        </w:tc>
        <w:tc>
          <w:tcPr>
            <w:tcW w:w="19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 xml:space="preserve">I would like to attend a seminar about how to communicate and address customers in hospitality services. </w:t>
            </w:r>
          </w:p>
        </w:tc>
        <w:tc>
          <w:tcPr>
            <w:tcW w:w="208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 xml:space="preserve">The success criteria in this aspect is the inheritance of knowledge regarding basic gestures and administrating superior service standards as per the organisational requirements. </w:t>
            </w:r>
          </w:p>
        </w:tc>
        <w:tc>
          <w:tcPr>
            <w:tcW w:w="109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2 week</w:t>
            </w:r>
          </w:p>
        </w:tc>
      </w:tr>
    </w:tbl>
    <w:p>
      <w:pPr>
        <w:rPr>
          <w:b/>
          <w:lang w:val="en-GB"/>
        </w:rPr>
      </w:pPr>
    </w:p>
    <w:p>
      <w:pPr>
        <w:rPr>
          <w:b/>
          <w:i/>
          <w:lang w:val="en-GB"/>
        </w:rPr>
      </w:pPr>
      <w:r>
        <w:rPr>
          <w:b/>
          <w:i/>
          <w:lang w:val="en-GB"/>
        </w:rPr>
        <w:t xml:space="preserve">Analysis </w:t>
      </w:r>
    </w:p>
    <w:p>
      <w:pPr>
        <w:rPr>
          <w:lang w:val="en-GB"/>
        </w:rPr>
      </w:pPr>
      <w:r>
        <w:rPr>
          <w:lang w:val="en-GB"/>
        </w:rPr>
        <w:t xml:space="preserve">The provided training plan according to my reflection in the previous component delivers the assessment that I have made regarding the feasible activities that can enhance my performance. As per the views of Cottrell, (2021), personal development is the part of training and development that one undergoes that usable on previous experiences. The first suitable objective that I formulated was to develop my linguistic capabilities, which specifically had the intention to be fluent in at least three languages. Linguistic skills are a very important aspect of the hospitality industry, as the majority of high-profile jobs require interaction with different people from different nationalities (Tursunovich, 2022, p.170). The second objective was to develop convincing skills like adaptability and problem solving which is a basic requirement in a dynamic job profile like a restaurant manager. The third and final objective was to develop gestures and body language, which can immensely contribute to my approach of communication and delivery as a server in the restaurant. The standard of politeness and cultural admiration often becomes the key evaluator of reputation in the hospitality industry (Dale-Olsen and Finseraas, 2020). I believe that both the last objectives provide a fair share of my personal development as a continuous procedure of career development in this sector. I think the association with my manager and senior management would be very effective in order to promote myself through the ranks as well as develop my core professional knowledge as part of the training and development processes. The resources I have considered are easily accessible and effective to learn as well as experience at the same time during this period. I believe the provided action plan can enhance my quality as an employee in the food and beverage department of Hyatt. </w:t>
      </w:r>
    </w:p>
    <w:p>
      <w:pPr>
        <w:rPr>
          <w:lang w:val="en-GB"/>
        </w:rPr>
      </w:pPr>
    </w:p>
    <w:p>
      <w:pPr>
        <w:rPr>
          <w:lang w:val="en-GB"/>
        </w:rPr>
      </w:pPr>
    </w:p>
    <w:p>
      <w:pPr>
        <w:rPr>
          <w:lang w:val="en-GB"/>
        </w:rPr>
      </w:pPr>
    </w:p>
    <w:p>
      <w:pPr>
        <w:pStyle w:val="2"/>
        <w:rPr>
          <w:lang w:val="en-GB"/>
        </w:rPr>
      </w:pPr>
      <w:bookmarkStart w:id="6" w:name="_uv8y1pjlcku6" w:colFirst="0" w:colLast="0"/>
      <w:bookmarkEnd w:id="6"/>
      <w:bookmarkStart w:id="7" w:name="_Toc165478236"/>
      <w:r>
        <w:rPr>
          <w:lang w:val="en-GB"/>
        </w:rPr>
        <w:t>Component 3 - Student self-reflection</w:t>
      </w:r>
      <w:bookmarkEnd w:id="7"/>
    </w:p>
    <w:p>
      <w:pPr>
        <w:rPr>
          <w:b/>
          <w:i/>
          <w:lang w:val="en-GB"/>
        </w:rPr>
      </w:pPr>
      <w:r>
        <w:rPr>
          <w:b/>
          <w:i/>
          <w:lang w:val="en-GB"/>
        </w:rPr>
        <w:t>Kolb’s reflective cycle</w:t>
      </w:r>
    </w:p>
    <w:p>
      <w:pPr>
        <w:rPr>
          <w:lang w:val="en-GB"/>
        </w:rPr>
      </w:pPr>
      <w:r>
        <w:rPr>
          <w:lang w:val="en-GB"/>
        </w:rPr>
        <w:t xml:space="preserve">As per the opinion of Wijnen-Meijer </w:t>
      </w:r>
      <w:r>
        <w:rPr>
          <w:i/>
          <w:lang w:val="en-GB"/>
        </w:rPr>
        <w:t xml:space="preserve">et al., </w:t>
      </w:r>
      <w:r>
        <w:rPr>
          <w:lang w:val="en-GB"/>
        </w:rPr>
        <w:t xml:space="preserve">(2022), Kolb’s reflective cycle is a four-dimensional reflective practice framework that enables an individual learner to assess a particular situation and procreate an effective process for self-development. The four stages of Kolb’s reflective cycle include concrete experience, reflective observation, abstract conceptualisation, and active experimentation.  </w:t>
      </w:r>
    </w:p>
    <w:p>
      <w:pPr>
        <w:rPr>
          <w:b/>
          <w:lang w:val="en-GB"/>
        </w:rPr>
      </w:pPr>
      <w:r>
        <w:rPr>
          <w:b/>
          <w:lang w:val="en-GB"/>
        </w:rPr>
        <w:t>Understanding of the importance of cultural awareness within the hospitality industry</w:t>
      </w:r>
    </w:p>
    <w:p>
      <w:pPr>
        <w:rPr>
          <w:b/>
          <w:i/>
          <w:lang w:val="en-GB"/>
        </w:rPr>
      </w:pPr>
      <w:r>
        <w:rPr>
          <w:b/>
          <w:i/>
          <w:lang w:val="en-GB"/>
        </w:rPr>
        <w:t>Concrete experience</w:t>
      </w:r>
    </w:p>
    <w:p>
      <w:pPr>
        <w:rPr>
          <w:lang w:val="en-GB"/>
        </w:rPr>
      </w:pPr>
      <w:r>
        <w:rPr>
          <w:lang w:val="en-GB"/>
        </w:rPr>
        <w:t xml:space="preserve">As opined by Koc, (2020), cultural awareness is the evidential source of knowledge regarding the preferences and perceptions of a community. In my experience, cultural awareness has always provided me with a sense of acceptance and understanding regarding the approaches to be considered in the case of intercultural interaction. My level four placement has been an effective resource for experiencing the application of cultural awareness by most of my seniors in a hospitality environment. I have found that there are some limitations regarding my cultural awareness, which I have to mitigate in order to facilitate myself with more opportunities in the field. In my experience, I believe that cultural awareness enriches the approach of catering for customers from different cultural backgrounds in an international setting. </w:t>
      </w:r>
    </w:p>
    <w:p>
      <w:pPr>
        <w:rPr>
          <w:b/>
          <w:i/>
          <w:lang w:val="en-GB"/>
        </w:rPr>
      </w:pPr>
      <w:r>
        <w:rPr>
          <w:b/>
          <w:i/>
          <w:lang w:val="en-GB"/>
        </w:rPr>
        <w:t>Reflective observation</w:t>
      </w:r>
    </w:p>
    <w:p>
      <w:pPr>
        <w:rPr>
          <w:lang w:val="en-GB"/>
        </w:rPr>
      </w:pPr>
      <w:r>
        <w:rPr>
          <w:lang w:val="en-GB"/>
        </w:rPr>
        <w:t>The modes of cultural awareness have evolved through the globalisation of business in the hospitality industry (Koc, 2021, p.176). As per my philosophy and understanding, cultural awareness holds a major role in the services and prosperity of the hospitality industry. The performance I had and witnessed during the placement differentiated the approaches from theoretical perspectives. On-field experience in the hospitality sector is necessary in order to gain knowledge about the different approaches eligible to maintain an international hotel environment. I believe that there are certain decorum to maintain as a general routine in terms of customer service. However, this experience has highlighted the importance of cultivating knowledge about different cultures, their relationship framework, and social policies. I believe that cultural awareness is a common skill that any individual must acquire in order to develop a career in the hospitality industry.</w:t>
      </w:r>
    </w:p>
    <w:p>
      <w:pPr>
        <w:rPr>
          <w:b/>
          <w:lang w:val="en-GB"/>
        </w:rPr>
      </w:pPr>
      <w:r>
        <w:rPr>
          <w:b/>
          <w:i/>
          <w:lang w:val="en-GB"/>
        </w:rPr>
        <w:t>Abstract conceptualisation</w:t>
      </w:r>
    </w:p>
    <w:p>
      <w:pPr>
        <w:rPr>
          <w:lang w:val="en-GB"/>
        </w:rPr>
      </w:pPr>
      <w:r>
        <w:rPr>
          <w:lang w:val="en-GB"/>
        </w:rPr>
        <w:t xml:space="preserve">The benefits of cultural awareness are significant, as I have understood through the experience of working in the food and beverage department of Hyatt. I feel that it allowed me to develop significant gestures and body language to promote a basic standard of relationship with the customers. Different additional tools like language proficiency, problem solving, and multitasking always help in this aspect. The development process in cultural awareness requires me to understand theoretical knowledge about different cultures and enhance my communication skills in order to handle my professional progress successfully. </w:t>
      </w:r>
    </w:p>
    <w:p>
      <w:pPr>
        <w:rPr>
          <w:b/>
          <w:i/>
          <w:lang w:val="en-GB"/>
        </w:rPr>
      </w:pPr>
      <w:r>
        <w:rPr>
          <w:b/>
          <w:i/>
          <w:lang w:val="en-GB"/>
        </w:rPr>
        <w:t>Active Experimentation</w:t>
      </w:r>
    </w:p>
    <w:p>
      <w:pPr>
        <w:rPr>
          <w:lang w:val="en-GB"/>
        </w:rPr>
      </w:pPr>
      <w:r>
        <w:rPr>
          <w:lang w:val="en-GB"/>
        </w:rPr>
        <w:t xml:space="preserve">I would like to go through different literature and audio-video-based learning modules in order to develop my theoretical knowledge of different cultures. This would help me to increase my fundamental knowledge and act according to requirements in a multicultural dimension. I want to enhance my communication skills with a specific focus on learning new languages like French, Spanish, and Japanese. It would help me to work through diversification and manage different people from different cultures in the hospitality industry. </w:t>
      </w:r>
    </w:p>
    <w:p>
      <w:pPr>
        <w:rPr>
          <w:b/>
          <w:lang w:val="en-GB"/>
        </w:rPr>
      </w:pPr>
    </w:p>
    <w:p>
      <w:pPr>
        <w:pStyle w:val="2"/>
        <w:rPr>
          <w:lang w:val="en-GB"/>
        </w:rPr>
      </w:pPr>
      <w:bookmarkStart w:id="8" w:name="_xkg7hqheblqs" w:colFirst="0" w:colLast="0"/>
      <w:bookmarkEnd w:id="8"/>
      <w:bookmarkStart w:id="9" w:name="_Toc165478237"/>
      <w:r>
        <w:rPr>
          <w:lang w:val="en-GB"/>
        </w:rPr>
        <w:t>Component 4 - Training presentation</w:t>
      </w:r>
      <w:bookmarkEnd w:id="9"/>
    </w:p>
    <w:p>
      <w:pPr>
        <w:rPr>
          <w:b/>
          <w:lang w:val="en-GB"/>
        </w:rPr>
      </w:pPr>
      <w:r>
        <w:rPr>
          <w:b/>
          <w:lang w:val="en-GB"/>
        </w:rPr>
        <w:t>Slide 1:</w:t>
      </w:r>
    </w:p>
    <w:p>
      <w:pPr>
        <w:jc w:val="center"/>
        <w:rPr>
          <w:lang w:val="en-GB"/>
        </w:rPr>
      </w:pPr>
      <w:r>
        <w:rPr>
          <w:lang w:val="en-US" w:eastAsia="en-US"/>
        </w:rPr>
        <w:drawing>
          <wp:inline distT="0" distB="0" distL="0" distR="0">
            <wp:extent cx="4572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4572638" cy="3429479"/>
                    </a:xfrm>
                    <a:prstGeom prst="rect">
                      <a:avLst/>
                    </a:prstGeom>
                  </pic:spPr>
                </pic:pic>
              </a:graphicData>
            </a:graphic>
          </wp:inline>
        </w:drawing>
      </w:r>
    </w:p>
    <w:p>
      <w:pPr>
        <w:rPr>
          <w:b/>
          <w:lang w:val="en-GB"/>
        </w:rPr>
      </w:pPr>
      <w:r>
        <w:rPr>
          <w:b/>
          <w:lang w:val="en-GB"/>
        </w:rPr>
        <w:t>Slide 2: Introduction</w:t>
      </w:r>
    </w:p>
    <w:p>
      <w:pPr>
        <w:jc w:val="center"/>
        <w:rPr>
          <w:b/>
          <w:lang w:val="en-GB"/>
        </w:rPr>
      </w:pPr>
      <w:r>
        <w:rPr>
          <w:b/>
          <w:lang w:val="en-US" w:eastAsia="en-US"/>
        </w:rPr>
        <w:drawing>
          <wp:inline distT="0" distB="0" distL="0" distR="0">
            <wp:extent cx="4572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stretch>
                      <a:fillRect/>
                    </a:stretch>
                  </pic:blipFill>
                  <pic:spPr>
                    <a:xfrm>
                      <a:off x="0" y="0"/>
                      <a:ext cx="4572638" cy="3429479"/>
                    </a:xfrm>
                    <a:prstGeom prst="rect">
                      <a:avLst/>
                    </a:prstGeom>
                  </pic:spPr>
                </pic:pic>
              </a:graphicData>
            </a:graphic>
          </wp:inline>
        </w:drawing>
      </w:r>
    </w:p>
    <w:p>
      <w:pPr>
        <w:rPr>
          <w:lang w:val="en-GB"/>
        </w:rPr>
      </w:pPr>
      <w:r>
        <w:rPr>
          <w:lang w:val="en-GB"/>
        </w:rPr>
        <w:t xml:space="preserve">The current presentation provides an illustration of the importance of multilingualism in the hospitality industry. </w:t>
      </w:r>
    </w:p>
    <w:p>
      <w:pPr>
        <w:rPr>
          <w:lang w:val="en-GB"/>
        </w:rPr>
      </w:pPr>
      <w:r>
        <w:rPr>
          <w:lang w:val="en-GB"/>
        </w:rPr>
        <w:t xml:space="preserve">The scenario in this presentation is for the staff of Hyatt Hotel and underlines the impact of the Spanish language and its importance in the hospitality industry. </w:t>
      </w:r>
    </w:p>
    <w:p>
      <w:pPr>
        <w:rPr>
          <w:b/>
          <w:i/>
          <w:lang w:val="en-GB"/>
        </w:rPr>
      </w:pPr>
      <w:r>
        <w:rPr>
          <w:b/>
          <w:i/>
          <w:lang w:val="en-GB"/>
        </w:rPr>
        <w:t>Speaker Notes</w:t>
      </w:r>
    </w:p>
    <w:p>
      <w:pPr>
        <w:rPr>
          <w:b/>
          <w:i/>
          <w:lang w:val="en-GB"/>
        </w:rPr>
      </w:pPr>
      <w:r>
        <w:rPr>
          <w:lang w:val="en-GB"/>
        </w:rPr>
        <w:t xml:space="preserve">The presentation focuses on the acceptability and utility of the modern European language as a part of the cross-cultural management that Hyatt Hotel often considers to be a normal responsibility. </w:t>
      </w:r>
    </w:p>
    <w:p>
      <w:pPr>
        <w:rPr>
          <w:b/>
          <w:lang w:val="en-GB"/>
        </w:rPr>
      </w:pPr>
      <w:r>
        <w:rPr>
          <w:b/>
          <w:lang w:val="en-GB"/>
        </w:rPr>
        <w:t>Slide 3: Benefits of multilingualism and the importance of language awareness skills for hotel staff</w:t>
      </w:r>
    </w:p>
    <w:p>
      <w:pPr>
        <w:jc w:val="center"/>
        <w:rPr>
          <w:b/>
          <w:lang w:val="en-GB"/>
        </w:rPr>
      </w:pPr>
      <w:r>
        <w:rPr>
          <w:b/>
          <w:lang w:val="en-US" w:eastAsia="en-US"/>
        </w:rPr>
        <w:drawing>
          <wp:inline distT="0" distB="0" distL="0" distR="0">
            <wp:extent cx="4572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a:stretch>
                      <a:fillRect/>
                    </a:stretch>
                  </pic:blipFill>
                  <pic:spPr>
                    <a:xfrm>
                      <a:off x="0" y="0"/>
                      <a:ext cx="4572638" cy="3429479"/>
                    </a:xfrm>
                    <a:prstGeom prst="rect">
                      <a:avLst/>
                    </a:prstGeom>
                  </pic:spPr>
                </pic:pic>
              </a:graphicData>
            </a:graphic>
          </wp:inline>
        </w:drawing>
      </w:r>
    </w:p>
    <w:p>
      <w:pPr>
        <w:rPr>
          <w:lang w:val="en-GB"/>
        </w:rPr>
      </w:pPr>
      <w:r>
        <w:rPr>
          <w:lang w:val="en-GB"/>
        </w:rPr>
        <w:t xml:space="preserve">As per the views Berthele, (2021, p.81), multilingualism is proficiency in multiple languages that allows a person to efficiently in communicate in any sector. </w:t>
      </w:r>
    </w:p>
    <w:p>
      <w:pPr>
        <w:rPr>
          <w:lang w:val="en-GB"/>
        </w:rPr>
      </w:pPr>
      <w:r>
        <w:rPr>
          <w:lang w:val="en-GB"/>
        </w:rPr>
        <w:t xml:space="preserve">The prospect of developing proficiency in the field of hospitality is an essential aspect that can provide a suitable boost for individuals in the industry (Lo Bianco and Aronin, 2020). </w:t>
      </w:r>
    </w:p>
    <w:p>
      <w:pPr>
        <w:rPr>
          <w:b/>
          <w:i/>
          <w:lang w:val="en-GB"/>
        </w:rPr>
      </w:pPr>
      <w:r>
        <w:rPr>
          <w:b/>
          <w:i/>
          <w:lang w:val="en-GB"/>
        </w:rPr>
        <w:t>Speaker Notes</w:t>
      </w:r>
    </w:p>
    <w:p>
      <w:pPr>
        <w:rPr>
          <w:lang w:val="en-GB"/>
        </w:rPr>
      </w:pPr>
      <w:r>
        <w:rPr>
          <w:lang w:val="en-GB"/>
        </w:rPr>
        <w:t xml:space="preserve">The first benefit of developing multilingual aspiration is </w:t>
      </w:r>
      <w:r>
        <w:rPr>
          <w:i/>
          <w:lang w:val="en-GB"/>
        </w:rPr>
        <w:t>flexibility</w:t>
      </w:r>
      <w:r>
        <w:rPr>
          <w:lang w:val="en-GB"/>
        </w:rPr>
        <w:t xml:space="preserve">. The sense of flexibility is virtually the key to being multifunctional in the field of hospitality (Steurs, 2020, p.39). The proficiency of different languages at the same time ensures that a hotel staff has the ability to converse and develop relationships with different customers of different cultures. Language proficiency is also beneficial in enhancing the </w:t>
      </w:r>
      <w:r>
        <w:rPr>
          <w:i/>
          <w:lang w:val="en-GB"/>
        </w:rPr>
        <w:t xml:space="preserve">communication </w:t>
      </w:r>
      <w:r>
        <w:rPr>
          <w:lang w:val="en-GB"/>
        </w:rPr>
        <w:t xml:space="preserve">process of the hotel staff. It delivers a suitable degree of affirmation that influences their confidence to face diverse people in the hotel industry. Knowledge of multiple languages can also increase cultural sensitivity, which is essential for developing key skills in multicultural dimensions. It can enhance the services and personal resources of the hotel staff which is essential in terms of personal growth and development within the organization. </w:t>
      </w:r>
    </w:p>
    <w:p>
      <w:pPr>
        <w:rPr>
          <w:b/>
          <w:lang w:val="en-GB"/>
        </w:rPr>
      </w:pPr>
      <w:r>
        <w:rPr>
          <w:b/>
          <w:lang w:val="en-GB"/>
        </w:rPr>
        <w:t>Slide 4: Modern European Language (Spanish)</w:t>
      </w:r>
    </w:p>
    <w:p>
      <w:pPr>
        <w:jc w:val="center"/>
        <w:rPr>
          <w:b/>
          <w:lang w:val="en-GB"/>
        </w:rPr>
      </w:pPr>
      <w:r>
        <w:rPr>
          <w:b/>
          <w:lang w:val="en-US" w:eastAsia="en-US"/>
        </w:rPr>
        <w:drawing>
          <wp:inline distT="0" distB="0" distL="0" distR="0">
            <wp:extent cx="4572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0"/>
                    <a:stretch>
                      <a:fillRect/>
                    </a:stretch>
                  </pic:blipFill>
                  <pic:spPr>
                    <a:xfrm>
                      <a:off x="0" y="0"/>
                      <a:ext cx="4572638" cy="3429479"/>
                    </a:xfrm>
                    <a:prstGeom prst="rect">
                      <a:avLst/>
                    </a:prstGeom>
                  </pic:spPr>
                </pic:pic>
              </a:graphicData>
            </a:graphic>
          </wp:inline>
        </w:drawing>
      </w:r>
    </w:p>
    <w:p>
      <w:pPr>
        <w:rPr>
          <w:lang w:val="en-GB"/>
        </w:rPr>
      </w:pPr>
      <w:r>
        <w:rPr>
          <w:lang w:val="en-GB"/>
        </w:rPr>
        <w:t xml:space="preserve">Spanish is one of the most influential and popular European languages spoken throughout the world. </w:t>
      </w:r>
    </w:p>
    <w:p>
      <w:pPr>
        <w:rPr>
          <w:b/>
          <w:i/>
          <w:lang w:val="en-GB"/>
        </w:rPr>
      </w:pPr>
      <w:r>
        <w:rPr>
          <w:b/>
          <w:i/>
          <w:lang w:val="en-GB"/>
        </w:rPr>
        <w:t>Speaker Notes</w:t>
      </w:r>
    </w:p>
    <w:p>
      <w:pPr>
        <w:rPr>
          <w:lang w:val="en-GB"/>
        </w:rPr>
      </w:pPr>
      <w:r>
        <w:rPr>
          <w:lang w:val="en-GB"/>
        </w:rPr>
        <w:t xml:space="preserve">The linguistic feature of Spanish is largely associated with its popularity and acceptance in the greater part of America and European countries. Spanish is considered to be a polite and standard variation of communication tools in terms of the business field. In terms of acceptance, the current UK has 206 thousand Spanish nationals as permanent residents with an increment of 141 thousand Spanish internationals in the last two years (statista, 2021). Spanish is a well-organized language with significant popularity among the British people. Therefore, if the staff of Hyatt can learn the Spanish language their language proficiency would increase simultaneously with their confidence and flexibility. </w:t>
      </w:r>
    </w:p>
    <w:p>
      <w:pPr>
        <w:rPr>
          <w:b/>
          <w:lang w:val="en-GB"/>
        </w:rPr>
      </w:pPr>
      <w:r>
        <w:rPr>
          <w:b/>
          <w:lang w:val="en-GB"/>
        </w:rPr>
        <w:t>Slide 5: Modern European Language (Spanish)</w:t>
      </w:r>
    </w:p>
    <w:p>
      <w:pPr>
        <w:jc w:val="center"/>
        <w:rPr>
          <w:b/>
          <w:lang w:val="en-GB"/>
        </w:rPr>
      </w:pPr>
      <w:r>
        <w:rPr>
          <w:b/>
          <w:lang w:val="en-US" w:eastAsia="en-US"/>
        </w:rPr>
        <w:drawing>
          <wp:inline distT="0" distB="0" distL="0" distR="0">
            <wp:extent cx="4572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1"/>
                    <a:stretch>
                      <a:fillRect/>
                    </a:stretch>
                  </pic:blipFill>
                  <pic:spPr>
                    <a:xfrm>
                      <a:off x="0" y="0"/>
                      <a:ext cx="4572638" cy="3429479"/>
                    </a:xfrm>
                    <a:prstGeom prst="rect">
                      <a:avLst/>
                    </a:prstGeom>
                  </pic:spPr>
                </pic:pic>
              </a:graphicData>
            </a:graphic>
          </wp:inline>
        </w:drawing>
      </w:r>
    </w:p>
    <w:p>
      <w:pPr>
        <w:rPr>
          <w:lang w:val="en-GB"/>
        </w:rPr>
      </w:pPr>
      <w:r>
        <w:rPr>
          <w:lang w:val="en-GB"/>
        </w:rPr>
        <w:t xml:space="preserve">Spanish is considered one of the 24 official languages in the European Union (spanish-presidency.consilium.europa.eu, 2023). </w:t>
      </w:r>
    </w:p>
    <w:p>
      <w:pPr>
        <w:rPr>
          <w:b/>
          <w:i/>
          <w:lang w:val="en-GB"/>
        </w:rPr>
      </w:pPr>
      <w:r>
        <w:rPr>
          <w:b/>
          <w:i/>
          <w:lang w:val="en-GB"/>
        </w:rPr>
        <w:t>Speaker Notes</w:t>
      </w:r>
    </w:p>
    <w:p>
      <w:pPr>
        <w:rPr>
          <w:lang w:val="en-GB"/>
        </w:rPr>
      </w:pPr>
      <w:r>
        <w:rPr>
          <w:lang w:val="en-GB"/>
        </w:rPr>
        <w:t xml:space="preserve">Spanish is a well-organized language with significant popularity among the British people. Therefore, if the staff of Hyatt can learn the Spanish language their language proficiency would increase simultaneously with their confidence and flexibility. </w:t>
      </w:r>
    </w:p>
    <w:p>
      <w:pPr>
        <w:rPr>
          <w:lang w:val="en-GB"/>
        </w:rPr>
      </w:pPr>
    </w:p>
    <w:p>
      <w:pPr>
        <w:rPr>
          <w:b/>
          <w:lang w:val="en-GB"/>
        </w:rPr>
      </w:pPr>
      <w:r>
        <w:rPr>
          <w:b/>
          <w:lang w:val="en-GB"/>
        </w:rPr>
        <w:t>Slide 6: Conclusion</w:t>
      </w:r>
    </w:p>
    <w:p>
      <w:pPr>
        <w:jc w:val="center"/>
        <w:rPr>
          <w:b/>
          <w:lang w:val="en-GB"/>
        </w:rPr>
      </w:pPr>
      <w:r>
        <w:rPr>
          <w:b/>
          <w:lang w:val="en-US" w:eastAsia="en-US"/>
        </w:rPr>
        <w:drawing>
          <wp:inline distT="0" distB="0" distL="0" distR="0">
            <wp:extent cx="4572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2"/>
                    <a:stretch>
                      <a:fillRect/>
                    </a:stretch>
                  </pic:blipFill>
                  <pic:spPr>
                    <a:xfrm>
                      <a:off x="0" y="0"/>
                      <a:ext cx="4572638" cy="3429479"/>
                    </a:xfrm>
                    <a:prstGeom prst="rect">
                      <a:avLst/>
                    </a:prstGeom>
                  </pic:spPr>
                </pic:pic>
              </a:graphicData>
            </a:graphic>
          </wp:inline>
        </w:drawing>
      </w:r>
    </w:p>
    <w:p>
      <w:pPr>
        <w:rPr>
          <w:lang w:val="en-GB"/>
        </w:rPr>
      </w:pPr>
      <w:r>
        <w:rPr>
          <w:lang w:val="en-GB"/>
        </w:rPr>
        <w:t>The presentation highlights the key aspects of multilingualism with its features as per the requirements of hospitality management.</w:t>
      </w:r>
    </w:p>
    <w:p>
      <w:pPr>
        <w:rPr>
          <w:lang w:val="en-GB"/>
        </w:rPr>
      </w:pPr>
      <w:r>
        <w:rPr>
          <w:lang w:val="en-GB"/>
        </w:rPr>
        <w:t>It finds the relevance of the Spanish language within the UK region as a proficiency skill for the staff of Hyatt.</w:t>
      </w:r>
    </w:p>
    <w:p>
      <w:pPr>
        <w:rPr>
          <w:i/>
          <w:lang w:val="en-GB"/>
        </w:rPr>
      </w:pPr>
      <w:r>
        <w:rPr>
          <w:i/>
          <w:lang w:val="en-GB"/>
        </w:rPr>
        <w:t>Speaker Notes</w:t>
      </w:r>
    </w:p>
    <w:p>
      <w:pPr>
        <w:rPr>
          <w:lang w:val="en-GB"/>
        </w:rPr>
      </w:pPr>
      <w:r>
        <w:rPr>
          <w:lang w:val="en-GB"/>
        </w:rPr>
        <w:t xml:space="preserve">The application of multilingualism is an essential aspect of developing an enhanced environment for Hyatt to welcome customers from different countries and cultures. Considering the acceptance and regionalist of Spanish-speaking people in the UK, it can be a vital resource for staff development and motivation characteristics for the organisation. </w:t>
      </w:r>
    </w:p>
    <w:p>
      <w:pPr>
        <w:rPr>
          <w:b/>
          <w:lang w:val="en-GB"/>
        </w:rPr>
      </w:pPr>
    </w:p>
    <w:p>
      <w:pPr>
        <w:rPr>
          <w:b/>
          <w:lang w:val="en-GB"/>
        </w:rPr>
      </w:pPr>
      <w:r>
        <w:rPr>
          <w:b/>
          <w:lang w:val="en-GB"/>
        </w:rPr>
        <w:br w:type="page"/>
      </w:r>
    </w:p>
    <w:p>
      <w:pPr>
        <w:rPr>
          <w:b/>
          <w:lang w:val="en-GB"/>
        </w:rPr>
      </w:pPr>
      <w:r>
        <w:rPr>
          <w:b/>
          <w:lang w:val="en-GB"/>
        </w:rPr>
        <w:t>Slide 7: References</w:t>
      </w:r>
    </w:p>
    <w:p>
      <w:pPr>
        <w:jc w:val="center"/>
        <w:rPr>
          <w:b/>
          <w:lang w:val="en-GB"/>
        </w:rPr>
      </w:pPr>
      <w:r>
        <w:rPr>
          <w:b/>
          <w:lang w:val="en-US" w:eastAsia="en-US"/>
        </w:rPr>
        <w:drawing>
          <wp:inline distT="0" distB="0" distL="0" distR="0">
            <wp:extent cx="4572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3"/>
                    <a:stretch>
                      <a:fillRect/>
                    </a:stretch>
                  </pic:blipFill>
                  <pic:spPr>
                    <a:xfrm>
                      <a:off x="0" y="0"/>
                      <a:ext cx="4572638" cy="3429479"/>
                    </a:xfrm>
                    <a:prstGeom prst="rect">
                      <a:avLst/>
                    </a:prstGeom>
                  </pic:spPr>
                </pic:pic>
              </a:graphicData>
            </a:graphic>
          </wp:inline>
        </w:drawing>
      </w:r>
    </w:p>
    <w:p>
      <w:pPr>
        <w:pStyle w:val="16"/>
        <w:spacing w:line="360" w:lineRule="auto"/>
        <w:jc w:val="both"/>
        <w:rPr>
          <w:color w:val="1155CC"/>
          <w:u w:val="single"/>
          <w:lang w:val="en-GB"/>
        </w:rPr>
      </w:pPr>
      <w:r>
        <w:rPr>
          <w:color w:val="000000"/>
        </w:rPr>
        <w:t>‌</w:t>
      </w:r>
      <w:r>
        <w:rPr>
          <w:lang w:val="en-GB"/>
        </w:rPr>
        <w:t xml:space="preserve">Berthele, R., 2021. The extraordinary ordinary: Reengineering multilingualism as a natural category. </w:t>
      </w:r>
      <w:r>
        <w:rPr>
          <w:i/>
          <w:lang w:val="en-GB"/>
        </w:rPr>
        <w:t>Language Learning</w:t>
      </w:r>
      <w:r>
        <w:rPr>
          <w:lang w:val="en-GB"/>
        </w:rPr>
        <w:t xml:space="preserve">, </w:t>
      </w:r>
      <w:r>
        <w:rPr>
          <w:i/>
          <w:lang w:val="en-GB"/>
        </w:rPr>
        <w:t>71</w:t>
      </w:r>
      <w:r>
        <w:rPr>
          <w:lang w:val="en-GB"/>
        </w:rPr>
        <w:t>(S1), pp.80-120.</w:t>
      </w:r>
      <w:r>
        <w:fldChar w:fldCharType="begin"/>
      </w:r>
      <w:r>
        <w:instrText xml:space="preserve"> HYPERLINK "https://onlinelibrary.wiley.com/doi/abs/10.1111/lang.12407" \h </w:instrText>
      </w:r>
      <w:r>
        <w:fldChar w:fldCharType="separate"/>
      </w:r>
      <w:r>
        <w:fldChar w:fldCharType="end"/>
      </w:r>
      <w:r>
        <w:fldChar w:fldCharType="begin"/>
      </w:r>
      <w:r>
        <w:instrText xml:space="preserve"> HYPERLINK "https://onlinelibrary.wiley.com/doi/abs/10.1111/lang.12407" \h </w:instrText>
      </w:r>
      <w:r>
        <w:fldChar w:fldCharType="separate"/>
      </w:r>
      <w:r>
        <w:rPr>
          <w:color w:val="1155CC"/>
          <w:u w:val="single"/>
          <w:lang w:val="en-GB"/>
        </w:rPr>
        <w:t>https://onlinelibrary.wiley.com/doi/abs/10.1111/lang.12407</w:t>
      </w:r>
      <w:r>
        <w:rPr>
          <w:color w:val="1155CC"/>
          <w:u w:val="single"/>
          <w:lang w:val="en-GB"/>
        </w:rPr>
        <w:fldChar w:fldCharType="end"/>
      </w:r>
    </w:p>
    <w:p>
      <w:pPr>
        <w:pStyle w:val="16"/>
        <w:spacing w:before="0" w:beforeAutospacing="0" w:after="240" w:afterAutospacing="0" w:line="360" w:lineRule="atLeast"/>
        <w:rPr>
          <w:color w:val="000000"/>
        </w:rPr>
      </w:pPr>
      <w:r>
        <w:rPr>
          <w:color w:val="000000"/>
        </w:rPr>
        <w:t>Hyatt.com. 2024. </w:t>
      </w:r>
      <w:r>
        <w:rPr>
          <w:i/>
          <w:iCs/>
          <w:color w:val="000000"/>
        </w:rPr>
        <w:t>Hyatt Hotels Corporation</w:t>
      </w:r>
      <w:r>
        <w:rPr>
          <w:color w:val="000000"/>
        </w:rPr>
        <w:t>. [online] Available at: https://www.hyatt.com/ [Accessed 1 May 2024].</w:t>
      </w:r>
    </w:p>
    <w:p>
      <w:pPr>
        <w:spacing w:before="240" w:after="240"/>
        <w:rPr>
          <w:lang w:val="en-GB"/>
        </w:rPr>
      </w:pPr>
      <w:r>
        <w:rPr>
          <w:lang w:val="en-GB"/>
        </w:rPr>
        <w:t xml:space="preserve">Lo Bianco, J. and Aronin, L., 2020. </w:t>
      </w:r>
      <w:r>
        <w:rPr>
          <w:i/>
          <w:lang w:val="en-GB"/>
        </w:rPr>
        <w:t>Introduction: The dominant language constellations: A new perspective on multilingualism</w:t>
      </w:r>
      <w:r>
        <w:rPr>
          <w:lang w:val="en-GB"/>
        </w:rPr>
        <w:t>. Springer International Publishing.</w:t>
      </w:r>
    </w:p>
    <w:p>
      <w:pPr>
        <w:spacing w:before="240" w:after="240"/>
        <w:rPr>
          <w:lang w:val="en-GB"/>
        </w:rPr>
      </w:pPr>
      <w:r>
        <w:rPr>
          <w:lang w:val="en-GB"/>
        </w:rPr>
        <w:t>Spanish, one of 24 official languages in an EU that promotes multilingualism. 2023. Spanish, one of 24 official languages in an EU that promotes multilingualism. [online] Available at: https://spanish-presidency.consilium.europa.eu/en/news/spanish-official-languages-eu-multilingualism/#:~:text=EU%20languages,%2C%20Slovenian%2C%20Spanish%20and%20Swedish. [Accessed 1 May 2024].</w:t>
      </w:r>
    </w:p>
    <w:p>
      <w:pPr>
        <w:spacing w:before="240" w:after="240"/>
        <w:rPr>
          <w:lang w:val="en-GB"/>
        </w:rPr>
      </w:pPr>
      <w:r>
        <w:rPr>
          <w:lang w:val="en-GB"/>
        </w:rPr>
        <w:t>Statista. 2021. Spanish nationals population UK 2021 | Statista. [online] Available at: https://www.statista.com/statistics/944880/spanish-population-in-united-kingdom/ [Accessed 1 May 2024].</w:t>
      </w:r>
    </w:p>
    <w:p>
      <w:pPr>
        <w:pStyle w:val="16"/>
        <w:spacing w:before="0" w:beforeAutospacing="0" w:after="240" w:afterAutospacing="0" w:line="360" w:lineRule="atLeast"/>
        <w:rPr>
          <w:color w:val="000000"/>
        </w:rPr>
      </w:pPr>
      <w:r>
        <w:rPr>
          <w:color w:val="000000"/>
        </w:rPr>
        <w:t>Statista. 2022. </w:t>
      </w:r>
      <w:r>
        <w:rPr>
          <w:i/>
          <w:iCs/>
          <w:color w:val="000000"/>
        </w:rPr>
        <w:t>Countries with most Spanish speakers 2022 | Statista</w:t>
      </w:r>
      <w:r>
        <w:rPr>
          <w:color w:val="000000"/>
        </w:rPr>
        <w:t>. [online] Available at: https://www.statista.com/statistics/991020/number-native-spanish-speakers-country-worldwide/ [Accessed 1 May 2024].</w:t>
      </w:r>
    </w:p>
    <w:p>
      <w:pPr>
        <w:spacing w:before="240" w:after="240"/>
        <w:rPr>
          <w:color w:val="1155CC"/>
          <w:u w:val="single"/>
          <w:lang w:val="en-GB"/>
        </w:rPr>
      </w:pPr>
      <w:r>
        <w:rPr>
          <w:lang w:val="en-GB"/>
        </w:rPr>
        <w:t xml:space="preserve">Steurs, F., 2020. Language is business. The challenges of a single digital market in a multilingual society. </w:t>
      </w:r>
      <w:r>
        <w:rPr>
          <w:i/>
          <w:lang w:val="en-GB"/>
        </w:rPr>
        <w:t>Language and Economy</w:t>
      </w:r>
      <w:r>
        <w:rPr>
          <w:lang w:val="en-GB"/>
        </w:rPr>
        <w:t>, p.39.</w:t>
      </w:r>
      <w:r>
        <w:fldChar w:fldCharType="begin"/>
      </w:r>
      <w:r>
        <w:instrText xml:space="preserve"> HYPERLINK "https://d-nb.info/1236570901/34" \l "page=39" \h </w:instrText>
      </w:r>
      <w:r>
        <w:fldChar w:fldCharType="separate"/>
      </w:r>
      <w:r>
        <w:fldChar w:fldCharType="end"/>
      </w:r>
      <w:r>
        <w:fldChar w:fldCharType="begin"/>
      </w:r>
      <w:r>
        <w:instrText xml:space="preserve"> HYPERLINK "https://d-nb.info/1236570901/34" \l "page=39" \h </w:instrText>
      </w:r>
      <w:r>
        <w:fldChar w:fldCharType="separate"/>
      </w:r>
      <w:r>
        <w:rPr>
          <w:color w:val="1155CC"/>
          <w:u w:val="single"/>
          <w:lang w:val="en-GB"/>
        </w:rPr>
        <w:t>https://d-nb.info/1236570901/34#page=39</w:t>
      </w:r>
      <w:r>
        <w:rPr>
          <w:color w:val="1155CC"/>
          <w:u w:val="single"/>
          <w:lang w:val="en-GB"/>
        </w:rPr>
        <w:fldChar w:fldCharType="end"/>
      </w:r>
    </w:p>
    <w:p>
      <w:pPr>
        <w:rPr>
          <w:lang w:val="en-GB"/>
        </w:rPr>
      </w:pPr>
    </w:p>
    <w:p>
      <w:pPr>
        <w:rPr>
          <w:b/>
          <w:lang w:val="en-GB"/>
        </w:rPr>
      </w:pPr>
      <w:r>
        <w:rPr>
          <w:lang w:val="en-GB"/>
        </w:rPr>
        <w:br w:type="page"/>
      </w:r>
    </w:p>
    <w:p>
      <w:pPr>
        <w:pStyle w:val="2"/>
        <w:rPr>
          <w:lang w:val="en-GB"/>
        </w:rPr>
      </w:pPr>
      <w:bookmarkStart w:id="10" w:name="_Toc165478238"/>
      <w:r>
        <w:rPr>
          <w:lang w:val="en-GB"/>
        </w:rPr>
        <w:t>Conclusion</w:t>
      </w:r>
      <w:bookmarkEnd w:id="10"/>
    </w:p>
    <w:p>
      <w:pPr>
        <w:rPr>
          <w:lang w:val="en-GB"/>
        </w:rPr>
      </w:pPr>
      <w:r>
        <w:rPr>
          <w:lang w:val="en-GB"/>
        </w:rPr>
        <w:t xml:space="preserve">The four components addressed in this portfolio describe the different virtues and characteristics of cultural awareness and its application in the hospitality industry. They together act as a combined system for knowledge acquisition and techniques associated with the development of professional aspects in the hospitality sector. </w:t>
      </w:r>
    </w:p>
    <w:p>
      <w:pPr>
        <w:rPr>
          <w:b/>
          <w:lang w:val="en-GB"/>
        </w:rPr>
      </w:pPr>
      <w:r>
        <w:rPr>
          <w:lang w:val="en-GB"/>
        </w:rPr>
        <w:br w:type="page"/>
      </w:r>
    </w:p>
    <w:p>
      <w:pPr>
        <w:rPr>
          <w:b/>
          <w:lang w:val="en-GB"/>
        </w:rPr>
      </w:pPr>
      <w:r>
        <w:rPr>
          <w:b/>
          <w:lang w:val="en-GB"/>
        </w:rPr>
        <w:t>References</w:t>
      </w:r>
    </w:p>
    <w:p>
      <w:pPr>
        <w:rPr>
          <w:b/>
          <w:lang w:val="en-GB"/>
        </w:rPr>
      </w:pPr>
      <w:r>
        <w:rPr>
          <w:b/>
          <w:lang w:val="en-GB"/>
        </w:rPr>
        <w:t>Component 1</w:t>
      </w:r>
    </w:p>
    <w:p>
      <w:pPr>
        <w:spacing w:before="240" w:after="240"/>
        <w:rPr>
          <w:color w:val="1155CC"/>
          <w:u w:val="single"/>
          <w:lang w:val="en-GB"/>
        </w:rPr>
      </w:pPr>
      <w:r>
        <w:rPr>
          <w:lang w:val="en-GB"/>
        </w:rPr>
        <w:t xml:space="preserve">Seo, M., Na, J. and Kim, Y.H., 2021. Moral in whose eyes? Cross‐cultural differences in moral decision making and behaviour. </w:t>
      </w:r>
      <w:r>
        <w:rPr>
          <w:i/>
          <w:lang w:val="en-GB"/>
        </w:rPr>
        <w:t>International Journal of Psychology</w:t>
      </w:r>
      <w:r>
        <w:rPr>
          <w:lang w:val="en-GB"/>
        </w:rPr>
        <w:t xml:space="preserve">, </w:t>
      </w:r>
      <w:r>
        <w:rPr>
          <w:i/>
          <w:lang w:val="en-GB"/>
        </w:rPr>
        <w:t>56</w:t>
      </w:r>
      <w:r>
        <w:rPr>
          <w:lang w:val="en-GB"/>
        </w:rPr>
        <w:t>(1), pp.175-182.</w:t>
      </w:r>
      <w:r>
        <w:fldChar w:fldCharType="begin"/>
      </w:r>
      <w:r>
        <w:instrText xml:space="preserve"> HYPERLINK "https://onlinelibrary.wiley.com/doi/abs/10.1002/ijop.12681" \h </w:instrText>
      </w:r>
      <w:r>
        <w:fldChar w:fldCharType="separate"/>
      </w:r>
      <w:r>
        <w:fldChar w:fldCharType="end"/>
      </w:r>
      <w:r>
        <w:fldChar w:fldCharType="begin"/>
      </w:r>
      <w:r>
        <w:instrText xml:space="preserve"> HYPERLINK "https://onlinelibrary.wiley.com/doi/abs/10.1002/ijop.12681" \h </w:instrText>
      </w:r>
      <w:r>
        <w:fldChar w:fldCharType="separate"/>
      </w:r>
      <w:r>
        <w:rPr>
          <w:color w:val="1155CC"/>
          <w:u w:val="single"/>
          <w:lang w:val="en-GB"/>
        </w:rPr>
        <w:t>https://onlinelibrary.wiley.com/doi/abs/10.1002/ijop.12681</w:t>
      </w:r>
      <w:r>
        <w:rPr>
          <w:color w:val="1155CC"/>
          <w:u w:val="single"/>
          <w:lang w:val="en-GB"/>
        </w:rPr>
        <w:fldChar w:fldCharType="end"/>
      </w:r>
    </w:p>
    <w:p>
      <w:pPr>
        <w:spacing w:before="240" w:after="240"/>
        <w:rPr>
          <w:color w:val="1155CC"/>
          <w:u w:val="single"/>
          <w:lang w:val="en-GB"/>
        </w:rPr>
      </w:pPr>
      <w:r>
        <w:rPr>
          <w:lang w:val="en-GB"/>
        </w:rPr>
        <w:t xml:space="preserve">Shavitt, S. and Barnes, A.J., 2020. Culture and the consumer journey. </w:t>
      </w:r>
      <w:r>
        <w:rPr>
          <w:i/>
          <w:lang w:val="en-GB"/>
        </w:rPr>
        <w:t>Journal of retailing</w:t>
      </w:r>
      <w:r>
        <w:rPr>
          <w:lang w:val="en-GB"/>
        </w:rPr>
        <w:t xml:space="preserve">, </w:t>
      </w:r>
      <w:r>
        <w:rPr>
          <w:i/>
          <w:lang w:val="en-GB"/>
        </w:rPr>
        <w:t>96</w:t>
      </w:r>
      <w:r>
        <w:rPr>
          <w:lang w:val="en-GB"/>
        </w:rPr>
        <w:t>(1), pp.40-54.</w:t>
      </w:r>
      <w:r>
        <w:fldChar w:fldCharType="begin"/>
      </w:r>
      <w:r>
        <w:instrText xml:space="preserve"> HYPERLINK "https://www.sciencedirect.com/science/article/pii/S0022435919300867" \h </w:instrText>
      </w:r>
      <w:r>
        <w:fldChar w:fldCharType="separate"/>
      </w:r>
      <w:r>
        <w:fldChar w:fldCharType="end"/>
      </w:r>
      <w:r>
        <w:fldChar w:fldCharType="begin"/>
      </w:r>
      <w:r>
        <w:instrText xml:space="preserve"> HYPERLINK "https://www.sciencedirect.com/science/article/pii/S0022435919300867" \h </w:instrText>
      </w:r>
      <w:r>
        <w:fldChar w:fldCharType="separate"/>
      </w:r>
      <w:r>
        <w:rPr>
          <w:color w:val="1155CC"/>
          <w:u w:val="single"/>
          <w:lang w:val="en-GB"/>
        </w:rPr>
        <w:t>https://www.sciencedirect.com/science/article/pii/S0022435919300867</w:t>
      </w:r>
      <w:r>
        <w:rPr>
          <w:color w:val="1155CC"/>
          <w:u w:val="single"/>
          <w:lang w:val="en-GB"/>
        </w:rPr>
        <w:fldChar w:fldCharType="end"/>
      </w:r>
    </w:p>
    <w:p>
      <w:pPr>
        <w:spacing w:before="240" w:after="240"/>
        <w:rPr>
          <w:color w:val="1155CC"/>
          <w:u w:val="single"/>
          <w:lang w:val="en-GB"/>
        </w:rPr>
      </w:pPr>
      <w:r>
        <w:rPr>
          <w:lang w:val="en-GB"/>
        </w:rPr>
        <w:t xml:space="preserve">Zheng, S., Masuda, T., Matsunaga, M., Noguchi, Y., Ohtsubo, Y., Yamasue, H. and Ishii, K., 2021. Cultural differences in social support seeking: The mediating role of empathic concern. </w:t>
      </w:r>
      <w:r>
        <w:rPr>
          <w:i/>
          <w:lang w:val="en-GB"/>
        </w:rPr>
        <w:t>Plos one</w:t>
      </w:r>
      <w:r>
        <w:rPr>
          <w:lang w:val="en-GB"/>
        </w:rPr>
        <w:t xml:space="preserve">, </w:t>
      </w:r>
      <w:r>
        <w:rPr>
          <w:i/>
          <w:lang w:val="en-GB"/>
        </w:rPr>
        <w:t>16</w:t>
      </w:r>
      <w:r>
        <w:rPr>
          <w:lang w:val="en-GB"/>
        </w:rPr>
        <w:t>(12),.</w:t>
      </w:r>
      <w:r>
        <w:fldChar w:fldCharType="begin"/>
      </w:r>
      <w:r>
        <w:instrText xml:space="preserve"> HYPERLINK "https://journals.plos.org/plosone/article?id=10.1371/journal.pone.0262001" \h </w:instrText>
      </w:r>
      <w:r>
        <w:fldChar w:fldCharType="separate"/>
      </w:r>
      <w:r>
        <w:fldChar w:fldCharType="end"/>
      </w:r>
      <w:r>
        <w:fldChar w:fldCharType="begin"/>
      </w:r>
      <w:r>
        <w:instrText xml:space="preserve"> HYPERLINK "https://journals.plos.org/plosone/article?id=10.1371/journal.pone.0262001" \h </w:instrText>
      </w:r>
      <w:r>
        <w:fldChar w:fldCharType="separate"/>
      </w:r>
      <w:r>
        <w:rPr>
          <w:color w:val="1155CC"/>
          <w:u w:val="single"/>
          <w:lang w:val="en-GB"/>
        </w:rPr>
        <w:t>https://journals.plos.org/plosone/article?id=10.1371/journal.pone.0262001</w:t>
      </w:r>
      <w:r>
        <w:rPr>
          <w:color w:val="1155CC"/>
          <w:u w:val="single"/>
          <w:lang w:val="en-GB"/>
        </w:rPr>
        <w:fldChar w:fldCharType="end"/>
      </w:r>
    </w:p>
    <w:p>
      <w:pPr>
        <w:rPr>
          <w:lang w:val="en-GB"/>
        </w:rPr>
      </w:pPr>
    </w:p>
    <w:p>
      <w:pPr>
        <w:rPr>
          <w:b/>
          <w:lang w:val="en-GB"/>
        </w:rPr>
      </w:pPr>
      <w:r>
        <w:rPr>
          <w:b/>
          <w:lang w:val="en-GB"/>
        </w:rPr>
        <w:t>Component 2</w:t>
      </w:r>
    </w:p>
    <w:p>
      <w:pPr>
        <w:spacing w:before="240" w:after="240"/>
        <w:rPr>
          <w:lang w:val="en-GB"/>
        </w:rPr>
      </w:pPr>
      <w:r>
        <w:rPr>
          <w:lang w:val="en-GB"/>
        </w:rPr>
        <w:t xml:space="preserve">Cottrell, S., 2021. </w:t>
      </w:r>
      <w:r>
        <w:rPr>
          <w:i/>
          <w:lang w:val="en-GB"/>
        </w:rPr>
        <w:t>Skills for success: Personal development and employability</w:t>
      </w:r>
      <w:r>
        <w:rPr>
          <w:lang w:val="en-GB"/>
        </w:rPr>
        <w:t>. Bloomsbury Publishing.</w:t>
      </w:r>
    </w:p>
    <w:p>
      <w:pPr>
        <w:spacing w:before="240" w:after="240"/>
        <w:rPr>
          <w:color w:val="1155CC"/>
          <w:u w:val="single"/>
          <w:lang w:val="en-GB"/>
        </w:rPr>
      </w:pPr>
      <w:r>
        <w:rPr>
          <w:lang w:val="en-GB"/>
        </w:rPr>
        <w:t xml:space="preserve">Dale-Olsen, H. and Finseraas, H., 2020. Linguistic diversity and workplace productivity. </w:t>
      </w:r>
      <w:r>
        <w:rPr>
          <w:i/>
          <w:lang w:val="en-GB"/>
        </w:rPr>
        <w:t>Labour Economics</w:t>
      </w:r>
      <w:r>
        <w:rPr>
          <w:lang w:val="en-GB"/>
        </w:rPr>
        <w:t xml:space="preserve">, </w:t>
      </w:r>
      <w:r>
        <w:rPr>
          <w:i/>
          <w:lang w:val="en-GB"/>
        </w:rPr>
        <w:t>64</w:t>
      </w:r>
      <w:r>
        <w:rPr>
          <w:lang w:val="en-GB"/>
        </w:rPr>
        <w:t>.</w:t>
      </w:r>
      <w:r>
        <w:fldChar w:fldCharType="begin"/>
      </w:r>
      <w:r>
        <w:instrText xml:space="preserve"> HYPERLINK "https://www.sciencedirect.com/science/article/pii/S0927537120300191" \h </w:instrText>
      </w:r>
      <w:r>
        <w:fldChar w:fldCharType="separate"/>
      </w:r>
      <w:r>
        <w:fldChar w:fldCharType="end"/>
      </w:r>
      <w:r>
        <w:fldChar w:fldCharType="begin"/>
      </w:r>
      <w:r>
        <w:instrText xml:space="preserve"> HYPERLINK "https://www.sciencedirect.com/science/article/pii/S0927537120300191" \h </w:instrText>
      </w:r>
      <w:r>
        <w:fldChar w:fldCharType="separate"/>
      </w:r>
      <w:r>
        <w:rPr>
          <w:color w:val="1155CC"/>
          <w:u w:val="single"/>
          <w:lang w:val="en-GB"/>
        </w:rPr>
        <w:t>https://www.sciencedirect.com/science/article/pii/S0927537120300191</w:t>
      </w:r>
      <w:r>
        <w:rPr>
          <w:color w:val="1155CC"/>
          <w:u w:val="single"/>
          <w:lang w:val="en-GB"/>
        </w:rPr>
        <w:fldChar w:fldCharType="end"/>
      </w:r>
    </w:p>
    <w:p>
      <w:pPr>
        <w:spacing w:before="240" w:after="240"/>
        <w:rPr>
          <w:color w:val="1155CC"/>
          <w:u w:val="single"/>
          <w:lang w:val="en-GB"/>
        </w:rPr>
      </w:pPr>
      <w:r>
        <w:rPr>
          <w:lang w:val="en-GB"/>
        </w:rPr>
        <w:t xml:space="preserve">Tursunovich, R.I., 2022. Linguistic and cultural aspects of literary translation and translation skills. </w:t>
      </w:r>
      <w:r>
        <w:rPr>
          <w:i/>
          <w:lang w:val="en-GB"/>
        </w:rPr>
        <w:t>British Journal of Global Ecology and Sustainable Development</w:t>
      </w:r>
      <w:r>
        <w:rPr>
          <w:lang w:val="en-GB"/>
        </w:rPr>
        <w:t xml:space="preserve">, </w:t>
      </w:r>
      <w:r>
        <w:rPr>
          <w:i/>
          <w:lang w:val="en-GB"/>
        </w:rPr>
        <w:t>10</w:t>
      </w:r>
      <w:r>
        <w:rPr>
          <w:lang w:val="en-GB"/>
        </w:rPr>
        <w:t>, pp.168-173.</w:t>
      </w:r>
      <w:r>
        <w:fldChar w:fldCharType="begin"/>
      </w:r>
      <w:r>
        <w:instrText xml:space="preserve"> HYPERLINK "https://www.journalzone.org/index.php/bjgesd/article/view/158" \h </w:instrText>
      </w:r>
      <w:r>
        <w:fldChar w:fldCharType="separate"/>
      </w:r>
      <w:r>
        <w:fldChar w:fldCharType="end"/>
      </w:r>
      <w:r>
        <w:fldChar w:fldCharType="begin"/>
      </w:r>
      <w:r>
        <w:instrText xml:space="preserve"> HYPERLINK "https://www.journalzone.org/index.php/bjgesd/article/view/158" \h </w:instrText>
      </w:r>
      <w:r>
        <w:fldChar w:fldCharType="separate"/>
      </w:r>
      <w:r>
        <w:rPr>
          <w:color w:val="1155CC"/>
          <w:u w:val="single"/>
          <w:lang w:val="en-GB"/>
        </w:rPr>
        <w:t>https://www.journalzone.org/index.php/bjgesd/article/view/158</w:t>
      </w:r>
      <w:r>
        <w:rPr>
          <w:color w:val="1155CC"/>
          <w:u w:val="single"/>
          <w:lang w:val="en-GB"/>
        </w:rPr>
        <w:fldChar w:fldCharType="end"/>
      </w:r>
    </w:p>
    <w:p>
      <w:pPr>
        <w:rPr>
          <w:lang w:val="en-GB"/>
        </w:rPr>
      </w:pPr>
    </w:p>
    <w:p>
      <w:pPr>
        <w:rPr>
          <w:b/>
          <w:lang w:val="en-GB"/>
        </w:rPr>
      </w:pPr>
      <w:r>
        <w:rPr>
          <w:b/>
          <w:lang w:val="en-GB"/>
        </w:rPr>
        <w:t>Component 3</w:t>
      </w:r>
    </w:p>
    <w:p>
      <w:pPr>
        <w:spacing w:before="240" w:after="240"/>
        <w:rPr>
          <w:lang w:val="en-GB"/>
        </w:rPr>
      </w:pPr>
      <w:r>
        <w:rPr>
          <w:lang w:val="en-GB"/>
        </w:rPr>
        <w:t xml:space="preserve">Koc, E., 2020. </w:t>
      </w:r>
      <w:r>
        <w:rPr>
          <w:i/>
          <w:lang w:val="en-GB"/>
        </w:rPr>
        <w:t>Cross-cultural aspects of tourism and hospitality: A services marketing and management perspective</w:t>
      </w:r>
      <w:r>
        <w:rPr>
          <w:lang w:val="en-GB"/>
        </w:rPr>
        <w:t>. Routledge.</w:t>
      </w:r>
    </w:p>
    <w:p>
      <w:pPr>
        <w:spacing w:before="240" w:after="240"/>
        <w:rPr>
          <w:color w:val="1155CC"/>
          <w:u w:val="single"/>
          <w:lang w:val="en-GB"/>
        </w:rPr>
      </w:pPr>
      <w:r>
        <w:rPr>
          <w:lang w:val="en-GB"/>
        </w:rPr>
        <w:t xml:space="preserve">Koc, E., 2021. Intercultural competence in tourism and hospitality: Self-efficacy beliefs and the Dunning Kruger effect. </w:t>
      </w:r>
      <w:r>
        <w:rPr>
          <w:i/>
          <w:lang w:val="en-GB"/>
        </w:rPr>
        <w:t>International Journal of Intercultural Relations</w:t>
      </w:r>
      <w:r>
        <w:rPr>
          <w:lang w:val="en-GB"/>
        </w:rPr>
        <w:t xml:space="preserve">, </w:t>
      </w:r>
      <w:r>
        <w:rPr>
          <w:i/>
          <w:lang w:val="en-GB"/>
        </w:rPr>
        <w:t>82</w:t>
      </w:r>
      <w:r>
        <w:rPr>
          <w:lang w:val="en-GB"/>
        </w:rPr>
        <w:t>, pp.175-184.</w:t>
      </w:r>
      <w:r>
        <w:fldChar w:fldCharType="begin"/>
      </w:r>
      <w:r>
        <w:instrText xml:space="preserve"> HYPERLINK "https://www.sciencedirect.com/science/article/pii/S0147176721000559" \h </w:instrText>
      </w:r>
      <w:r>
        <w:fldChar w:fldCharType="separate"/>
      </w:r>
      <w:r>
        <w:fldChar w:fldCharType="end"/>
      </w:r>
      <w:r>
        <w:fldChar w:fldCharType="begin"/>
      </w:r>
      <w:r>
        <w:instrText xml:space="preserve"> HYPERLINK "https://www.sciencedirect.com/science/article/pii/S0147176721000559" \h </w:instrText>
      </w:r>
      <w:r>
        <w:fldChar w:fldCharType="separate"/>
      </w:r>
      <w:r>
        <w:rPr>
          <w:color w:val="1155CC"/>
          <w:u w:val="single"/>
          <w:lang w:val="en-GB"/>
        </w:rPr>
        <w:t>https://www.sciencedirect.com/science/article/pii/S0147176721000559</w:t>
      </w:r>
      <w:r>
        <w:rPr>
          <w:color w:val="1155CC"/>
          <w:u w:val="single"/>
          <w:lang w:val="en-GB"/>
        </w:rPr>
        <w:fldChar w:fldCharType="end"/>
      </w:r>
    </w:p>
    <w:p>
      <w:pPr>
        <w:spacing w:before="240" w:after="240"/>
        <w:rPr>
          <w:color w:val="1155CC"/>
          <w:u w:val="single"/>
          <w:lang w:val="en-GB"/>
        </w:rPr>
      </w:pPr>
      <w:r>
        <w:rPr>
          <w:lang w:val="en-GB"/>
        </w:rPr>
        <w:t xml:space="preserve">Wijnen-Meijer, M., Brandhuber, T., Schneider, A. and Berberat, P.O., 2022. Implementing Kolb s experiential learning cycle by linking real experience, case-based discussion and simulation. </w:t>
      </w:r>
      <w:r>
        <w:rPr>
          <w:i/>
          <w:lang w:val="en-GB"/>
        </w:rPr>
        <w:t>Journal of medical education and curricular development</w:t>
      </w:r>
      <w:r>
        <w:rPr>
          <w:lang w:val="en-GB"/>
        </w:rPr>
        <w:t xml:space="preserve">, </w:t>
      </w:r>
      <w:r>
        <w:rPr>
          <w:i/>
          <w:lang w:val="en-GB"/>
        </w:rPr>
        <w:t>9</w:t>
      </w:r>
      <w:r>
        <w:rPr>
          <w:lang w:val="en-GB"/>
        </w:rPr>
        <w:t>.</w:t>
      </w:r>
      <w:r>
        <w:fldChar w:fldCharType="begin"/>
      </w:r>
      <w:r>
        <w:instrText xml:space="preserve"> HYPERLINK "https://journals.sagepub.com/doi/abs/10.1177/23821205221091511" \h </w:instrText>
      </w:r>
      <w:r>
        <w:fldChar w:fldCharType="separate"/>
      </w:r>
      <w:r>
        <w:fldChar w:fldCharType="end"/>
      </w:r>
      <w:r>
        <w:fldChar w:fldCharType="begin"/>
      </w:r>
      <w:r>
        <w:instrText xml:space="preserve"> HYPERLINK "https://journals.sagepub.com/doi/abs/10.1177/23821205221091511" \h </w:instrText>
      </w:r>
      <w:r>
        <w:fldChar w:fldCharType="separate"/>
      </w:r>
      <w:r>
        <w:rPr>
          <w:color w:val="1155CC"/>
          <w:u w:val="single"/>
          <w:lang w:val="en-GB"/>
        </w:rPr>
        <w:t>https://journals.sagepub.com/doi/abs/10.1177/23821205221091511</w:t>
      </w:r>
      <w:r>
        <w:rPr>
          <w:color w:val="1155CC"/>
          <w:u w:val="single"/>
          <w:lang w:val="en-GB"/>
        </w:rPr>
        <w:fldChar w:fldCharType="end"/>
      </w:r>
    </w:p>
    <w:p>
      <w:pPr>
        <w:rPr>
          <w:b/>
          <w:lang w:val="en-GB"/>
        </w:rPr>
      </w:pPr>
      <w:r>
        <w:rPr>
          <w:b/>
          <w:lang w:val="en-GB"/>
        </w:rPr>
        <w:t>Component 4</w:t>
      </w:r>
    </w:p>
    <w:p>
      <w:pPr>
        <w:pStyle w:val="16"/>
        <w:spacing w:line="360" w:lineRule="auto"/>
        <w:jc w:val="both"/>
        <w:rPr>
          <w:color w:val="1155CC"/>
          <w:u w:val="single"/>
          <w:lang w:val="en-GB"/>
        </w:rPr>
      </w:pPr>
      <w:r>
        <w:rPr>
          <w:color w:val="000000"/>
        </w:rPr>
        <w:t>‌</w:t>
      </w:r>
      <w:r>
        <w:rPr>
          <w:lang w:val="en-GB"/>
        </w:rPr>
        <w:t xml:space="preserve">Berthele, R., 2021. The extraordinary ordinary: Reengineering multilingualism as a natural category. </w:t>
      </w:r>
      <w:r>
        <w:rPr>
          <w:i/>
          <w:lang w:val="en-GB"/>
        </w:rPr>
        <w:t>Language Learning</w:t>
      </w:r>
      <w:r>
        <w:rPr>
          <w:lang w:val="en-GB"/>
        </w:rPr>
        <w:t xml:space="preserve">, </w:t>
      </w:r>
      <w:r>
        <w:rPr>
          <w:i/>
          <w:lang w:val="en-GB"/>
        </w:rPr>
        <w:t>71</w:t>
      </w:r>
      <w:r>
        <w:rPr>
          <w:lang w:val="en-GB"/>
        </w:rPr>
        <w:t>(S1), pp.80-120.</w:t>
      </w:r>
      <w:r>
        <w:fldChar w:fldCharType="begin"/>
      </w:r>
      <w:r>
        <w:instrText xml:space="preserve"> HYPERLINK "https://onlinelibrary.wiley.com/doi/abs/10.1111/lang.12407" \h </w:instrText>
      </w:r>
      <w:r>
        <w:fldChar w:fldCharType="separate"/>
      </w:r>
      <w:r>
        <w:fldChar w:fldCharType="end"/>
      </w:r>
      <w:r>
        <w:fldChar w:fldCharType="begin"/>
      </w:r>
      <w:r>
        <w:instrText xml:space="preserve"> HYPERLINK "https://onlinelibrary.wiley.com/doi/abs/10.1111/lang.12407" \h </w:instrText>
      </w:r>
      <w:r>
        <w:fldChar w:fldCharType="separate"/>
      </w:r>
      <w:r>
        <w:rPr>
          <w:color w:val="1155CC"/>
          <w:u w:val="single"/>
          <w:lang w:val="en-GB"/>
        </w:rPr>
        <w:t>https://onlinelibrary.wiley.com/doi/abs/10.1111/lang.12407</w:t>
      </w:r>
      <w:r>
        <w:rPr>
          <w:color w:val="1155CC"/>
          <w:u w:val="single"/>
          <w:lang w:val="en-GB"/>
        </w:rPr>
        <w:fldChar w:fldCharType="end"/>
      </w:r>
    </w:p>
    <w:p>
      <w:pPr>
        <w:pStyle w:val="16"/>
        <w:spacing w:before="0" w:beforeAutospacing="0" w:after="240" w:afterAutospacing="0" w:line="360" w:lineRule="atLeast"/>
        <w:rPr>
          <w:color w:val="000000"/>
        </w:rPr>
      </w:pPr>
      <w:r>
        <w:rPr>
          <w:color w:val="000000"/>
        </w:rPr>
        <w:t>Hyatt.com. 2024. </w:t>
      </w:r>
      <w:r>
        <w:rPr>
          <w:i/>
          <w:iCs/>
          <w:color w:val="000000"/>
        </w:rPr>
        <w:t>Hyatt Hotels Corporation</w:t>
      </w:r>
      <w:r>
        <w:rPr>
          <w:color w:val="000000"/>
        </w:rPr>
        <w:t>. [online] Available at: https://www.hyatt.com/ [Accessed 1 May 2024].</w:t>
      </w:r>
    </w:p>
    <w:p>
      <w:pPr>
        <w:spacing w:before="240" w:after="240"/>
        <w:rPr>
          <w:lang w:val="en-GB"/>
        </w:rPr>
      </w:pPr>
      <w:r>
        <w:rPr>
          <w:lang w:val="en-GB"/>
        </w:rPr>
        <w:t xml:space="preserve">Lo Bianco, J. and Aronin, L., 2020. </w:t>
      </w:r>
      <w:r>
        <w:rPr>
          <w:i/>
          <w:lang w:val="en-GB"/>
        </w:rPr>
        <w:t>Introduction: The dominant language constellations: A new perspective on multilingualism</w:t>
      </w:r>
      <w:r>
        <w:rPr>
          <w:lang w:val="en-GB"/>
        </w:rPr>
        <w:t>. Springer International Publishing.</w:t>
      </w:r>
    </w:p>
    <w:p>
      <w:pPr>
        <w:spacing w:before="240" w:after="240"/>
        <w:rPr>
          <w:lang w:val="en-GB"/>
        </w:rPr>
      </w:pPr>
      <w:r>
        <w:rPr>
          <w:lang w:val="en-GB"/>
        </w:rPr>
        <w:t>Spanish, one of 24 official languages in an EU that promotes multilingualism. 2023. Spanish, one of 24 official languages in an EU that promotes multilingualism. [online] Available at: https://spanish-presidency.consilium.europa.eu/en/news/spanish-official-languages-eu-multilingualism/#:~:text=EU%20languages,%2C%20Slovenian%2C%20Spanish%20and%20Swedish. [Accessed 1 May 2024].</w:t>
      </w:r>
    </w:p>
    <w:p>
      <w:pPr>
        <w:spacing w:before="240" w:after="240"/>
        <w:rPr>
          <w:lang w:val="en-GB"/>
        </w:rPr>
      </w:pPr>
      <w:r>
        <w:rPr>
          <w:lang w:val="en-GB"/>
        </w:rPr>
        <w:t>Statista. 2021. Spanish nationals population UK 2021 | Statista. [online] Available at: https://www.statista.com/statistics/944880/spanish-population-in-united-kingdom/ [Accessed 1 May 2024].</w:t>
      </w:r>
    </w:p>
    <w:p>
      <w:pPr>
        <w:pStyle w:val="16"/>
        <w:spacing w:before="0" w:beforeAutospacing="0" w:after="240" w:afterAutospacing="0" w:line="360" w:lineRule="atLeast"/>
        <w:rPr>
          <w:color w:val="000000"/>
        </w:rPr>
      </w:pPr>
      <w:r>
        <w:rPr>
          <w:color w:val="000000"/>
        </w:rPr>
        <w:t>Statista. 2022. </w:t>
      </w:r>
      <w:r>
        <w:rPr>
          <w:i/>
          <w:iCs/>
          <w:color w:val="000000"/>
        </w:rPr>
        <w:t>Countries with most Spanish speakers 2022 | Statista</w:t>
      </w:r>
      <w:r>
        <w:rPr>
          <w:color w:val="000000"/>
        </w:rPr>
        <w:t>. [online] Available at: https://www.statista.com/statistics/991020/number-native-spanish-speakers-country-worldwide/ [Accessed 1 May 2024].</w:t>
      </w:r>
    </w:p>
    <w:p>
      <w:pPr>
        <w:spacing w:before="240" w:after="240"/>
        <w:rPr>
          <w:color w:val="1155CC"/>
          <w:u w:val="single"/>
          <w:lang w:val="en-GB"/>
        </w:rPr>
      </w:pPr>
      <w:r>
        <w:rPr>
          <w:lang w:val="en-GB"/>
        </w:rPr>
        <w:t xml:space="preserve">Steurs, F., 2020. Language is business. The challenges of a single digital market in a multilingual society. </w:t>
      </w:r>
      <w:r>
        <w:rPr>
          <w:i/>
          <w:lang w:val="en-GB"/>
        </w:rPr>
        <w:t>Language and Economy</w:t>
      </w:r>
      <w:r>
        <w:rPr>
          <w:lang w:val="en-GB"/>
        </w:rPr>
        <w:t>, p.39.</w:t>
      </w:r>
      <w:r>
        <w:fldChar w:fldCharType="begin"/>
      </w:r>
      <w:r>
        <w:instrText xml:space="preserve"> HYPERLINK "https://d-nb.info/1236570901/34" \l "page=39" \h </w:instrText>
      </w:r>
      <w:r>
        <w:fldChar w:fldCharType="separate"/>
      </w:r>
      <w:r>
        <w:fldChar w:fldCharType="end"/>
      </w:r>
      <w:r>
        <w:fldChar w:fldCharType="begin"/>
      </w:r>
      <w:r>
        <w:instrText xml:space="preserve"> HYPERLINK "https://d-nb.info/1236570901/34" \l "page=39" \h </w:instrText>
      </w:r>
      <w:r>
        <w:fldChar w:fldCharType="separate"/>
      </w:r>
      <w:r>
        <w:rPr>
          <w:color w:val="1155CC"/>
          <w:u w:val="single"/>
          <w:lang w:val="en-GB"/>
        </w:rPr>
        <w:t>https://d-nb.info/1236570901/34#page=39</w:t>
      </w:r>
      <w:r>
        <w:rPr>
          <w:color w:val="1155CC"/>
          <w:u w:val="single"/>
          <w:lang w:val="en-GB"/>
        </w:rPr>
        <w:fldChar w:fldCharType="end"/>
      </w:r>
    </w:p>
    <w:p>
      <w:pPr>
        <w:rPr>
          <w:lang w:val="en-GB"/>
        </w:rPr>
      </w:pPr>
    </w:p>
    <w:p>
      <w:pPr>
        <w:rPr>
          <w:b/>
          <w:lang w:val="en-GB"/>
        </w:rPr>
      </w:pPr>
    </w:p>
    <w:p>
      <w:pPr>
        <w:rPr>
          <w:lang w:val="en-GB"/>
        </w:rPr>
      </w:pP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Cambria">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34233913"/>
      <w:docPartObj>
        <w:docPartGallery w:val="AutoText"/>
      </w:docPartObj>
    </w:sdtPr>
    <w:sdtContent>
      <w:p>
        <w:pPr>
          <w:pStyle w:val="13"/>
          <w:jc w:val="right"/>
        </w:pPr>
        <w:r>
          <w:fldChar w:fldCharType="begin"/>
        </w:r>
        <w:r>
          <w:instrText xml:space="preserve"> PAGE   \* MERGEFORMAT </w:instrText>
        </w:r>
        <w:r>
          <w:fldChar w:fldCharType="separate"/>
        </w:r>
        <w:r>
          <w:t>2</w:t>
        </w:r>
        <w:r>
          <w:fldChar w:fldCharType="end"/>
        </w:r>
      </w:p>
    </w:sdtContent>
  </w:sdt>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E0177D"/>
    <w:rsid w:val="0006336B"/>
    <w:rsid w:val="00080F05"/>
    <w:rsid w:val="000F4443"/>
    <w:rsid w:val="00145CDE"/>
    <w:rsid w:val="002C58BE"/>
    <w:rsid w:val="002E3CDC"/>
    <w:rsid w:val="00472DC5"/>
    <w:rsid w:val="00590DD8"/>
    <w:rsid w:val="00664742"/>
    <w:rsid w:val="006A03B9"/>
    <w:rsid w:val="006D4AD3"/>
    <w:rsid w:val="00752588"/>
    <w:rsid w:val="008E7011"/>
    <w:rsid w:val="00914419"/>
    <w:rsid w:val="00B24A57"/>
    <w:rsid w:val="00C06381"/>
    <w:rsid w:val="00C4707A"/>
    <w:rsid w:val="00D31F6C"/>
    <w:rsid w:val="00D92760"/>
    <w:rsid w:val="00E0177D"/>
    <w:rsid w:val="7EBA2D91"/>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360" w:lineRule="auto"/>
      <w:jc w:val="both"/>
    </w:pPr>
    <w:rPr>
      <w:rFonts w:ascii="Times New Roman" w:hAnsi="Times New Roman" w:eastAsia="Times New Roman" w:cs="Times New Roman"/>
      <w:sz w:val="24"/>
      <w:szCs w:val="24"/>
      <w:lang w:val="en-IN" w:eastAsia="en-IN" w:bidi="ar-SA"/>
    </w:rPr>
  </w:style>
  <w:style w:type="paragraph" w:styleId="2">
    <w:name w:val="heading 1"/>
    <w:basedOn w:val="1"/>
    <w:next w:val="1"/>
    <w:uiPriority w:val="0"/>
    <w:pPr>
      <w:keepNext/>
      <w:keepLines/>
      <w:outlineLvl w:val="0"/>
    </w:pPr>
    <w:rPr>
      <w:b/>
    </w:rPr>
  </w:style>
  <w:style w:type="paragraph" w:styleId="3">
    <w:name w:val="heading 2"/>
    <w:basedOn w:val="1"/>
    <w:next w:val="1"/>
    <w:uiPriority w:val="0"/>
    <w:pPr>
      <w:keepNext/>
      <w:keepLines/>
      <w:spacing w:before="360" w:after="120"/>
      <w:outlineLvl w:val="1"/>
    </w:pPr>
    <w:rPr>
      <w:sz w:val="32"/>
      <w:szCs w:val="32"/>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uiPriority w:val="0"/>
    <w:pPr>
      <w:keepNext/>
      <w:keepLines/>
      <w:spacing w:before="280" w:after="80"/>
      <w:outlineLvl w:val="3"/>
    </w:pPr>
    <w:rPr>
      <w:color w:val="666666"/>
    </w:rPr>
  </w:style>
  <w:style w:type="paragraph" w:styleId="6">
    <w:name w:val="heading 5"/>
    <w:basedOn w:val="1"/>
    <w:next w:val="1"/>
    <w:uiPriority w:val="0"/>
    <w:pPr>
      <w:keepNext/>
      <w:keepLines/>
      <w:spacing w:before="240" w:after="80"/>
      <w:outlineLvl w:val="4"/>
    </w:pPr>
    <w:rPr>
      <w:color w:val="666666"/>
      <w:sz w:val="22"/>
      <w:szCs w:val="22"/>
    </w:rPr>
  </w:style>
  <w:style w:type="paragraph" w:styleId="7">
    <w:name w:val="heading 6"/>
    <w:basedOn w:val="1"/>
    <w:next w:val="1"/>
    <w:uiPriority w:val="0"/>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2"/>
    <w:semiHidden/>
    <w:unhideWhenUsed/>
    <w:uiPriority w:val="99"/>
    <w:pPr>
      <w:spacing w:line="240" w:lineRule="auto"/>
    </w:pPr>
    <w:rPr>
      <w:rFonts w:ascii="Segoe UI" w:hAnsi="Segoe UI" w:cs="Segoe UI"/>
      <w:sz w:val="18"/>
      <w:szCs w:val="18"/>
    </w:rPr>
  </w:style>
  <w:style w:type="character" w:styleId="11">
    <w:name w:val="annotation reference"/>
    <w:basedOn w:val="8"/>
    <w:semiHidden/>
    <w:unhideWhenUsed/>
    <w:uiPriority w:val="99"/>
    <w:rPr>
      <w:sz w:val="16"/>
      <w:szCs w:val="16"/>
    </w:rPr>
  </w:style>
  <w:style w:type="paragraph" w:styleId="12">
    <w:name w:val="annotation text"/>
    <w:basedOn w:val="1"/>
    <w:link w:val="21"/>
    <w:semiHidden/>
    <w:unhideWhenUsed/>
    <w:uiPriority w:val="99"/>
    <w:pPr>
      <w:spacing w:line="240" w:lineRule="auto"/>
    </w:pPr>
    <w:rPr>
      <w:sz w:val="20"/>
      <w:szCs w:val="20"/>
    </w:rPr>
  </w:style>
  <w:style w:type="paragraph" w:styleId="13">
    <w:name w:val="footer"/>
    <w:basedOn w:val="1"/>
    <w:link w:val="24"/>
    <w:unhideWhenUsed/>
    <w:uiPriority w:val="99"/>
    <w:pPr>
      <w:tabs>
        <w:tab w:val="center" w:pos="4513"/>
        <w:tab w:val="right" w:pos="9026"/>
      </w:tabs>
      <w:spacing w:line="240" w:lineRule="auto"/>
    </w:pPr>
  </w:style>
  <w:style w:type="paragraph" w:styleId="14">
    <w:name w:val="header"/>
    <w:basedOn w:val="1"/>
    <w:link w:val="23"/>
    <w:autoRedefine/>
    <w:unhideWhenUsed/>
    <w:qFormat/>
    <w:uiPriority w:val="99"/>
    <w:pPr>
      <w:tabs>
        <w:tab w:val="center" w:pos="4513"/>
        <w:tab w:val="right" w:pos="9026"/>
      </w:tabs>
      <w:spacing w:line="240" w:lineRule="auto"/>
    </w:pPr>
  </w:style>
  <w:style w:type="character" w:styleId="15">
    <w:name w:val="Hyperlink"/>
    <w:basedOn w:val="8"/>
    <w:autoRedefine/>
    <w:unhideWhenUsed/>
    <w:qFormat/>
    <w:uiPriority w:val="99"/>
    <w:rPr>
      <w:color w:val="0000FF" w:themeColor="hyperlink"/>
      <w:u w:val="single"/>
    </w:rPr>
  </w:style>
  <w:style w:type="paragraph" w:styleId="16">
    <w:name w:val="Normal (Web)"/>
    <w:basedOn w:val="1"/>
    <w:unhideWhenUsed/>
    <w:uiPriority w:val="99"/>
    <w:pPr>
      <w:spacing w:before="100" w:beforeAutospacing="1" w:after="100" w:afterAutospacing="1" w:line="240" w:lineRule="auto"/>
      <w:jc w:val="left"/>
    </w:pPr>
  </w:style>
  <w:style w:type="paragraph" w:styleId="17">
    <w:name w:val="Subtitle"/>
    <w:basedOn w:val="1"/>
    <w:next w:val="1"/>
    <w:uiPriority w:val="0"/>
    <w:pPr>
      <w:keepNext/>
      <w:keepLines/>
      <w:spacing w:after="320"/>
    </w:pPr>
    <w:rPr>
      <w:rFonts w:ascii="Arial" w:hAnsi="Arial" w:eastAsia="Arial" w:cs="Arial"/>
      <w:color w:val="666666"/>
      <w:sz w:val="30"/>
      <w:szCs w:val="30"/>
    </w:rPr>
  </w:style>
  <w:style w:type="paragraph" w:styleId="18">
    <w:name w:val="Title"/>
    <w:basedOn w:val="1"/>
    <w:next w:val="1"/>
    <w:uiPriority w:val="0"/>
    <w:pPr>
      <w:keepNext/>
      <w:keepLines/>
      <w:spacing w:after="60"/>
    </w:pPr>
    <w:rPr>
      <w:sz w:val="52"/>
      <w:szCs w:val="52"/>
    </w:rPr>
  </w:style>
  <w:style w:type="paragraph" w:styleId="19">
    <w:name w:val="toc 1"/>
    <w:basedOn w:val="1"/>
    <w:next w:val="1"/>
    <w:autoRedefine/>
    <w:unhideWhenUsed/>
    <w:uiPriority w:val="39"/>
    <w:pPr>
      <w:spacing w:after="100"/>
    </w:pPr>
  </w:style>
  <w:style w:type="table" w:customStyle="1" w:styleId="20">
    <w:name w:val="_Style 11"/>
    <w:basedOn w:val="9"/>
    <w:uiPriority w:val="0"/>
    <w:tblPr>
      <w:tblCellMar>
        <w:top w:w="100" w:type="dxa"/>
        <w:left w:w="100" w:type="dxa"/>
        <w:bottom w:w="100" w:type="dxa"/>
        <w:right w:w="100" w:type="dxa"/>
      </w:tblCellMar>
    </w:tblPr>
  </w:style>
  <w:style w:type="character" w:customStyle="1" w:styleId="21">
    <w:name w:val="Comment Text Char"/>
    <w:basedOn w:val="8"/>
    <w:link w:val="12"/>
    <w:autoRedefine/>
    <w:semiHidden/>
    <w:qFormat/>
    <w:uiPriority w:val="99"/>
    <w:rPr>
      <w:sz w:val="20"/>
      <w:szCs w:val="20"/>
    </w:rPr>
  </w:style>
  <w:style w:type="character" w:customStyle="1" w:styleId="22">
    <w:name w:val="Balloon Text Char"/>
    <w:basedOn w:val="8"/>
    <w:link w:val="10"/>
    <w:autoRedefine/>
    <w:semiHidden/>
    <w:uiPriority w:val="99"/>
    <w:rPr>
      <w:rFonts w:ascii="Segoe UI" w:hAnsi="Segoe UI" w:cs="Segoe UI"/>
      <w:sz w:val="18"/>
      <w:szCs w:val="18"/>
    </w:rPr>
  </w:style>
  <w:style w:type="character" w:customStyle="1" w:styleId="23">
    <w:name w:val="Header Char"/>
    <w:basedOn w:val="8"/>
    <w:link w:val="14"/>
    <w:uiPriority w:val="99"/>
  </w:style>
  <w:style w:type="character" w:customStyle="1" w:styleId="24">
    <w:name w:val="Footer Char"/>
    <w:basedOn w:val="8"/>
    <w:link w:val="13"/>
    <w:uiPriority w:val="99"/>
  </w:style>
  <w:style w:type="paragraph" w:customStyle="1" w:styleId="25">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66091"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5DC5D-DE6D-460D-BE72-A929D17E27B3}">
  <ds:schemaRefs/>
</ds:datastoreItem>
</file>

<file path=docProps/app.xml><?xml version="1.0" encoding="utf-8"?>
<Properties xmlns="http://schemas.openxmlformats.org/officeDocument/2006/extended-properties" xmlns:vt="http://schemas.openxmlformats.org/officeDocument/2006/docPropsVTypes">
  <Template>Normal</Template>
  <Pages>17</Pages>
  <Words>3270</Words>
  <Characters>18639</Characters>
  <Lines>155</Lines>
  <Paragraphs>43</Paragraphs>
  <TotalTime>3</TotalTime>
  <ScaleCrop>false</ScaleCrop>
  <LinksUpToDate>false</LinksUpToDate>
  <CharactersWithSpaces>21866</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2024-05-01T12:21:00Z</dcterms:created>
  <dc:creator>Alina</dc:creator>
  <cp:lastModifiedBy>i study</cp:lastModifiedBy>
  <dcterms:modified xsi:type="dcterms:W3CDTF">2024-05-07T14:58:29Z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BE054A880CC14F82ACE4B3EA3D64FABE_12</vt:lpwstr>
  </property>
</Properties>
</file>