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713002F" w14:textId="59EE91EB" w:rsidR="00403714" w:rsidRDefault="000E2E7E">
      <w:r>
        <w:t xml:space="preserve">                                     </w:t>
      </w:r>
      <w:r>
        <w:rPr>
          <w:noProof/>
        </w:rPr>
        <w:drawing>
          <wp:inline distT="0" distB="0" distL="0" distR="0" wp14:anchorId="2D3EAADE" wp14:editId="70C54734">
            <wp:extent cx="3523794" cy="1402201"/>
            <wp:effectExtent l="0" t="0" r="0" b="0"/>
            <wp:docPr id="1982794449" name="Picture 1982794449" descr="A close-up of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2794449" name="Picture 1982794449" descr="A close-up of black text&#10;&#10;Description automatically generated"/>
                    <pic:cNvPicPr/>
                  </pic:nvPicPr>
                  <pic:blipFill>
                    <a:blip r:embed="rId4">
                      <a:extLst>
                        <a:ext uri="{28A0092B-C50C-407E-A947-70E740481C1C}">
                          <a14:useLocalDpi xmlns:a14="http://schemas.microsoft.com/office/drawing/2010/main" val="0"/>
                        </a:ext>
                      </a:extLst>
                    </a:blip>
                    <a:stretch>
                      <a:fillRect/>
                    </a:stretch>
                  </pic:blipFill>
                  <pic:spPr>
                    <a:xfrm>
                      <a:off x="0" y="0"/>
                      <a:ext cx="3523794" cy="1402201"/>
                    </a:xfrm>
                    <a:prstGeom prst="rect">
                      <a:avLst/>
                    </a:prstGeom>
                  </pic:spPr>
                </pic:pic>
              </a:graphicData>
            </a:graphic>
          </wp:inline>
        </w:drawing>
      </w:r>
    </w:p>
    <w:p w14:paraId="0E3F4352" w14:textId="77777777" w:rsidR="000E2E7E" w:rsidRDefault="000E2E7E"/>
    <w:p w14:paraId="73022E7D" w14:textId="77777777" w:rsidR="000E2E7E" w:rsidRDefault="000E2E7E">
      <w:pPr>
        <w:rPr>
          <w:sz w:val="52"/>
          <w:szCs w:val="52"/>
        </w:rPr>
      </w:pPr>
    </w:p>
    <w:p w14:paraId="0C87A799" w14:textId="2E11B833" w:rsidR="000E2E7E" w:rsidRPr="000E2E7E" w:rsidRDefault="000E2E7E">
      <w:pPr>
        <w:rPr>
          <w:b/>
          <w:bCs/>
          <w:sz w:val="52"/>
          <w:szCs w:val="52"/>
        </w:rPr>
      </w:pPr>
      <w:r w:rsidRPr="000E2E7E">
        <w:rPr>
          <w:b/>
          <w:bCs/>
          <w:sz w:val="52"/>
          <w:szCs w:val="52"/>
        </w:rPr>
        <w:t>Module Code:</w:t>
      </w:r>
      <w:r>
        <w:rPr>
          <w:b/>
          <w:bCs/>
          <w:sz w:val="52"/>
          <w:szCs w:val="52"/>
        </w:rPr>
        <w:t xml:space="preserve">  </w:t>
      </w:r>
      <w:r w:rsidRPr="000E2E7E">
        <w:rPr>
          <w:b/>
          <w:bCs/>
          <w:sz w:val="48"/>
          <w:szCs w:val="48"/>
        </w:rPr>
        <w:t>ECAD</w:t>
      </w:r>
      <w:r w:rsidR="00510D18">
        <w:rPr>
          <w:b/>
          <w:bCs/>
          <w:sz w:val="48"/>
          <w:szCs w:val="48"/>
        </w:rPr>
        <w:t>5014</w:t>
      </w:r>
    </w:p>
    <w:p w14:paraId="10FFAE95" w14:textId="77777777" w:rsidR="000E2E7E" w:rsidRPr="000E2E7E" w:rsidRDefault="000E2E7E">
      <w:pPr>
        <w:rPr>
          <w:b/>
          <w:bCs/>
          <w:sz w:val="52"/>
          <w:szCs w:val="52"/>
        </w:rPr>
      </w:pPr>
    </w:p>
    <w:p w14:paraId="12C585B1" w14:textId="77777777" w:rsidR="000E2E7E" w:rsidRDefault="000E2E7E">
      <w:pPr>
        <w:rPr>
          <w:b/>
          <w:bCs/>
          <w:sz w:val="52"/>
          <w:szCs w:val="52"/>
        </w:rPr>
      </w:pPr>
      <w:r w:rsidRPr="000E2E7E">
        <w:rPr>
          <w:b/>
          <w:bCs/>
          <w:sz w:val="52"/>
          <w:szCs w:val="52"/>
        </w:rPr>
        <w:t>Assignment Title:</w:t>
      </w:r>
      <w:r>
        <w:rPr>
          <w:b/>
          <w:bCs/>
          <w:sz w:val="52"/>
          <w:szCs w:val="52"/>
        </w:rPr>
        <w:t xml:space="preserve"> </w:t>
      </w:r>
    </w:p>
    <w:p w14:paraId="1648AA10" w14:textId="0F7AD627" w:rsidR="000E2E7E" w:rsidRPr="000E2E7E" w:rsidRDefault="00510D18">
      <w:pPr>
        <w:rPr>
          <w:b/>
          <w:bCs/>
          <w:sz w:val="52"/>
          <w:szCs w:val="52"/>
        </w:rPr>
      </w:pPr>
      <w:r>
        <w:rPr>
          <w:b/>
          <w:bCs/>
          <w:sz w:val="44"/>
          <w:szCs w:val="44"/>
        </w:rPr>
        <w:t>Design and conduct a small-scale research study, and critically evaluate the chosen research tools, and the impact of your findings on your professional practice.</w:t>
      </w:r>
    </w:p>
    <w:p w14:paraId="78DCE9B9" w14:textId="77777777" w:rsidR="000E2E7E" w:rsidRPr="000E2E7E" w:rsidRDefault="000E2E7E">
      <w:pPr>
        <w:rPr>
          <w:b/>
          <w:bCs/>
          <w:sz w:val="52"/>
          <w:szCs w:val="52"/>
        </w:rPr>
      </w:pPr>
    </w:p>
    <w:p w14:paraId="47D65DC0" w14:textId="53CA28D3" w:rsidR="000E2E7E" w:rsidRPr="000E2E7E" w:rsidRDefault="000E2E7E">
      <w:pPr>
        <w:rPr>
          <w:b/>
          <w:bCs/>
          <w:sz w:val="52"/>
          <w:szCs w:val="52"/>
        </w:rPr>
      </w:pPr>
      <w:r w:rsidRPr="000E2E7E">
        <w:rPr>
          <w:b/>
          <w:bCs/>
          <w:sz w:val="52"/>
          <w:szCs w:val="52"/>
        </w:rPr>
        <w:t>Student Name:</w:t>
      </w:r>
      <w:r w:rsidR="008F3B7D">
        <w:rPr>
          <w:b/>
          <w:bCs/>
          <w:sz w:val="52"/>
          <w:szCs w:val="52"/>
        </w:rPr>
        <w:t xml:space="preserve"> Abby Hughes</w:t>
      </w:r>
    </w:p>
    <w:p w14:paraId="1025240F" w14:textId="13A3F67A" w:rsidR="000E2E7E" w:rsidRPr="000E2E7E" w:rsidRDefault="000E2E7E">
      <w:pPr>
        <w:rPr>
          <w:b/>
          <w:bCs/>
          <w:sz w:val="52"/>
          <w:szCs w:val="52"/>
        </w:rPr>
      </w:pPr>
      <w:r w:rsidRPr="000E2E7E">
        <w:rPr>
          <w:b/>
          <w:bCs/>
          <w:sz w:val="52"/>
          <w:szCs w:val="52"/>
        </w:rPr>
        <w:t>Student Number:</w:t>
      </w:r>
      <w:r w:rsidR="008F3B7D">
        <w:rPr>
          <w:b/>
          <w:bCs/>
          <w:sz w:val="52"/>
          <w:szCs w:val="52"/>
        </w:rPr>
        <w:t>2305307</w:t>
      </w:r>
    </w:p>
    <w:p w14:paraId="66EB3C44" w14:textId="3EA69FAC" w:rsidR="000E2E7E" w:rsidRDefault="000E2E7E">
      <w:pPr>
        <w:rPr>
          <w:b/>
          <w:bCs/>
          <w:sz w:val="52"/>
          <w:szCs w:val="52"/>
        </w:rPr>
      </w:pPr>
      <w:r w:rsidRPr="000E2E7E">
        <w:rPr>
          <w:b/>
          <w:bCs/>
          <w:sz w:val="52"/>
          <w:szCs w:val="52"/>
        </w:rPr>
        <w:t>BA Primary Education (QTS)</w:t>
      </w:r>
    </w:p>
    <w:p w14:paraId="097A6454" w14:textId="77777777" w:rsidR="000E2E7E" w:rsidRPr="000E2E7E" w:rsidRDefault="000E2E7E">
      <w:pPr>
        <w:rPr>
          <w:b/>
          <w:bCs/>
          <w:sz w:val="52"/>
          <w:szCs w:val="52"/>
        </w:rPr>
      </w:pPr>
    </w:p>
    <w:p w14:paraId="0BE6D22C" w14:textId="77777777" w:rsidR="000E2E7E" w:rsidRPr="00E243A8" w:rsidRDefault="000E2E7E" w:rsidP="000E2E7E">
      <w:pPr>
        <w:rPr>
          <w:b/>
          <w:bCs/>
          <w:sz w:val="32"/>
          <w:szCs w:val="32"/>
          <w:u w:val="single"/>
        </w:rPr>
      </w:pPr>
      <w:r w:rsidRPr="00E243A8">
        <w:rPr>
          <w:b/>
          <w:bCs/>
          <w:sz w:val="32"/>
          <w:szCs w:val="32"/>
          <w:u w:val="single"/>
        </w:rPr>
        <w:lastRenderedPageBreak/>
        <w:t>AI Acknowledgement</w:t>
      </w:r>
    </w:p>
    <w:p w14:paraId="2009F732" w14:textId="77777777" w:rsidR="000E2E7E" w:rsidRDefault="000E2E7E" w:rsidP="000E2E7E"/>
    <w:p w14:paraId="395CF8DB" w14:textId="7BE1D351" w:rsidR="000E2E7E" w:rsidRPr="00DD5969" w:rsidRDefault="000E2E7E" w:rsidP="000E2E7E">
      <w:r w:rsidRPr="00DD5969">
        <w:t xml:space="preserve">I acknowledge the use of </w:t>
      </w:r>
      <w:r w:rsidR="008F3B7D">
        <w:t>chat GPT</w:t>
      </w:r>
      <w:r w:rsidRPr="00DD5969">
        <w:t xml:space="preserve"> on </w:t>
      </w:r>
      <w:r w:rsidR="008F3B7D">
        <w:t xml:space="preserve">31/3/25 </w:t>
      </w:r>
      <w:r w:rsidR="008F3B7D" w:rsidRPr="00DD5969">
        <w:t>to</w:t>
      </w:r>
      <w:r w:rsidRPr="00DD5969">
        <w:t xml:space="preserve"> </w:t>
      </w:r>
      <w:r w:rsidR="008F3B7D">
        <w:t>support with finding resources</w:t>
      </w:r>
      <w:r w:rsidRPr="00DD5969">
        <w:t xml:space="preserve">. I used the prompt(s): </w:t>
      </w:r>
    </w:p>
    <w:p w14:paraId="3EC3AC2C" w14:textId="66DA7699" w:rsidR="000E2E7E" w:rsidRPr="00DD5969" w:rsidRDefault="000E2E7E" w:rsidP="000E2E7E">
      <w:r w:rsidRPr="00DD5969">
        <w:t xml:space="preserve">1.  </w:t>
      </w:r>
      <w:r w:rsidR="008F3B7D">
        <w:t>can you find me a source that doesn’t agree with Dylan William?</w:t>
      </w:r>
    </w:p>
    <w:p w14:paraId="73B0D9D1" w14:textId="77DF841F" w:rsidR="000E2E7E" w:rsidRPr="00DD5969" w:rsidRDefault="000E2E7E" w:rsidP="000E2E7E">
      <w:r w:rsidRPr="00DD5969">
        <w:t xml:space="preserve">2.  </w:t>
      </w:r>
      <w:r w:rsidR="008F3B7D">
        <w:t>what are the two types of data used in research?</w:t>
      </w:r>
    </w:p>
    <w:p w14:paraId="62A10BDA" w14:textId="0C797D39" w:rsidR="000E2E7E" w:rsidRPr="00DD5969" w:rsidRDefault="000E2E7E" w:rsidP="000E2E7E">
      <w:r w:rsidRPr="00DD5969">
        <w:t xml:space="preserve">3. </w:t>
      </w:r>
      <w:r w:rsidR="008F3B7D">
        <w:t>can you find me a theorist that support Dylan William?</w:t>
      </w:r>
      <w:r w:rsidRPr="00DD5969">
        <w:t xml:space="preserve"> </w:t>
      </w:r>
    </w:p>
    <w:p w14:paraId="57509DCF" w14:textId="77777777" w:rsidR="000E2E7E" w:rsidRDefault="000E2E7E" w:rsidP="000E2E7E">
      <w:r w:rsidRPr="00DD5969">
        <w:t xml:space="preserve">I confirm that I have not presented any AI generated text as my own work. </w:t>
      </w:r>
    </w:p>
    <w:p w14:paraId="4AC2F274" w14:textId="77777777" w:rsidR="000E2E7E" w:rsidRDefault="000E2E7E" w:rsidP="000E2E7E">
      <w:r w:rsidRPr="00DD5969">
        <w:t xml:space="preserve">I confirm </w:t>
      </w:r>
      <w:r>
        <w:t xml:space="preserve">that </w:t>
      </w:r>
      <w:r w:rsidRPr="00DD5969">
        <w:t xml:space="preserve">I have copies of my drafts, notes, and other resources I used before and after the use of AI tools which I may be asked to provide in evidence. </w:t>
      </w:r>
    </w:p>
    <w:p w14:paraId="33DC2754" w14:textId="77777777" w:rsidR="000E2E7E" w:rsidRDefault="000E2E7E" w:rsidP="000E2E7E"/>
    <w:p w14:paraId="576F22A4" w14:textId="77777777" w:rsidR="000E2E7E" w:rsidRDefault="000E2E7E" w:rsidP="000E2E7E">
      <w:pPr>
        <w:rPr>
          <w:sz w:val="16"/>
          <w:szCs w:val="16"/>
        </w:rPr>
      </w:pPr>
    </w:p>
    <w:tbl>
      <w:tblPr>
        <w:tblStyle w:val="TableGrid"/>
        <w:tblW w:w="9282" w:type="dxa"/>
        <w:tblLook w:val="04A0" w:firstRow="1" w:lastRow="0" w:firstColumn="1" w:lastColumn="0" w:noHBand="0" w:noVBand="1"/>
      </w:tblPr>
      <w:tblGrid>
        <w:gridCol w:w="3256"/>
        <w:gridCol w:w="3118"/>
        <w:gridCol w:w="2908"/>
      </w:tblGrid>
      <w:tr w:rsidR="000E2E7E" w:rsidRPr="001B4AB4" w14:paraId="0ADB3F25" w14:textId="77777777" w:rsidTr="000E2E7E">
        <w:trPr>
          <w:trHeight w:val="360"/>
        </w:trPr>
        <w:tc>
          <w:tcPr>
            <w:tcW w:w="3256" w:type="dxa"/>
          </w:tcPr>
          <w:p w14:paraId="2110C93E" w14:textId="45B7432A" w:rsidR="000E2E7E" w:rsidRPr="00121BB2" w:rsidRDefault="000E2E7E" w:rsidP="00AE36BB">
            <w:pPr>
              <w:rPr>
                <w:b/>
                <w:bCs/>
                <w:color w:val="FFFFFF"/>
                <w:sz w:val="28"/>
                <w:szCs w:val="28"/>
                <w:lang w:val="cy-GB"/>
              </w:rPr>
            </w:pPr>
            <w:r w:rsidRPr="00121BB2">
              <w:rPr>
                <w:b/>
                <w:bCs/>
                <w:sz w:val="28"/>
                <w:szCs w:val="28"/>
                <w:lang w:val="cy-GB"/>
              </w:rPr>
              <w:t>Targets from previous module</w:t>
            </w:r>
          </w:p>
        </w:tc>
        <w:tc>
          <w:tcPr>
            <w:tcW w:w="3118" w:type="dxa"/>
          </w:tcPr>
          <w:p w14:paraId="1C0504E0" w14:textId="648CF4FC" w:rsidR="000E2E7E" w:rsidRPr="00121BB2" w:rsidRDefault="000E2E7E" w:rsidP="00AE36BB">
            <w:pPr>
              <w:rPr>
                <w:b/>
                <w:bCs/>
                <w:color w:val="FFFFFF"/>
                <w:sz w:val="28"/>
                <w:szCs w:val="28"/>
                <w:lang w:val="cy-GB"/>
              </w:rPr>
            </w:pPr>
            <w:r w:rsidRPr="00121BB2">
              <w:rPr>
                <w:b/>
                <w:bCs/>
                <w:sz w:val="28"/>
                <w:szCs w:val="28"/>
                <w:lang w:val="cy-GB"/>
              </w:rPr>
              <w:t>How I have worked on these?</w:t>
            </w:r>
          </w:p>
        </w:tc>
        <w:tc>
          <w:tcPr>
            <w:tcW w:w="2908" w:type="dxa"/>
          </w:tcPr>
          <w:p w14:paraId="0ED8A1ED" w14:textId="77777777" w:rsidR="000E2E7E" w:rsidRPr="00121BB2" w:rsidRDefault="000E2E7E" w:rsidP="00AE36BB">
            <w:pPr>
              <w:rPr>
                <w:rFonts w:ascii="Calibri" w:hAnsi="Calibri" w:cs="Calibri"/>
                <w:b/>
                <w:bCs/>
                <w:sz w:val="28"/>
                <w:szCs w:val="28"/>
                <w:lang w:val="cy-GB"/>
              </w:rPr>
            </w:pPr>
            <w:r w:rsidRPr="00121BB2">
              <w:rPr>
                <w:rFonts w:ascii="Calibri" w:hAnsi="Calibri" w:cs="Calibri"/>
                <w:b/>
                <w:bCs/>
                <w:sz w:val="28"/>
                <w:szCs w:val="28"/>
                <w:lang w:val="cy-GB"/>
              </w:rPr>
              <w:t>An example can be seen on…</w:t>
            </w:r>
          </w:p>
          <w:p w14:paraId="0798C571" w14:textId="146BBBF0" w:rsidR="000E2E7E" w:rsidRPr="00121BB2" w:rsidRDefault="000E2E7E" w:rsidP="00AE36BB">
            <w:pPr>
              <w:rPr>
                <w:b/>
                <w:bCs/>
                <w:color w:val="FFFFFF"/>
                <w:sz w:val="28"/>
                <w:szCs w:val="28"/>
                <w:lang w:val="cy-GB"/>
              </w:rPr>
            </w:pPr>
          </w:p>
        </w:tc>
      </w:tr>
      <w:tr w:rsidR="000E2E7E" w:rsidRPr="001B4AB4" w14:paraId="0EC7171C" w14:textId="77777777" w:rsidTr="000E2E7E">
        <w:trPr>
          <w:trHeight w:val="338"/>
        </w:trPr>
        <w:tc>
          <w:tcPr>
            <w:tcW w:w="3256" w:type="dxa"/>
          </w:tcPr>
          <w:p w14:paraId="5BA86912" w14:textId="77777777" w:rsidR="008F3B7D" w:rsidRPr="008F3B7D" w:rsidRDefault="008F3B7D" w:rsidP="008F3B7D">
            <w:r w:rsidRPr="008F3B7D">
              <w:t>1) Endeavour to synthesise wider background research into your writing to aid the support of your key points.</w:t>
            </w:r>
          </w:p>
          <w:p w14:paraId="4DC5C8A2" w14:textId="77777777" w:rsidR="000E2E7E" w:rsidRDefault="000E2E7E" w:rsidP="00AE36BB">
            <w:pPr>
              <w:rPr>
                <w:lang w:val="cy-GB"/>
              </w:rPr>
            </w:pPr>
          </w:p>
          <w:p w14:paraId="18121FAC" w14:textId="77777777" w:rsidR="000E2E7E" w:rsidRPr="001B4AB4" w:rsidRDefault="000E2E7E" w:rsidP="00AE36BB">
            <w:pPr>
              <w:rPr>
                <w:lang w:val="cy-GB"/>
              </w:rPr>
            </w:pPr>
          </w:p>
        </w:tc>
        <w:tc>
          <w:tcPr>
            <w:tcW w:w="3118" w:type="dxa"/>
          </w:tcPr>
          <w:p w14:paraId="0A55C9ED" w14:textId="304319EF" w:rsidR="000E2E7E" w:rsidRPr="001B4AB4" w:rsidRDefault="008F3B7D" w:rsidP="00AE36BB">
            <w:pPr>
              <w:rPr>
                <w:lang w:val="cy-GB"/>
              </w:rPr>
            </w:pPr>
            <w:r>
              <w:rPr>
                <w:lang w:val="cy-GB"/>
              </w:rPr>
              <w:t xml:space="preserve">When researching i tried to use more soures and synthesise reserch throughout my work. </w:t>
            </w:r>
          </w:p>
        </w:tc>
        <w:tc>
          <w:tcPr>
            <w:tcW w:w="2908" w:type="dxa"/>
          </w:tcPr>
          <w:p w14:paraId="183044AB" w14:textId="71963EFA" w:rsidR="000E2E7E" w:rsidRPr="001B4AB4" w:rsidRDefault="008F3B7D" w:rsidP="00AE36BB">
            <w:pPr>
              <w:rPr>
                <w:lang w:val="cy-GB"/>
              </w:rPr>
            </w:pPr>
            <w:r>
              <w:rPr>
                <w:lang w:val="cy-GB"/>
              </w:rPr>
              <w:t>In the introduction and lieratre review when stating key points.</w:t>
            </w:r>
          </w:p>
        </w:tc>
      </w:tr>
      <w:tr w:rsidR="000E2E7E" w:rsidRPr="001B4AB4" w14:paraId="388E36FE" w14:textId="77777777" w:rsidTr="000E2E7E">
        <w:trPr>
          <w:trHeight w:val="338"/>
        </w:trPr>
        <w:tc>
          <w:tcPr>
            <w:tcW w:w="3256" w:type="dxa"/>
          </w:tcPr>
          <w:p w14:paraId="6453C751" w14:textId="77777777" w:rsidR="008F3B7D" w:rsidRPr="008F3B7D" w:rsidRDefault="008F3B7D" w:rsidP="008F3B7D">
            <w:r w:rsidRPr="008F3B7D">
              <w:t>2) Ensure to elaborate in detail when offering the opposing view/ aspects to be cautious with and limitations whenever possible.</w:t>
            </w:r>
          </w:p>
          <w:p w14:paraId="2740262D" w14:textId="77777777" w:rsidR="000E2E7E" w:rsidRDefault="000E2E7E" w:rsidP="00AE36BB">
            <w:pPr>
              <w:rPr>
                <w:lang w:val="cy-GB"/>
              </w:rPr>
            </w:pPr>
          </w:p>
          <w:p w14:paraId="06CE4F7D" w14:textId="77777777" w:rsidR="000E2E7E" w:rsidRPr="001B4AB4" w:rsidRDefault="000E2E7E" w:rsidP="00AE36BB">
            <w:pPr>
              <w:rPr>
                <w:lang w:val="cy-GB"/>
              </w:rPr>
            </w:pPr>
          </w:p>
        </w:tc>
        <w:tc>
          <w:tcPr>
            <w:tcW w:w="3118" w:type="dxa"/>
          </w:tcPr>
          <w:p w14:paraId="33CC185F" w14:textId="773BDAD0" w:rsidR="000E2E7E" w:rsidRPr="001B4AB4" w:rsidRDefault="008F3B7D" w:rsidP="00AE36BB">
            <w:pPr>
              <w:rPr>
                <w:lang w:val="cy-GB"/>
              </w:rPr>
            </w:pPr>
            <w:r>
              <w:rPr>
                <w:lang w:val="cy-GB"/>
              </w:rPr>
              <w:t xml:space="preserve">I tried to back up my negative arguments with one or more sources while using tentative lnauage </w:t>
            </w:r>
          </w:p>
        </w:tc>
        <w:tc>
          <w:tcPr>
            <w:tcW w:w="2908" w:type="dxa"/>
          </w:tcPr>
          <w:p w14:paraId="37CFC390" w14:textId="4FFA573A" w:rsidR="000E2E7E" w:rsidRPr="001B4AB4" w:rsidRDefault="008F3B7D" w:rsidP="00AE36BB">
            <w:pPr>
              <w:rPr>
                <w:lang w:val="cy-GB"/>
              </w:rPr>
            </w:pPr>
            <w:r>
              <w:rPr>
                <w:lang w:val="cy-GB"/>
              </w:rPr>
              <w:t xml:space="preserve">Instead of agreeging with argument question judgement and used words such as suggets as seen in my literature review </w:t>
            </w:r>
          </w:p>
        </w:tc>
      </w:tr>
      <w:tr w:rsidR="000E2E7E" w:rsidRPr="001B4AB4" w14:paraId="05EE73CD" w14:textId="77777777" w:rsidTr="000E2E7E">
        <w:trPr>
          <w:trHeight w:val="338"/>
        </w:trPr>
        <w:tc>
          <w:tcPr>
            <w:tcW w:w="3256" w:type="dxa"/>
          </w:tcPr>
          <w:p w14:paraId="5C658833" w14:textId="77777777" w:rsidR="000E2E7E" w:rsidRDefault="000E2E7E" w:rsidP="00AE36BB">
            <w:pPr>
              <w:rPr>
                <w:lang w:val="cy-GB"/>
              </w:rPr>
            </w:pPr>
          </w:p>
          <w:p w14:paraId="5124C22B" w14:textId="77777777" w:rsidR="008F3B7D" w:rsidRPr="008F3B7D" w:rsidRDefault="008F3B7D" w:rsidP="008F3B7D">
            <w:r w:rsidRPr="008F3B7D">
              <w:t>3) Further elaborate on the good points identified with even greater critical reflection.</w:t>
            </w:r>
          </w:p>
          <w:p w14:paraId="42E07348" w14:textId="77777777" w:rsidR="000E2E7E" w:rsidRPr="001B4AB4" w:rsidRDefault="000E2E7E" w:rsidP="00AE36BB">
            <w:pPr>
              <w:rPr>
                <w:lang w:val="cy-GB"/>
              </w:rPr>
            </w:pPr>
          </w:p>
        </w:tc>
        <w:tc>
          <w:tcPr>
            <w:tcW w:w="3118" w:type="dxa"/>
          </w:tcPr>
          <w:p w14:paraId="37B37629" w14:textId="786361CE" w:rsidR="000E2E7E" w:rsidRPr="001B4AB4" w:rsidRDefault="008F3B7D" w:rsidP="00AE36BB">
            <w:pPr>
              <w:rPr>
                <w:lang w:val="cy-GB"/>
              </w:rPr>
            </w:pPr>
            <w:r>
              <w:rPr>
                <w:lang w:val="cy-GB"/>
              </w:rPr>
              <w:t>I tried to support my good points further by synthesising research and suporting them with more literature and exapplining the effects to children.</w:t>
            </w:r>
          </w:p>
        </w:tc>
        <w:tc>
          <w:tcPr>
            <w:tcW w:w="2908" w:type="dxa"/>
          </w:tcPr>
          <w:p w14:paraId="7AC8D709" w14:textId="15A69F86" w:rsidR="000E2E7E" w:rsidRPr="001B4AB4" w:rsidRDefault="00A6006A" w:rsidP="00AE36BB">
            <w:pPr>
              <w:rPr>
                <w:lang w:val="cy-GB"/>
              </w:rPr>
            </w:pPr>
            <w:r>
              <w:rPr>
                <w:lang w:val="cy-GB"/>
              </w:rPr>
              <w:t>Throughout my literatire reviewIi developed this throughout</w:t>
            </w:r>
          </w:p>
        </w:tc>
      </w:tr>
    </w:tbl>
    <w:p w14:paraId="44B6B5EF" w14:textId="77777777" w:rsidR="000E2E7E" w:rsidRPr="000E2E7E" w:rsidRDefault="000E2E7E" w:rsidP="000E2E7E">
      <w:pPr>
        <w:rPr>
          <w:sz w:val="16"/>
          <w:szCs w:val="16"/>
          <w:lang w:val="cy-GB"/>
        </w:rPr>
      </w:pPr>
    </w:p>
    <w:p w14:paraId="4CF6C14B" w14:textId="77777777" w:rsidR="000E2E7E" w:rsidRDefault="000E2E7E" w:rsidP="000E2E7E">
      <w:pPr>
        <w:rPr>
          <w:sz w:val="16"/>
          <w:szCs w:val="16"/>
        </w:rPr>
      </w:pPr>
    </w:p>
    <w:p w14:paraId="316233A3" w14:textId="77777777" w:rsidR="000E2E7E" w:rsidRDefault="000E2E7E" w:rsidP="000E2E7E">
      <w:pPr>
        <w:rPr>
          <w:sz w:val="16"/>
          <w:szCs w:val="16"/>
        </w:rPr>
      </w:pPr>
    </w:p>
    <w:p w14:paraId="1F63C271" w14:textId="7F955FD2" w:rsidR="000E2E7E" w:rsidRDefault="000E2E7E" w:rsidP="000E2E7E">
      <w:pPr>
        <w:rPr>
          <w:rFonts w:ascii="Arial" w:hAnsi="Arial" w:cs="Arial"/>
          <w:color w:val="000000" w:themeColor="text1"/>
          <w:sz w:val="22"/>
          <w:szCs w:val="22"/>
        </w:rPr>
      </w:pPr>
      <w:r w:rsidRPr="000E2E7E">
        <w:rPr>
          <w:sz w:val="36"/>
          <w:szCs w:val="36"/>
        </w:rPr>
        <w:lastRenderedPageBreak/>
        <w:t>Research Question</w:t>
      </w:r>
      <w:r w:rsidR="008F3B7D">
        <w:rPr>
          <w:sz w:val="36"/>
          <w:szCs w:val="36"/>
        </w:rPr>
        <w:t>:</w:t>
      </w:r>
      <w:r w:rsidR="00AD7770" w:rsidRPr="00AD7770">
        <w:t xml:space="preserve"> </w:t>
      </w:r>
      <w:r w:rsidR="00A6006A">
        <w:rPr>
          <w:rFonts w:ascii="Arial" w:hAnsi="Arial" w:cs="Arial"/>
          <w:color w:val="000000" w:themeColor="text1"/>
          <w:sz w:val="22"/>
          <w:szCs w:val="22"/>
        </w:rPr>
        <w:t>How does a clear learning intention and the use of a success criteria impact on a child’s achievement during the classroom according to the perceptions of the class teacher and pupils within a year 3/4 class?</w:t>
      </w:r>
    </w:p>
    <w:p w14:paraId="0D6E8C7C" w14:textId="77777777" w:rsidR="00A6006A" w:rsidRPr="008654E9" w:rsidRDefault="00A6006A" w:rsidP="00A6006A">
      <w:pPr>
        <w:rPr>
          <w:u w:val="single"/>
        </w:rPr>
      </w:pPr>
      <w:r w:rsidRPr="008654E9">
        <w:rPr>
          <w:u w:val="single"/>
        </w:rPr>
        <w:t>Introduction</w:t>
      </w:r>
    </w:p>
    <w:p w14:paraId="65101A2F" w14:textId="77777777" w:rsidR="00A6006A" w:rsidRDefault="00A6006A" w:rsidP="00A6006A">
      <w:r>
        <w:t xml:space="preserve">Assessment for learning is defined as “the bridge between teaching and learning “(Donaldson, 2015, p.76). Dylan William’s and Paul black’s research on AFL explores the importance of providing children opportunities to be assessed within everyday classroom activities to adapt and modify the teaching and learning for the future (William, 2017, p. 39-40, </w:t>
      </w:r>
      <w:proofErr w:type="spellStart"/>
      <w:r>
        <w:t>Cremin</w:t>
      </w:r>
      <w:proofErr w:type="spellEnd"/>
      <w:r>
        <w:t xml:space="preserve"> and Burnett, 2018, p.275).  It is also key to highlight that AFL is also prioritised throughout the Welsh curriculum with Donaldson (2015, p.76) empathising that it should be a natural aspect of teaching to promote progression. It’s also identified within the Welsh QTS standards that the use of assessment is to meet the learners needs and support them further (Welsh Government, 2019, p.24). During this assignment I will be researching the impact the AFL strategy success criteria’s and learning intentions have on student achievement using perspectives from a year 3/4 class and KS2 teachers to back up my findings. For this assignment my aim is to deepen my understanding and the impact these strategies have on children whilst also supporting my professional development within research. </w:t>
      </w:r>
    </w:p>
    <w:p w14:paraId="35C957B3" w14:textId="77777777" w:rsidR="00A6006A" w:rsidRDefault="00A6006A" w:rsidP="00A6006A">
      <w:pPr>
        <w:rPr>
          <w:u w:val="single"/>
        </w:rPr>
      </w:pPr>
      <w:r w:rsidRPr="008654E9">
        <w:rPr>
          <w:u w:val="single"/>
        </w:rPr>
        <w:t xml:space="preserve">Background of </w:t>
      </w:r>
      <w:r>
        <w:rPr>
          <w:u w:val="single"/>
        </w:rPr>
        <w:t xml:space="preserve">the AFL </w:t>
      </w:r>
      <w:proofErr w:type="spellStart"/>
      <w:r>
        <w:rPr>
          <w:u w:val="single"/>
        </w:rPr>
        <w:t>stratergies</w:t>
      </w:r>
      <w:proofErr w:type="spellEnd"/>
    </w:p>
    <w:p w14:paraId="08364F4A" w14:textId="77777777" w:rsidR="00A6006A" w:rsidRPr="00E7355F" w:rsidRDefault="00A6006A" w:rsidP="00A6006A">
      <w:pPr>
        <w:rPr>
          <w:color w:val="000000" w:themeColor="text1"/>
        </w:rPr>
      </w:pPr>
      <w:r>
        <w:t xml:space="preserve">Within the Welsh Curriculum it is identified that any assessment undertaken in the classroom should be used to support the learners further by identifying the next steps (Donaldson, 2015, P. 73). In education both clear learning intentions and success criteria’s have been identified as one of the most beneficial and supportive strategies to use within a classroom due to the importance of sharing clarity and purpose with the learners (William, 2017, p58, Crichton and McDaid, 2016). A learning intention is best described as the focus or aim of what the children will be learning (Crichton and McDaid, 2016). Additionally, a success criteria’s closely links to the learning intention and when used correctly can provide children with guidance on how to succeed during the task (Crichton and McDaid, 2016). Alongside Dylan William and Paul Blacks’ theory inside the Black Box which focuses on raising children’s achievement through implementing AFL strategies into the daily routine (William and Black, 1998). Locke and Latham focus on the importance behind goal setting links closely to the use of a clear learning intention and success criteria during a lesson due to the emphasise on clarity and being specific when trying to achieve goals (World of Work, 2019). This theory suggests when individuals are given specific, appropriate and measurable goals in this case a clear learning intention or a </w:t>
      </w:r>
      <w:proofErr w:type="gramStart"/>
      <w:r>
        <w:t>success criteria</w:t>
      </w:r>
      <w:proofErr w:type="gramEnd"/>
      <w:r>
        <w:t xml:space="preserve"> to follow they are more likely to show better engagement, motivation and achieve higher (World of Work, 2019). </w:t>
      </w:r>
      <w:r>
        <w:rPr>
          <w:color w:val="000000" w:themeColor="text1"/>
        </w:rPr>
        <w:t xml:space="preserve">A critical view is offered by Crowley (Unknown date) who states that goal setting can impact the individual’s unethical behaviour, engagement and motivation. This is further </w:t>
      </w:r>
      <w:r>
        <w:rPr>
          <w:color w:val="000000" w:themeColor="text1"/>
        </w:rPr>
        <w:lastRenderedPageBreak/>
        <w:t>supported by Yerkes- Dodson law who challenges that too much stress caused by challenging goals can cause the opposite effect on children leading to lack of motivation and effect their school performance</w:t>
      </w:r>
      <w:r w:rsidRPr="00E7355F">
        <w:rPr>
          <w:b/>
          <w:bCs/>
          <w:color w:val="000000" w:themeColor="text1"/>
        </w:rPr>
        <w:t> </w:t>
      </w:r>
      <w:r w:rsidRPr="00E7355F">
        <w:rPr>
          <w:color w:val="000000" w:themeColor="text1"/>
        </w:rPr>
        <w:t>(Pietrangelo</w:t>
      </w:r>
      <w:r>
        <w:rPr>
          <w:color w:val="000000" w:themeColor="text1"/>
        </w:rPr>
        <w:t xml:space="preserve">, 2020). Therefore, a recommendation could be to provide children with individual success criterias to ensure the goals are not to challenging and focus on supporting individual targets. </w:t>
      </w:r>
    </w:p>
    <w:p w14:paraId="268C7485" w14:textId="77777777" w:rsidR="00A6006A" w:rsidRDefault="00A6006A" w:rsidP="00A6006A">
      <w:pPr>
        <w:rPr>
          <w:u w:val="single"/>
        </w:rPr>
      </w:pPr>
      <w:r>
        <w:rPr>
          <w:u w:val="single"/>
        </w:rPr>
        <w:t xml:space="preserve">The effectiveness of these strategies </w:t>
      </w:r>
    </w:p>
    <w:p w14:paraId="755ED35A" w14:textId="77777777" w:rsidR="00A6006A" w:rsidRPr="00E22C3B" w:rsidRDefault="00A6006A" w:rsidP="00A6006A">
      <w:pPr>
        <w:rPr>
          <w:color w:val="000000" w:themeColor="text1"/>
        </w:rPr>
      </w:pPr>
      <w:r>
        <w:t>The purpose of the Welsh curriculum is to provide all children in Wales the opportunity to succeed and achieve within school (Donaldson, 2015). It’s stated by William (2018, p.5) that educational achievement should now be recognised as the priority for schools due to the long-lasting effects on society and the individuals. He also elaborates that this can be achieved through sharing expectations (William, 2018, p.57). T</w:t>
      </w:r>
      <w:r w:rsidRPr="00E7355F">
        <w:t xml:space="preserve">he purpose </w:t>
      </w:r>
      <w:r>
        <w:t xml:space="preserve">of a learning intention and success criteria is to share the idea of the lesson with the pupils for them to have a better understanding of what’s expected (Crichton and McDaid, 2016, Hattie, 2019). A study based on the impact of a success criteria stresses that when a child has not understood the aim of the lesson it leads to low achievement, lack of student motivation and engagement (Eagan, 2023, p.97).  He later elaborates on this point claiming that underperforming students are struggling due to the lack of clarity and understanding (Eagan, 2023, p.97).  Further evidence supporting this comes from </w:t>
      </w:r>
      <w:proofErr w:type="spellStart"/>
      <w:r>
        <w:t>Freibron</w:t>
      </w:r>
      <w:proofErr w:type="spellEnd"/>
      <w:r>
        <w:t xml:space="preserve"> (2021, </w:t>
      </w:r>
      <w:proofErr w:type="spellStart"/>
      <w:r>
        <w:t>Zaferis</w:t>
      </w:r>
      <w:proofErr w:type="spellEnd"/>
      <w:r>
        <w:t>, 2023) who agrees with Eagan and suggests that the use of a learning intention and success criteria can promote the pupil’s motivation and achievement during the lesson due to sharing how goals can be achieved.</w:t>
      </w:r>
      <w:r>
        <w:rPr>
          <w:color w:val="FF0000"/>
        </w:rPr>
        <w:t xml:space="preserve"> </w:t>
      </w:r>
      <w:r>
        <w:rPr>
          <w:color w:val="000000" w:themeColor="text1"/>
        </w:rPr>
        <w:t xml:space="preserve">An alternative viewpoint is put forward by </w:t>
      </w:r>
      <w:proofErr w:type="spellStart"/>
      <w:r>
        <w:rPr>
          <w:color w:val="000000" w:themeColor="text1"/>
        </w:rPr>
        <w:t>Didau</w:t>
      </w:r>
      <w:proofErr w:type="spellEnd"/>
      <w:r>
        <w:rPr>
          <w:color w:val="000000" w:themeColor="text1"/>
        </w:rPr>
        <w:t xml:space="preserve"> (2015) who argues that although sharing expectations can be a useful tool to use it doesn’t always encourage children to gain a greater understanding of what is meant to be learnt instead used as a tool to mimic the task the way its expected. </w:t>
      </w:r>
    </w:p>
    <w:p w14:paraId="51DF1702" w14:textId="77777777" w:rsidR="00A6006A" w:rsidRPr="008654E9" w:rsidRDefault="00A6006A" w:rsidP="00A6006A">
      <w:pPr>
        <w:rPr>
          <w:u w:val="single"/>
        </w:rPr>
      </w:pPr>
      <w:r>
        <w:rPr>
          <w:u w:val="single"/>
        </w:rPr>
        <w:t>The limitations to consider</w:t>
      </w:r>
    </w:p>
    <w:p w14:paraId="7682968B" w14:textId="77777777" w:rsidR="00A6006A" w:rsidRPr="00CE1D00" w:rsidRDefault="00A6006A" w:rsidP="00A6006A">
      <w:pPr>
        <w:rPr>
          <w:color w:val="000000" w:themeColor="text1"/>
        </w:rPr>
      </w:pPr>
      <w:r>
        <w:t>The use of a success criteria and learning intentions are seen as one of the most beneficial strategies but also has an above average effect on their quality of work (Hattie and Donoghue, 2016). It is crucial to identify and consider the protentional challenges and limitations that may arise. One challenge that has been highlighted is the ability to differentiate the expectations (</w:t>
      </w:r>
      <w:proofErr w:type="spellStart"/>
      <w:r>
        <w:t>Didau</w:t>
      </w:r>
      <w:proofErr w:type="spellEnd"/>
      <w:r>
        <w:t xml:space="preserve">, 2015). Although it identifies that for children to succeed individually, we must provide support for all. </w:t>
      </w:r>
      <w:proofErr w:type="spellStart"/>
      <w:r>
        <w:t>Didau</w:t>
      </w:r>
      <w:proofErr w:type="spellEnd"/>
      <w:r>
        <w:t xml:space="preserve"> (2015) expresses that a focus on differentiation can negatively affect the child’s expectations due to a focus on levels causing children to feel upset and discouraged. </w:t>
      </w:r>
      <w:r>
        <w:rPr>
          <w:color w:val="000000" w:themeColor="text1"/>
        </w:rPr>
        <w:t xml:space="preserve">On the other hand, Chowdhary’s (2021) argues that providing children with different levels allows the pupils to feel comfortable and at ease when choosing the appropriate challenge. </w:t>
      </w:r>
      <w:r w:rsidRPr="00CE1D00">
        <w:rPr>
          <w:color w:val="000000" w:themeColor="text1"/>
        </w:rPr>
        <w:t xml:space="preserve">During my research my aim is to understand the effects a </w:t>
      </w:r>
      <w:proofErr w:type="gramStart"/>
      <w:r w:rsidRPr="00CE1D00">
        <w:rPr>
          <w:color w:val="000000" w:themeColor="text1"/>
        </w:rPr>
        <w:t>success criteria</w:t>
      </w:r>
      <w:proofErr w:type="gramEnd"/>
      <w:r w:rsidRPr="00CE1D00">
        <w:rPr>
          <w:color w:val="000000" w:themeColor="text1"/>
        </w:rPr>
        <w:t xml:space="preserve"> and learning intention have on a student achievement. This has been identified in an article as a gap or challenge when implementing these strategies due to the focus on if children were able to tick of the </w:t>
      </w:r>
      <w:r w:rsidRPr="00CE1D00">
        <w:rPr>
          <w:color w:val="000000" w:themeColor="text1"/>
        </w:rPr>
        <w:lastRenderedPageBreak/>
        <w:t>goal instead of understanding the task and using the knowledge further (</w:t>
      </w:r>
      <w:proofErr w:type="spellStart"/>
      <w:r>
        <w:rPr>
          <w:color w:val="000000" w:themeColor="text1"/>
        </w:rPr>
        <w:t>Durran</w:t>
      </w:r>
      <w:proofErr w:type="spellEnd"/>
      <w:r w:rsidRPr="00CE1D00">
        <w:rPr>
          <w:color w:val="000000" w:themeColor="text1"/>
        </w:rPr>
        <w:t xml:space="preserve"> 20</w:t>
      </w:r>
      <w:r>
        <w:rPr>
          <w:color w:val="000000" w:themeColor="text1"/>
        </w:rPr>
        <w:t>21</w:t>
      </w:r>
      <w:r w:rsidRPr="00CE1D00">
        <w:rPr>
          <w:color w:val="000000" w:themeColor="text1"/>
        </w:rPr>
        <w:t xml:space="preserve">). As a result, I aim to understand if the use of a success criteria supports children’s learning further and how teachers implement it to ensure children understand the deeper meaning of the task. </w:t>
      </w:r>
    </w:p>
    <w:p w14:paraId="0AD64524" w14:textId="77777777" w:rsidR="00A6006A" w:rsidRDefault="00A6006A" w:rsidP="00A6006A">
      <w:pPr>
        <w:rPr>
          <w:color w:val="000000" w:themeColor="text1"/>
          <w:u w:val="single"/>
        </w:rPr>
      </w:pPr>
      <w:r>
        <w:rPr>
          <w:color w:val="000000" w:themeColor="text1"/>
          <w:u w:val="single"/>
        </w:rPr>
        <w:t>Methodology</w:t>
      </w:r>
    </w:p>
    <w:p w14:paraId="59272641" w14:textId="77777777" w:rsidR="00A6006A" w:rsidRDefault="00A6006A" w:rsidP="00A6006A">
      <w:pPr>
        <w:rPr>
          <w:color w:val="000000" w:themeColor="text1"/>
        </w:rPr>
      </w:pPr>
      <w:r>
        <w:rPr>
          <w:color w:val="000000" w:themeColor="text1"/>
        </w:rPr>
        <w:t xml:space="preserve">Research in education is seen as a crucial tool and can provide educators the ability to improve their practice, decision making, leading to an overall improvement in supporting </w:t>
      </w:r>
      <w:r w:rsidRPr="00EC4B9A">
        <w:rPr>
          <w:color w:val="000000" w:themeColor="text1"/>
        </w:rPr>
        <w:t xml:space="preserve">children’s outcomes whilst minimising challenges (Welsh Government, 2021, Cohen, Manion and Morrison, 2017). This is further supported by the Welsh Government QTS standards stating to support teachers’ professional development its crucial to engage in research to support day to day practice (Welsh Government, 2019). As mentioned previously my chosen research question is to study </w:t>
      </w:r>
      <w:r w:rsidRPr="00EC4B9A">
        <w:rPr>
          <w:rFonts w:cs="Arial"/>
          <w:color w:val="000000" w:themeColor="text1"/>
        </w:rPr>
        <w:t>How a clear learning intention and the use of a success criteria impact on a child’s achievement during the classroom according to the perceptions of the class teacher and pupils within a year 3/4 class?</w:t>
      </w:r>
      <w:r w:rsidRPr="00EC4B9A">
        <w:t xml:space="preserve"> To carry out this research my study relies on the information collected from the research tools interviews and questionnaires. I have decided to use two research tools also known as triangulation which provides validity, reliability and can provide an overall better understanding of my study (</w:t>
      </w:r>
      <w:r w:rsidRPr="00EC4B9A">
        <w:rPr>
          <w:color w:val="000000" w:themeColor="text1"/>
        </w:rPr>
        <w:t>Cohen, Manion</w:t>
      </w:r>
      <w:r>
        <w:rPr>
          <w:color w:val="000000" w:themeColor="text1"/>
        </w:rPr>
        <w:t xml:space="preserve"> and Morrison, 2017). </w:t>
      </w:r>
    </w:p>
    <w:p w14:paraId="4DF383F3" w14:textId="77777777" w:rsidR="00A6006A" w:rsidRDefault="00A6006A" w:rsidP="00A6006A">
      <w:pPr>
        <w:rPr>
          <w:color w:val="000000" w:themeColor="text1"/>
          <w:u w:val="single"/>
        </w:rPr>
      </w:pPr>
      <w:r>
        <w:rPr>
          <w:color w:val="000000" w:themeColor="text1"/>
          <w:u w:val="single"/>
        </w:rPr>
        <w:t xml:space="preserve">Questionnaire </w:t>
      </w:r>
    </w:p>
    <w:p w14:paraId="1219D02E" w14:textId="77777777" w:rsidR="00A6006A" w:rsidRDefault="00A6006A" w:rsidP="00A6006A">
      <w:pPr>
        <w:rPr>
          <w:color w:val="000000" w:themeColor="text1"/>
        </w:rPr>
      </w:pPr>
      <w:r>
        <w:rPr>
          <w:color w:val="000000" w:themeColor="text1"/>
        </w:rPr>
        <w:t xml:space="preserve">To begin my research, I conducted an online questionnaire using the software Microsoft forms. An online questionnaire is described as a series of questions that target a specific audience to gather relevant data (Bhat, 2021). Many researchers have utilised questionnaire’s due to its ability to collect large amount of responses quickly, it’s cost effectiveness and the increase of honest answers due to the ability to be anonymous (Marshall, 2005, Cohen, Manion and Morrison, 2017). On the other hand, its suggested that questionnaires can be seen as an ineffective tool due to the low number of responses and only provide a snapshot answer due to lack of opportunity to expand or ask to follow up questions (Pattern, 2016). To limit this disadvantage, I decided that it would be more beneficial to conduct the online questionnaire first due to the ability to tailor my interview questions later to discuss certain areas further, this is also supported by Deakin university (2019). </w:t>
      </w:r>
    </w:p>
    <w:p w14:paraId="03543275" w14:textId="77777777" w:rsidR="00A6006A" w:rsidRDefault="00A6006A" w:rsidP="00A6006A">
      <w:pPr>
        <w:rPr>
          <w:color w:val="000000" w:themeColor="text1"/>
        </w:rPr>
      </w:pPr>
      <w:r>
        <w:rPr>
          <w:color w:val="000000" w:themeColor="text1"/>
        </w:rPr>
        <w:t xml:space="preserve">When I created my online questionnaire through Microsoft forms, my questions were both closed and open ended therefore collected qualitive and quantitative data. Qualitive data is the process of analysing numerical data whereas quantitative data is focused on exploring non numerical data such as words and images (McLeod, 2023). As a result, by planning for both sets of data I can explore relationships, find contradictions and easily validate my findings (McLeod, 2023). However, according to </w:t>
      </w:r>
      <w:r w:rsidRPr="00154AEF">
        <w:rPr>
          <w:color w:val="000000" w:themeColor="text1"/>
        </w:rPr>
        <w:t>Sehwail</w:t>
      </w:r>
      <w:r>
        <w:rPr>
          <w:color w:val="000000" w:themeColor="text1"/>
        </w:rPr>
        <w:t xml:space="preserve"> (2024, McLeod, 2023) both sets of data can be seen as unusable without a large scale of </w:t>
      </w:r>
      <w:r>
        <w:rPr>
          <w:color w:val="000000" w:themeColor="text1"/>
        </w:rPr>
        <w:lastRenderedPageBreak/>
        <w:t>results and without the ability to explain the questions this can be misinterpreted leading to inaccurate answers. When I analysed my results, I used both graphs and transcripts to show both sets of data thereby providing visuals making It easier to identify patterns and trends (</w:t>
      </w:r>
      <w:proofErr w:type="spellStart"/>
      <w:r>
        <w:rPr>
          <w:color w:val="000000" w:themeColor="text1"/>
        </w:rPr>
        <w:t>Kircup</w:t>
      </w:r>
      <w:proofErr w:type="spellEnd"/>
      <w:r w:rsidRPr="006D6659">
        <w:rPr>
          <w:i/>
          <w:iCs/>
          <w:color w:val="000000" w:themeColor="text1"/>
        </w:rPr>
        <w:t xml:space="preserve"> et al, </w:t>
      </w:r>
      <w:r>
        <w:rPr>
          <w:color w:val="000000" w:themeColor="text1"/>
        </w:rPr>
        <w:t xml:space="preserve">2005). A limitation I faced during the research day was the lack of result I received. Therefore, it was harder to analyse and compare data (McLeod, 2023). </w:t>
      </w:r>
    </w:p>
    <w:p w14:paraId="50205964" w14:textId="77777777" w:rsidR="00A6006A" w:rsidRPr="00AD3A35" w:rsidRDefault="00A6006A" w:rsidP="00A6006A">
      <w:pPr>
        <w:rPr>
          <w:color w:val="000000" w:themeColor="text1"/>
        </w:rPr>
      </w:pPr>
      <w:r>
        <w:rPr>
          <w:color w:val="000000" w:themeColor="text1"/>
        </w:rPr>
        <w:t>When I conducted this research, I ensured to follow the BERA (2024) guidelines which states that researchers should conduct all research with respect and ethic. Additionally, it also emphasises the importance of researchers providing anonymity, confidentially and gaining consent before conducting research (Bera, 2024). To support this, I completed an ethical form which can be seen in a</w:t>
      </w:r>
      <w:r w:rsidRPr="006D6659">
        <w:rPr>
          <w:color w:val="000000" w:themeColor="text1"/>
        </w:rPr>
        <w:t xml:space="preserve">ppendix </w:t>
      </w:r>
      <w:r>
        <w:rPr>
          <w:color w:val="000000" w:themeColor="text1"/>
        </w:rPr>
        <w:t>1</w:t>
      </w:r>
      <w:r w:rsidRPr="006D6659">
        <w:rPr>
          <w:color w:val="000000" w:themeColor="text1"/>
        </w:rPr>
        <w:t xml:space="preserve"> </w:t>
      </w:r>
      <w:r>
        <w:rPr>
          <w:color w:val="000000" w:themeColor="text1"/>
        </w:rPr>
        <w:t xml:space="preserve">and clearly outlines the steps I have put in place to ensure I follow the Bera guidelines (2024). Such as gaining consent from the headteacher before conducting research see appendix 11 </w:t>
      </w:r>
      <w:r w:rsidRPr="00AD3A35">
        <w:rPr>
          <w:color w:val="000000" w:themeColor="text1"/>
        </w:rPr>
        <w:t>and</w:t>
      </w:r>
      <w:r>
        <w:rPr>
          <w:color w:val="45B0E1" w:themeColor="accent1" w:themeTint="99"/>
        </w:rPr>
        <w:t xml:space="preserve"> </w:t>
      </w:r>
      <w:r>
        <w:rPr>
          <w:color w:val="000000" w:themeColor="text1"/>
        </w:rPr>
        <w:t xml:space="preserve">at the start of my questionnaire, I also outlined that this was voluntary experience which can stop at any point, it is not a test, and all answers will be kept anonymous and confidential see appendix 2. These limitations are also addressed as ethical issues by Cohen, Manion and Morrison (2017) which should be addressed before any research has taken place. </w:t>
      </w:r>
    </w:p>
    <w:p w14:paraId="04123597" w14:textId="77777777" w:rsidR="00A6006A" w:rsidRPr="00512F4B" w:rsidRDefault="00A6006A" w:rsidP="00A6006A">
      <w:pPr>
        <w:rPr>
          <w:color w:val="000000" w:themeColor="text1"/>
          <w:u w:val="single"/>
        </w:rPr>
      </w:pPr>
      <w:r>
        <w:rPr>
          <w:color w:val="000000" w:themeColor="text1"/>
          <w:u w:val="single"/>
        </w:rPr>
        <w:t xml:space="preserve">Interview </w:t>
      </w:r>
    </w:p>
    <w:p w14:paraId="499E8752" w14:textId="77777777" w:rsidR="00A6006A" w:rsidRDefault="00A6006A" w:rsidP="00A6006A">
      <w:pPr>
        <w:rPr>
          <w:color w:val="000000" w:themeColor="text1"/>
        </w:rPr>
      </w:pPr>
      <w:r>
        <w:rPr>
          <w:color w:val="000000" w:themeColor="text1"/>
        </w:rPr>
        <w:t xml:space="preserve">Following the questionnaire I then conducted interviews with both children and teachers from the same school and collected further qualitive evidence. Within literature interviews are seen as an important tool that focus on collecting qualitive data, provide an opportunity to gain an in depth understanding, provides personal interaction and provides flexibility for the researcher (Brenner, 2006 citated in Green, </w:t>
      </w:r>
      <w:proofErr w:type="spellStart"/>
      <w:r>
        <w:rPr>
          <w:color w:val="000000" w:themeColor="text1"/>
        </w:rPr>
        <w:t>Camilli</w:t>
      </w:r>
      <w:proofErr w:type="spellEnd"/>
      <w:r>
        <w:rPr>
          <w:color w:val="000000" w:themeColor="text1"/>
        </w:rPr>
        <w:t xml:space="preserve">, Elmore, 2012, Cohen, Manion and Morrison, 2017).  During the planning process of my interview, I addressed the advantage of an interview being a flexible research tool (Brenner, 2006 citated in Green, </w:t>
      </w:r>
      <w:proofErr w:type="spellStart"/>
      <w:r>
        <w:rPr>
          <w:color w:val="000000" w:themeColor="text1"/>
        </w:rPr>
        <w:t>Camilli</w:t>
      </w:r>
      <w:proofErr w:type="spellEnd"/>
      <w:r>
        <w:rPr>
          <w:color w:val="000000" w:themeColor="text1"/>
        </w:rPr>
        <w:t xml:space="preserve">, Elmore, 2012, Cohen, Manion and Morrison, 2017) and created a semi structured interview.  As a result, I was able to ask the interviews a focus question. However, follow up with an additional question depending on their response which can be seen </w:t>
      </w:r>
      <w:r w:rsidRPr="00C86CA6">
        <w:rPr>
          <w:color w:val="000000" w:themeColor="text1"/>
        </w:rPr>
        <w:t>in appendix 9 and 12</w:t>
      </w:r>
      <w:r>
        <w:rPr>
          <w:color w:val="000000" w:themeColor="text1"/>
        </w:rPr>
        <w:t xml:space="preserve">. Thereby supporting an in-depth data collection, consistency and positive relationships with participants </w:t>
      </w:r>
      <w:r w:rsidRPr="0085299C">
        <w:rPr>
          <w:color w:val="000000" w:themeColor="text1"/>
        </w:rPr>
        <w:t>(</w:t>
      </w:r>
      <w:r>
        <w:rPr>
          <w:color w:val="000000" w:themeColor="text1"/>
        </w:rPr>
        <w:t xml:space="preserve">Brenner, 2006 citated in Green, </w:t>
      </w:r>
      <w:proofErr w:type="spellStart"/>
      <w:r>
        <w:rPr>
          <w:color w:val="000000" w:themeColor="text1"/>
        </w:rPr>
        <w:t>Camilli</w:t>
      </w:r>
      <w:proofErr w:type="spellEnd"/>
      <w:r>
        <w:rPr>
          <w:color w:val="000000" w:themeColor="text1"/>
        </w:rPr>
        <w:t xml:space="preserve">, Elmore, 2012). An alternative viewpoint is offered by Hecker and </w:t>
      </w:r>
      <w:proofErr w:type="spellStart"/>
      <w:r>
        <w:rPr>
          <w:color w:val="000000" w:themeColor="text1"/>
        </w:rPr>
        <w:t>Kalpokas</w:t>
      </w:r>
      <w:proofErr w:type="spellEnd"/>
      <w:r>
        <w:rPr>
          <w:color w:val="000000" w:themeColor="text1"/>
        </w:rPr>
        <w:t xml:space="preserve"> (2024, and Cohen, Manion and Morrison, 2017) who both state interviews can provide challenges due to the data being harder to analyse, can be time consuming and can lead to misunderstanding and interpretation resulting in non-reliable results within research. During my interviews I considered these challenges and decided to reduce the impact of misunderstanding and interpretation and make my interviews more reliable by audio recording and then I transferred the information to a transcript to analyse see appendix 10. This was kept </w:t>
      </w:r>
      <w:r>
        <w:rPr>
          <w:color w:val="000000" w:themeColor="text1"/>
        </w:rPr>
        <w:lastRenderedPageBreak/>
        <w:t xml:space="preserve">ethical due to not using any names or showing their faces (BERA guidelines, 2024). Both Brenner (2006 citated in Green, </w:t>
      </w:r>
      <w:proofErr w:type="spellStart"/>
      <w:r>
        <w:rPr>
          <w:color w:val="000000" w:themeColor="text1"/>
        </w:rPr>
        <w:t>Camilli</w:t>
      </w:r>
      <w:proofErr w:type="spellEnd"/>
      <w:r>
        <w:rPr>
          <w:color w:val="000000" w:themeColor="text1"/>
        </w:rPr>
        <w:t xml:space="preserve">, Elmore, 2012, Lobe, Morgan, Hoffman, 2022) Support audio recording interviews by suggesting that they provide accuracy and provide the opportunity to refer to allowing the researcher to make more detailed findings and understand the information better. </w:t>
      </w:r>
    </w:p>
    <w:p w14:paraId="61BA27BC" w14:textId="77777777" w:rsidR="00A6006A" w:rsidRDefault="00A6006A" w:rsidP="00A6006A">
      <w:pPr>
        <w:rPr>
          <w:color w:val="000000" w:themeColor="text1"/>
        </w:rPr>
      </w:pPr>
      <w:r>
        <w:rPr>
          <w:color w:val="000000" w:themeColor="text1"/>
        </w:rPr>
        <w:t xml:space="preserve"> Another disadvantage suggested is the ethical issues surrounding the interview process (Brenner, 2006 citated in Green, </w:t>
      </w:r>
      <w:proofErr w:type="spellStart"/>
      <w:r>
        <w:rPr>
          <w:color w:val="000000" w:themeColor="text1"/>
        </w:rPr>
        <w:t>Camilli</w:t>
      </w:r>
      <w:proofErr w:type="spellEnd"/>
      <w:r>
        <w:rPr>
          <w:color w:val="000000" w:themeColor="text1"/>
        </w:rPr>
        <w:t xml:space="preserve">, Elmore, 2012, Cohen, Manion and Morrison, 2017). In my study I minimised the effect of this disadvantage by completing an ethical form. Within this form I followed the BERA guidelines (2024) and clearly addressed the importance consent, confidentially, anonymity and respect by obtaining signed consent forms from both teachers and head teacher which can be see appendix 11 and 14. I also ensured to that all participants were aware of the purpose of the research, that it as voluntary and their results will be anonymous to ensure all participants were happy and comfortable to participate. </w:t>
      </w:r>
    </w:p>
    <w:p w14:paraId="3D93340F" w14:textId="77777777" w:rsidR="00A6006A" w:rsidRPr="006C2865" w:rsidRDefault="00A6006A" w:rsidP="00A6006A">
      <w:pPr>
        <w:rPr>
          <w:color w:val="000000" w:themeColor="text1"/>
        </w:rPr>
      </w:pPr>
      <w:r>
        <w:rPr>
          <w:color w:val="000000" w:themeColor="text1"/>
        </w:rPr>
        <w:t xml:space="preserve">On the research day I interviewed a group of 3 children within the school. When interviewing the children I decided a focus group interview would best suit them and the purpose of my aim due to the ability to make sure the children were comfortable while it also promotes group discussions allowing me to collect more results (Brenner, 2006 citated in Green, </w:t>
      </w:r>
      <w:proofErr w:type="spellStart"/>
      <w:r>
        <w:rPr>
          <w:color w:val="000000" w:themeColor="text1"/>
        </w:rPr>
        <w:t>Camilli</w:t>
      </w:r>
      <w:proofErr w:type="spellEnd"/>
      <w:r>
        <w:rPr>
          <w:color w:val="000000" w:themeColor="text1"/>
        </w:rPr>
        <w:t xml:space="preserve">, Elmore, 2012). Its suggested, that this could affect my results negatively due to one child speaking more than others and agreeing with each other (Hecker and </w:t>
      </w:r>
      <w:proofErr w:type="spellStart"/>
      <w:r>
        <w:rPr>
          <w:color w:val="000000" w:themeColor="text1"/>
        </w:rPr>
        <w:t>Kalpokas</w:t>
      </w:r>
      <w:proofErr w:type="spellEnd"/>
      <w:r>
        <w:rPr>
          <w:color w:val="000000" w:themeColor="text1"/>
        </w:rPr>
        <w:t xml:space="preserve">, 2024). I tried to minimise these disadvantages by ensuring the children were aware that it wasn’t a test and that the purpose was to collect their honest opinions on the topic at the start of the interview see appendix 10. On the other hand, when interviewing the teachers my plan was to interview them separately in person due to better engagement and ability to read non-verbal cues which could provide more enhanced and rich data (Brenner, 2006 citated in Green, </w:t>
      </w:r>
      <w:proofErr w:type="spellStart"/>
      <w:r>
        <w:rPr>
          <w:color w:val="000000" w:themeColor="text1"/>
        </w:rPr>
        <w:t>Camilli</w:t>
      </w:r>
      <w:proofErr w:type="spellEnd"/>
      <w:r>
        <w:rPr>
          <w:color w:val="000000" w:themeColor="text1"/>
        </w:rPr>
        <w:t xml:space="preserve">, Elmore, 2012). However, due to a school trip the interviews took place online which could lead to a negative effect on the number of results, issues with technology and more distractions which could lead to inadequate results (Lobe, Morgan, Hoffman, 2022). This was an issue I faced with only one teacher giving me a response therefore I have no data to compare which could result in a lack of reliability and validity (Creswell, 2014). </w:t>
      </w:r>
    </w:p>
    <w:p w14:paraId="5340F858" w14:textId="77777777" w:rsidR="00A6006A" w:rsidRDefault="00A6006A" w:rsidP="00A6006A">
      <w:pPr>
        <w:rPr>
          <w:u w:val="single"/>
        </w:rPr>
      </w:pPr>
      <w:r w:rsidRPr="00CE1D00">
        <w:rPr>
          <w:u w:val="single"/>
        </w:rPr>
        <w:t>Research findings and discussion</w:t>
      </w:r>
    </w:p>
    <w:p w14:paraId="7E841A16" w14:textId="77777777" w:rsidR="00A6006A" w:rsidRPr="0091414B" w:rsidRDefault="00A6006A" w:rsidP="00A6006A">
      <w:pPr>
        <w:rPr>
          <w:color w:val="00B0F0"/>
        </w:rPr>
      </w:pPr>
      <w:r>
        <w:t xml:space="preserve">The aim of this assignment was to research the impact success criteria’s and learning intentions had on a class of year 3/4 pupils with perspectives from KS2 teachers. From my interview and questionnaire results </w:t>
      </w:r>
      <w:r>
        <w:rPr>
          <w:color w:val="000000" w:themeColor="text1"/>
        </w:rPr>
        <w:t xml:space="preserve">most children use these strategies and that implementing success criterias and learning intentions “helps them understand the work” (Pupil C, 2025) and provides them with clear steps to follow see appendix 3 and 10. Additionally, to the children the teacher also identified the importance of implementing these AFL strategies as it </w:t>
      </w:r>
      <w:r>
        <w:t xml:space="preserve">clarifies what the children “are expected to </w:t>
      </w:r>
      <w:r>
        <w:lastRenderedPageBreak/>
        <w:t xml:space="preserve">achieve at the end of learning” (Teacher A, 2025) see appendix 13. </w:t>
      </w:r>
      <w:r>
        <w:rPr>
          <w:color w:val="000000" w:themeColor="text1"/>
        </w:rPr>
        <w:t xml:space="preserve">As said prior in my literature review these findings are consistent with </w:t>
      </w:r>
      <w:r>
        <w:t xml:space="preserve">William (2017, p58, Crichton and McDaid, 2016) who agrees that to be a supportive teacher for all learners you must show clarity to promote their understanding. This is also supported by the Welsh Government QTS standards which emphasise the importance of sharing expectations with children to support learners to achieve higher (Welsh Government, 2019). On the other hand, Eriksson (2021) suggests that providing children with too much clarity can cause them to get confused and overwhelmed during the task due to misconceptions. This is also consistent with the discussion in my literature review with </w:t>
      </w:r>
      <w:r w:rsidRPr="00E7355F">
        <w:rPr>
          <w:color w:val="000000" w:themeColor="text1"/>
        </w:rPr>
        <w:t>Pietrangelo</w:t>
      </w:r>
      <w:r>
        <w:rPr>
          <w:color w:val="000000" w:themeColor="text1"/>
        </w:rPr>
        <w:t xml:space="preserve"> (2020) who also agrees that too much stress from AFL strategies can lead to lack of motivation and effect school performance. However, this is not consistent with my interviews with one child saying that the AFL strategy gives them confidence see appendix 10. </w:t>
      </w:r>
      <w:r w:rsidRPr="00F535A6">
        <w:rPr>
          <w:color w:val="000000" w:themeColor="text1"/>
        </w:rPr>
        <w:t>Therefore</w:t>
      </w:r>
      <w:r>
        <w:rPr>
          <w:color w:val="000000" w:themeColor="text1"/>
        </w:rPr>
        <w:t xml:space="preserve">, implying that it is an individual process that must be adapted depending on the learners and their needs (Structural learning, 2021). </w:t>
      </w:r>
    </w:p>
    <w:p w14:paraId="2CE9C131" w14:textId="77777777" w:rsidR="00A6006A" w:rsidRPr="0091414B" w:rsidRDefault="00A6006A" w:rsidP="00A6006A">
      <w:pPr>
        <w:rPr>
          <w:color w:val="00B0F0"/>
        </w:rPr>
      </w:pPr>
      <w:r>
        <w:rPr>
          <w:color w:val="000000" w:themeColor="text1"/>
        </w:rPr>
        <w:t xml:space="preserve">The next aspect which stood out to me when analysing my data was the timing of the AFL strategies. When I asked the pupils when they preferred the AFL strategies to be used during the questionnaire most of them stated that it was more useful when used at the start of the lesson see appendix 4. The teacher also supports this further stating that she uses the strategies at the beginning of the lesson to clarify expectations see appendix 13. After analysing my results, I discovered that this is a limitation within my literature review due to having no previous findings of the importance of timing when sharing expectations and outcomes. Although, </w:t>
      </w:r>
      <w:proofErr w:type="spellStart"/>
      <w:r>
        <w:rPr>
          <w:color w:val="000000" w:themeColor="text1"/>
        </w:rPr>
        <w:t>Bosio</w:t>
      </w:r>
      <w:proofErr w:type="spellEnd"/>
      <w:r>
        <w:rPr>
          <w:color w:val="000000" w:themeColor="text1"/>
        </w:rPr>
        <w:t xml:space="preserve"> (2024) does support my data emphasising that all learning intentions and success criterias should be shared with children at the start of the lesson to due to the improvement in motivation, engagement and teaching effectiveness. However, the teacher also states that when using these strategies </w:t>
      </w:r>
      <w:proofErr w:type="spellStart"/>
      <w:r>
        <w:rPr>
          <w:color w:val="000000" w:themeColor="text1"/>
        </w:rPr>
        <w:t>its</w:t>
      </w:r>
      <w:proofErr w:type="spellEnd"/>
      <w:r>
        <w:rPr>
          <w:color w:val="000000" w:themeColor="text1"/>
        </w:rPr>
        <w:t xml:space="preserve"> important to be cautious that they are not too time consuming, take away from the learning and are used purposefully see appendix 13. </w:t>
      </w:r>
      <w:proofErr w:type="spellStart"/>
      <w:r>
        <w:rPr>
          <w:color w:val="000000" w:themeColor="text1"/>
        </w:rPr>
        <w:t>Didau</w:t>
      </w:r>
      <w:proofErr w:type="spellEnd"/>
      <w:r>
        <w:rPr>
          <w:color w:val="000000" w:themeColor="text1"/>
        </w:rPr>
        <w:t xml:space="preserve"> (2015) reinforces this finding emphasising that students rely too much on success criterias and learning intentions which results in the children mimicking a checklist and not gaining a deeper understanding of the learning that is taking place. Bower (2011) also supports </w:t>
      </w:r>
      <w:proofErr w:type="spellStart"/>
      <w:r>
        <w:rPr>
          <w:color w:val="000000" w:themeColor="text1"/>
        </w:rPr>
        <w:t>Didau</w:t>
      </w:r>
      <w:proofErr w:type="spellEnd"/>
      <w:r>
        <w:rPr>
          <w:color w:val="000000" w:themeColor="text1"/>
        </w:rPr>
        <w:t xml:space="preserve"> implying that when we are constantly providing children with a learning objective or success criteria, we are limiting the amount of learning the children can do by taking away the opportunity to explore the learning themselves. </w:t>
      </w:r>
    </w:p>
    <w:p w14:paraId="1EA550BD" w14:textId="77777777" w:rsidR="00A6006A" w:rsidRPr="00CE1D00" w:rsidRDefault="00A6006A" w:rsidP="00A6006A">
      <w:pPr>
        <w:rPr>
          <w:u w:val="single"/>
        </w:rPr>
      </w:pPr>
      <w:r>
        <w:rPr>
          <w:u w:val="single"/>
        </w:rPr>
        <w:t xml:space="preserve">Conclusion </w:t>
      </w:r>
    </w:p>
    <w:p w14:paraId="471737A1" w14:textId="77777777" w:rsidR="00A6006A" w:rsidRDefault="00A6006A" w:rsidP="00A6006A">
      <w:r>
        <w:t xml:space="preserve">Overall, this assignment not only allowed me to develop my own research skills to support my professional practice and the Welsh Government QTS standards. It also allowed me to understand the importance and cations when using success criterias and learning intentions in the classroom and that it should be adapted to suit the individuals in the class </w:t>
      </w:r>
      <w:r>
        <w:rPr>
          <w:color w:val="000000" w:themeColor="text1"/>
        </w:rPr>
        <w:t xml:space="preserve">(Structural learning, 2021). </w:t>
      </w:r>
      <w:r>
        <w:t xml:space="preserve">However, if I were to develop this </w:t>
      </w:r>
      <w:r>
        <w:lastRenderedPageBreak/>
        <w:t xml:space="preserve">research further, I would use a larger sample to ensure validity, reliability and better to find relationships and contradictions </w:t>
      </w:r>
      <w:r>
        <w:rPr>
          <w:color w:val="000000" w:themeColor="text1"/>
        </w:rPr>
        <w:t xml:space="preserve">(Creswell, 2014). </w:t>
      </w:r>
      <w:r>
        <w:t xml:space="preserve">Another limitation which could have affected my results and would look to develop further is the used language when collecting data from the children. Although the children were aware that they had used the success criterias and learning intentions they were unfamiliar with this terminology. As a result, a conversation with the class teacher before could have reduced this limitation making my results more reliable and provide children with a better understanding of the research question. </w:t>
      </w:r>
    </w:p>
    <w:p w14:paraId="1AC19099" w14:textId="6BEFD493" w:rsidR="00A6006A" w:rsidRDefault="00A6006A" w:rsidP="00A6006A">
      <w:r>
        <w:t>Reference list:</w:t>
      </w:r>
    </w:p>
    <w:p w14:paraId="1996FC87" w14:textId="77777777" w:rsidR="00A6006A" w:rsidRPr="00A6006A" w:rsidRDefault="00A6006A" w:rsidP="00A6006A">
      <w:r w:rsidRPr="00A6006A">
        <w:t xml:space="preserve">BERA (2024). </w:t>
      </w:r>
      <w:r w:rsidRPr="00A6006A">
        <w:rPr>
          <w:i/>
          <w:iCs/>
        </w:rPr>
        <w:t>Ethical Guidelines for Educational Research, fifth edition (2024)</w:t>
      </w:r>
      <w:r w:rsidRPr="00A6006A">
        <w:t xml:space="preserve">. [online] www.bera.ac.uk. Available at: </w:t>
      </w:r>
      <w:hyperlink r:id="rId5" w:history="1">
        <w:r w:rsidRPr="00A6006A">
          <w:rPr>
            <w:rStyle w:val="Hyperlink"/>
          </w:rPr>
          <w:t>https://www.bera.ac.uk/publication/ethical-guidelines-for-educational-research-fifth-edition-2024-online</w:t>
        </w:r>
      </w:hyperlink>
      <w:r w:rsidRPr="00A6006A">
        <w:t>.</w:t>
      </w:r>
    </w:p>
    <w:p w14:paraId="50628EE6" w14:textId="77777777" w:rsidR="00A6006A" w:rsidRPr="00A6006A" w:rsidRDefault="00A6006A" w:rsidP="00A6006A">
      <w:r w:rsidRPr="00A6006A">
        <w:t xml:space="preserve">Bhat, A. (2021). </w:t>
      </w:r>
      <w:r w:rsidRPr="00A6006A">
        <w:rPr>
          <w:i/>
          <w:iCs/>
        </w:rPr>
        <w:t>Online questionnaire: Definition, advantages and examples</w:t>
      </w:r>
      <w:r w:rsidRPr="00A6006A">
        <w:t xml:space="preserve">. [online] </w:t>
      </w:r>
      <w:proofErr w:type="spellStart"/>
      <w:r w:rsidRPr="00A6006A">
        <w:t>QuestionPro</w:t>
      </w:r>
      <w:proofErr w:type="spellEnd"/>
      <w:r w:rsidRPr="00A6006A">
        <w:t xml:space="preserve">. Available at: </w:t>
      </w:r>
      <w:hyperlink r:id="rId6" w:history="1">
        <w:r w:rsidRPr="00A6006A">
          <w:rPr>
            <w:rStyle w:val="Hyperlink"/>
          </w:rPr>
          <w:t>https://www.questionpro.com/blog/online-questionnaire/</w:t>
        </w:r>
      </w:hyperlink>
      <w:r w:rsidRPr="00A6006A">
        <w:t>.</w:t>
      </w:r>
    </w:p>
    <w:p w14:paraId="7010EECF" w14:textId="77777777" w:rsidR="00A6006A" w:rsidRPr="00A6006A" w:rsidRDefault="00A6006A" w:rsidP="00A6006A">
      <w:r w:rsidRPr="00A6006A">
        <w:t xml:space="preserve">Black, P. and </w:t>
      </w:r>
      <w:proofErr w:type="spellStart"/>
      <w:r w:rsidRPr="00A6006A">
        <w:t>Wiliam</w:t>
      </w:r>
      <w:proofErr w:type="spellEnd"/>
      <w:r w:rsidRPr="00A6006A">
        <w:t xml:space="preserve">, D. (1998). </w:t>
      </w:r>
      <w:r w:rsidRPr="00A6006A">
        <w:rPr>
          <w:i/>
          <w:iCs/>
        </w:rPr>
        <w:t>Inside the Black box: Raising Standards through Classroom Assessment - kappanonline.org</w:t>
      </w:r>
      <w:r w:rsidRPr="00A6006A">
        <w:t xml:space="preserve">. [online] kappanonline.org. Available at: </w:t>
      </w:r>
      <w:hyperlink r:id="rId7" w:history="1">
        <w:r w:rsidRPr="00A6006A">
          <w:rPr>
            <w:rStyle w:val="Hyperlink"/>
          </w:rPr>
          <w:t>https://kappanonline.org/inside-the-black-box-raising-standards-through-classroom-assessment/</w:t>
        </w:r>
      </w:hyperlink>
      <w:r w:rsidRPr="00A6006A">
        <w:t>.</w:t>
      </w:r>
    </w:p>
    <w:p w14:paraId="54A6728F" w14:textId="77777777" w:rsidR="00A6006A" w:rsidRPr="00A6006A" w:rsidRDefault="00A6006A" w:rsidP="00A6006A">
      <w:proofErr w:type="spellStart"/>
      <w:r w:rsidRPr="00A6006A">
        <w:t>Bosio</w:t>
      </w:r>
      <w:proofErr w:type="spellEnd"/>
      <w:r w:rsidRPr="00A6006A">
        <w:t xml:space="preserve">, L. (2024). How Clearer Learning Intentions Lead to Deeper Learning. </w:t>
      </w:r>
      <w:r w:rsidRPr="00A6006A">
        <w:rPr>
          <w:i/>
          <w:iCs/>
        </w:rPr>
        <w:t>Novakeducation.com</w:t>
      </w:r>
      <w:r w:rsidRPr="00A6006A">
        <w:t xml:space="preserve">. Available at: </w:t>
      </w:r>
      <w:hyperlink r:id="rId8" w:history="1">
        <w:r w:rsidRPr="00A6006A">
          <w:rPr>
            <w:rStyle w:val="Hyperlink"/>
          </w:rPr>
          <w:t>https://www.novakeducation.com/blog/how-clearer-learning-intentions-lead-to-deeper-learning?utm_source=chatgpt.com</w:t>
        </w:r>
      </w:hyperlink>
      <w:r w:rsidRPr="00A6006A">
        <w:t xml:space="preserve"> [Accessed 2 Apr. 2025].</w:t>
      </w:r>
    </w:p>
    <w:p w14:paraId="1085BF6E" w14:textId="1235422F" w:rsidR="00A6006A" w:rsidRPr="00A6006A" w:rsidRDefault="00A6006A" w:rsidP="00A6006A">
      <w:r w:rsidRPr="00A6006A">
        <w:t xml:space="preserve">Bower, J. (2011). For the love of </w:t>
      </w:r>
      <w:r w:rsidRPr="00A6006A">
        <w:t>learning.</w:t>
      </w:r>
      <w:r w:rsidRPr="00A6006A">
        <w:t xml:space="preserve"> </w:t>
      </w:r>
      <w:r w:rsidRPr="00A6006A">
        <w:rPr>
          <w:i/>
          <w:iCs/>
        </w:rPr>
        <w:t>Stop writing the objectives on the board</w:t>
      </w:r>
      <w:r w:rsidRPr="00A6006A">
        <w:t xml:space="preserve">. Available at: </w:t>
      </w:r>
      <w:hyperlink r:id="rId9" w:history="1">
        <w:r w:rsidRPr="00A6006A">
          <w:rPr>
            <w:rStyle w:val="Hyperlink"/>
          </w:rPr>
          <w:t>https://joe-bower.blogspot.com/2011/10/stop-writing-objectives-on-board.html?utm_source=chatgpt.com</w:t>
        </w:r>
      </w:hyperlink>
      <w:r w:rsidRPr="00A6006A">
        <w:t xml:space="preserve"> [Accessed 2 Apr. 2025].</w:t>
      </w:r>
    </w:p>
    <w:p w14:paraId="760D8C84" w14:textId="77777777" w:rsidR="00A6006A" w:rsidRPr="00A6006A" w:rsidRDefault="00A6006A" w:rsidP="00A6006A">
      <w:r w:rsidRPr="00A6006A">
        <w:t xml:space="preserve">Chowdhary’s (2021). Differentiated Lesson Objectives and Sharing Success Criteria. </w:t>
      </w:r>
      <w:r w:rsidRPr="00A6006A">
        <w:rPr>
          <w:i/>
          <w:iCs/>
        </w:rPr>
        <w:t>Mrs Chowdhary’s Teaching and Learning Page</w:t>
      </w:r>
      <w:r w:rsidRPr="00A6006A">
        <w:t xml:space="preserve">. Available at: </w:t>
      </w:r>
      <w:hyperlink r:id="rId10" w:history="1">
        <w:r w:rsidRPr="00A6006A">
          <w:rPr>
            <w:rStyle w:val="Hyperlink"/>
          </w:rPr>
          <w:t>https://chowdharyteachingandlearning.wordpress.com/2021/06/14/differentiated-lesson-objectives-and-sharing-success-criteria/</w:t>
        </w:r>
      </w:hyperlink>
      <w:r w:rsidRPr="00A6006A">
        <w:t>.</w:t>
      </w:r>
    </w:p>
    <w:p w14:paraId="00D48E95" w14:textId="77777777" w:rsidR="00A6006A" w:rsidRPr="00A6006A" w:rsidRDefault="00A6006A" w:rsidP="00A6006A">
      <w:r w:rsidRPr="00A6006A">
        <w:t xml:space="preserve">Cohen, L., Manion, L. and Morrison, K. (2017). </w:t>
      </w:r>
      <w:r w:rsidRPr="00A6006A">
        <w:rPr>
          <w:i/>
          <w:iCs/>
        </w:rPr>
        <w:t>Research Methods in Education</w:t>
      </w:r>
      <w:r w:rsidRPr="00A6006A">
        <w:t>. 8th ed. London: Routledge.</w:t>
      </w:r>
    </w:p>
    <w:p w14:paraId="756E8985" w14:textId="77777777" w:rsidR="00A6006A" w:rsidRPr="00A6006A" w:rsidRDefault="00A6006A" w:rsidP="00A6006A">
      <w:proofErr w:type="spellStart"/>
      <w:r w:rsidRPr="00A6006A">
        <w:t>Cremin</w:t>
      </w:r>
      <w:proofErr w:type="spellEnd"/>
      <w:r w:rsidRPr="00A6006A">
        <w:t xml:space="preserve">, T. and Burnett, C. (2018). </w:t>
      </w:r>
      <w:r w:rsidRPr="00A6006A">
        <w:rPr>
          <w:i/>
          <w:iCs/>
        </w:rPr>
        <w:t>Learning to Teach in the Primary School</w:t>
      </w:r>
      <w:r w:rsidRPr="00A6006A">
        <w:t>. 4th ed. London: Taylor &amp; Francis Group.</w:t>
      </w:r>
    </w:p>
    <w:p w14:paraId="2C9EB7A4" w14:textId="77777777" w:rsidR="00A6006A" w:rsidRPr="00A6006A" w:rsidRDefault="00A6006A" w:rsidP="00A6006A">
      <w:r w:rsidRPr="00A6006A">
        <w:t xml:space="preserve">Creswell, J.W. (2014). </w:t>
      </w:r>
      <w:r w:rsidRPr="00A6006A">
        <w:rPr>
          <w:i/>
          <w:iCs/>
        </w:rPr>
        <w:t xml:space="preserve">Research design: Qualitative, quantitative &amp; mixed methods </w:t>
      </w:r>
      <w:proofErr w:type="gramStart"/>
      <w:r w:rsidRPr="00A6006A">
        <w:rPr>
          <w:i/>
          <w:iCs/>
        </w:rPr>
        <w:t>approaches</w:t>
      </w:r>
      <w:proofErr w:type="gramEnd"/>
      <w:r w:rsidRPr="00A6006A">
        <w:t>. 6th ed. Los Angeles: Sage.</w:t>
      </w:r>
    </w:p>
    <w:p w14:paraId="5FF7EB6A" w14:textId="77777777" w:rsidR="00A6006A" w:rsidRPr="00A6006A" w:rsidRDefault="00A6006A" w:rsidP="00A6006A">
      <w:r w:rsidRPr="00A6006A">
        <w:lastRenderedPageBreak/>
        <w:t xml:space="preserve">Crichton, H. and McDaid, A. (2015). Learning intentions and success criteria: Learners’ and teachers’ views. </w:t>
      </w:r>
      <w:r w:rsidRPr="00A6006A">
        <w:rPr>
          <w:i/>
          <w:iCs/>
        </w:rPr>
        <w:t>The Curriculum Journal</w:t>
      </w:r>
      <w:r w:rsidRPr="00A6006A">
        <w:t xml:space="preserve">, 27(2), pp.190–203. </w:t>
      </w:r>
      <w:proofErr w:type="spellStart"/>
      <w:r w:rsidRPr="00A6006A">
        <w:t>doi:</w:t>
      </w:r>
      <w:hyperlink r:id="rId11" w:history="1">
        <w:r w:rsidRPr="00A6006A">
          <w:rPr>
            <w:rStyle w:val="Hyperlink"/>
          </w:rPr>
          <w:t>https</w:t>
        </w:r>
        <w:proofErr w:type="spellEnd"/>
        <w:r w:rsidRPr="00A6006A">
          <w:rPr>
            <w:rStyle w:val="Hyperlink"/>
          </w:rPr>
          <w:t>://doi.org/10.1080/09585176.2015.1103278</w:t>
        </w:r>
      </w:hyperlink>
      <w:r w:rsidRPr="00A6006A">
        <w:t>.</w:t>
      </w:r>
    </w:p>
    <w:p w14:paraId="450F1D5F" w14:textId="77777777" w:rsidR="00A6006A" w:rsidRPr="00A6006A" w:rsidRDefault="00A6006A" w:rsidP="00A6006A">
      <w:r w:rsidRPr="00A6006A">
        <w:t xml:space="preserve">Crowley (n.d.). </w:t>
      </w:r>
      <w:r w:rsidRPr="00A6006A">
        <w:rPr>
          <w:i/>
          <w:iCs/>
        </w:rPr>
        <w:t>Goal-Setting Theory</w:t>
      </w:r>
      <w:r w:rsidRPr="00A6006A">
        <w:t xml:space="preserve">. [online] The Decision Lab. Available at: </w:t>
      </w:r>
      <w:hyperlink r:id="rId12" w:history="1">
        <w:r w:rsidRPr="00A6006A">
          <w:rPr>
            <w:rStyle w:val="Hyperlink"/>
          </w:rPr>
          <w:t>https://thedecisionlab.com/reference-guide/philosophy/goal-setting-theory</w:t>
        </w:r>
      </w:hyperlink>
      <w:r w:rsidRPr="00A6006A">
        <w:t>.</w:t>
      </w:r>
    </w:p>
    <w:p w14:paraId="6FE69382" w14:textId="77777777" w:rsidR="00A6006A" w:rsidRPr="00A6006A" w:rsidRDefault="00A6006A" w:rsidP="00A6006A">
      <w:r w:rsidRPr="00A6006A">
        <w:t xml:space="preserve">Deakin university (2019). </w:t>
      </w:r>
      <w:proofErr w:type="spellStart"/>
      <w:r w:rsidRPr="00A6006A">
        <w:rPr>
          <w:i/>
          <w:iCs/>
        </w:rPr>
        <w:t>LibGuides</w:t>
      </w:r>
      <w:proofErr w:type="spellEnd"/>
      <w:r w:rsidRPr="00A6006A">
        <w:rPr>
          <w:i/>
          <w:iCs/>
        </w:rPr>
        <w:t>: Qualitative study design: Surveys &amp; questionnaires</w:t>
      </w:r>
      <w:r w:rsidRPr="00A6006A">
        <w:t xml:space="preserve">. [online] Libguides.com. Available at: </w:t>
      </w:r>
      <w:hyperlink r:id="rId13" w:history="1">
        <w:r w:rsidRPr="00A6006A">
          <w:rPr>
            <w:rStyle w:val="Hyperlink"/>
          </w:rPr>
          <w:t>https://deakin.libguides.com/qualitative-study-designs/surveys?utm_source=chatgpt.com</w:t>
        </w:r>
      </w:hyperlink>
      <w:r w:rsidRPr="00A6006A">
        <w:t>.</w:t>
      </w:r>
    </w:p>
    <w:p w14:paraId="7BB5E5CC" w14:textId="77777777" w:rsidR="00A6006A" w:rsidRPr="00A6006A" w:rsidRDefault="00A6006A" w:rsidP="00A6006A">
      <w:r w:rsidRPr="00A6006A">
        <w:t xml:space="preserve">Donaldson, G. (2015). </w:t>
      </w:r>
      <w:r w:rsidRPr="00A6006A">
        <w:rPr>
          <w:i/>
          <w:iCs/>
        </w:rPr>
        <w:t>Successful Futures Independent Review of Curriculum and Assessment Arrangements in Wales</w:t>
      </w:r>
      <w:r w:rsidRPr="00A6006A">
        <w:t xml:space="preserve">. [online] Available at: </w:t>
      </w:r>
      <w:hyperlink r:id="rId14" w:history="1">
        <w:r w:rsidRPr="00A6006A">
          <w:rPr>
            <w:rStyle w:val="Hyperlink"/>
          </w:rPr>
          <w:t>https://www.gov.wales/sites/default/files/publications/2018-03/successful-futures.pdf</w:t>
        </w:r>
      </w:hyperlink>
      <w:r w:rsidRPr="00A6006A">
        <w:t xml:space="preserve"> [Accessed 18 Mar. 2025].</w:t>
      </w:r>
    </w:p>
    <w:p w14:paraId="0C3DC1D1" w14:textId="77777777" w:rsidR="00A6006A" w:rsidRPr="00A6006A" w:rsidRDefault="00A6006A" w:rsidP="00A6006A">
      <w:proofErr w:type="spellStart"/>
      <w:r w:rsidRPr="00A6006A">
        <w:t>Durran</w:t>
      </w:r>
      <w:proofErr w:type="spellEnd"/>
      <w:r w:rsidRPr="00A6006A">
        <w:t xml:space="preserve">, J. (2021). Success Criteria – Strategies for Developing Writing Skills in the Classroom. Available at: </w:t>
      </w:r>
      <w:hyperlink r:id="rId15" w:history="1">
        <w:r w:rsidRPr="00A6006A">
          <w:rPr>
            <w:rStyle w:val="Hyperlink"/>
          </w:rPr>
          <w:t>https://www.teachwire.net/news/success-criteria-strategies-for-developing-writing-skills-in-the-classroom/?utm_source=chatgpt.com</w:t>
        </w:r>
      </w:hyperlink>
      <w:r w:rsidRPr="00A6006A">
        <w:t xml:space="preserve"> [Accessed 1 Apr. 2025].</w:t>
      </w:r>
    </w:p>
    <w:p w14:paraId="38412866" w14:textId="77777777" w:rsidR="00A6006A" w:rsidRPr="00A6006A" w:rsidRDefault="00A6006A" w:rsidP="00A6006A">
      <w:r w:rsidRPr="00A6006A">
        <w:t xml:space="preserve">Eagan, T. (2023). </w:t>
      </w:r>
      <w:r w:rsidRPr="00A6006A">
        <w:rPr>
          <w:i/>
          <w:iCs/>
        </w:rPr>
        <w:t>Unlocking Student Success: The Power of Success Criteria, Relationships, and Clarity</w:t>
      </w:r>
      <w:r w:rsidRPr="00A6006A">
        <w:t xml:space="preserve">. [online] Available at: </w:t>
      </w:r>
      <w:hyperlink r:id="rId16" w:history="1">
        <w:r w:rsidRPr="00A6006A">
          <w:rPr>
            <w:rStyle w:val="Hyperlink"/>
          </w:rPr>
          <w:t>https://files.eric.ed.gov/fulltext/EJ1382629.pdf</w:t>
        </w:r>
      </w:hyperlink>
      <w:r w:rsidRPr="00A6006A">
        <w:t>.</w:t>
      </w:r>
    </w:p>
    <w:p w14:paraId="36B790BF" w14:textId="77777777" w:rsidR="00A6006A" w:rsidRPr="00A6006A" w:rsidRDefault="00A6006A" w:rsidP="00A6006A">
      <w:r w:rsidRPr="00A6006A">
        <w:t xml:space="preserve">Eriksson, E. (2021). Constructing clarity – Swedish teachers’ and students’ shared concern in feedback interaction in primary school classrooms. </w:t>
      </w:r>
      <w:r w:rsidRPr="00A6006A">
        <w:rPr>
          <w:i/>
          <w:iCs/>
        </w:rPr>
        <w:t>Education 3-13</w:t>
      </w:r>
      <w:r w:rsidRPr="00A6006A">
        <w:t xml:space="preserve">, 51(1), pp.1–13. </w:t>
      </w:r>
      <w:proofErr w:type="spellStart"/>
      <w:r w:rsidRPr="00A6006A">
        <w:t>doi:</w:t>
      </w:r>
      <w:hyperlink r:id="rId17" w:history="1">
        <w:r w:rsidRPr="00A6006A">
          <w:rPr>
            <w:rStyle w:val="Hyperlink"/>
          </w:rPr>
          <w:t>https</w:t>
        </w:r>
        <w:proofErr w:type="spellEnd"/>
        <w:r w:rsidRPr="00A6006A">
          <w:rPr>
            <w:rStyle w:val="Hyperlink"/>
          </w:rPr>
          <w:t>://doi.org/10.1080/03004279.2021.1948090</w:t>
        </w:r>
      </w:hyperlink>
      <w:r w:rsidRPr="00A6006A">
        <w:t>.</w:t>
      </w:r>
    </w:p>
    <w:p w14:paraId="3B38B200" w14:textId="77777777" w:rsidR="00A6006A" w:rsidRPr="00A6006A" w:rsidRDefault="00A6006A" w:rsidP="00A6006A">
      <w:proofErr w:type="spellStart"/>
      <w:r w:rsidRPr="00A6006A">
        <w:t>Freibrun</w:t>
      </w:r>
      <w:proofErr w:type="spellEnd"/>
      <w:r w:rsidRPr="00A6006A">
        <w:t xml:space="preserve">, M. (2021). Using Success Criteria to Spark Motivation in Your Students. </w:t>
      </w:r>
      <w:r w:rsidRPr="00A6006A">
        <w:rPr>
          <w:i/>
          <w:iCs/>
        </w:rPr>
        <w:t>Teaching Channel</w:t>
      </w:r>
      <w:r w:rsidRPr="00A6006A">
        <w:t xml:space="preserve">. Available at: </w:t>
      </w:r>
      <w:hyperlink r:id="rId18" w:history="1">
        <w:r w:rsidRPr="00A6006A">
          <w:rPr>
            <w:rStyle w:val="Hyperlink"/>
          </w:rPr>
          <w:t>https://www.teachingchannel.com/k12-hub/blog/success-criteria/</w:t>
        </w:r>
      </w:hyperlink>
      <w:r w:rsidRPr="00A6006A">
        <w:t>.</w:t>
      </w:r>
    </w:p>
    <w:p w14:paraId="09116FD6" w14:textId="77777777" w:rsidR="00A6006A" w:rsidRPr="00A6006A" w:rsidRDefault="00A6006A" w:rsidP="00A6006A">
      <w:r w:rsidRPr="00A6006A">
        <w:t xml:space="preserve">Green, J.L., </w:t>
      </w:r>
      <w:proofErr w:type="spellStart"/>
      <w:r w:rsidRPr="00A6006A">
        <w:t>Camilli</w:t>
      </w:r>
      <w:proofErr w:type="spellEnd"/>
      <w:r w:rsidRPr="00A6006A">
        <w:t xml:space="preserve">, G. and Elmore, P.B. (2012). </w:t>
      </w:r>
      <w:r w:rsidRPr="00A6006A">
        <w:rPr>
          <w:i/>
          <w:iCs/>
        </w:rPr>
        <w:t>Handbook of Complementary Methods in Education Research</w:t>
      </w:r>
      <w:r w:rsidRPr="00A6006A">
        <w:t>. Routledge.</w:t>
      </w:r>
    </w:p>
    <w:p w14:paraId="7CFC234E" w14:textId="77777777" w:rsidR="00A6006A" w:rsidRPr="00A6006A" w:rsidRDefault="00A6006A" w:rsidP="00A6006A">
      <w:r w:rsidRPr="00A6006A">
        <w:t xml:space="preserve">Hattie, J. (2019). </w:t>
      </w:r>
      <w:r w:rsidRPr="00A6006A">
        <w:rPr>
          <w:i/>
          <w:iCs/>
        </w:rPr>
        <w:t>John Hattie: Learning intentions and success criteria | STEM</w:t>
      </w:r>
      <w:r w:rsidRPr="00A6006A">
        <w:t xml:space="preserve">. [online] Stem.org.uk. Available at: </w:t>
      </w:r>
      <w:hyperlink r:id="rId19" w:history="1">
        <w:r w:rsidRPr="00A6006A">
          <w:rPr>
            <w:rStyle w:val="Hyperlink"/>
          </w:rPr>
          <w:t>https://www.stem.org.uk/resources/elibrary/resource/273227/john-hattie-learning-intentions-and-success-criteria</w:t>
        </w:r>
      </w:hyperlink>
      <w:r w:rsidRPr="00A6006A">
        <w:t>.</w:t>
      </w:r>
    </w:p>
    <w:p w14:paraId="6FE35ADF" w14:textId="77777777" w:rsidR="00A6006A" w:rsidRPr="00A6006A" w:rsidRDefault="00A6006A" w:rsidP="00A6006A">
      <w:r w:rsidRPr="00A6006A">
        <w:t xml:space="preserve">Hattie, J. and Donoghue, G. (2016). Learning strategies: a synthesis and conceptual model. </w:t>
      </w:r>
      <w:proofErr w:type="spellStart"/>
      <w:r w:rsidRPr="00A6006A">
        <w:rPr>
          <w:i/>
          <w:iCs/>
        </w:rPr>
        <w:t>npj</w:t>
      </w:r>
      <w:proofErr w:type="spellEnd"/>
      <w:r w:rsidRPr="00A6006A">
        <w:rPr>
          <w:i/>
          <w:iCs/>
        </w:rPr>
        <w:t xml:space="preserve"> Science of Learning</w:t>
      </w:r>
      <w:r w:rsidRPr="00A6006A">
        <w:t xml:space="preserve">, [online] 1(1). </w:t>
      </w:r>
      <w:proofErr w:type="spellStart"/>
      <w:r w:rsidRPr="00A6006A">
        <w:t>doi:</w:t>
      </w:r>
      <w:hyperlink r:id="rId20" w:history="1">
        <w:r w:rsidRPr="00A6006A">
          <w:rPr>
            <w:rStyle w:val="Hyperlink"/>
          </w:rPr>
          <w:t>https</w:t>
        </w:r>
        <w:proofErr w:type="spellEnd"/>
        <w:r w:rsidRPr="00A6006A">
          <w:rPr>
            <w:rStyle w:val="Hyperlink"/>
          </w:rPr>
          <w:t>://doi.org/10.1038/npjscilearn.2016.13</w:t>
        </w:r>
      </w:hyperlink>
      <w:r w:rsidRPr="00A6006A">
        <w:t>.</w:t>
      </w:r>
    </w:p>
    <w:p w14:paraId="002220D1" w14:textId="77777777" w:rsidR="00A6006A" w:rsidRPr="00A6006A" w:rsidRDefault="00A6006A" w:rsidP="00A6006A">
      <w:r w:rsidRPr="00A6006A">
        <w:lastRenderedPageBreak/>
        <w:t xml:space="preserve">Hecker, J. and </w:t>
      </w:r>
      <w:proofErr w:type="spellStart"/>
      <w:r w:rsidRPr="00A6006A">
        <w:t>Kalpokas</w:t>
      </w:r>
      <w:proofErr w:type="spellEnd"/>
      <w:r w:rsidRPr="00A6006A">
        <w:t xml:space="preserve">, N. (2024). </w:t>
      </w:r>
      <w:r w:rsidRPr="00A6006A">
        <w:rPr>
          <w:i/>
          <w:iCs/>
        </w:rPr>
        <w:t>Research interviews | disadvantages &amp; cautions</w:t>
      </w:r>
      <w:r w:rsidRPr="00A6006A">
        <w:t xml:space="preserve">. [online] </w:t>
      </w:r>
      <w:proofErr w:type="spellStart"/>
      <w:r w:rsidRPr="00A6006A">
        <w:t>ATLAS.ti</w:t>
      </w:r>
      <w:proofErr w:type="spellEnd"/>
      <w:r w:rsidRPr="00A6006A">
        <w:t xml:space="preserve">. Available at: </w:t>
      </w:r>
      <w:hyperlink r:id="rId21" w:history="1">
        <w:r w:rsidRPr="00A6006A">
          <w:rPr>
            <w:rStyle w:val="Hyperlink"/>
          </w:rPr>
          <w:t>https://atlasti.com/guides/interview-analysis-guide/disadvantages-of-research-interviews</w:t>
        </w:r>
      </w:hyperlink>
      <w:r w:rsidRPr="00A6006A">
        <w:t>.</w:t>
      </w:r>
    </w:p>
    <w:p w14:paraId="38519285" w14:textId="77777777" w:rsidR="00A6006A" w:rsidRPr="00A6006A" w:rsidRDefault="00A6006A" w:rsidP="00A6006A">
      <w:r w:rsidRPr="00A6006A">
        <w:t xml:space="preserve">https://www.facebook.com/learningspy (2015). Why I Struggle with Learning Objectives and Success Criteria. </w:t>
      </w:r>
      <w:r w:rsidRPr="00A6006A">
        <w:rPr>
          <w:i/>
          <w:iCs/>
        </w:rPr>
        <w:t xml:space="preserve">David </w:t>
      </w:r>
      <w:proofErr w:type="spellStart"/>
      <w:r w:rsidRPr="00A6006A">
        <w:rPr>
          <w:i/>
          <w:iCs/>
        </w:rPr>
        <w:t>Didau</w:t>
      </w:r>
      <w:proofErr w:type="spellEnd"/>
      <w:r w:rsidRPr="00A6006A">
        <w:t xml:space="preserve">. Available at: </w:t>
      </w:r>
      <w:hyperlink r:id="rId22" w:history="1">
        <w:r w:rsidRPr="00A6006A">
          <w:rPr>
            <w:rStyle w:val="Hyperlink"/>
          </w:rPr>
          <w:t>https://learningspy.co.uk/learning/8696/</w:t>
        </w:r>
      </w:hyperlink>
      <w:r w:rsidRPr="00A6006A">
        <w:t>.</w:t>
      </w:r>
    </w:p>
    <w:p w14:paraId="2C6ED2AF" w14:textId="77777777" w:rsidR="00A6006A" w:rsidRPr="00A6006A" w:rsidRDefault="00A6006A" w:rsidP="00A6006A">
      <w:r w:rsidRPr="00A6006A">
        <w:t xml:space="preserve">Kirkup, C., </w:t>
      </w:r>
      <w:proofErr w:type="spellStart"/>
      <w:r w:rsidRPr="00A6006A">
        <w:t>Sizmur</w:t>
      </w:r>
      <w:proofErr w:type="spellEnd"/>
      <w:r w:rsidRPr="00A6006A">
        <w:t xml:space="preserve">, J., Sturman, L. and Lewis, K. (2005). </w:t>
      </w:r>
      <w:r w:rsidRPr="00A6006A">
        <w:rPr>
          <w:i/>
          <w:iCs/>
        </w:rPr>
        <w:t xml:space="preserve"> Schools’ Use of Data in Teaching and Learning</w:t>
      </w:r>
      <w:r w:rsidRPr="00A6006A">
        <w:t xml:space="preserve">. [online] </w:t>
      </w:r>
      <w:r w:rsidRPr="00A6006A">
        <w:rPr>
          <w:i/>
          <w:iCs/>
        </w:rPr>
        <w:t>NFER</w:t>
      </w:r>
      <w:r w:rsidRPr="00A6006A">
        <w:t xml:space="preserve">, NFER </w:t>
      </w:r>
      <w:proofErr w:type="gramStart"/>
      <w:r w:rsidRPr="00A6006A">
        <w:t>Trading ,</w:t>
      </w:r>
      <w:proofErr w:type="gramEnd"/>
      <w:r w:rsidRPr="00A6006A">
        <w:t xml:space="preserve"> pp.1–160. Available at: </w:t>
      </w:r>
      <w:hyperlink r:id="rId23" w:history="1">
        <w:r w:rsidRPr="00A6006A">
          <w:rPr>
            <w:rStyle w:val="Hyperlink"/>
          </w:rPr>
          <w:t>https://www.nfer.ac.uk/media/cp4ntw52/sud01.pdf</w:t>
        </w:r>
      </w:hyperlink>
      <w:r w:rsidRPr="00A6006A">
        <w:t xml:space="preserve"> [Accessed 1 Apr. 2025].</w:t>
      </w:r>
    </w:p>
    <w:p w14:paraId="329547AF" w14:textId="77777777" w:rsidR="00A6006A" w:rsidRPr="00A6006A" w:rsidRDefault="00A6006A" w:rsidP="00A6006A">
      <w:r w:rsidRPr="00A6006A">
        <w:t xml:space="preserve">Lobe, B., Morgan, D.L. and Hoffman, K. (2022). A Systematic Comparison of In-Person and Video-Based Online Interviewing. </w:t>
      </w:r>
      <w:r w:rsidRPr="00A6006A">
        <w:rPr>
          <w:i/>
          <w:iCs/>
        </w:rPr>
        <w:t>International Journal of Qualitative Methods</w:t>
      </w:r>
      <w:r w:rsidRPr="00A6006A">
        <w:t xml:space="preserve">, [online] 21(1). </w:t>
      </w:r>
      <w:proofErr w:type="spellStart"/>
      <w:r w:rsidRPr="00A6006A">
        <w:t>doi:</w:t>
      </w:r>
      <w:hyperlink r:id="rId24" w:history="1">
        <w:r w:rsidRPr="00A6006A">
          <w:rPr>
            <w:rStyle w:val="Hyperlink"/>
          </w:rPr>
          <w:t>https</w:t>
        </w:r>
        <w:proofErr w:type="spellEnd"/>
        <w:r w:rsidRPr="00A6006A">
          <w:rPr>
            <w:rStyle w:val="Hyperlink"/>
          </w:rPr>
          <w:t>://doi.org/10.1177/16094069221127068</w:t>
        </w:r>
      </w:hyperlink>
      <w:r w:rsidRPr="00A6006A">
        <w:t>.</w:t>
      </w:r>
    </w:p>
    <w:p w14:paraId="23EBE2B0" w14:textId="77777777" w:rsidR="00A6006A" w:rsidRPr="00A6006A" w:rsidRDefault="00A6006A" w:rsidP="00A6006A">
      <w:r w:rsidRPr="00A6006A">
        <w:t xml:space="preserve">Main, P. (2021). </w:t>
      </w:r>
      <w:r w:rsidRPr="00A6006A">
        <w:rPr>
          <w:i/>
          <w:iCs/>
        </w:rPr>
        <w:t>Strategies for Assessment for Learning</w:t>
      </w:r>
      <w:r w:rsidRPr="00A6006A">
        <w:t xml:space="preserve">. [online] Structural Learning. Available at: </w:t>
      </w:r>
      <w:hyperlink r:id="rId25" w:history="1">
        <w:r w:rsidRPr="00A6006A">
          <w:rPr>
            <w:rStyle w:val="Hyperlink"/>
          </w:rPr>
          <w:t>https://www.structural-learning.com/post/strategies-for-assessment-for-learning</w:t>
        </w:r>
      </w:hyperlink>
      <w:r w:rsidRPr="00A6006A">
        <w:t>.</w:t>
      </w:r>
    </w:p>
    <w:p w14:paraId="2B6432CF" w14:textId="77777777" w:rsidR="00A6006A" w:rsidRPr="00A6006A" w:rsidRDefault="00A6006A" w:rsidP="00A6006A">
      <w:r w:rsidRPr="00A6006A">
        <w:t xml:space="preserve">Marshall, G. (2005). The purpose, Design and Administration of a Questionnaire for Data Collection. </w:t>
      </w:r>
      <w:r w:rsidRPr="00A6006A">
        <w:rPr>
          <w:i/>
          <w:iCs/>
        </w:rPr>
        <w:t>Radiography</w:t>
      </w:r>
      <w:r w:rsidRPr="00A6006A">
        <w:t xml:space="preserve">, [online] 11(2), pp.131–136. </w:t>
      </w:r>
      <w:proofErr w:type="spellStart"/>
      <w:r w:rsidRPr="00A6006A">
        <w:t>doi:</w:t>
      </w:r>
      <w:hyperlink r:id="rId26" w:history="1">
        <w:r w:rsidRPr="00A6006A">
          <w:rPr>
            <w:rStyle w:val="Hyperlink"/>
          </w:rPr>
          <w:t>https</w:t>
        </w:r>
        <w:proofErr w:type="spellEnd"/>
        <w:r w:rsidRPr="00A6006A">
          <w:rPr>
            <w:rStyle w:val="Hyperlink"/>
          </w:rPr>
          <w:t>://doi.org/10.1016/j.radi.2004.09.002</w:t>
        </w:r>
      </w:hyperlink>
      <w:r w:rsidRPr="00A6006A">
        <w:t>.</w:t>
      </w:r>
    </w:p>
    <w:p w14:paraId="3DFE03DE" w14:textId="77777777" w:rsidR="00A6006A" w:rsidRPr="00A6006A" w:rsidRDefault="00A6006A" w:rsidP="00A6006A">
      <w:r w:rsidRPr="00A6006A">
        <w:t xml:space="preserve">McLeod, S. (2023). </w:t>
      </w:r>
      <w:r w:rsidRPr="00A6006A">
        <w:rPr>
          <w:i/>
          <w:iCs/>
        </w:rPr>
        <w:t>Qualitative vs quantitative research methods &amp; data analysis</w:t>
      </w:r>
      <w:r w:rsidRPr="00A6006A">
        <w:t xml:space="preserve">. [online] Simply Psychology. Available at: </w:t>
      </w:r>
      <w:hyperlink r:id="rId27" w:history="1">
        <w:r w:rsidRPr="00A6006A">
          <w:rPr>
            <w:rStyle w:val="Hyperlink"/>
          </w:rPr>
          <w:t>https://www.simplypsychology.org/qualitative-quantitative.html</w:t>
        </w:r>
      </w:hyperlink>
      <w:r w:rsidRPr="00A6006A">
        <w:t>.</w:t>
      </w:r>
    </w:p>
    <w:p w14:paraId="54E73F3A" w14:textId="77777777" w:rsidR="00A6006A" w:rsidRPr="00A6006A" w:rsidRDefault="00A6006A" w:rsidP="00A6006A">
      <w:r w:rsidRPr="00A6006A">
        <w:t xml:space="preserve">Patten, M.L. (2016). </w:t>
      </w:r>
      <w:r w:rsidRPr="00A6006A">
        <w:rPr>
          <w:i/>
          <w:iCs/>
        </w:rPr>
        <w:t>Questionnaire Research</w:t>
      </w:r>
      <w:r w:rsidRPr="00A6006A">
        <w:t xml:space="preserve">. [online] Routledge. </w:t>
      </w:r>
      <w:proofErr w:type="spellStart"/>
      <w:r w:rsidRPr="00A6006A">
        <w:t>doi:</w:t>
      </w:r>
      <w:hyperlink r:id="rId28" w:history="1">
        <w:r w:rsidRPr="00A6006A">
          <w:rPr>
            <w:rStyle w:val="Hyperlink"/>
          </w:rPr>
          <w:t>https</w:t>
        </w:r>
        <w:proofErr w:type="spellEnd"/>
        <w:r w:rsidRPr="00A6006A">
          <w:rPr>
            <w:rStyle w:val="Hyperlink"/>
          </w:rPr>
          <w:t>://doi.org/10.4324/9781315265858</w:t>
        </w:r>
      </w:hyperlink>
      <w:r w:rsidRPr="00A6006A">
        <w:t>.</w:t>
      </w:r>
    </w:p>
    <w:p w14:paraId="46717D45" w14:textId="77777777" w:rsidR="00A6006A" w:rsidRPr="00A6006A" w:rsidRDefault="00A6006A" w:rsidP="00A6006A">
      <w:r w:rsidRPr="00A6006A">
        <w:t xml:space="preserve">Pietrangelo, A. (2020). </w:t>
      </w:r>
      <w:r w:rsidRPr="00A6006A">
        <w:rPr>
          <w:i/>
          <w:iCs/>
        </w:rPr>
        <w:t>Yerkes-Dodson Law: How It Correlates to Stress, Anxiety, Performance</w:t>
      </w:r>
      <w:r w:rsidRPr="00A6006A">
        <w:t xml:space="preserve">. [online] Healthline. Available at: </w:t>
      </w:r>
      <w:hyperlink r:id="rId29" w:history="1">
        <w:r w:rsidRPr="00A6006A">
          <w:rPr>
            <w:rStyle w:val="Hyperlink"/>
          </w:rPr>
          <w:t>https://www.healthline.com/health/yerkes-dodson-law</w:t>
        </w:r>
      </w:hyperlink>
      <w:r w:rsidRPr="00A6006A">
        <w:t>.</w:t>
      </w:r>
    </w:p>
    <w:p w14:paraId="0ADF9ACF" w14:textId="77777777" w:rsidR="00A6006A" w:rsidRPr="00A6006A" w:rsidRDefault="00A6006A" w:rsidP="00A6006A">
      <w:r w:rsidRPr="00A6006A">
        <w:t xml:space="preserve">Sehwail, M. (2024). </w:t>
      </w:r>
      <w:proofErr w:type="spellStart"/>
      <w:r w:rsidRPr="00A6006A">
        <w:t>Fullsession</w:t>
      </w:r>
      <w:proofErr w:type="spellEnd"/>
      <w:r w:rsidRPr="00A6006A">
        <w:t xml:space="preserve">. </w:t>
      </w:r>
      <w:r w:rsidRPr="00A6006A">
        <w:rPr>
          <w:i/>
          <w:iCs/>
        </w:rPr>
        <w:t>Qualitative Vs Quantitative Data (Differences, Pros and Cons)</w:t>
      </w:r>
      <w:r w:rsidRPr="00A6006A">
        <w:t xml:space="preserve">. Available at: </w:t>
      </w:r>
      <w:hyperlink r:id="rId30" w:history="1">
        <w:r w:rsidRPr="00A6006A">
          <w:rPr>
            <w:rStyle w:val="Hyperlink"/>
          </w:rPr>
          <w:t>https://www.fullsession.io/blog/qualitative-vs-quantitative-data/</w:t>
        </w:r>
      </w:hyperlink>
      <w:r w:rsidRPr="00A6006A">
        <w:t xml:space="preserve"> [Accessed 31 Mar. 2025].</w:t>
      </w:r>
    </w:p>
    <w:p w14:paraId="3F42A967" w14:textId="77777777" w:rsidR="00A6006A" w:rsidRPr="00A6006A" w:rsidRDefault="00A6006A" w:rsidP="00A6006A">
      <w:r w:rsidRPr="00A6006A">
        <w:t xml:space="preserve">Thank you FOR YOUR INTEREST IN CORWIN. (n.d.). Available at: </w:t>
      </w:r>
      <w:hyperlink r:id="rId31" w:history="1">
        <w:r w:rsidRPr="00A6006A">
          <w:rPr>
            <w:rStyle w:val="Hyperlink"/>
          </w:rPr>
          <w:t>https://www.corwin.com/docs/default-source/resources-documents/us-1587546-module-2-challenges-of-creating-an.pdf?sfvrsn=b87b1048_0</w:t>
        </w:r>
      </w:hyperlink>
      <w:r w:rsidRPr="00A6006A">
        <w:t>.</w:t>
      </w:r>
    </w:p>
    <w:p w14:paraId="7B69A2B7" w14:textId="77777777" w:rsidR="00A6006A" w:rsidRPr="00A6006A" w:rsidRDefault="00A6006A" w:rsidP="00A6006A">
      <w:r w:rsidRPr="00A6006A">
        <w:t xml:space="preserve">The World of Work Project (2019). </w:t>
      </w:r>
      <w:r w:rsidRPr="00A6006A">
        <w:rPr>
          <w:i/>
          <w:iCs/>
        </w:rPr>
        <w:t>Locke and Latham’s Goal Setting Theory – The World of Work Project</w:t>
      </w:r>
      <w:r w:rsidRPr="00A6006A">
        <w:t xml:space="preserve">. [online] World of Work Project. Available at: </w:t>
      </w:r>
      <w:hyperlink r:id="rId32" w:history="1">
        <w:r w:rsidRPr="00A6006A">
          <w:rPr>
            <w:rStyle w:val="Hyperlink"/>
          </w:rPr>
          <w:t>https://worldofwork.io/2019/07/locke-lathams-goal-setting-theory/</w:t>
        </w:r>
      </w:hyperlink>
      <w:r w:rsidRPr="00A6006A">
        <w:t>.</w:t>
      </w:r>
    </w:p>
    <w:p w14:paraId="1E943F91" w14:textId="77777777" w:rsidR="00A6006A" w:rsidRPr="00A6006A" w:rsidRDefault="00A6006A" w:rsidP="00A6006A">
      <w:r w:rsidRPr="00A6006A">
        <w:lastRenderedPageBreak/>
        <w:t xml:space="preserve">Welsh Government (2019). </w:t>
      </w:r>
      <w:r w:rsidRPr="00A6006A">
        <w:rPr>
          <w:i/>
          <w:iCs/>
        </w:rPr>
        <w:t>Professional Standards for Teaching and Leadership</w:t>
      </w:r>
      <w:r w:rsidRPr="00A6006A">
        <w:t xml:space="preserve">. [online] </w:t>
      </w:r>
      <w:r w:rsidRPr="00A6006A">
        <w:rPr>
          <w:i/>
          <w:iCs/>
        </w:rPr>
        <w:t>Hwb</w:t>
      </w:r>
      <w:r w:rsidRPr="00A6006A">
        <w:t xml:space="preserve">. Welsh Government. Available at: </w:t>
      </w:r>
      <w:hyperlink r:id="rId33" w:history="1">
        <w:r w:rsidRPr="00A6006A">
          <w:rPr>
            <w:rStyle w:val="Hyperlink"/>
          </w:rPr>
          <w:t>https://hwb.gov.wales/api/storage/19bc948b-8a3f-41e0-944a-7bf2cadf7d18/professional-standards-for-teaching-and-leadership-interactive-pdf-for-pc.pdf</w:t>
        </w:r>
      </w:hyperlink>
      <w:r w:rsidRPr="00A6006A">
        <w:t xml:space="preserve"> [Accessed 18 Mar. 2025].</w:t>
      </w:r>
    </w:p>
    <w:p w14:paraId="38576588" w14:textId="77777777" w:rsidR="00A6006A" w:rsidRPr="00A6006A" w:rsidRDefault="00A6006A" w:rsidP="00A6006A">
      <w:r w:rsidRPr="00A6006A">
        <w:t xml:space="preserve">Welsh Government (2021). </w:t>
      </w:r>
      <w:r w:rsidRPr="00A6006A">
        <w:rPr>
          <w:i/>
          <w:iCs/>
        </w:rPr>
        <w:t>The National Strategy for Educational Research and Enquiry (NSERE): vision document [HTML]</w:t>
      </w:r>
      <w:r w:rsidRPr="00A6006A">
        <w:t xml:space="preserve">. [online] GOV.WALES. Available at: </w:t>
      </w:r>
      <w:hyperlink r:id="rId34" w:history="1">
        <w:r w:rsidRPr="00A6006A">
          <w:rPr>
            <w:rStyle w:val="Hyperlink"/>
          </w:rPr>
          <w:t>https://www.gov.wales/national-strategy-educational-research-and-enquiry-nsere-vision-document-html</w:t>
        </w:r>
      </w:hyperlink>
      <w:r w:rsidRPr="00A6006A">
        <w:t>.</w:t>
      </w:r>
    </w:p>
    <w:p w14:paraId="0BDEF3AB" w14:textId="77777777" w:rsidR="00A6006A" w:rsidRPr="00A6006A" w:rsidRDefault="00A6006A" w:rsidP="00A6006A">
      <w:proofErr w:type="gramStart"/>
      <w:r w:rsidRPr="00A6006A">
        <w:t>William ,</w:t>
      </w:r>
      <w:proofErr w:type="gramEnd"/>
      <w:r w:rsidRPr="00A6006A">
        <w:t xml:space="preserve"> D. (2018). </w:t>
      </w:r>
      <w:r w:rsidRPr="00A6006A">
        <w:rPr>
          <w:i/>
          <w:iCs/>
        </w:rPr>
        <w:t>Embedded Formative Assessment</w:t>
      </w:r>
      <w:r w:rsidRPr="00A6006A">
        <w:t xml:space="preserve">. second edition ed. </w:t>
      </w:r>
      <w:proofErr w:type="gramStart"/>
      <w:r w:rsidRPr="00A6006A">
        <w:t>Bloomington :</w:t>
      </w:r>
      <w:proofErr w:type="gramEnd"/>
      <w:r w:rsidRPr="00A6006A">
        <w:t xml:space="preserve"> Solution Tree </w:t>
      </w:r>
      <w:proofErr w:type="spellStart"/>
      <w:r w:rsidRPr="00A6006A">
        <w:t>Prees</w:t>
      </w:r>
      <w:proofErr w:type="spellEnd"/>
      <w:r w:rsidRPr="00A6006A">
        <w:t>.</w:t>
      </w:r>
    </w:p>
    <w:p w14:paraId="033691C2" w14:textId="77777777" w:rsidR="00A6006A" w:rsidRPr="00A6006A" w:rsidRDefault="00A6006A" w:rsidP="00A6006A">
      <w:proofErr w:type="spellStart"/>
      <w:r w:rsidRPr="00A6006A">
        <w:t>Zaferis</w:t>
      </w:r>
      <w:proofErr w:type="spellEnd"/>
      <w:r w:rsidRPr="00A6006A">
        <w:t xml:space="preserve">, S.-E. (2023). The benefits of outlining learning intentions and success criteria | </w:t>
      </w:r>
      <w:proofErr w:type="spellStart"/>
      <w:r w:rsidRPr="00A6006A">
        <w:t>Atomi</w:t>
      </w:r>
      <w:proofErr w:type="spellEnd"/>
      <w:r w:rsidRPr="00A6006A">
        <w:t xml:space="preserve">. </w:t>
      </w:r>
      <w:r w:rsidRPr="00A6006A">
        <w:rPr>
          <w:i/>
          <w:iCs/>
        </w:rPr>
        <w:t>www.getatomi.com</w:t>
      </w:r>
      <w:r w:rsidRPr="00A6006A">
        <w:t xml:space="preserve">. Available at: </w:t>
      </w:r>
      <w:hyperlink r:id="rId35" w:history="1">
        <w:r w:rsidRPr="00A6006A">
          <w:rPr>
            <w:rStyle w:val="Hyperlink"/>
          </w:rPr>
          <w:t>https://www.getatomi.com/blog/learning-intentions-and-success-criteria</w:t>
        </w:r>
      </w:hyperlink>
      <w:r w:rsidRPr="00A6006A">
        <w:t>.</w:t>
      </w:r>
    </w:p>
    <w:p w14:paraId="0B4A72E2" w14:textId="77777777" w:rsidR="00A6006A" w:rsidRDefault="00A6006A" w:rsidP="00A6006A"/>
    <w:p w14:paraId="011B3FE3" w14:textId="77777777" w:rsidR="00A6006A" w:rsidRPr="000E2E7E" w:rsidRDefault="00A6006A" w:rsidP="000E2E7E">
      <w:pPr>
        <w:rPr>
          <w:sz w:val="36"/>
          <w:szCs w:val="36"/>
        </w:rPr>
      </w:pPr>
    </w:p>
    <w:p w14:paraId="66CC6D9E" w14:textId="77777777" w:rsidR="000E2E7E" w:rsidRPr="000E2E7E" w:rsidRDefault="000E2E7E" w:rsidP="000E2E7E">
      <w:pPr>
        <w:rPr>
          <w:sz w:val="36"/>
          <w:szCs w:val="36"/>
        </w:rPr>
      </w:pPr>
    </w:p>
    <w:p w14:paraId="2D2A7E36" w14:textId="77777777" w:rsidR="000E2E7E" w:rsidRDefault="000E2E7E" w:rsidP="000E2E7E">
      <w:pPr>
        <w:rPr>
          <w:sz w:val="28"/>
          <w:szCs w:val="28"/>
        </w:rPr>
      </w:pPr>
    </w:p>
    <w:p w14:paraId="6413DE7C" w14:textId="77777777" w:rsidR="000E2E7E" w:rsidRPr="000E2E7E" w:rsidRDefault="000E2E7E" w:rsidP="000E2E7E">
      <w:pPr>
        <w:rPr>
          <w:sz w:val="28"/>
          <w:szCs w:val="28"/>
        </w:rPr>
      </w:pPr>
    </w:p>
    <w:p w14:paraId="512734CD" w14:textId="77777777" w:rsidR="000E2E7E" w:rsidRPr="00B103B9" w:rsidRDefault="000E2E7E" w:rsidP="000E2E7E">
      <w:pPr>
        <w:rPr>
          <w:sz w:val="16"/>
          <w:szCs w:val="16"/>
        </w:rPr>
      </w:pPr>
    </w:p>
    <w:p w14:paraId="1CD1FA79" w14:textId="1E826845" w:rsidR="000E2E7E" w:rsidRPr="000E2E7E" w:rsidRDefault="000E2E7E">
      <w:pPr>
        <w:rPr>
          <w:sz w:val="52"/>
          <w:szCs w:val="52"/>
        </w:rPr>
      </w:pPr>
    </w:p>
    <w:sectPr w:rsidR="000E2E7E" w:rsidRPr="000E2E7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panose1 w:val="020B0004020202020204"/>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62"/>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E2E7E"/>
    <w:rsid w:val="000E2E7E"/>
    <w:rsid w:val="00121BB2"/>
    <w:rsid w:val="001675AC"/>
    <w:rsid w:val="00191CFB"/>
    <w:rsid w:val="001E698E"/>
    <w:rsid w:val="00371AC6"/>
    <w:rsid w:val="00372668"/>
    <w:rsid w:val="003A7750"/>
    <w:rsid w:val="00403714"/>
    <w:rsid w:val="00504994"/>
    <w:rsid w:val="00510D18"/>
    <w:rsid w:val="00604703"/>
    <w:rsid w:val="008F0B48"/>
    <w:rsid w:val="008F3B7D"/>
    <w:rsid w:val="00965B69"/>
    <w:rsid w:val="009D31A8"/>
    <w:rsid w:val="00A6006A"/>
    <w:rsid w:val="00AB5565"/>
    <w:rsid w:val="00AD7770"/>
    <w:rsid w:val="00C0493E"/>
    <w:rsid w:val="00C90F09"/>
    <w:rsid w:val="00D753FA"/>
    <w:rsid w:val="00DF09B3"/>
    <w:rsid w:val="00E5184C"/>
    <w:rsid w:val="00F66413"/>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4B9060"/>
  <w15:chartTrackingRefBased/>
  <w15:docId w15:val="{1B585F4F-5F9A-4953-9D79-C7D04A8501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E2E7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E2E7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E2E7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E2E7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E2E7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E2E7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E2E7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E2E7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E2E7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E2E7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E2E7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E2E7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E2E7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E2E7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E2E7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E2E7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E2E7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E2E7E"/>
    <w:rPr>
      <w:rFonts w:eastAsiaTheme="majorEastAsia" w:cstheme="majorBidi"/>
      <w:color w:val="272727" w:themeColor="text1" w:themeTint="D8"/>
    </w:rPr>
  </w:style>
  <w:style w:type="paragraph" w:styleId="Title">
    <w:name w:val="Title"/>
    <w:basedOn w:val="Normal"/>
    <w:next w:val="Normal"/>
    <w:link w:val="TitleChar"/>
    <w:uiPriority w:val="10"/>
    <w:qFormat/>
    <w:rsid w:val="000E2E7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E2E7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E2E7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E2E7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E2E7E"/>
    <w:pPr>
      <w:spacing w:before="160"/>
      <w:jc w:val="center"/>
    </w:pPr>
    <w:rPr>
      <w:i/>
      <w:iCs/>
      <w:color w:val="404040" w:themeColor="text1" w:themeTint="BF"/>
    </w:rPr>
  </w:style>
  <w:style w:type="character" w:customStyle="1" w:styleId="QuoteChar">
    <w:name w:val="Quote Char"/>
    <w:basedOn w:val="DefaultParagraphFont"/>
    <w:link w:val="Quote"/>
    <w:uiPriority w:val="29"/>
    <w:rsid w:val="000E2E7E"/>
    <w:rPr>
      <w:i/>
      <w:iCs/>
      <w:color w:val="404040" w:themeColor="text1" w:themeTint="BF"/>
    </w:rPr>
  </w:style>
  <w:style w:type="paragraph" w:styleId="ListParagraph">
    <w:name w:val="List Paragraph"/>
    <w:basedOn w:val="Normal"/>
    <w:uiPriority w:val="34"/>
    <w:qFormat/>
    <w:rsid w:val="000E2E7E"/>
    <w:pPr>
      <w:ind w:left="720"/>
      <w:contextualSpacing/>
    </w:pPr>
  </w:style>
  <w:style w:type="character" w:styleId="IntenseEmphasis">
    <w:name w:val="Intense Emphasis"/>
    <w:basedOn w:val="DefaultParagraphFont"/>
    <w:uiPriority w:val="21"/>
    <w:qFormat/>
    <w:rsid w:val="000E2E7E"/>
    <w:rPr>
      <w:i/>
      <w:iCs/>
      <w:color w:val="0F4761" w:themeColor="accent1" w:themeShade="BF"/>
    </w:rPr>
  </w:style>
  <w:style w:type="paragraph" w:styleId="IntenseQuote">
    <w:name w:val="Intense Quote"/>
    <w:basedOn w:val="Normal"/>
    <w:next w:val="Normal"/>
    <w:link w:val="IntenseQuoteChar"/>
    <w:uiPriority w:val="30"/>
    <w:qFormat/>
    <w:rsid w:val="000E2E7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E2E7E"/>
    <w:rPr>
      <w:i/>
      <w:iCs/>
      <w:color w:val="0F4761" w:themeColor="accent1" w:themeShade="BF"/>
    </w:rPr>
  </w:style>
  <w:style w:type="character" w:styleId="IntenseReference">
    <w:name w:val="Intense Reference"/>
    <w:basedOn w:val="DefaultParagraphFont"/>
    <w:uiPriority w:val="32"/>
    <w:qFormat/>
    <w:rsid w:val="000E2E7E"/>
    <w:rPr>
      <w:b/>
      <w:bCs/>
      <w:smallCaps/>
      <w:color w:val="0F4761" w:themeColor="accent1" w:themeShade="BF"/>
      <w:spacing w:val="5"/>
    </w:rPr>
  </w:style>
  <w:style w:type="table" w:styleId="TableGrid">
    <w:name w:val="Table Grid"/>
    <w:basedOn w:val="TableNormal"/>
    <w:uiPriority w:val="39"/>
    <w:rsid w:val="000E2E7E"/>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A6006A"/>
    <w:rPr>
      <w:color w:val="467886" w:themeColor="hyperlink"/>
      <w:u w:val="single"/>
    </w:rPr>
  </w:style>
  <w:style w:type="character" w:styleId="UnresolvedMention">
    <w:name w:val="Unresolved Mention"/>
    <w:basedOn w:val="DefaultParagraphFont"/>
    <w:uiPriority w:val="99"/>
    <w:semiHidden/>
    <w:unhideWhenUsed/>
    <w:rsid w:val="00A6006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10238145">
      <w:bodyDiv w:val="1"/>
      <w:marLeft w:val="0"/>
      <w:marRight w:val="0"/>
      <w:marTop w:val="0"/>
      <w:marBottom w:val="0"/>
      <w:divBdr>
        <w:top w:val="none" w:sz="0" w:space="0" w:color="auto"/>
        <w:left w:val="none" w:sz="0" w:space="0" w:color="auto"/>
        <w:bottom w:val="none" w:sz="0" w:space="0" w:color="auto"/>
        <w:right w:val="none" w:sz="0" w:space="0" w:color="auto"/>
      </w:divBdr>
    </w:div>
    <w:div w:id="682174154">
      <w:bodyDiv w:val="1"/>
      <w:marLeft w:val="0"/>
      <w:marRight w:val="0"/>
      <w:marTop w:val="0"/>
      <w:marBottom w:val="0"/>
      <w:divBdr>
        <w:top w:val="none" w:sz="0" w:space="0" w:color="auto"/>
        <w:left w:val="none" w:sz="0" w:space="0" w:color="auto"/>
        <w:bottom w:val="none" w:sz="0" w:space="0" w:color="auto"/>
        <w:right w:val="none" w:sz="0" w:space="0" w:color="auto"/>
      </w:divBdr>
    </w:div>
    <w:div w:id="1254126880">
      <w:bodyDiv w:val="1"/>
      <w:marLeft w:val="0"/>
      <w:marRight w:val="0"/>
      <w:marTop w:val="0"/>
      <w:marBottom w:val="0"/>
      <w:divBdr>
        <w:top w:val="none" w:sz="0" w:space="0" w:color="auto"/>
        <w:left w:val="none" w:sz="0" w:space="0" w:color="auto"/>
        <w:bottom w:val="none" w:sz="0" w:space="0" w:color="auto"/>
        <w:right w:val="none" w:sz="0" w:space="0" w:color="auto"/>
      </w:divBdr>
    </w:div>
    <w:div w:id="15492986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eakin.libguides.com/qualitative-study-designs/surveys?utm_source=chatgpt.com" TargetMode="External"/><Relationship Id="rId18" Type="http://schemas.openxmlformats.org/officeDocument/2006/relationships/hyperlink" Target="https://www.teachingchannel.com/k12-hub/blog/success-criteria/" TargetMode="External"/><Relationship Id="rId26" Type="http://schemas.openxmlformats.org/officeDocument/2006/relationships/hyperlink" Target="https://doi.org/10.1016/j.radi.2004.09.002" TargetMode="External"/><Relationship Id="rId21" Type="http://schemas.openxmlformats.org/officeDocument/2006/relationships/hyperlink" Target="https://atlasti.com/guides/interview-analysis-guide/disadvantages-of-research-interviews" TargetMode="External"/><Relationship Id="rId34" Type="http://schemas.openxmlformats.org/officeDocument/2006/relationships/hyperlink" Target="https://www.gov.wales/national-strategy-educational-research-and-enquiry-nsere-vision-document-html" TargetMode="External"/><Relationship Id="rId7" Type="http://schemas.openxmlformats.org/officeDocument/2006/relationships/hyperlink" Target="https://kappanonline.org/inside-the-black-box-raising-standards-through-classroom-assessment/" TargetMode="External"/><Relationship Id="rId12" Type="http://schemas.openxmlformats.org/officeDocument/2006/relationships/hyperlink" Target="https://thedecisionlab.com/reference-guide/philosophy/goal-setting-theory" TargetMode="External"/><Relationship Id="rId17" Type="http://schemas.openxmlformats.org/officeDocument/2006/relationships/hyperlink" Target="https://doi.org/10.1080/03004279.2021.1948090" TargetMode="External"/><Relationship Id="rId25" Type="http://schemas.openxmlformats.org/officeDocument/2006/relationships/hyperlink" Target="https://www.structural-learning.com/post/strategies-for-assessment-for-learning" TargetMode="External"/><Relationship Id="rId33" Type="http://schemas.openxmlformats.org/officeDocument/2006/relationships/hyperlink" Target="https://hwb.gov.wales/api/storage/19bc948b-8a3f-41e0-944a-7bf2cadf7d18/professional-standards-for-teaching-and-leadership-interactive-pdf-for-pc.pdf" TargetMode="External"/><Relationship Id="rId2" Type="http://schemas.openxmlformats.org/officeDocument/2006/relationships/settings" Target="settings.xml"/><Relationship Id="rId16" Type="http://schemas.openxmlformats.org/officeDocument/2006/relationships/hyperlink" Target="https://files.eric.ed.gov/fulltext/EJ1382629.pdf" TargetMode="External"/><Relationship Id="rId20" Type="http://schemas.openxmlformats.org/officeDocument/2006/relationships/hyperlink" Target="https://doi.org/10.1038/npjscilearn.2016.13" TargetMode="External"/><Relationship Id="rId29" Type="http://schemas.openxmlformats.org/officeDocument/2006/relationships/hyperlink" Target="https://www.healthline.com/health/yerkes-dodson-law" TargetMode="External"/><Relationship Id="rId1" Type="http://schemas.openxmlformats.org/officeDocument/2006/relationships/styles" Target="styles.xml"/><Relationship Id="rId6" Type="http://schemas.openxmlformats.org/officeDocument/2006/relationships/hyperlink" Target="https://www.questionpro.com/blog/online-questionnaire/" TargetMode="External"/><Relationship Id="rId11" Type="http://schemas.openxmlformats.org/officeDocument/2006/relationships/hyperlink" Target="https://doi.org/10.1080/09585176.2015.1103278" TargetMode="External"/><Relationship Id="rId24" Type="http://schemas.openxmlformats.org/officeDocument/2006/relationships/hyperlink" Target="https://doi.org/10.1177/16094069221127068" TargetMode="External"/><Relationship Id="rId32" Type="http://schemas.openxmlformats.org/officeDocument/2006/relationships/hyperlink" Target="https://worldofwork.io/2019/07/locke-lathams-goal-setting-theory/" TargetMode="External"/><Relationship Id="rId37" Type="http://schemas.openxmlformats.org/officeDocument/2006/relationships/theme" Target="theme/theme1.xml"/><Relationship Id="rId5" Type="http://schemas.openxmlformats.org/officeDocument/2006/relationships/hyperlink" Target="https://www.bera.ac.uk/publication/ethical-guidelines-for-educational-research-fifth-edition-2024-online" TargetMode="External"/><Relationship Id="rId15" Type="http://schemas.openxmlformats.org/officeDocument/2006/relationships/hyperlink" Target="https://www.teachwire.net/news/success-criteria-strategies-for-developing-writing-skills-in-the-classroom/?utm_source=chatgpt.com" TargetMode="External"/><Relationship Id="rId23" Type="http://schemas.openxmlformats.org/officeDocument/2006/relationships/hyperlink" Target="https://www.nfer.ac.uk/media/cp4ntw52/sud01.pdf" TargetMode="External"/><Relationship Id="rId28" Type="http://schemas.openxmlformats.org/officeDocument/2006/relationships/hyperlink" Target="https://doi.org/10.4324/9781315265858" TargetMode="External"/><Relationship Id="rId36" Type="http://schemas.openxmlformats.org/officeDocument/2006/relationships/fontTable" Target="fontTable.xml"/><Relationship Id="rId10" Type="http://schemas.openxmlformats.org/officeDocument/2006/relationships/hyperlink" Target="https://chowdharyteachingandlearning.wordpress.com/2021/06/14/differentiated-lesson-objectives-and-sharing-success-criteria/" TargetMode="External"/><Relationship Id="rId19" Type="http://schemas.openxmlformats.org/officeDocument/2006/relationships/hyperlink" Target="https://www.stem.org.uk/resources/elibrary/resource/273227/john-hattie-learning-intentions-and-success-criteria" TargetMode="External"/><Relationship Id="rId31" Type="http://schemas.openxmlformats.org/officeDocument/2006/relationships/hyperlink" Target="https://www.corwin.com/docs/default-source/resources-documents/us-1587546-module-2-challenges-of-creating-an.pdf?sfvrsn=b87b1048_0" TargetMode="External"/><Relationship Id="rId4" Type="http://schemas.openxmlformats.org/officeDocument/2006/relationships/image" Target="media/image1.png"/><Relationship Id="rId9" Type="http://schemas.openxmlformats.org/officeDocument/2006/relationships/hyperlink" Target="https://joe-bower.blogspot.com/2011/10/stop-writing-objectives-on-board.html?utm_source=chatgpt.com" TargetMode="External"/><Relationship Id="rId14" Type="http://schemas.openxmlformats.org/officeDocument/2006/relationships/hyperlink" Target="https://www.gov.wales/sites/default/files/publications/2018-03/successful-futures.pdf" TargetMode="External"/><Relationship Id="rId22" Type="http://schemas.openxmlformats.org/officeDocument/2006/relationships/hyperlink" Target="https://learningspy.co.uk/learning/8696/" TargetMode="External"/><Relationship Id="rId27" Type="http://schemas.openxmlformats.org/officeDocument/2006/relationships/hyperlink" Target="https://www.simplypsychology.org/qualitative-quantitative.html" TargetMode="External"/><Relationship Id="rId30" Type="http://schemas.openxmlformats.org/officeDocument/2006/relationships/hyperlink" Target="https://www.fullsession.io/blog/qualitative-vs-quantitative-data/" TargetMode="External"/><Relationship Id="rId35" Type="http://schemas.openxmlformats.org/officeDocument/2006/relationships/hyperlink" Target="https://www.getatomi.com/blog/learning-intentions-and-success-criteria" TargetMode="External"/><Relationship Id="rId8" Type="http://schemas.openxmlformats.org/officeDocument/2006/relationships/hyperlink" Target="https://www.novakeducation.com/blog/how-clearer-learning-intentions-lead-to-deeper-learning?utm_source=chatgpt.com" TargetMode="External"/><Relationship Id="rId3"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TotalTime>
  <Pages>12</Pages>
  <Words>4660</Words>
  <Characters>26566</Characters>
  <Application>Microsoft Office Word</Application>
  <DocSecurity>0</DocSecurity>
  <Lines>221</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31164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Sioned Hughes</dc:creator>
  <cp:keywords/>
  <dc:description/>
  <cp:lastModifiedBy>HUG20856895 (Abby Hughes)</cp:lastModifiedBy>
  <cp:revision>4</cp:revision>
  <dcterms:created xsi:type="dcterms:W3CDTF">2025-04-03T09:50:00Z</dcterms:created>
  <dcterms:modified xsi:type="dcterms:W3CDTF">2025-04-03T18:12:00Z</dcterms:modified>
</cp:coreProperties>
</file>