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3FC2D7" w14:textId="77777777" w:rsidR="00D14231" w:rsidRPr="00C0524A" w:rsidRDefault="00D14231" w:rsidP="00D14231">
      <w:pPr>
        <w:rPr>
          <w:b/>
          <w:bCs/>
          <w:sz w:val="28"/>
          <w:szCs w:val="28"/>
        </w:rPr>
      </w:pPr>
      <w:r w:rsidRPr="00C0524A">
        <w:rPr>
          <w:b/>
          <w:bCs/>
          <w:sz w:val="28"/>
          <w:szCs w:val="28"/>
        </w:rPr>
        <w:t>Essays</w:t>
      </w:r>
    </w:p>
    <w:p w14:paraId="4A2264AF" w14:textId="77777777" w:rsidR="00D14231" w:rsidRPr="00C0524A" w:rsidRDefault="00D14231" w:rsidP="00D14231">
      <w:pPr>
        <w:rPr>
          <w:b/>
          <w:bCs/>
          <w:sz w:val="28"/>
          <w:szCs w:val="28"/>
        </w:rPr>
      </w:pPr>
      <w:r w:rsidRPr="00C0524A">
        <w:rPr>
          <w:b/>
          <w:bCs/>
          <w:sz w:val="28"/>
          <w:szCs w:val="28"/>
        </w:rPr>
        <w:t>Essay 2</w:t>
      </w:r>
      <w:r>
        <w:rPr>
          <w:b/>
          <w:bCs/>
          <w:sz w:val="28"/>
          <w:szCs w:val="28"/>
        </w:rPr>
        <w:t>-</w:t>
      </w:r>
      <w:r w:rsidRPr="00C0524A">
        <w:rPr>
          <w:b/>
          <w:bCs/>
          <w:sz w:val="28"/>
          <w:szCs w:val="28"/>
        </w:rPr>
        <w:t xml:space="preserve">Response- police in the local area act fairly and with respect. Evaluate the impact of response policing on the public </w:t>
      </w:r>
    </w:p>
    <w:p w14:paraId="247D585B" w14:textId="77777777" w:rsidR="00D14231" w:rsidRDefault="00D14231" w:rsidP="00D14231">
      <w:pPr>
        <w:spacing w:line="360" w:lineRule="auto"/>
        <w:rPr>
          <w:rFonts w:cstheme="minorHAnsi"/>
          <w:color w:val="000000"/>
          <w:sz w:val="24"/>
          <w:szCs w:val="24"/>
          <w:shd w:val="clear" w:color="auto" w:fill="FFFFFF"/>
        </w:rPr>
      </w:pPr>
      <w:r w:rsidRPr="00950AD2">
        <w:rPr>
          <w:rFonts w:cstheme="minorHAnsi"/>
          <w:color w:val="000000"/>
          <w:sz w:val="24"/>
          <w:szCs w:val="24"/>
          <w:shd w:val="clear" w:color="auto" w:fill="FFFFFF"/>
        </w:rPr>
        <w:t xml:space="preserve">Response officers will often be the first people that the public will come into contact with and the behaviour, values and attitudes of the officers are vitally important in being able to interact positively. deescalate any problems and develop rapport with victims and suspects of crime (College of Policing 2023). </w:t>
      </w:r>
      <w:bookmarkStart w:id="0" w:name="_Hlk155797701"/>
      <w:r>
        <w:rPr>
          <w:rFonts w:cstheme="minorHAnsi"/>
          <w:color w:val="000000"/>
          <w:sz w:val="24"/>
          <w:szCs w:val="24"/>
          <w:shd w:val="clear" w:color="auto" w:fill="FFFFFF"/>
        </w:rPr>
        <w:t xml:space="preserve">Hanway and Hambly (2023) </w:t>
      </w:r>
      <w:bookmarkEnd w:id="0"/>
      <w:r>
        <w:rPr>
          <w:rFonts w:cstheme="minorHAnsi"/>
          <w:color w:val="000000"/>
          <w:sz w:val="24"/>
          <w:szCs w:val="24"/>
          <w:shd w:val="clear" w:color="auto" w:fill="FFFFFF"/>
        </w:rPr>
        <w:t xml:space="preserve">suggested that </w:t>
      </w:r>
      <w:r w:rsidRPr="00B126BB">
        <w:rPr>
          <w:rFonts w:cstheme="minorHAnsi"/>
          <w:color w:val="0B0C0C"/>
          <w:sz w:val="24"/>
          <w:szCs w:val="24"/>
          <w:shd w:val="clear" w:color="auto" w:fill="FFFFFF"/>
        </w:rPr>
        <w:t xml:space="preserve">perceptions of policing by the public can be influenced positively or negatively and this will </w:t>
      </w:r>
      <w:r>
        <w:rPr>
          <w:rFonts w:cstheme="minorHAnsi"/>
          <w:color w:val="0B0C0C"/>
          <w:sz w:val="24"/>
          <w:szCs w:val="24"/>
          <w:shd w:val="clear" w:color="auto" w:fill="FFFFFF"/>
        </w:rPr>
        <w:t xml:space="preserve">be </w:t>
      </w:r>
      <w:r w:rsidRPr="00B126BB">
        <w:rPr>
          <w:rFonts w:cstheme="minorHAnsi"/>
          <w:color w:val="0B0C0C"/>
          <w:sz w:val="24"/>
          <w:szCs w:val="24"/>
          <w:shd w:val="clear" w:color="auto" w:fill="FFFFFF"/>
        </w:rPr>
        <w:t>dependent on levels of police visibility, availability, and readiness to attend incidents</w:t>
      </w:r>
      <w:r>
        <w:rPr>
          <w:rFonts w:ascii="Arial" w:hAnsi="Arial" w:cs="Arial"/>
          <w:color w:val="0B0C0C"/>
          <w:sz w:val="29"/>
          <w:szCs w:val="29"/>
          <w:shd w:val="clear" w:color="auto" w:fill="FFFFFF"/>
        </w:rPr>
        <w:t>.</w:t>
      </w:r>
    </w:p>
    <w:p w14:paraId="77B3592C" w14:textId="77777777" w:rsidR="00D14231" w:rsidRPr="00950AD2" w:rsidRDefault="00D14231" w:rsidP="00D14231">
      <w:pPr>
        <w:spacing w:line="360" w:lineRule="auto"/>
        <w:rPr>
          <w:rFonts w:eastAsia="Times New Roman" w:cstheme="minorHAnsi"/>
          <w:color w:val="000000"/>
          <w:kern w:val="0"/>
          <w:sz w:val="24"/>
          <w:szCs w:val="24"/>
          <w:lang w:eastAsia="en-GB"/>
          <w14:ligatures w14:val="none"/>
        </w:rPr>
      </w:pPr>
      <w:r w:rsidRPr="00950AD2">
        <w:rPr>
          <w:rFonts w:cstheme="minorHAnsi"/>
          <w:sz w:val="24"/>
          <w:szCs w:val="24"/>
        </w:rPr>
        <w:t>Vidal and Kirchmaker (2016) identified that response policing is a major mechanism for fostering positive relationships with the public and detecting as many crimes as possible, and the quicker the response time the more likelihood that witnesses or victims will identify a suspect. Whereas a longer response time reduces the likelihood of crimes being detected which can influence and affect public safety. In 2008 The HMIC indicated that there had been a general rise in public complaints of police incivility and poor response to public need and police forces have made significant steps to improve this</w:t>
      </w:r>
      <w:r>
        <w:rPr>
          <w:rFonts w:cstheme="minorHAnsi"/>
          <w:sz w:val="24"/>
          <w:szCs w:val="24"/>
        </w:rPr>
        <w:t xml:space="preserve">. In 2019 the HMICRFS reported that 65% of respondents agreed that the police in their local area treated them fairly and with respect. </w:t>
      </w:r>
      <w:r w:rsidRPr="00950AD2">
        <w:rPr>
          <w:rFonts w:cstheme="minorHAnsi"/>
          <w:color w:val="393939"/>
          <w:sz w:val="24"/>
          <w:szCs w:val="24"/>
          <w:shd w:val="clear" w:color="auto" w:fill="FFFFFF"/>
        </w:rPr>
        <w:t xml:space="preserve">The </w:t>
      </w:r>
      <w:r>
        <w:rPr>
          <w:rFonts w:cstheme="minorHAnsi"/>
          <w:color w:val="393939"/>
          <w:sz w:val="24"/>
          <w:szCs w:val="24"/>
          <w:shd w:val="clear" w:color="auto" w:fill="FFFFFF"/>
        </w:rPr>
        <w:t>I</w:t>
      </w:r>
      <w:r w:rsidRPr="00950AD2">
        <w:rPr>
          <w:rFonts w:cstheme="minorHAnsi"/>
          <w:color w:val="393939"/>
          <w:sz w:val="24"/>
          <w:szCs w:val="24"/>
          <w:shd w:val="clear" w:color="auto" w:fill="FFFFFF"/>
        </w:rPr>
        <w:t>nstitute for Government (2023) found that in 2020/2021 68 % of the public felt that police were doing a good job yet this reduced slightly to 67% in 2021/2022.</w:t>
      </w:r>
      <w:r w:rsidRPr="00997B15">
        <w:t xml:space="preserve"> </w:t>
      </w:r>
    </w:p>
    <w:p w14:paraId="3670DD14" w14:textId="77777777" w:rsidR="00D14231" w:rsidRPr="00E128F0" w:rsidRDefault="00D14231" w:rsidP="00D14231">
      <w:pPr>
        <w:spacing w:line="360" w:lineRule="auto"/>
        <w:rPr>
          <w:rFonts w:cstheme="minorHAnsi"/>
          <w:color w:val="000000"/>
          <w:sz w:val="24"/>
          <w:szCs w:val="24"/>
          <w:shd w:val="clear" w:color="auto" w:fill="FFFFFF"/>
        </w:rPr>
      </w:pPr>
      <w:r w:rsidRPr="00E128F0">
        <w:rPr>
          <w:rFonts w:cstheme="minorHAnsi"/>
          <w:color w:val="000000"/>
          <w:sz w:val="24"/>
          <w:szCs w:val="24"/>
          <w:shd w:val="clear" w:color="auto" w:fill="FFFFFF"/>
        </w:rPr>
        <w:t xml:space="preserve">The role of the response officer as identified by the College of Policing (2023) is to identify, aid and support </w:t>
      </w:r>
      <w:r w:rsidRPr="00E128F0">
        <w:rPr>
          <w:rFonts w:eastAsia="Times New Roman" w:cstheme="minorHAnsi"/>
          <w:color w:val="000000"/>
          <w:kern w:val="0"/>
          <w:sz w:val="24"/>
          <w:szCs w:val="24"/>
          <w:lang w:eastAsia="en-GB"/>
          <w14:ligatures w14:val="none"/>
        </w:rPr>
        <w:t xml:space="preserve">vulnerable people, manage any incidents, </w:t>
      </w:r>
      <w:r w:rsidRPr="00E128F0">
        <w:rPr>
          <w:rFonts w:cstheme="minorHAnsi"/>
          <w:color w:val="000000"/>
          <w:spacing w:val="3"/>
          <w:sz w:val="24"/>
          <w:szCs w:val="24"/>
        </w:rPr>
        <w:t>protect members of the public</w:t>
      </w:r>
      <w:r w:rsidRPr="00E128F0">
        <w:rPr>
          <w:rFonts w:eastAsia="Times New Roman" w:cstheme="minorHAnsi"/>
          <w:color w:val="000000"/>
          <w:kern w:val="0"/>
          <w:sz w:val="24"/>
          <w:szCs w:val="24"/>
          <w:lang w:eastAsia="en-GB"/>
          <w14:ligatures w14:val="none"/>
        </w:rPr>
        <w:t xml:space="preserve">, provide any first aid deemed necessary, reduce or limit the impact of any threatening behaviour and support a community. This is deemed a reactive approach to policing whereas HMICRFS (2022) indicated that a proactive approach to policing </w:t>
      </w:r>
      <w:r>
        <w:rPr>
          <w:rFonts w:eastAsia="Times New Roman" w:cstheme="minorHAnsi"/>
          <w:color w:val="000000"/>
          <w:kern w:val="0"/>
          <w:sz w:val="24"/>
          <w:szCs w:val="24"/>
          <w:lang w:eastAsia="en-GB"/>
          <w14:ligatures w14:val="none"/>
        </w:rPr>
        <w:t xml:space="preserve">is needed </w:t>
      </w:r>
      <w:r w:rsidRPr="00E128F0">
        <w:rPr>
          <w:rFonts w:cstheme="minorHAnsi"/>
          <w:color w:val="282828"/>
          <w:sz w:val="24"/>
          <w:szCs w:val="24"/>
        </w:rPr>
        <w:t>in order to protect the most vulnerable in society</w:t>
      </w:r>
      <w:r>
        <w:rPr>
          <w:rFonts w:cstheme="minorHAnsi"/>
          <w:color w:val="282828"/>
          <w:sz w:val="24"/>
          <w:szCs w:val="24"/>
        </w:rPr>
        <w:t>.</w:t>
      </w:r>
      <w:r w:rsidRPr="00E128F0">
        <w:rPr>
          <w:rFonts w:cstheme="minorHAnsi"/>
          <w:color w:val="282828"/>
          <w:sz w:val="24"/>
          <w:szCs w:val="24"/>
        </w:rPr>
        <w:t xml:space="preserve"> Additionally HMICRFS (2022) suggested the need for significant investment in police technology to assist in providing data that allows for a targeted balance between reactive and proactive policing providing predictive data, identifying crime hotspots and detailed crime analysis</w:t>
      </w:r>
      <w:r>
        <w:rPr>
          <w:rFonts w:cstheme="minorHAnsi"/>
          <w:color w:val="282828"/>
          <w:sz w:val="24"/>
          <w:szCs w:val="24"/>
        </w:rPr>
        <w:t xml:space="preserve"> </w:t>
      </w:r>
      <w:r w:rsidRPr="00E128F0">
        <w:rPr>
          <w:rFonts w:cstheme="minorHAnsi"/>
          <w:color w:val="282828"/>
          <w:sz w:val="24"/>
          <w:szCs w:val="24"/>
        </w:rPr>
        <w:t xml:space="preserve">. Laufs </w:t>
      </w:r>
      <w:r w:rsidRPr="00E128F0">
        <w:rPr>
          <w:rFonts w:cstheme="minorHAnsi"/>
          <w:color w:val="282828"/>
          <w:sz w:val="24"/>
          <w:szCs w:val="24"/>
        </w:rPr>
        <w:lastRenderedPageBreak/>
        <w:t>et al (2020) suggested that c</w:t>
      </w:r>
      <w:r w:rsidRPr="00E128F0">
        <w:rPr>
          <w:rFonts w:cstheme="minorHAnsi"/>
          <w:color w:val="333333"/>
          <w:sz w:val="24"/>
          <w:szCs w:val="24"/>
        </w:rPr>
        <w:t>rime harm indices should be used as these can determine levels or weights of crime types so that areas affected are prioritised over those perceived less serious which has the potential to influence public views of policing.</w:t>
      </w:r>
    </w:p>
    <w:p w14:paraId="22DE17EB" w14:textId="77777777" w:rsidR="00D14231" w:rsidRPr="00997B15" w:rsidRDefault="00D14231" w:rsidP="00D14231">
      <w:pPr>
        <w:spacing w:line="360" w:lineRule="auto"/>
        <w:rPr>
          <w:rFonts w:eastAsia="Times New Roman" w:cstheme="minorHAnsi"/>
          <w:color w:val="000000"/>
          <w:kern w:val="0"/>
          <w:sz w:val="24"/>
          <w:szCs w:val="24"/>
          <w:lang w:eastAsia="en-GB"/>
          <w14:ligatures w14:val="none"/>
        </w:rPr>
      </w:pPr>
      <w:r w:rsidRPr="00950AD2">
        <w:rPr>
          <w:rFonts w:cstheme="minorHAnsi"/>
          <w:color w:val="000000"/>
          <w:sz w:val="24"/>
          <w:szCs w:val="24"/>
          <w:shd w:val="clear" w:color="auto" w:fill="FFFFFF"/>
        </w:rPr>
        <w:t>Miller and D‘souza (2016) suggested that a positive experience with police can increase trust and confidence which will ultimately influence individuals to help and cooperate. This was previously highlighted by Skogan (2009) who suggested that confidence in the police can reduce concerns regarding crime.</w:t>
      </w:r>
      <w:r w:rsidRPr="00950AD2">
        <w:rPr>
          <w:rFonts w:cstheme="minorHAnsi"/>
          <w:color w:val="0B0C0C"/>
          <w:sz w:val="24"/>
          <w:szCs w:val="24"/>
          <w:shd w:val="clear" w:color="auto" w:fill="FFFFFF"/>
        </w:rPr>
        <w:t xml:space="preserve"> Mason et al (2014) mentioned that an effective connection between the police and public is complex yet requires officers to be compassionate toward people. Bradford and Myhill (2015) and Lee and Zhoa (2016) suggested that the public will view the police positively if they are courteous, approachable, helpful, hardworking, honest, fair and just, which are some of the ethical principles that all officers should abide by (College of Policing 2014). </w:t>
      </w:r>
      <w:r w:rsidRPr="00950AD2">
        <w:rPr>
          <w:rFonts w:eastAsia="Times New Roman" w:cstheme="minorHAnsi"/>
          <w:color w:val="000000"/>
          <w:kern w:val="0"/>
          <w:sz w:val="24"/>
          <w:szCs w:val="24"/>
          <w:lang w:eastAsia="en-GB"/>
          <w14:ligatures w14:val="none"/>
        </w:rPr>
        <w:t>The European Social Survey (2012) indicated that If police wield their power in a fair and just way, public trust and legitimacy in the service as a whole will be generated.</w:t>
      </w:r>
      <w:r w:rsidRPr="00950AD2">
        <w:rPr>
          <w:rFonts w:cstheme="minorHAnsi"/>
          <w:color w:val="393939"/>
          <w:sz w:val="24"/>
          <w:szCs w:val="24"/>
          <w:shd w:val="clear" w:color="auto" w:fill="FFFFFF"/>
        </w:rPr>
        <w:t xml:space="preserve"> </w:t>
      </w:r>
      <w:r>
        <w:rPr>
          <w:rFonts w:cstheme="minorHAnsi"/>
          <w:color w:val="393939"/>
          <w:sz w:val="24"/>
          <w:szCs w:val="24"/>
          <w:shd w:val="clear" w:color="auto" w:fill="FFFFFF"/>
        </w:rPr>
        <w:t xml:space="preserve">This is supported by Higgins on behalf of </w:t>
      </w:r>
      <w:r w:rsidRPr="00997B15">
        <w:rPr>
          <w:rFonts w:cstheme="minorHAnsi"/>
          <w:color w:val="393939"/>
          <w:sz w:val="24"/>
          <w:szCs w:val="24"/>
          <w:shd w:val="clear" w:color="auto" w:fill="FFFFFF"/>
        </w:rPr>
        <w:t xml:space="preserve">The </w:t>
      </w:r>
      <w:r w:rsidRPr="00997B15">
        <w:rPr>
          <w:rFonts w:cstheme="minorHAnsi"/>
          <w:sz w:val="24"/>
          <w:szCs w:val="24"/>
        </w:rPr>
        <w:t xml:space="preserve">Police Foundation </w:t>
      </w:r>
      <w:r>
        <w:rPr>
          <w:rFonts w:cstheme="minorHAnsi"/>
          <w:sz w:val="24"/>
          <w:szCs w:val="24"/>
        </w:rPr>
        <w:t>(</w:t>
      </w:r>
      <w:r w:rsidRPr="00997B15">
        <w:rPr>
          <w:rFonts w:cstheme="minorHAnsi"/>
          <w:sz w:val="24"/>
          <w:szCs w:val="24"/>
        </w:rPr>
        <w:t>2020)</w:t>
      </w:r>
      <w:r>
        <w:rPr>
          <w:rFonts w:cstheme="minorHAnsi"/>
          <w:sz w:val="24"/>
          <w:szCs w:val="24"/>
        </w:rPr>
        <w:t xml:space="preserve"> who suggested that </w:t>
      </w:r>
      <w:r w:rsidRPr="00997B15">
        <w:rPr>
          <w:rFonts w:cstheme="minorHAnsi"/>
          <w:color w:val="393939"/>
          <w:sz w:val="24"/>
          <w:szCs w:val="24"/>
          <w:shd w:val="clear" w:color="auto" w:fill="FFFFFF"/>
        </w:rPr>
        <w:t>police can generate public approval if they are r</w:t>
      </w:r>
      <w:r w:rsidRPr="00997B15">
        <w:rPr>
          <w:rFonts w:cstheme="minorHAnsi"/>
          <w:sz w:val="24"/>
          <w:szCs w:val="24"/>
        </w:rPr>
        <w:t xml:space="preserve">espectful, and this helps with a sense of ‘moral alignment’, which </w:t>
      </w:r>
      <w:r>
        <w:rPr>
          <w:rFonts w:cstheme="minorHAnsi"/>
          <w:sz w:val="24"/>
          <w:szCs w:val="24"/>
        </w:rPr>
        <w:t xml:space="preserve">further </w:t>
      </w:r>
      <w:r w:rsidRPr="00997B15">
        <w:rPr>
          <w:rFonts w:cstheme="minorHAnsi"/>
          <w:sz w:val="24"/>
          <w:szCs w:val="24"/>
        </w:rPr>
        <w:t>assists the public to act in positive ways which includes cooperating and obeying the law</w:t>
      </w:r>
      <w:r>
        <w:rPr>
          <w:rFonts w:cstheme="minorHAnsi"/>
          <w:sz w:val="24"/>
          <w:szCs w:val="24"/>
        </w:rPr>
        <w:t>.</w:t>
      </w:r>
      <w:r w:rsidRPr="00997B15">
        <w:rPr>
          <w:rFonts w:cstheme="minorHAnsi"/>
          <w:sz w:val="24"/>
          <w:szCs w:val="24"/>
        </w:rPr>
        <w:t xml:space="preserve"> </w:t>
      </w:r>
    </w:p>
    <w:p w14:paraId="3D484912" w14:textId="77777777" w:rsidR="00D14231" w:rsidRPr="00950AD2" w:rsidRDefault="00D14231" w:rsidP="00D14231">
      <w:pPr>
        <w:spacing w:line="360" w:lineRule="auto"/>
        <w:rPr>
          <w:rFonts w:eastAsia="Times New Roman" w:cstheme="minorHAnsi"/>
          <w:color w:val="000000"/>
          <w:kern w:val="0"/>
          <w:sz w:val="24"/>
          <w:szCs w:val="24"/>
          <w:lang w:eastAsia="en-GB"/>
          <w14:ligatures w14:val="none"/>
        </w:rPr>
      </w:pPr>
      <w:r w:rsidRPr="00590586">
        <w:rPr>
          <w:rFonts w:cstheme="minorHAnsi"/>
          <w:color w:val="000000"/>
          <w:sz w:val="24"/>
          <w:szCs w:val="24"/>
          <w:shd w:val="clear" w:color="auto" w:fill="FFFFFF"/>
        </w:rPr>
        <w:t>The</w:t>
      </w:r>
      <w:r>
        <w:rPr>
          <w:rFonts w:cstheme="minorHAnsi"/>
          <w:color w:val="000000"/>
          <w:sz w:val="24"/>
          <w:szCs w:val="24"/>
          <w:shd w:val="clear" w:color="auto" w:fill="FFFFFF"/>
        </w:rPr>
        <w:t xml:space="preserve"> response </w:t>
      </w:r>
      <w:r w:rsidRPr="00590586">
        <w:rPr>
          <w:rFonts w:cstheme="minorHAnsi"/>
          <w:color w:val="000000"/>
          <w:sz w:val="24"/>
          <w:szCs w:val="24"/>
          <w:shd w:val="clear" w:color="auto" w:fill="FFFFFF"/>
        </w:rPr>
        <w:t>role involves officers providing frontline response to a diverse range of incidents which can often be difficult and complex. Officers on response teams deal with challenging situations daily which can be confrontational and unpredictable and one of the key roles will be that of risk assessment. Yet problem solving and decision making skills are also crucial</w:t>
      </w:r>
      <w:r>
        <w:rPr>
          <w:rFonts w:cstheme="minorHAnsi"/>
          <w:color w:val="000000"/>
          <w:sz w:val="24"/>
          <w:szCs w:val="24"/>
          <w:shd w:val="clear" w:color="auto" w:fill="FFFFFF"/>
        </w:rPr>
        <w:t xml:space="preserve"> as identified by the College of Policing (2014)</w:t>
      </w:r>
      <w:r w:rsidRPr="00590586">
        <w:rPr>
          <w:rFonts w:cstheme="minorHAnsi"/>
          <w:color w:val="000000"/>
          <w:sz w:val="24"/>
          <w:szCs w:val="24"/>
          <w:shd w:val="clear" w:color="auto" w:fill="FFFFFF"/>
        </w:rPr>
        <w:t xml:space="preserve">. </w:t>
      </w:r>
      <w:r>
        <w:rPr>
          <w:rFonts w:cstheme="minorHAnsi"/>
          <w:color w:val="000000"/>
          <w:sz w:val="24"/>
          <w:szCs w:val="24"/>
          <w:shd w:val="clear" w:color="auto" w:fill="FFFFFF"/>
        </w:rPr>
        <w:t xml:space="preserve">However, in order to problem solve and make decisions response police need to be </w:t>
      </w:r>
      <w:r>
        <w:rPr>
          <w:rFonts w:eastAsia="Times New Roman" w:cstheme="minorHAnsi"/>
          <w:color w:val="000000"/>
          <w:kern w:val="0"/>
          <w:sz w:val="24"/>
          <w:szCs w:val="24"/>
          <w:lang w:eastAsia="en-GB"/>
          <w14:ligatures w14:val="none"/>
        </w:rPr>
        <w:t>flexible, adaptable and responsive to public need although this can be difficult when public need/views maybe out of kilter with policing prioritise and upholding the law.</w:t>
      </w:r>
    </w:p>
    <w:p w14:paraId="192801F2" w14:textId="77777777" w:rsidR="00D14231" w:rsidRPr="00292745" w:rsidRDefault="00D14231" w:rsidP="00D14231">
      <w:pPr>
        <w:spacing w:line="360" w:lineRule="auto"/>
        <w:rPr>
          <w:rFonts w:cstheme="minorHAnsi"/>
          <w:color w:val="0B0C0C"/>
          <w:sz w:val="24"/>
          <w:szCs w:val="24"/>
          <w:shd w:val="clear" w:color="auto" w:fill="FFFFFF"/>
        </w:rPr>
      </w:pPr>
      <w:r w:rsidRPr="00282981">
        <w:rPr>
          <w:rFonts w:cstheme="minorHAnsi"/>
          <w:color w:val="0B0C0C"/>
          <w:sz w:val="24"/>
          <w:szCs w:val="24"/>
          <w:shd w:val="clear" w:color="auto" w:fill="FFFFFF"/>
        </w:rPr>
        <w:t xml:space="preserve">Hu et al., (2020) discovered that public attitudes to police were influenced by a number of factors including age, gender, race and education. </w:t>
      </w:r>
      <w:r>
        <w:rPr>
          <w:rFonts w:cstheme="minorHAnsi"/>
          <w:color w:val="0B0C0C"/>
          <w:sz w:val="24"/>
          <w:szCs w:val="24"/>
          <w:shd w:val="clear" w:color="auto" w:fill="FFFFFF"/>
        </w:rPr>
        <w:t xml:space="preserve">Skogan (2005) showed that younger people tended to look at the police less favourably, as they are more likely to be stopped by police . </w:t>
      </w:r>
      <w:r w:rsidRPr="00282981">
        <w:rPr>
          <w:rFonts w:cstheme="minorHAnsi"/>
          <w:color w:val="0B0C0C"/>
          <w:sz w:val="24"/>
          <w:szCs w:val="24"/>
          <w:shd w:val="clear" w:color="auto" w:fill="FFFFFF"/>
        </w:rPr>
        <w:t>Yet  Brewster et al., (2018) has suggested that socioeconomic conditions and backgrounds of people can also influence</w:t>
      </w:r>
      <w:r>
        <w:rPr>
          <w:rFonts w:cstheme="minorHAnsi"/>
          <w:color w:val="0B0C0C"/>
          <w:sz w:val="24"/>
          <w:szCs w:val="24"/>
          <w:shd w:val="clear" w:color="auto" w:fill="FFFFFF"/>
        </w:rPr>
        <w:t xml:space="preserve"> co-operation and </w:t>
      </w:r>
      <w:r w:rsidRPr="00282981">
        <w:rPr>
          <w:rFonts w:cstheme="minorHAnsi"/>
          <w:color w:val="0B0C0C"/>
          <w:sz w:val="24"/>
          <w:szCs w:val="24"/>
          <w:shd w:val="clear" w:color="auto" w:fill="FFFFFF"/>
        </w:rPr>
        <w:lastRenderedPageBreak/>
        <w:t xml:space="preserve">collaboration with the police. </w:t>
      </w:r>
      <w:r>
        <w:rPr>
          <w:rFonts w:cstheme="minorHAnsi"/>
          <w:color w:val="0B0C0C"/>
          <w:sz w:val="24"/>
          <w:szCs w:val="24"/>
          <w:shd w:val="clear" w:color="auto" w:fill="FFFFFF"/>
        </w:rPr>
        <w:t xml:space="preserve">This was highlighted by Boateng et al (2016) who mentioned that people with a higher social status had more confidence in the police, yet previously and contrastingly to this, Cao (2011) identified that those with higher levels of education tended to be more wary of police. </w:t>
      </w:r>
      <w:r w:rsidRPr="00292745">
        <w:rPr>
          <w:rFonts w:cstheme="minorHAnsi"/>
          <w:color w:val="0B0C0C"/>
          <w:sz w:val="24"/>
          <w:szCs w:val="24"/>
          <w:shd w:val="clear" w:color="auto" w:fill="FFFFFF"/>
        </w:rPr>
        <w:t xml:space="preserve">Additionally, the ONS (2019) </w:t>
      </w:r>
      <w:r w:rsidRPr="00292745">
        <w:rPr>
          <w:rFonts w:cstheme="minorHAnsi"/>
          <w:sz w:val="24"/>
          <w:szCs w:val="24"/>
        </w:rPr>
        <w:t>showed that black, Asian and minority ethnic (BAME) respondents often viewed the police differently to their white counterparts with less likelihood of agreeing that</w:t>
      </w:r>
      <w:r>
        <w:rPr>
          <w:rFonts w:cstheme="minorHAnsi"/>
          <w:sz w:val="24"/>
          <w:szCs w:val="24"/>
        </w:rPr>
        <w:t xml:space="preserve"> the</w:t>
      </w:r>
      <w:r w:rsidRPr="00292745">
        <w:rPr>
          <w:rFonts w:cstheme="minorHAnsi"/>
          <w:sz w:val="24"/>
          <w:szCs w:val="24"/>
        </w:rPr>
        <w:t xml:space="preserve"> police would treat them fairly, respectfully or that they could be trusted.</w:t>
      </w:r>
    </w:p>
    <w:p w14:paraId="2EDF628D" w14:textId="77777777" w:rsidR="00D14231" w:rsidRDefault="00D14231" w:rsidP="00D14231">
      <w:pPr>
        <w:spacing w:line="360" w:lineRule="auto"/>
        <w:rPr>
          <w:rFonts w:cstheme="minorHAnsi"/>
          <w:color w:val="282828"/>
          <w:sz w:val="24"/>
          <w:szCs w:val="24"/>
        </w:rPr>
      </w:pPr>
      <w:r w:rsidRPr="009B1C12">
        <w:rPr>
          <w:rFonts w:cstheme="minorHAnsi"/>
          <w:color w:val="282828"/>
          <w:sz w:val="24"/>
          <w:szCs w:val="24"/>
        </w:rPr>
        <w:t xml:space="preserve">HMICRFS (2022) indicated that the primary purpose of the police is crime prevention and resolution and this can be achieved through responsive actions yet there can be potential delays especially when resources maybe limited and where prioritisation of incidents over others have to be undertaken. Walley and Adams (2019) indicated that the police </w:t>
      </w:r>
      <w:r>
        <w:rPr>
          <w:rFonts w:cstheme="minorHAnsi"/>
          <w:color w:val="282828"/>
          <w:sz w:val="24"/>
          <w:szCs w:val="24"/>
        </w:rPr>
        <w:t xml:space="preserve">often </w:t>
      </w:r>
      <w:r w:rsidRPr="009B1C12">
        <w:rPr>
          <w:rFonts w:cstheme="minorHAnsi"/>
          <w:color w:val="282828"/>
          <w:sz w:val="24"/>
          <w:szCs w:val="24"/>
        </w:rPr>
        <w:t>have to manage restricted resources leaving them struggl</w:t>
      </w:r>
      <w:r>
        <w:rPr>
          <w:rFonts w:cstheme="minorHAnsi"/>
          <w:color w:val="282828"/>
          <w:sz w:val="24"/>
          <w:szCs w:val="24"/>
        </w:rPr>
        <w:t>ing</w:t>
      </w:r>
      <w:r w:rsidRPr="009B1C12">
        <w:rPr>
          <w:rFonts w:cstheme="minorHAnsi"/>
          <w:color w:val="282828"/>
          <w:sz w:val="24"/>
          <w:szCs w:val="24"/>
        </w:rPr>
        <w:t xml:space="preserve"> to meet demand frequently leaving </w:t>
      </w:r>
      <w:r>
        <w:rPr>
          <w:rFonts w:cstheme="minorHAnsi"/>
          <w:color w:val="282828"/>
          <w:sz w:val="24"/>
          <w:szCs w:val="24"/>
        </w:rPr>
        <w:t xml:space="preserve">some sections of the </w:t>
      </w:r>
      <w:r w:rsidRPr="009B1C12">
        <w:rPr>
          <w:rFonts w:cstheme="minorHAnsi"/>
          <w:color w:val="282828"/>
          <w:sz w:val="24"/>
          <w:szCs w:val="24"/>
        </w:rPr>
        <w:t>public frustrated and dissatisfied.</w:t>
      </w:r>
    </w:p>
    <w:p w14:paraId="2754B036" w14:textId="77777777" w:rsidR="00D14231" w:rsidRDefault="00D14231" w:rsidP="00D14231">
      <w:pPr>
        <w:spacing w:line="360" w:lineRule="auto"/>
        <w:rPr>
          <w:rFonts w:cstheme="minorHAnsi"/>
          <w:color w:val="000000"/>
          <w:sz w:val="24"/>
          <w:szCs w:val="24"/>
          <w:shd w:val="clear" w:color="auto" w:fill="FFFFFF"/>
        </w:rPr>
      </w:pPr>
      <w:r>
        <w:rPr>
          <w:rFonts w:cstheme="minorHAnsi"/>
          <w:color w:val="282828"/>
          <w:sz w:val="24"/>
          <w:szCs w:val="24"/>
        </w:rPr>
        <w:t xml:space="preserve">Different groups in society have varied opinions and views on policing and </w:t>
      </w:r>
      <w:r>
        <w:rPr>
          <w:rFonts w:cstheme="minorHAnsi"/>
          <w:color w:val="000000"/>
          <w:sz w:val="24"/>
          <w:szCs w:val="24"/>
          <w:shd w:val="clear" w:color="auto" w:fill="FFFFFF"/>
        </w:rPr>
        <w:t xml:space="preserve">Hanway  and Hambly (2023) has suggested it is important to understand the discrete factors that may influence the differing public views. They have suggested that targeted interventions based on data, intelligence and engagement from different communities are likely to positively influence the public. </w:t>
      </w:r>
    </w:p>
    <w:p w14:paraId="4AD4998F" w14:textId="0C36A495" w:rsidR="00D14231" w:rsidRPr="0044777A" w:rsidRDefault="00D14231" w:rsidP="00D14231">
      <w:pPr>
        <w:spacing w:line="360" w:lineRule="auto"/>
        <w:rPr>
          <w:rFonts w:cstheme="minorHAnsi"/>
          <w:b/>
          <w:bCs/>
          <w:color w:val="282828"/>
          <w:sz w:val="24"/>
          <w:szCs w:val="24"/>
        </w:rPr>
      </w:pPr>
      <w:r>
        <w:rPr>
          <w:rFonts w:cstheme="minorHAnsi"/>
          <w:color w:val="000000"/>
          <w:sz w:val="24"/>
          <w:szCs w:val="24"/>
          <w:shd w:val="clear" w:color="auto" w:fill="FFFFFF"/>
        </w:rPr>
        <w:t xml:space="preserve"> </w:t>
      </w:r>
      <w:r w:rsidRPr="0044777A">
        <w:rPr>
          <w:rFonts w:cstheme="minorHAnsi"/>
          <w:b/>
          <w:bCs/>
          <w:color w:val="000000"/>
          <w:sz w:val="24"/>
          <w:szCs w:val="24"/>
          <w:shd w:val="clear" w:color="auto" w:fill="FFFFFF"/>
        </w:rPr>
        <w:t>Words 101</w:t>
      </w:r>
      <w:r>
        <w:rPr>
          <w:rFonts w:cstheme="minorHAnsi"/>
          <w:b/>
          <w:bCs/>
          <w:color w:val="000000"/>
          <w:sz w:val="24"/>
          <w:szCs w:val="24"/>
          <w:shd w:val="clear" w:color="auto" w:fill="FFFFFF"/>
        </w:rPr>
        <w:t>4</w:t>
      </w:r>
    </w:p>
    <w:p w14:paraId="5913D0B9" w14:textId="77777777" w:rsidR="00D14231" w:rsidRDefault="00D14231" w:rsidP="00D14231">
      <w:pPr>
        <w:rPr>
          <w:rFonts w:ascii="Arial" w:hAnsi="Arial" w:cs="Arial"/>
          <w:color w:val="282828"/>
        </w:rPr>
      </w:pPr>
      <w:r>
        <w:rPr>
          <w:rFonts w:ascii="Arial" w:hAnsi="Arial" w:cs="Arial"/>
          <w:color w:val="282828"/>
        </w:rPr>
        <w:t xml:space="preserve"> </w:t>
      </w:r>
    </w:p>
    <w:p w14:paraId="683B37E0" w14:textId="77777777" w:rsidR="00D14231" w:rsidRDefault="00D14231" w:rsidP="00D14231">
      <w:pPr>
        <w:rPr>
          <w:rFonts w:cstheme="minorHAnsi"/>
          <w:color w:val="000000"/>
          <w:sz w:val="24"/>
          <w:szCs w:val="24"/>
          <w:shd w:val="clear" w:color="auto" w:fill="FFFFFF"/>
        </w:rPr>
      </w:pPr>
    </w:p>
    <w:p w14:paraId="42DB7114" w14:textId="77777777" w:rsidR="00D14231" w:rsidRDefault="00D14231" w:rsidP="00D14231">
      <w:pPr>
        <w:rPr>
          <w:rFonts w:cstheme="minorHAnsi"/>
          <w:color w:val="000000"/>
          <w:sz w:val="24"/>
          <w:szCs w:val="24"/>
          <w:shd w:val="clear" w:color="auto" w:fill="FFFFFF"/>
        </w:rPr>
      </w:pPr>
    </w:p>
    <w:p w14:paraId="778DEAE6" w14:textId="77777777" w:rsidR="00D14231" w:rsidRDefault="00D14231" w:rsidP="00D14231">
      <w:pPr>
        <w:rPr>
          <w:rFonts w:cstheme="minorHAnsi"/>
          <w:color w:val="000000"/>
          <w:sz w:val="24"/>
          <w:szCs w:val="24"/>
          <w:shd w:val="clear" w:color="auto" w:fill="FFFFFF"/>
        </w:rPr>
      </w:pPr>
    </w:p>
    <w:p w14:paraId="1A796335" w14:textId="77777777" w:rsidR="00D14231" w:rsidRDefault="00D14231" w:rsidP="00D14231">
      <w:pPr>
        <w:rPr>
          <w:rFonts w:cstheme="minorHAnsi"/>
          <w:color w:val="000000"/>
          <w:sz w:val="24"/>
          <w:szCs w:val="24"/>
          <w:shd w:val="clear" w:color="auto" w:fill="FFFFFF"/>
        </w:rPr>
      </w:pPr>
    </w:p>
    <w:p w14:paraId="3DDFA03A" w14:textId="77777777" w:rsidR="00D14231" w:rsidRDefault="00D14231" w:rsidP="00D14231">
      <w:pPr>
        <w:rPr>
          <w:rFonts w:cstheme="minorHAnsi"/>
          <w:color w:val="000000"/>
          <w:sz w:val="24"/>
          <w:szCs w:val="24"/>
          <w:shd w:val="clear" w:color="auto" w:fill="FFFFFF"/>
        </w:rPr>
      </w:pPr>
    </w:p>
    <w:p w14:paraId="47129ED9" w14:textId="77777777" w:rsidR="00D14231" w:rsidRDefault="00D14231" w:rsidP="00D14231">
      <w:pPr>
        <w:rPr>
          <w:rFonts w:cstheme="minorHAnsi"/>
          <w:color w:val="000000"/>
          <w:sz w:val="24"/>
          <w:szCs w:val="24"/>
          <w:shd w:val="clear" w:color="auto" w:fill="FFFFFF"/>
        </w:rPr>
      </w:pPr>
    </w:p>
    <w:p w14:paraId="3064B324" w14:textId="77777777" w:rsidR="00D14231" w:rsidRDefault="00D14231" w:rsidP="00D14231">
      <w:pPr>
        <w:rPr>
          <w:rFonts w:cstheme="minorHAnsi"/>
          <w:color w:val="000000"/>
          <w:sz w:val="24"/>
          <w:szCs w:val="24"/>
          <w:shd w:val="clear" w:color="auto" w:fill="FFFFFF"/>
        </w:rPr>
      </w:pPr>
    </w:p>
    <w:p w14:paraId="22392A6C" w14:textId="77777777" w:rsidR="00D14231" w:rsidRDefault="00D14231" w:rsidP="00D14231">
      <w:pPr>
        <w:rPr>
          <w:rFonts w:cstheme="minorHAnsi"/>
          <w:color w:val="000000"/>
          <w:sz w:val="24"/>
          <w:szCs w:val="24"/>
          <w:shd w:val="clear" w:color="auto" w:fill="FFFFFF"/>
        </w:rPr>
      </w:pPr>
    </w:p>
    <w:p w14:paraId="061D2982" w14:textId="77777777" w:rsidR="00D14231" w:rsidRDefault="00D14231" w:rsidP="00D14231">
      <w:pPr>
        <w:rPr>
          <w:rFonts w:cstheme="minorHAnsi"/>
          <w:color w:val="000000"/>
          <w:sz w:val="24"/>
          <w:szCs w:val="24"/>
          <w:shd w:val="clear" w:color="auto" w:fill="FFFFFF"/>
        </w:rPr>
      </w:pPr>
    </w:p>
    <w:p w14:paraId="30915383" w14:textId="77777777" w:rsidR="00D14231" w:rsidRPr="00C0524A" w:rsidRDefault="00D14231" w:rsidP="00D14231">
      <w:pPr>
        <w:rPr>
          <w:b/>
          <w:bCs/>
          <w:sz w:val="28"/>
          <w:szCs w:val="28"/>
        </w:rPr>
      </w:pPr>
      <w:bookmarkStart w:id="1" w:name="_Hlk155172537"/>
      <w:r w:rsidRPr="00C0524A">
        <w:rPr>
          <w:b/>
          <w:bCs/>
          <w:sz w:val="28"/>
          <w:szCs w:val="28"/>
        </w:rPr>
        <w:lastRenderedPageBreak/>
        <w:t>Essay 3</w:t>
      </w:r>
      <w:r>
        <w:rPr>
          <w:b/>
          <w:bCs/>
          <w:sz w:val="28"/>
          <w:szCs w:val="28"/>
        </w:rPr>
        <w:t>-</w:t>
      </w:r>
      <w:r w:rsidRPr="00C0524A">
        <w:rPr>
          <w:b/>
          <w:bCs/>
          <w:sz w:val="28"/>
          <w:szCs w:val="28"/>
        </w:rPr>
        <w:t>Evaluate the effectiveness of cognitive interview as a strategy for obtaining initial accounts</w:t>
      </w:r>
    </w:p>
    <w:p w14:paraId="523D87E8" w14:textId="77777777" w:rsidR="00D14231" w:rsidRPr="002661E1" w:rsidRDefault="00D14231" w:rsidP="00D14231">
      <w:pPr>
        <w:spacing w:line="360" w:lineRule="auto"/>
        <w:rPr>
          <w:rFonts w:cstheme="minorHAnsi"/>
          <w:sz w:val="24"/>
          <w:szCs w:val="24"/>
        </w:rPr>
      </w:pPr>
      <w:r w:rsidRPr="002661E1">
        <w:rPr>
          <w:rFonts w:cstheme="minorHAnsi"/>
          <w:sz w:val="24"/>
          <w:szCs w:val="24"/>
        </w:rPr>
        <w:t xml:space="preserve">A critical component of effective law enforcement is the ability of police officers to obtain accurate and detailed information from a witness (Kohnken et al 1999). </w:t>
      </w:r>
      <w:r w:rsidRPr="002661E1">
        <w:rPr>
          <w:rFonts w:cstheme="minorHAnsi"/>
          <w:color w:val="1F1F1F"/>
          <w:sz w:val="24"/>
          <w:szCs w:val="24"/>
        </w:rPr>
        <w:t>Police must try to elicit as much information as possible from victims and witnesses, as it is the</w:t>
      </w:r>
      <w:r>
        <w:rPr>
          <w:rFonts w:cstheme="minorHAnsi"/>
          <w:color w:val="1F1F1F"/>
          <w:sz w:val="24"/>
          <w:szCs w:val="24"/>
        </w:rPr>
        <w:t xml:space="preserve"> witness’s account</w:t>
      </w:r>
      <w:r w:rsidRPr="002661E1">
        <w:rPr>
          <w:rFonts w:cstheme="minorHAnsi"/>
          <w:color w:val="1F1F1F"/>
          <w:sz w:val="24"/>
          <w:szCs w:val="24"/>
        </w:rPr>
        <w:t xml:space="preserve"> that </w:t>
      </w:r>
      <w:r>
        <w:rPr>
          <w:rFonts w:cstheme="minorHAnsi"/>
          <w:color w:val="1F1F1F"/>
          <w:sz w:val="24"/>
          <w:szCs w:val="24"/>
        </w:rPr>
        <w:t xml:space="preserve">is </w:t>
      </w:r>
      <w:r w:rsidRPr="002661E1">
        <w:rPr>
          <w:rFonts w:cstheme="minorHAnsi"/>
          <w:color w:val="1F1F1F"/>
          <w:sz w:val="24"/>
          <w:szCs w:val="24"/>
        </w:rPr>
        <w:t xml:space="preserve">considered to </w:t>
      </w:r>
      <w:r>
        <w:rPr>
          <w:rFonts w:cstheme="minorHAnsi"/>
          <w:color w:val="1F1F1F"/>
          <w:sz w:val="24"/>
          <w:szCs w:val="24"/>
        </w:rPr>
        <w:t xml:space="preserve">produce crucial leads and </w:t>
      </w:r>
      <w:r w:rsidRPr="002661E1">
        <w:rPr>
          <w:rFonts w:cstheme="minorHAnsi"/>
          <w:color w:val="1F1F1F"/>
          <w:sz w:val="24"/>
          <w:szCs w:val="24"/>
        </w:rPr>
        <w:t>be the best predictor of solving crimes</w:t>
      </w:r>
      <w:r>
        <w:rPr>
          <w:rFonts w:cstheme="minorHAnsi"/>
          <w:color w:val="1F1F1F"/>
          <w:sz w:val="24"/>
          <w:szCs w:val="24"/>
        </w:rPr>
        <w:t xml:space="preserve"> (Kebbell and Milne 1998)</w:t>
      </w:r>
      <w:r w:rsidRPr="002661E1">
        <w:rPr>
          <w:rFonts w:cstheme="minorHAnsi"/>
          <w:color w:val="1F1F1F"/>
          <w:sz w:val="24"/>
          <w:szCs w:val="24"/>
        </w:rPr>
        <w:t xml:space="preserve">. Dando et al (2008) suggested that interviewing is a complex skill that involves a conversation between the victim and interviewer that requires training, practice and a considered approach to ensure that the encounter is productive. </w:t>
      </w:r>
      <w:r w:rsidRPr="002661E1">
        <w:rPr>
          <w:rFonts w:cstheme="minorHAnsi"/>
          <w:sz w:val="24"/>
          <w:szCs w:val="24"/>
        </w:rPr>
        <w:t xml:space="preserve">The Rand Corporation Report (1975) noted that a major factor in determining whether a crime is solved is the completeness and accuracy of the witness’s account. </w:t>
      </w:r>
      <w:r>
        <w:rPr>
          <w:rFonts w:cstheme="minorHAnsi"/>
          <w:sz w:val="24"/>
          <w:szCs w:val="24"/>
        </w:rPr>
        <w:t>Griffiths and Milne (2010) has indicated that there is a fallibility to human memory which dictates that witnesses are interviewed appropriately, as memory is prone to error. Conway and Holmes (2008) mentioned that poor questioning through the interview process can exacerbate unreliability. However, using cognitive interviewing to obtain initial accounts can be difficult and influenced by a number of variables.</w:t>
      </w:r>
    </w:p>
    <w:p w14:paraId="1D93AC6B" w14:textId="77777777" w:rsidR="00D14231" w:rsidRDefault="00D14231" w:rsidP="00D14231">
      <w:pPr>
        <w:spacing w:line="360" w:lineRule="auto"/>
        <w:rPr>
          <w:rFonts w:cstheme="minorHAnsi"/>
          <w:color w:val="3A3A3A"/>
          <w:sz w:val="24"/>
          <w:szCs w:val="24"/>
          <w:shd w:val="clear" w:color="auto" w:fill="FFFFFF"/>
        </w:rPr>
      </w:pPr>
      <w:r w:rsidRPr="002661E1">
        <w:rPr>
          <w:rFonts w:cstheme="minorHAnsi"/>
          <w:color w:val="3A3A3A"/>
          <w:sz w:val="24"/>
          <w:szCs w:val="24"/>
          <w:shd w:val="clear" w:color="auto" w:fill="FFFFFF"/>
        </w:rPr>
        <w:t xml:space="preserve">The Cognitive interview model was first devised by two psychologists, Fisher and Geiselman in the 1980’s. This model was devised to stimulate the memory of the witness and to improve the accuracy of their recall. </w:t>
      </w:r>
      <w:r>
        <w:rPr>
          <w:rFonts w:cstheme="minorHAnsi"/>
          <w:color w:val="3A3A3A"/>
          <w:sz w:val="24"/>
          <w:szCs w:val="24"/>
          <w:shd w:val="clear" w:color="auto" w:fill="FFFFFF"/>
        </w:rPr>
        <w:t>The Cognitive Interview (CI) consists of a set of instructions that are aimed at a witness utilising a number of processes including cognitive, communicative and social.</w:t>
      </w:r>
      <w:r w:rsidRPr="00F37E7E">
        <w:rPr>
          <w:color w:val="323232"/>
          <w:sz w:val="30"/>
          <w:szCs w:val="30"/>
          <w:shd w:val="clear" w:color="auto" w:fill="FAFAFA"/>
        </w:rPr>
        <w:t> </w:t>
      </w:r>
      <w:r w:rsidRPr="002661E1">
        <w:rPr>
          <w:rFonts w:cstheme="minorHAnsi"/>
          <w:color w:val="3A3A3A"/>
          <w:sz w:val="24"/>
          <w:szCs w:val="24"/>
          <w:shd w:val="clear" w:color="auto" w:fill="FFFFFF"/>
        </w:rPr>
        <w:t xml:space="preserve">Fisher &amp; Geiselman (2010) identified two goals of cognitive interviewing; to elicit extensive accurate information and promoting the victim’s psychological health. </w:t>
      </w:r>
      <w:r>
        <w:rPr>
          <w:rFonts w:cstheme="minorHAnsi"/>
          <w:color w:val="3A3A3A"/>
          <w:sz w:val="24"/>
          <w:szCs w:val="24"/>
          <w:shd w:val="clear" w:color="auto" w:fill="FFFFFF"/>
        </w:rPr>
        <w:t>The simplified version of the CI model consists of four aspects, recall everything, reinstate context, change perspective and reverse order of recall (Milne and Bull 2002). However t</w:t>
      </w:r>
      <w:r w:rsidRPr="002661E1">
        <w:rPr>
          <w:rFonts w:cstheme="minorHAnsi"/>
          <w:color w:val="3A3A3A"/>
          <w:sz w:val="24"/>
          <w:szCs w:val="24"/>
          <w:shd w:val="clear" w:color="auto" w:fill="FFFFFF"/>
        </w:rPr>
        <w:t xml:space="preserve">he </w:t>
      </w:r>
      <w:r>
        <w:rPr>
          <w:rFonts w:cstheme="minorHAnsi"/>
          <w:color w:val="3A3A3A"/>
          <w:sz w:val="24"/>
          <w:szCs w:val="24"/>
          <w:shd w:val="clear" w:color="auto" w:fill="FFFFFF"/>
        </w:rPr>
        <w:t xml:space="preserve">current </w:t>
      </w:r>
      <w:r w:rsidRPr="002661E1">
        <w:rPr>
          <w:rFonts w:cstheme="minorHAnsi"/>
          <w:color w:val="3A3A3A"/>
          <w:sz w:val="24"/>
          <w:szCs w:val="24"/>
          <w:shd w:val="clear" w:color="auto" w:fill="FFFFFF"/>
        </w:rPr>
        <w:t xml:space="preserve">structure of a cognitive interview has many components; obtaining an effective rapport with the witness, directing the witness to report everything no matter how inconsequential they may believe the information to be, the encouragement of concentration, the use of memory compatible questioning techniques, mental context reinstatement, order </w:t>
      </w:r>
      <w:r w:rsidRPr="002661E1">
        <w:rPr>
          <w:rFonts w:cstheme="minorHAnsi"/>
          <w:color w:val="3A3A3A"/>
          <w:sz w:val="24"/>
          <w:szCs w:val="24"/>
          <w:shd w:val="clear" w:color="auto" w:fill="FFFFFF"/>
        </w:rPr>
        <w:lastRenderedPageBreak/>
        <w:t xml:space="preserve">recall alteration, transfer of control or empowerment of the witness </w:t>
      </w:r>
      <w:r>
        <w:rPr>
          <w:rFonts w:cstheme="minorHAnsi"/>
          <w:color w:val="3A3A3A"/>
          <w:sz w:val="24"/>
          <w:szCs w:val="24"/>
          <w:shd w:val="clear" w:color="auto" w:fill="FFFFFF"/>
        </w:rPr>
        <w:t xml:space="preserve">and </w:t>
      </w:r>
      <w:r w:rsidRPr="002661E1">
        <w:rPr>
          <w:rFonts w:cstheme="minorHAnsi"/>
          <w:color w:val="3A3A3A"/>
          <w:sz w:val="24"/>
          <w:szCs w:val="24"/>
          <w:shd w:val="clear" w:color="auto" w:fill="FFFFFF"/>
        </w:rPr>
        <w:t>imagery techniques</w:t>
      </w:r>
      <w:r>
        <w:rPr>
          <w:rFonts w:cstheme="minorHAnsi"/>
          <w:color w:val="3A3A3A"/>
          <w:sz w:val="24"/>
          <w:szCs w:val="24"/>
          <w:shd w:val="clear" w:color="auto" w:fill="FFFFFF"/>
        </w:rPr>
        <w:t xml:space="preserve">, </w:t>
      </w:r>
      <w:r w:rsidRPr="002661E1">
        <w:rPr>
          <w:rFonts w:cstheme="minorHAnsi"/>
          <w:color w:val="3A3A3A"/>
          <w:sz w:val="24"/>
          <w:szCs w:val="24"/>
          <w:shd w:val="clear" w:color="auto" w:fill="FFFFFF"/>
        </w:rPr>
        <w:t>such as change of perspective</w:t>
      </w:r>
      <w:r>
        <w:rPr>
          <w:rFonts w:cstheme="minorHAnsi"/>
          <w:color w:val="3A3A3A"/>
          <w:sz w:val="24"/>
          <w:szCs w:val="24"/>
          <w:shd w:val="clear" w:color="auto" w:fill="FFFFFF"/>
        </w:rPr>
        <w:t xml:space="preserve"> and drawing to remember</w:t>
      </w:r>
      <w:r w:rsidRPr="002661E1">
        <w:rPr>
          <w:rFonts w:cstheme="minorHAnsi"/>
          <w:color w:val="3A3A3A"/>
          <w:sz w:val="24"/>
          <w:szCs w:val="24"/>
          <w:shd w:val="clear" w:color="auto" w:fill="FFFFFF"/>
        </w:rPr>
        <w:t xml:space="preserve">. </w:t>
      </w:r>
    </w:p>
    <w:p w14:paraId="454A563E" w14:textId="77777777" w:rsidR="00D14231" w:rsidRPr="00F37E7E" w:rsidRDefault="00D14231" w:rsidP="00D14231">
      <w:pPr>
        <w:spacing w:line="360" w:lineRule="auto"/>
        <w:rPr>
          <w:rFonts w:cstheme="minorHAnsi"/>
          <w:sz w:val="24"/>
          <w:szCs w:val="24"/>
        </w:rPr>
      </w:pPr>
      <w:r w:rsidRPr="002661E1">
        <w:rPr>
          <w:rFonts w:cstheme="minorHAnsi"/>
          <w:color w:val="1F1F1F"/>
          <w:sz w:val="24"/>
          <w:szCs w:val="24"/>
        </w:rPr>
        <w:t>Fischer and Geiselman (2010) indicated that cognitive interviewing promotes effective rapport development and teamwork and moves away from placing the witness in a subservient role to an authority figure. The witness-compatible questioning further ensures that victims believe they have an ally in what they have gone through. The communication components of the interview are likely to heighten the witness's sense of control, perhaps restoring some of the power that was lost in being a victim.</w:t>
      </w:r>
      <w:r w:rsidRPr="00675AAE">
        <w:rPr>
          <w:rFonts w:ascii="Arial" w:hAnsi="Arial" w:cs="Arial"/>
          <w:color w:val="333333"/>
          <w:sz w:val="21"/>
          <w:szCs w:val="21"/>
          <w:shd w:val="clear" w:color="auto" w:fill="FFFFFF"/>
        </w:rPr>
        <w:t xml:space="preserve"> </w:t>
      </w:r>
      <w:r w:rsidRPr="00F37E7E">
        <w:rPr>
          <w:rFonts w:cstheme="minorHAnsi"/>
          <w:color w:val="333333"/>
          <w:sz w:val="24"/>
          <w:szCs w:val="24"/>
          <w:shd w:val="clear" w:color="auto" w:fill="FFFFFF"/>
        </w:rPr>
        <w:t xml:space="preserve">Memon et al (2010) has suggested that cognitive interviewing benefits the older adult witness over and above younger adults whereas Wright and Holliday (2007) indicated that those individuals with learning disabilities recalled fewer correct details within a cognitive interview </w:t>
      </w:r>
      <w:r>
        <w:rPr>
          <w:rFonts w:cstheme="minorHAnsi"/>
          <w:color w:val="333333"/>
          <w:sz w:val="24"/>
          <w:szCs w:val="24"/>
          <w:shd w:val="clear" w:color="auto" w:fill="FFFFFF"/>
        </w:rPr>
        <w:t xml:space="preserve">when compared to </w:t>
      </w:r>
      <w:r w:rsidRPr="00F37E7E">
        <w:rPr>
          <w:rFonts w:cstheme="minorHAnsi"/>
          <w:color w:val="333333"/>
          <w:sz w:val="24"/>
          <w:szCs w:val="24"/>
          <w:shd w:val="clear" w:color="auto" w:fill="FFFFFF"/>
        </w:rPr>
        <w:t>others. </w:t>
      </w:r>
    </w:p>
    <w:p w14:paraId="4FDB6C67" w14:textId="77777777" w:rsidR="00D14231" w:rsidRDefault="00D14231" w:rsidP="00D14231">
      <w:pPr>
        <w:spacing w:line="360" w:lineRule="auto"/>
        <w:rPr>
          <w:rFonts w:cstheme="minorHAnsi"/>
          <w:color w:val="3A3A3A"/>
          <w:sz w:val="24"/>
          <w:szCs w:val="24"/>
          <w:shd w:val="clear" w:color="auto" w:fill="FFFFFF"/>
        </w:rPr>
      </w:pPr>
      <w:r>
        <w:rPr>
          <w:rFonts w:cstheme="minorHAnsi"/>
          <w:color w:val="3A3A3A"/>
          <w:sz w:val="24"/>
          <w:szCs w:val="24"/>
          <w:shd w:val="clear" w:color="auto" w:fill="FFFFFF"/>
        </w:rPr>
        <w:t xml:space="preserve">A study undertaken by George (1991) evaluated real life witness interviews conducted by a group of officers before and after training. The officers were divided into four groups where different training was provided; two days training in CI, seven days in conversation management, seven days training in cognitive management and CI combined and a control group who had no training. Before any of the training all officers showed a common approach to interviewing which consisted of closed questions and directing or interrupting the witness. After training the group that received only CI training showed a significant increase in the use of open questioning which increased the amount of information received in the interview. </w:t>
      </w:r>
    </w:p>
    <w:p w14:paraId="2FDA8A21" w14:textId="77777777" w:rsidR="00D14231" w:rsidRPr="002661E1" w:rsidRDefault="00D14231" w:rsidP="00D14231">
      <w:pPr>
        <w:spacing w:line="360" w:lineRule="auto"/>
        <w:rPr>
          <w:rFonts w:cstheme="minorHAnsi"/>
          <w:sz w:val="24"/>
          <w:szCs w:val="24"/>
        </w:rPr>
      </w:pPr>
      <w:r w:rsidRPr="002661E1">
        <w:rPr>
          <w:rFonts w:cstheme="minorHAnsi"/>
          <w:color w:val="3A3A3A"/>
          <w:sz w:val="24"/>
          <w:szCs w:val="24"/>
          <w:shd w:val="clear" w:color="auto" w:fill="FFFFFF"/>
        </w:rPr>
        <w:t>Kohnken, Thurer and Zoberbier (1994) showed that there was an increase of 35% more correct information using this technique. Furthermore, s</w:t>
      </w:r>
      <w:r w:rsidRPr="002661E1">
        <w:rPr>
          <w:rFonts w:cstheme="minorHAnsi"/>
          <w:sz w:val="24"/>
          <w:szCs w:val="24"/>
        </w:rPr>
        <w:t xml:space="preserve">tudies into the hierarchy of reliability by Hiscock and Memon (2002) showed that this technique provided an initial accuracy of 91%, although as </w:t>
      </w:r>
      <w:r>
        <w:rPr>
          <w:rFonts w:cstheme="minorHAnsi"/>
          <w:sz w:val="24"/>
          <w:szCs w:val="24"/>
        </w:rPr>
        <w:t>further</w:t>
      </w:r>
      <w:r w:rsidRPr="002661E1">
        <w:rPr>
          <w:rFonts w:cstheme="minorHAnsi"/>
          <w:sz w:val="24"/>
          <w:szCs w:val="24"/>
        </w:rPr>
        <w:t xml:space="preserve"> questioning continued the accuracy of the information declined as the volume of information increased.</w:t>
      </w:r>
      <w:r w:rsidRPr="002661E1">
        <w:rPr>
          <w:rFonts w:cstheme="minorHAnsi"/>
          <w:color w:val="1F1F1F"/>
          <w:sz w:val="24"/>
          <w:szCs w:val="24"/>
        </w:rPr>
        <w:t xml:space="preserve"> </w:t>
      </w:r>
    </w:p>
    <w:p w14:paraId="6DF1DE3D" w14:textId="77777777" w:rsidR="00D14231" w:rsidRPr="002661E1" w:rsidRDefault="00D14231" w:rsidP="00D14231">
      <w:pPr>
        <w:spacing w:line="360" w:lineRule="auto"/>
        <w:rPr>
          <w:rFonts w:cstheme="minorHAnsi"/>
          <w:color w:val="3A3A3A"/>
          <w:sz w:val="24"/>
          <w:szCs w:val="24"/>
          <w:shd w:val="clear" w:color="auto" w:fill="FFFFFF"/>
        </w:rPr>
      </w:pPr>
      <w:r>
        <w:rPr>
          <w:rFonts w:cstheme="minorHAnsi"/>
          <w:sz w:val="24"/>
          <w:szCs w:val="24"/>
        </w:rPr>
        <w:t>Whilst officers have identified CI to be useful not all use it in practice (Longford 1996). Furthermore, a</w:t>
      </w:r>
      <w:r w:rsidRPr="002661E1">
        <w:rPr>
          <w:rFonts w:cstheme="minorHAnsi"/>
          <w:color w:val="3A3A3A"/>
          <w:sz w:val="24"/>
          <w:szCs w:val="24"/>
          <w:shd w:val="clear" w:color="auto" w:fill="FFFFFF"/>
        </w:rPr>
        <w:t xml:space="preserve"> study by Kebbel et al (1999) found that police officers valued certain aspects of the model more than others</w:t>
      </w:r>
      <w:r>
        <w:rPr>
          <w:rFonts w:cstheme="minorHAnsi"/>
          <w:color w:val="3A3A3A"/>
          <w:sz w:val="24"/>
          <w:szCs w:val="24"/>
          <w:shd w:val="clear" w:color="auto" w:fill="FFFFFF"/>
        </w:rPr>
        <w:t xml:space="preserve"> such as r</w:t>
      </w:r>
      <w:r w:rsidRPr="002661E1">
        <w:rPr>
          <w:rFonts w:cstheme="minorHAnsi"/>
          <w:color w:val="3A3A3A"/>
          <w:sz w:val="24"/>
          <w:szCs w:val="24"/>
          <w:shd w:val="clear" w:color="auto" w:fill="FFFFFF"/>
        </w:rPr>
        <w:t>apport, report</w:t>
      </w:r>
      <w:r>
        <w:rPr>
          <w:rFonts w:cstheme="minorHAnsi"/>
          <w:color w:val="3A3A3A"/>
          <w:sz w:val="24"/>
          <w:szCs w:val="24"/>
          <w:shd w:val="clear" w:color="auto" w:fill="FFFFFF"/>
        </w:rPr>
        <w:t>ing</w:t>
      </w:r>
      <w:r w:rsidRPr="002661E1">
        <w:rPr>
          <w:rFonts w:cstheme="minorHAnsi"/>
          <w:color w:val="3A3A3A"/>
          <w:sz w:val="24"/>
          <w:szCs w:val="24"/>
          <w:shd w:val="clear" w:color="auto" w:fill="FFFFFF"/>
        </w:rPr>
        <w:t xml:space="preserve"> everything, concentration encouragement, memory compatible questioning and mental context </w:t>
      </w:r>
      <w:r w:rsidRPr="002661E1">
        <w:rPr>
          <w:rFonts w:cstheme="minorHAnsi"/>
          <w:color w:val="3A3A3A"/>
          <w:sz w:val="24"/>
          <w:szCs w:val="24"/>
          <w:shd w:val="clear" w:color="auto" w:fill="FFFFFF"/>
        </w:rPr>
        <w:lastRenderedPageBreak/>
        <w:t>reinstatement</w:t>
      </w:r>
      <w:r>
        <w:rPr>
          <w:rFonts w:cstheme="minorHAnsi"/>
          <w:color w:val="3A3A3A"/>
          <w:sz w:val="24"/>
          <w:szCs w:val="24"/>
          <w:shd w:val="clear" w:color="auto" w:fill="FFFFFF"/>
        </w:rPr>
        <w:t>. These elements were</w:t>
      </w:r>
      <w:r w:rsidRPr="002661E1">
        <w:rPr>
          <w:rFonts w:cstheme="minorHAnsi"/>
          <w:color w:val="3A3A3A"/>
          <w:sz w:val="24"/>
          <w:szCs w:val="24"/>
          <w:shd w:val="clear" w:color="auto" w:fill="FFFFFF"/>
        </w:rPr>
        <w:t xml:space="preserve"> looked at favourabl</w:t>
      </w:r>
      <w:r>
        <w:rPr>
          <w:rFonts w:cstheme="minorHAnsi"/>
          <w:color w:val="3A3A3A"/>
          <w:sz w:val="24"/>
          <w:szCs w:val="24"/>
          <w:shd w:val="clear" w:color="auto" w:fill="FFFFFF"/>
        </w:rPr>
        <w:t>y</w:t>
      </w:r>
      <w:r w:rsidRPr="002661E1">
        <w:rPr>
          <w:rFonts w:cstheme="minorHAnsi"/>
          <w:color w:val="3A3A3A"/>
          <w:sz w:val="24"/>
          <w:szCs w:val="24"/>
          <w:shd w:val="clear" w:color="auto" w:fill="FFFFFF"/>
        </w:rPr>
        <w:t xml:space="preserve"> whilst other aspects of the model such as change of recall order, change of perspective and transfer of control were less favourably considered.</w:t>
      </w:r>
      <w:r w:rsidRPr="002661E1">
        <w:rPr>
          <w:rFonts w:cstheme="minorHAnsi"/>
          <w:sz w:val="24"/>
          <w:szCs w:val="24"/>
        </w:rPr>
        <w:t xml:space="preserve"> </w:t>
      </w:r>
    </w:p>
    <w:p w14:paraId="72E7CA96" w14:textId="77777777" w:rsidR="00D14231" w:rsidRPr="002661E1" w:rsidRDefault="00D14231" w:rsidP="00D14231">
      <w:pPr>
        <w:spacing w:line="360" w:lineRule="auto"/>
        <w:rPr>
          <w:rFonts w:cstheme="minorHAnsi"/>
          <w:color w:val="3A3A3A"/>
          <w:sz w:val="24"/>
          <w:szCs w:val="24"/>
          <w:shd w:val="clear" w:color="auto" w:fill="FFFFFF"/>
        </w:rPr>
      </w:pPr>
      <w:r w:rsidRPr="002661E1">
        <w:rPr>
          <w:rFonts w:cstheme="minorHAnsi"/>
          <w:color w:val="3A3A3A"/>
          <w:sz w:val="24"/>
          <w:szCs w:val="24"/>
          <w:shd w:val="clear" w:color="auto" w:fill="FFFFFF"/>
        </w:rPr>
        <w:t>Dando et al (2008) indicated that junior officers undertaking cognitive interviewing</w:t>
      </w:r>
      <w:r>
        <w:rPr>
          <w:rFonts w:cstheme="minorHAnsi"/>
          <w:color w:val="3A3A3A"/>
          <w:sz w:val="24"/>
          <w:szCs w:val="24"/>
          <w:shd w:val="clear" w:color="auto" w:fill="FFFFFF"/>
        </w:rPr>
        <w:t>,</w:t>
      </w:r>
      <w:r w:rsidRPr="002661E1">
        <w:rPr>
          <w:rFonts w:cstheme="minorHAnsi"/>
          <w:color w:val="3A3A3A"/>
          <w:sz w:val="24"/>
          <w:szCs w:val="24"/>
          <w:shd w:val="clear" w:color="auto" w:fill="FFFFFF"/>
        </w:rPr>
        <w:t xml:space="preserve"> report feeling inadequately  trained,  under  pressure  and  generally  ill  equipped  to conduct an effective cognitive interview.</w:t>
      </w:r>
      <w:r>
        <w:rPr>
          <w:rFonts w:cstheme="minorHAnsi"/>
          <w:color w:val="3A3A3A"/>
          <w:sz w:val="24"/>
          <w:szCs w:val="24"/>
          <w:shd w:val="clear" w:color="auto" w:fill="FFFFFF"/>
        </w:rPr>
        <w:t xml:space="preserve"> Yet the College of Policing (2020) have indicated that officers and staff involved in initial accounts should be given the appropriate skills and knowledge to use cognitive interviewing skills particularly memory retrieval techniques</w:t>
      </w:r>
      <w:r>
        <w:rPr>
          <w:rFonts w:ascii="Arial" w:hAnsi="Arial" w:cs="Arial"/>
          <w:color w:val="000000"/>
          <w:spacing w:val="3"/>
          <w:sz w:val="27"/>
          <w:szCs w:val="27"/>
          <w:shd w:val="clear" w:color="auto" w:fill="F4F4F4"/>
        </w:rPr>
        <w:t>.</w:t>
      </w:r>
    </w:p>
    <w:p w14:paraId="4153C338" w14:textId="77777777" w:rsidR="00D14231" w:rsidRPr="002661E1" w:rsidRDefault="00D14231" w:rsidP="00D14231">
      <w:pPr>
        <w:spacing w:line="360" w:lineRule="auto"/>
        <w:rPr>
          <w:rFonts w:cstheme="minorHAnsi"/>
          <w:color w:val="3A3A3A"/>
          <w:sz w:val="24"/>
          <w:szCs w:val="24"/>
          <w:shd w:val="clear" w:color="auto" w:fill="FFFFFF"/>
        </w:rPr>
      </w:pPr>
      <w:r>
        <w:rPr>
          <w:rFonts w:cstheme="minorHAnsi"/>
          <w:color w:val="3A3A3A"/>
          <w:sz w:val="24"/>
          <w:szCs w:val="24"/>
          <w:shd w:val="clear" w:color="auto" w:fill="FFFFFF"/>
        </w:rPr>
        <w:t xml:space="preserve">The difference between obtaining an initial account shortly after a crime has been committed and carrying out a full witness interview is stark. Officers have little or no control over the environmental factors or the emotional state of the victim or witness. To undertake a CI a witness needs to be able to concentrate to carry out the cognitive instructions to aid accurate memory retrieval. In many instances an initial account is obtained in chaotic conditions where there is a requirement for speed of information gathering to secure evidence and manage risk. Davies et al (2005) has supported this and suggested that police may neglect using CI techniques in time critical situations.  All studies into CI have been carried out in calm and controlled environments and have failed to consider the environmental differences experienced by officers taking initial accounts.  </w:t>
      </w:r>
    </w:p>
    <w:p w14:paraId="45751662" w14:textId="77777777" w:rsidR="00D14231" w:rsidRPr="002661E1" w:rsidRDefault="00D14231" w:rsidP="00D14231">
      <w:pPr>
        <w:spacing w:line="360" w:lineRule="auto"/>
        <w:rPr>
          <w:rFonts w:cstheme="minorHAnsi"/>
          <w:color w:val="3A3A3A"/>
          <w:sz w:val="24"/>
          <w:szCs w:val="24"/>
          <w:shd w:val="clear" w:color="auto" w:fill="FFFFFF"/>
        </w:rPr>
      </w:pPr>
      <w:r>
        <w:rPr>
          <w:rFonts w:cstheme="minorHAnsi"/>
          <w:color w:val="3A3A3A"/>
          <w:sz w:val="24"/>
          <w:szCs w:val="24"/>
          <w:shd w:val="clear" w:color="auto" w:fill="FFFFFF"/>
        </w:rPr>
        <w:t xml:space="preserve">There is evidence to suggest that cognitive interviewing is highly effective in many situations and has several benefits. However, to utilise all elements of the model takes time. Brunnel and Py (2013) have argued that the practical application when obtaining initial accounts is influenced by the type of situation, emotional and psychological state and cooperation of the witness, length of and proximity to the incident, training and experience of the officer interviewing and the applications of the cognitive techniques.  </w:t>
      </w:r>
      <w:r w:rsidRPr="00FB526D">
        <w:rPr>
          <w:rFonts w:cstheme="minorHAnsi"/>
          <w:b/>
          <w:bCs/>
          <w:color w:val="3A3A3A"/>
          <w:sz w:val="24"/>
          <w:szCs w:val="24"/>
          <w:shd w:val="clear" w:color="auto" w:fill="FFFFFF"/>
        </w:rPr>
        <w:t>Words 10</w:t>
      </w:r>
      <w:r>
        <w:rPr>
          <w:rFonts w:cstheme="minorHAnsi"/>
          <w:b/>
          <w:bCs/>
          <w:color w:val="3A3A3A"/>
          <w:sz w:val="24"/>
          <w:szCs w:val="24"/>
          <w:shd w:val="clear" w:color="auto" w:fill="FFFFFF"/>
        </w:rPr>
        <w:t>15</w:t>
      </w:r>
      <w:r w:rsidRPr="00FB526D">
        <w:rPr>
          <w:rFonts w:cstheme="minorHAnsi"/>
          <w:b/>
          <w:bCs/>
          <w:color w:val="3A3A3A"/>
          <w:sz w:val="24"/>
          <w:szCs w:val="24"/>
          <w:shd w:val="clear" w:color="auto" w:fill="FFFFFF"/>
        </w:rPr>
        <w:t>.</w:t>
      </w:r>
      <w:r>
        <w:rPr>
          <w:rFonts w:cstheme="minorHAnsi"/>
          <w:color w:val="3A3A3A"/>
          <w:sz w:val="24"/>
          <w:szCs w:val="24"/>
          <w:shd w:val="clear" w:color="auto" w:fill="FFFFFF"/>
        </w:rPr>
        <w:t xml:space="preserve"> </w:t>
      </w:r>
    </w:p>
    <w:p w14:paraId="37E87BAD" w14:textId="77777777" w:rsidR="00D14231" w:rsidRDefault="00D14231" w:rsidP="00D14231">
      <w:pPr>
        <w:rPr>
          <w:rFonts w:ascii="Open Sans" w:hAnsi="Open Sans" w:cs="Open Sans"/>
          <w:color w:val="3A3A3A"/>
          <w:sz w:val="27"/>
          <w:szCs w:val="27"/>
          <w:shd w:val="clear" w:color="auto" w:fill="FFFFFF"/>
        </w:rPr>
      </w:pPr>
    </w:p>
    <w:p w14:paraId="6CDD8006" w14:textId="77777777" w:rsidR="00D14231" w:rsidRDefault="00D14231" w:rsidP="00D14231">
      <w:pPr>
        <w:rPr>
          <w:rFonts w:ascii="Open Sans" w:hAnsi="Open Sans" w:cs="Open Sans"/>
          <w:color w:val="3A3A3A"/>
          <w:sz w:val="27"/>
          <w:szCs w:val="27"/>
          <w:shd w:val="clear" w:color="auto" w:fill="FFFFFF"/>
        </w:rPr>
      </w:pPr>
    </w:p>
    <w:bookmarkEnd w:id="1"/>
    <w:p w14:paraId="573EFAFE" w14:textId="77777777" w:rsidR="00D14231" w:rsidRPr="006128AA" w:rsidRDefault="00D14231" w:rsidP="00D14231">
      <w:pPr>
        <w:rPr>
          <w:rFonts w:cstheme="minorHAnsi"/>
          <w:sz w:val="24"/>
          <w:szCs w:val="24"/>
        </w:rPr>
      </w:pPr>
    </w:p>
    <w:p w14:paraId="262FC901" w14:textId="77777777" w:rsidR="00D14231" w:rsidRPr="00C0524A" w:rsidRDefault="00D14231" w:rsidP="00D14231">
      <w:pPr>
        <w:rPr>
          <w:b/>
          <w:bCs/>
          <w:sz w:val="28"/>
          <w:szCs w:val="28"/>
        </w:rPr>
      </w:pPr>
      <w:r w:rsidRPr="00C0524A">
        <w:rPr>
          <w:b/>
          <w:bCs/>
          <w:sz w:val="28"/>
          <w:szCs w:val="28"/>
        </w:rPr>
        <w:lastRenderedPageBreak/>
        <w:t>Essay 4</w:t>
      </w:r>
      <w:r>
        <w:rPr>
          <w:b/>
          <w:bCs/>
          <w:sz w:val="28"/>
          <w:szCs w:val="28"/>
        </w:rPr>
        <w:t>-</w:t>
      </w:r>
      <w:r w:rsidRPr="00C0524A">
        <w:rPr>
          <w:b/>
          <w:bCs/>
          <w:sz w:val="28"/>
          <w:szCs w:val="28"/>
        </w:rPr>
        <w:t xml:space="preserve">Examine the positive and negative aspects of media attention when dealing with public protection. </w:t>
      </w:r>
    </w:p>
    <w:p w14:paraId="123EDFF7" w14:textId="77777777" w:rsidR="00D14231" w:rsidRPr="009A22CB" w:rsidRDefault="00D14231" w:rsidP="00D14231">
      <w:pPr>
        <w:spacing w:line="360" w:lineRule="auto"/>
        <w:rPr>
          <w:rFonts w:cstheme="minorHAnsi"/>
          <w:color w:val="333333"/>
          <w:sz w:val="24"/>
          <w:szCs w:val="24"/>
        </w:rPr>
      </w:pPr>
      <w:r w:rsidRPr="009A22CB">
        <w:rPr>
          <w:rFonts w:cstheme="minorHAnsi"/>
          <w:sz w:val="24"/>
          <w:szCs w:val="24"/>
        </w:rPr>
        <w:t>The police serve the public and the communities within it and need a range of different relationships and/or partnerships to identify problems and solutions</w:t>
      </w:r>
      <w:r>
        <w:rPr>
          <w:rFonts w:cstheme="minorHAnsi"/>
          <w:sz w:val="24"/>
          <w:szCs w:val="24"/>
        </w:rPr>
        <w:t xml:space="preserve"> in order to </w:t>
      </w:r>
      <w:r w:rsidRPr="009A22CB">
        <w:rPr>
          <w:rFonts w:cstheme="minorHAnsi"/>
          <w:sz w:val="24"/>
          <w:szCs w:val="24"/>
        </w:rPr>
        <w:t>carry out their role effectively</w:t>
      </w:r>
      <w:r>
        <w:rPr>
          <w:rFonts w:cstheme="minorHAnsi"/>
          <w:sz w:val="24"/>
          <w:szCs w:val="24"/>
        </w:rPr>
        <w:t xml:space="preserve">. This often </w:t>
      </w:r>
      <w:r w:rsidRPr="009A22CB">
        <w:rPr>
          <w:rFonts w:cstheme="minorHAnsi"/>
          <w:sz w:val="24"/>
          <w:szCs w:val="24"/>
        </w:rPr>
        <w:t>includes a relationship with the media (HMIC 2011). The College of Policing (2013) added that the media play an important part in protecting the public interest and assuring police legitimacy</w:t>
      </w:r>
      <w:r>
        <w:rPr>
          <w:rFonts w:cstheme="minorHAnsi"/>
          <w:sz w:val="24"/>
          <w:szCs w:val="24"/>
        </w:rPr>
        <w:t>. T</w:t>
      </w:r>
      <w:r w:rsidRPr="009A22CB">
        <w:rPr>
          <w:rFonts w:cstheme="minorHAnsi"/>
          <w:sz w:val="24"/>
          <w:szCs w:val="24"/>
        </w:rPr>
        <w:t xml:space="preserve">here is an obligation on </w:t>
      </w:r>
      <w:r>
        <w:rPr>
          <w:rFonts w:cstheme="minorHAnsi"/>
          <w:sz w:val="24"/>
          <w:szCs w:val="24"/>
        </w:rPr>
        <w:t xml:space="preserve">the police </w:t>
      </w:r>
      <w:r w:rsidRPr="009A22CB">
        <w:rPr>
          <w:rFonts w:cstheme="minorHAnsi"/>
          <w:sz w:val="24"/>
          <w:szCs w:val="24"/>
        </w:rPr>
        <w:t xml:space="preserve">to engage with the media to communicate what the police are trying to do </w:t>
      </w:r>
      <w:r>
        <w:rPr>
          <w:rFonts w:cstheme="minorHAnsi"/>
          <w:sz w:val="24"/>
          <w:szCs w:val="24"/>
        </w:rPr>
        <w:t xml:space="preserve">both at a strategic and operational level. Engaging at an operational level is vital to assist with crime fighting </w:t>
      </w:r>
      <w:r w:rsidRPr="009A22CB">
        <w:rPr>
          <w:rFonts w:cstheme="minorHAnsi"/>
          <w:sz w:val="24"/>
          <w:szCs w:val="24"/>
        </w:rPr>
        <w:t>. Moreover, Gest (2019) suggested that the police regard the media as an adversary, yet in all its forms</w:t>
      </w:r>
      <w:r>
        <w:rPr>
          <w:rFonts w:cstheme="minorHAnsi"/>
          <w:sz w:val="24"/>
          <w:szCs w:val="24"/>
        </w:rPr>
        <w:t xml:space="preserve"> it </w:t>
      </w:r>
      <w:r w:rsidRPr="009A22CB">
        <w:rPr>
          <w:rFonts w:cstheme="minorHAnsi"/>
          <w:sz w:val="24"/>
          <w:szCs w:val="24"/>
        </w:rPr>
        <w:t>remains a powerful interpreter of how the police do their job.</w:t>
      </w:r>
      <w:r w:rsidRPr="009A22CB">
        <w:rPr>
          <w:rFonts w:cstheme="minorHAnsi"/>
          <w:color w:val="333333"/>
          <w:sz w:val="24"/>
          <w:szCs w:val="24"/>
        </w:rPr>
        <w:t xml:space="preserve"> In 2012 the </w:t>
      </w:r>
      <w:r w:rsidRPr="00F37E7E">
        <w:rPr>
          <w:rFonts w:cstheme="minorHAnsi"/>
          <w:color w:val="202122"/>
          <w:sz w:val="24"/>
          <w:szCs w:val="24"/>
          <w:shd w:val="clear" w:color="auto" w:fill="FFFFFF"/>
        </w:rPr>
        <w:t>Leveson Report</w:t>
      </w:r>
      <w:r w:rsidRPr="009A22CB">
        <w:rPr>
          <w:rFonts w:cstheme="minorHAnsi"/>
          <w:color w:val="202122"/>
          <w:sz w:val="24"/>
          <w:szCs w:val="24"/>
          <w:shd w:val="clear" w:color="auto" w:fill="FFFFFF"/>
        </w:rPr>
        <w:t> was published which reviewed the general culture and ethics of the British media and how police should interact with them. </w:t>
      </w:r>
    </w:p>
    <w:p w14:paraId="1122CDD7" w14:textId="77777777" w:rsidR="00D14231" w:rsidRPr="009A22CB" w:rsidRDefault="00D14231" w:rsidP="00D14231">
      <w:pPr>
        <w:spacing w:line="360" w:lineRule="auto"/>
        <w:rPr>
          <w:rFonts w:cstheme="minorHAnsi"/>
          <w:sz w:val="24"/>
          <w:szCs w:val="24"/>
        </w:rPr>
      </w:pPr>
      <w:r w:rsidRPr="009A22CB">
        <w:rPr>
          <w:rFonts w:cstheme="minorHAnsi"/>
          <w:color w:val="333333"/>
          <w:sz w:val="24"/>
          <w:szCs w:val="24"/>
        </w:rPr>
        <w:t xml:space="preserve">The role of the police and media can </w:t>
      </w:r>
      <w:r>
        <w:rPr>
          <w:rFonts w:cstheme="minorHAnsi"/>
          <w:color w:val="333333"/>
          <w:sz w:val="24"/>
          <w:szCs w:val="24"/>
        </w:rPr>
        <w:t xml:space="preserve">have </w:t>
      </w:r>
      <w:r w:rsidRPr="009A22CB">
        <w:rPr>
          <w:rFonts w:cstheme="minorHAnsi"/>
          <w:color w:val="333333"/>
          <w:sz w:val="24"/>
          <w:szCs w:val="24"/>
        </w:rPr>
        <w:t>both positive and negative connotations</w:t>
      </w:r>
      <w:r>
        <w:rPr>
          <w:rFonts w:cstheme="minorHAnsi"/>
          <w:color w:val="333333"/>
          <w:sz w:val="24"/>
          <w:szCs w:val="24"/>
        </w:rPr>
        <w:t>. T</w:t>
      </w:r>
      <w:r w:rsidRPr="009A22CB">
        <w:rPr>
          <w:rFonts w:cstheme="minorHAnsi"/>
          <w:color w:val="333333"/>
          <w:sz w:val="24"/>
          <w:szCs w:val="24"/>
        </w:rPr>
        <w:t xml:space="preserve">he positive aspects of the relationship </w:t>
      </w:r>
      <w:r>
        <w:rPr>
          <w:rFonts w:cstheme="minorHAnsi"/>
          <w:color w:val="333333"/>
          <w:sz w:val="24"/>
          <w:szCs w:val="24"/>
        </w:rPr>
        <w:t xml:space="preserve">are </w:t>
      </w:r>
      <w:r w:rsidRPr="009A22CB">
        <w:rPr>
          <w:rFonts w:cstheme="minorHAnsi"/>
          <w:color w:val="333333"/>
          <w:sz w:val="24"/>
          <w:szCs w:val="24"/>
        </w:rPr>
        <w:t xml:space="preserve">awareness and education, community engagement, transparency and accountability and public trust. In 2013 Surette indicated that </w:t>
      </w:r>
      <w:r w:rsidRPr="009A22CB">
        <w:rPr>
          <w:rFonts w:cstheme="minorHAnsi"/>
          <w:sz w:val="24"/>
          <w:szCs w:val="24"/>
        </w:rPr>
        <w:t xml:space="preserve">the media naturally played an important role in shaping perceptions of the police by raising awareness about public safety issues. </w:t>
      </w:r>
      <w:r>
        <w:rPr>
          <w:rFonts w:cstheme="minorHAnsi"/>
          <w:sz w:val="24"/>
          <w:szCs w:val="24"/>
        </w:rPr>
        <w:t xml:space="preserve">By doing this, it </w:t>
      </w:r>
      <w:r w:rsidRPr="009A22CB">
        <w:rPr>
          <w:rFonts w:cstheme="minorHAnsi"/>
          <w:sz w:val="24"/>
          <w:szCs w:val="24"/>
        </w:rPr>
        <w:t xml:space="preserve">can assist in educating the public about potential threats, crime prevention strategies and role of the police in public protection. </w:t>
      </w:r>
    </w:p>
    <w:p w14:paraId="7F3F730A" w14:textId="77777777" w:rsidR="00D14231" w:rsidRPr="009A22CB" w:rsidRDefault="00D14231" w:rsidP="00D14231">
      <w:pPr>
        <w:spacing w:line="360" w:lineRule="auto"/>
        <w:rPr>
          <w:rFonts w:cstheme="minorHAnsi"/>
          <w:color w:val="333333"/>
          <w:sz w:val="24"/>
          <w:szCs w:val="24"/>
          <w:shd w:val="clear" w:color="auto" w:fill="FFFFFF"/>
        </w:rPr>
      </w:pPr>
      <w:r w:rsidRPr="009A22CB">
        <w:rPr>
          <w:rFonts w:cstheme="minorHAnsi"/>
          <w:color w:val="333333"/>
          <w:sz w:val="24"/>
          <w:szCs w:val="24"/>
          <w:shd w:val="clear" w:color="auto" w:fill="FFFFFF"/>
        </w:rPr>
        <w:t xml:space="preserve">Positive media coverage can foster community engagement and collaboration especially when the media can highlight successful initiatives. </w:t>
      </w:r>
      <w:r>
        <w:rPr>
          <w:rFonts w:cstheme="minorHAnsi"/>
          <w:color w:val="333333"/>
          <w:sz w:val="24"/>
          <w:szCs w:val="24"/>
          <w:shd w:val="clear" w:color="auto" w:fill="FFFFFF"/>
        </w:rPr>
        <w:t>This can lead to c</w:t>
      </w:r>
      <w:r w:rsidRPr="009A22CB">
        <w:rPr>
          <w:rFonts w:cstheme="minorHAnsi"/>
          <w:color w:val="333333"/>
          <w:sz w:val="24"/>
          <w:szCs w:val="24"/>
          <w:shd w:val="clear" w:color="auto" w:fill="FFFFFF"/>
        </w:rPr>
        <w:t xml:space="preserve">ommunities </w:t>
      </w:r>
      <w:r>
        <w:rPr>
          <w:rFonts w:cstheme="minorHAnsi"/>
          <w:color w:val="333333"/>
          <w:sz w:val="24"/>
          <w:szCs w:val="24"/>
          <w:shd w:val="clear" w:color="auto" w:fill="FFFFFF"/>
        </w:rPr>
        <w:t xml:space="preserve">feeling a </w:t>
      </w:r>
      <w:r w:rsidRPr="009A22CB">
        <w:rPr>
          <w:rFonts w:cstheme="minorHAnsi"/>
          <w:color w:val="333333"/>
          <w:sz w:val="24"/>
          <w:szCs w:val="24"/>
          <w:shd w:val="clear" w:color="auto" w:fill="FFFFFF"/>
        </w:rPr>
        <w:t xml:space="preserve">sense of ownership in the local police leading to increased cooperation with crime prevention (Skogan and Frydl 2004). A </w:t>
      </w:r>
      <w:r w:rsidRPr="009A22CB">
        <w:rPr>
          <w:rFonts w:cstheme="minorHAnsi"/>
          <w:color w:val="0B0C0C"/>
          <w:sz w:val="24"/>
          <w:szCs w:val="24"/>
          <w:shd w:val="clear" w:color="auto" w:fill="FFFFFF"/>
        </w:rPr>
        <w:t>study by Jackson et al. (2012) found that reporting on police-community engagement and procedural fairness in newspapers can influence public confidence.</w:t>
      </w:r>
      <w:r w:rsidRPr="009A22CB">
        <w:rPr>
          <w:rFonts w:cstheme="minorHAnsi"/>
          <w:color w:val="333333"/>
          <w:sz w:val="24"/>
          <w:szCs w:val="24"/>
          <w:shd w:val="clear" w:color="auto" w:fill="FFFFFF"/>
        </w:rPr>
        <w:t xml:space="preserve"> The media can also bring to light high profile cases which can lead to public scrutiny allowing greater accountability and transparency which can ultimately result in changes and improved practices (Lun et al 2011). Additionally, Taylor (2006) intimated that positive media coverage that portrays the police as competent and trustworthy contributes to building and maintaining public trust. Furthermore, a trusting public is more likely to report crimes demonstrating </w:t>
      </w:r>
      <w:r w:rsidRPr="009A22CB">
        <w:rPr>
          <w:rFonts w:cstheme="minorHAnsi"/>
          <w:color w:val="333333"/>
          <w:sz w:val="24"/>
          <w:szCs w:val="24"/>
          <w:shd w:val="clear" w:color="auto" w:fill="FFFFFF"/>
        </w:rPr>
        <w:lastRenderedPageBreak/>
        <w:t xml:space="preserve">cooperation with the police service. Alternatively, negative or biased media coverage can erode public trust where police have to spend time rebuilding the trust which affects their ability to do their day-to-day job of serving and protecting </w:t>
      </w:r>
      <w:r>
        <w:rPr>
          <w:rFonts w:cstheme="minorHAnsi"/>
          <w:color w:val="333333"/>
          <w:sz w:val="24"/>
          <w:szCs w:val="24"/>
          <w:shd w:val="clear" w:color="auto" w:fill="FFFFFF"/>
        </w:rPr>
        <w:t xml:space="preserve">communities </w:t>
      </w:r>
      <w:r w:rsidRPr="009A22CB">
        <w:rPr>
          <w:rFonts w:cstheme="minorHAnsi"/>
          <w:color w:val="333333"/>
          <w:sz w:val="24"/>
          <w:szCs w:val="24"/>
          <w:shd w:val="clear" w:color="auto" w:fill="FFFFFF"/>
        </w:rPr>
        <w:t xml:space="preserve">(Bradford and Quinton 2014).  </w:t>
      </w:r>
    </w:p>
    <w:p w14:paraId="402D40D7" w14:textId="77777777" w:rsidR="00D14231" w:rsidRPr="009A22CB" w:rsidRDefault="00D14231" w:rsidP="00D14231">
      <w:pPr>
        <w:spacing w:line="360" w:lineRule="auto"/>
        <w:rPr>
          <w:rFonts w:cstheme="minorHAnsi"/>
          <w:sz w:val="24"/>
          <w:szCs w:val="24"/>
        </w:rPr>
      </w:pPr>
      <w:r w:rsidRPr="009A22CB">
        <w:rPr>
          <w:rFonts w:cstheme="minorHAnsi"/>
          <w:color w:val="333333"/>
          <w:sz w:val="24"/>
          <w:szCs w:val="24"/>
          <w:shd w:val="clear" w:color="auto" w:fill="FFFFFF"/>
        </w:rPr>
        <w:t>The media can also sensationalise and distort facts, be biased, or portray negative stereotypes and interfere with an investigation.  The media can exaggerate or provide misleading reports which can create unnecessary fear and panic, potentially undermining public confidence (Erikson 1987). Certain communities maybe disproportionally portrayed as sources of criminal activity which contributes to negative stereotypes and exacerbat</w:t>
      </w:r>
      <w:r>
        <w:rPr>
          <w:rFonts w:cstheme="minorHAnsi"/>
          <w:color w:val="333333"/>
          <w:sz w:val="24"/>
          <w:szCs w:val="24"/>
          <w:shd w:val="clear" w:color="auto" w:fill="FFFFFF"/>
        </w:rPr>
        <w:t>ing</w:t>
      </w:r>
      <w:r w:rsidRPr="009A22CB">
        <w:rPr>
          <w:rFonts w:cstheme="minorHAnsi"/>
          <w:color w:val="333333"/>
          <w:sz w:val="24"/>
          <w:szCs w:val="24"/>
          <w:shd w:val="clear" w:color="auto" w:fill="FFFFFF"/>
        </w:rPr>
        <w:t xml:space="preserve"> social divisions (Entman 2012). Furthermore, release of information from the media prematurely can interfere or compromise the integrity of a police case. Alongside this it could influence witness statements or hinder the capture of suspects though the police must ensure the balance between transparency and protecting the integrity of an investigation (Davies 2011).       </w:t>
      </w:r>
    </w:p>
    <w:p w14:paraId="231D5BD6" w14:textId="77777777" w:rsidR="00D14231" w:rsidRPr="009A22CB" w:rsidRDefault="00D14231" w:rsidP="00D14231">
      <w:pPr>
        <w:spacing w:line="360" w:lineRule="auto"/>
        <w:rPr>
          <w:rFonts w:cstheme="minorHAnsi"/>
          <w:color w:val="333333"/>
          <w:sz w:val="24"/>
          <w:szCs w:val="24"/>
        </w:rPr>
      </w:pPr>
      <w:r>
        <w:rPr>
          <w:rFonts w:cstheme="minorHAnsi"/>
          <w:color w:val="333333"/>
          <w:sz w:val="24"/>
          <w:szCs w:val="24"/>
        </w:rPr>
        <w:t xml:space="preserve">In terms of social media, </w:t>
      </w:r>
      <w:r w:rsidRPr="009A22CB">
        <w:rPr>
          <w:rFonts w:cstheme="minorHAnsi"/>
          <w:color w:val="333333"/>
          <w:sz w:val="24"/>
          <w:szCs w:val="24"/>
        </w:rPr>
        <w:t xml:space="preserve">Lee and McGovern (2014) argued that </w:t>
      </w:r>
      <w:r>
        <w:rPr>
          <w:rFonts w:cstheme="minorHAnsi"/>
          <w:color w:val="333333"/>
          <w:sz w:val="24"/>
          <w:szCs w:val="24"/>
        </w:rPr>
        <w:t xml:space="preserve">this type of media </w:t>
      </w:r>
      <w:r w:rsidRPr="009A22CB">
        <w:rPr>
          <w:rFonts w:cstheme="minorHAnsi"/>
          <w:color w:val="333333"/>
          <w:sz w:val="24"/>
          <w:szCs w:val="24"/>
        </w:rPr>
        <w:t>enables the police to communicate more directly with the public and has opened new possibilities for operational policing</w:t>
      </w:r>
      <w:r>
        <w:rPr>
          <w:rFonts w:cstheme="minorHAnsi"/>
          <w:color w:val="333333"/>
          <w:sz w:val="24"/>
          <w:szCs w:val="24"/>
        </w:rPr>
        <w:t xml:space="preserve">. Furthermore </w:t>
      </w:r>
      <w:r w:rsidRPr="009A22CB">
        <w:rPr>
          <w:rFonts w:cstheme="minorHAnsi"/>
          <w:color w:val="333333"/>
          <w:sz w:val="24"/>
          <w:szCs w:val="24"/>
        </w:rPr>
        <w:t xml:space="preserve">engagement with the media allows the management of public risk through communication of threats or dangers to the public. Johnston and McGovern (2013) suggested that use of social media is aimed at exerting influence, increasing public confidence, and reducing concerns over crime. </w:t>
      </w:r>
      <w:r w:rsidRPr="009A22CB">
        <w:rPr>
          <w:rFonts w:cstheme="minorHAnsi"/>
          <w:color w:val="0B0C0C"/>
          <w:sz w:val="24"/>
          <w:szCs w:val="24"/>
          <w:shd w:val="clear" w:color="auto" w:fill="FFFFFF"/>
        </w:rPr>
        <w:t xml:space="preserve">McIntee (2016) indicated increased social media allows the police to have a voice in the public sphere and it assists in engaging and broadcasting information and that transparency, openness and dialogue were essential tools for policing which are in line with the Code of Ethics (COP 2014). As a result, through the release of information, even if it </w:t>
      </w:r>
      <w:r>
        <w:rPr>
          <w:rFonts w:cstheme="minorHAnsi"/>
          <w:color w:val="0B0C0C"/>
          <w:sz w:val="24"/>
          <w:szCs w:val="24"/>
          <w:shd w:val="clear" w:color="auto" w:fill="FFFFFF"/>
        </w:rPr>
        <w:t xml:space="preserve">is </w:t>
      </w:r>
      <w:r w:rsidRPr="009A22CB">
        <w:rPr>
          <w:rFonts w:cstheme="minorHAnsi"/>
          <w:color w:val="0B0C0C"/>
          <w:sz w:val="24"/>
          <w:szCs w:val="24"/>
          <w:shd w:val="clear" w:color="auto" w:fill="FFFFFF"/>
        </w:rPr>
        <w:t>ignored</w:t>
      </w:r>
      <w:r>
        <w:rPr>
          <w:rFonts w:cstheme="minorHAnsi"/>
          <w:color w:val="0B0C0C"/>
          <w:sz w:val="24"/>
          <w:szCs w:val="24"/>
          <w:shd w:val="clear" w:color="auto" w:fill="FFFFFF"/>
        </w:rPr>
        <w:t>,</w:t>
      </w:r>
      <w:r w:rsidRPr="009A22CB">
        <w:rPr>
          <w:rFonts w:cstheme="minorHAnsi"/>
          <w:color w:val="0B0C0C"/>
          <w:sz w:val="24"/>
          <w:szCs w:val="24"/>
          <w:shd w:val="clear" w:color="auto" w:fill="FFFFFF"/>
        </w:rPr>
        <w:t xml:space="preserve"> the police </w:t>
      </w:r>
      <w:r>
        <w:rPr>
          <w:rFonts w:cstheme="minorHAnsi"/>
          <w:color w:val="0B0C0C"/>
          <w:sz w:val="24"/>
          <w:szCs w:val="24"/>
          <w:shd w:val="clear" w:color="auto" w:fill="FFFFFF"/>
        </w:rPr>
        <w:t xml:space="preserve">are </w:t>
      </w:r>
      <w:r w:rsidRPr="009A22CB">
        <w:rPr>
          <w:rFonts w:cstheme="minorHAnsi"/>
          <w:color w:val="0B0C0C"/>
          <w:sz w:val="24"/>
          <w:szCs w:val="24"/>
          <w:shd w:val="clear" w:color="auto" w:fill="FFFFFF"/>
        </w:rPr>
        <w:t>presenting an open and approachable image, providing a contact with the wider community. Yet Mcintee (2016) argues that the type, extent, and effectiveness of communication activities fluctuated between police authorities.</w:t>
      </w:r>
    </w:p>
    <w:p w14:paraId="3858F184" w14:textId="77777777" w:rsidR="00D14231" w:rsidRPr="009A22CB" w:rsidRDefault="00D14231" w:rsidP="00D14231">
      <w:pPr>
        <w:spacing w:line="360" w:lineRule="auto"/>
        <w:rPr>
          <w:rFonts w:cstheme="minorHAnsi"/>
          <w:color w:val="333333"/>
          <w:sz w:val="24"/>
          <w:szCs w:val="24"/>
        </w:rPr>
      </w:pPr>
      <w:r w:rsidRPr="009A22CB">
        <w:rPr>
          <w:rFonts w:cstheme="minorHAnsi"/>
          <w:color w:val="333333"/>
          <w:sz w:val="24"/>
          <w:szCs w:val="24"/>
        </w:rPr>
        <w:t xml:space="preserve">However, Colbran (2018) identified that social media may appear to assist in breaking down barriers between the police and the public, promoting greater transparency and having more control than ever before over the flow of information to the press, yet new </w:t>
      </w:r>
      <w:r w:rsidRPr="009A22CB">
        <w:rPr>
          <w:rFonts w:cstheme="minorHAnsi"/>
          <w:color w:val="333333"/>
          <w:sz w:val="24"/>
          <w:szCs w:val="24"/>
        </w:rPr>
        <w:lastRenderedPageBreak/>
        <w:t>technologies have made the police more vulnerable. Goldsmith (2013) suggested that there is currently insufficient appreciation of the extent of how social media impacts upon policing, yet it has the potential to transform many policing practices more quickly. However, police officers and police authorities must be mindful of risks to police integrity, effectiveness and reputational standing</w:t>
      </w:r>
      <w:r w:rsidRPr="009A22CB">
        <w:rPr>
          <w:rFonts w:cstheme="minorHAnsi"/>
          <w:sz w:val="24"/>
          <w:szCs w:val="24"/>
        </w:rPr>
        <w:t xml:space="preserve">. However, consideration has to be given to the National </w:t>
      </w:r>
      <w:r>
        <w:rPr>
          <w:rFonts w:cstheme="minorHAnsi"/>
          <w:sz w:val="24"/>
          <w:szCs w:val="24"/>
        </w:rPr>
        <w:t>D</w:t>
      </w:r>
      <w:r w:rsidRPr="009A22CB">
        <w:rPr>
          <w:rFonts w:cstheme="minorHAnsi"/>
          <w:sz w:val="24"/>
          <w:szCs w:val="24"/>
        </w:rPr>
        <w:t xml:space="preserve">ecision-Making </w:t>
      </w:r>
      <w:r>
        <w:rPr>
          <w:rFonts w:cstheme="minorHAnsi"/>
          <w:sz w:val="24"/>
          <w:szCs w:val="24"/>
        </w:rPr>
        <w:t>M</w:t>
      </w:r>
      <w:r w:rsidRPr="009A22CB">
        <w:rPr>
          <w:rFonts w:cstheme="minorHAnsi"/>
          <w:sz w:val="24"/>
          <w:szCs w:val="24"/>
        </w:rPr>
        <w:t xml:space="preserve">odel </w:t>
      </w:r>
      <w:r>
        <w:rPr>
          <w:rFonts w:cstheme="minorHAnsi"/>
          <w:sz w:val="24"/>
          <w:szCs w:val="24"/>
        </w:rPr>
        <w:t xml:space="preserve">(NDM) </w:t>
      </w:r>
      <w:r w:rsidRPr="009A22CB">
        <w:rPr>
          <w:rFonts w:cstheme="minorHAnsi"/>
          <w:sz w:val="24"/>
          <w:szCs w:val="24"/>
        </w:rPr>
        <w:t>and the Code of ethics</w:t>
      </w:r>
      <w:r w:rsidRPr="009A22CB">
        <w:rPr>
          <w:rFonts w:cstheme="minorHAnsi"/>
          <w:color w:val="333333"/>
          <w:sz w:val="24"/>
          <w:szCs w:val="24"/>
        </w:rPr>
        <w:t xml:space="preserve"> when providing information or when dealing with the media.</w:t>
      </w:r>
    </w:p>
    <w:p w14:paraId="47362773" w14:textId="77777777" w:rsidR="00D14231" w:rsidRPr="009A22CB" w:rsidRDefault="00D14231" w:rsidP="00D14231">
      <w:pPr>
        <w:spacing w:line="360" w:lineRule="auto"/>
        <w:rPr>
          <w:rFonts w:cstheme="minorHAnsi"/>
          <w:color w:val="333333"/>
          <w:sz w:val="24"/>
          <w:szCs w:val="24"/>
          <w:shd w:val="clear" w:color="auto" w:fill="FFFFFF"/>
        </w:rPr>
      </w:pPr>
      <w:r w:rsidRPr="009A22CB">
        <w:rPr>
          <w:rFonts w:cstheme="minorHAnsi"/>
          <w:color w:val="333333"/>
          <w:sz w:val="24"/>
          <w:szCs w:val="24"/>
        </w:rPr>
        <w:t>G</w:t>
      </w:r>
      <w:r w:rsidRPr="009A22CB">
        <w:rPr>
          <w:rFonts w:cstheme="minorHAnsi"/>
          <w:sz w:val="24"/>
          <w:szCs w:val="24"/>
        </w:rPr>
        <w:t xml:space="preserve">raziano and Gauthier (2017) suggested while positive encounters can improve attitudes about police, exposure to negative media coverage of policing has been consistently linked to more negative perceptions of police. </w:t>
      </w:r>
      <w:r w:rsidRPr="009A22CB">
        <w:rPr>
          <w:rFonts w:cstheme="minorHAnsi"/>
          <w:color w:val="333333"/>
          <w:sz w:val="24"/>
          <w:szCs w:val="24"/>
          <w:shd w:val="clear" w:color="auto" w:fill="FFFFFF"/>
        </w:rPr>
        <w:t xml:space="preserve">Walsh and O’Connor (2018) have argued that using social media allows police to </w:t>
      </w:r>
      <w:r w:rsidRPr="009A22CB">
        <w:rPr>
          <w:rFonts w:cstheme="minorHAnsi"/>
          <w:color w:val="000000"/>
          <w:sz w:val="24"/>
          <w:szCs w:val="24"/>
          <w:shd w:val="clear" w:color="auto" w:fill="FFFFFF"/>
        </w:rPr>
        <w:t xml:space="preserve">present themselves as professional crime fighters and community-minded public servants, which assists in helping maintain credibility, humanizes officers and lessens their distance from the communities they serve. Yet, </w:t>
      </w:r>
      <w:r w:rsidRPr="009A22CB">
        <w:rPr>
          <w:rFonts w:cstheme="minorHAnsi"/>
          <w:color w:val="333333"/>
          <w:sz w:val="24"/>
          <w:szCs w:val="24"/>
          <w:shd w:val="clear" w:color="auto" w:fill="FFFFFF"/>
        </w:rPr>
        <w:t xml:space="preserve">Bullock (2017) has mentioned that social media is primarily used by police to ask for assistance, give crime prevention tips, and to circulate police-relevant incident information rather than to enable collaboration, debate and problem-solving. </w:t>
      </w:r>
    </w:p>
    <w:p w14:paraId="03944019" w14:textId="77777777" w:rsidR="00D14231" w:rsidRPr="00523621" w:rsidRDefault="00D14231" w:rsidP="00D14231">
      <w:pPr>
        <w:spacing w:line="360" w:lineRule="auto"/>
        <w:rPr>
          <w:rFonts w:cstheme="minorHAnsi"/>
          <w:b/>
          <w:bCs/>
          <w:color w:val="000000" w:themeColor="text1"/>
          <w:sz w:val="24"/>
          <w:szCs w:val="24"/>
        </w:rPr>
      </w:pPr>
      <w:r w:rsidRPr="009A22CB">
        <w:rPr>
          <w:rFonts w:cstheme="minorHAnsi"/>
          <w:sz w:val="24"/>
          <w:szCs w:val="24"/>
        </w:rPr>
        <w:t>Even</w:t>
      </w:r>
      <w:r>
        <w:rPr>
          <w:rFonts w:cstheme="minorHAnsi"/>
          <w:sz w:val="24"/>
          <w:szCs w:val="24"/>
        </w:rPr>
        <w:t>-</w:t>
      </w:r>
      <w:r w:rsidRPr="009A22CB">
        <w:rPr>
          <w:rFonts w:cstheme="minorHAnsi"/>
          <w:sz w:val="24"/>
          <w:szCs w:val="24"/>
        </w:rPr>
        <w:t>though, there can be negative aspects to media and police interaction, the COP (2013) stipulated that within a democratic society, a robust, open, and transparent relationship between the police and the media is essential and the police should strive for professional and strong relationship</w:t>
      </w:r>
      <w:r>
        <w:rPr>
          <w:rFonts w:cstheme="minorHAnsi"/>
          <w:sz w:val="24"/>
          <w:szCs w:val="24"/>
        </w:rPr>
        <w:t>s.</w:t>
      </w:r>
      <w:r w:rsidRPr="009A22CB">
        <w:rPr>
          <w:rFonts w:cstheme="minorHAnsi"/>
          <w:sz w:val="24"/>
          <w:szCs w:val="24"/>
        </w:rPr>
        <w:t xml:space="preserve"> </w:t>
      </w:r>
      <w:r w:rsidRPr="009A22CB">
        <w:rPr>
          <w:rFonts w:cstheme="minorHAnsi"/>
          <w:color w:val="333333"/>
          <w:sz w:val="24"/>
          <w:szCs w:val="24"/>
        </w:rPr>
        <w:t>Yet, Intravia (2018) has suggested that more research is needed to offer additional understanding of how the media affects individuals’ attitudes and perceptions toward police and the criminal justice system</w:t>
      </w:r>
      <w:r w:rsidRPr="00FD18B2">
        <w:rPr>
          <w:rFonts w:cstheme="minorHAnsi"/>
          <w:color w:val="333333"/>
          <w:sz w:val="24"/>
          <w:szCs w:val="24"/>
        </w:rPr>
        <w:t>.</w:t>
      </w:r>
      <w:r w:rsidRPr="00FD18B2">
        <w:rPr>
          <w:rFonts w:cstheme="minorHAnsi"/>
          <w:sz w:val="24"/>
          <w:szCs w:val="24"/>
        </w:rPr>
        <w:t xml:space="preserve"> </w:t>
      </w:r>
      <w:r w:rsidRPr="00523621">
        <w:rPr>
          <w:rFonts w:cstheme="minorHAnsi"/>
          <w:b/>
          <w:bCs/>
          <w:color w:val="000000" w:themeColor="text1"/>
          <w:sz w:val="24"/>
          <w:szCs w:val="24"/>
        </w:rPr>
        <w:t>Words 9</w:t>
      </w:r>
      <w:r>
        <w:rPr>
          <w:rFonts w:cstheme="minorHAnsi"/>
          <w:b/>
          <w:bCs/>
          <w:color w:val="000000" w:themeColor="text1"/>
          <w:sz w:val="24"/>
          <w:szCs w:val="24"/>
        </w:rPr>
        <w:t>97</w:t>
      </w:r>
    </w:p>
    <w:p w14:paraId="696B9FF9" w14:textId="77777777" w:rsidR="00D14231" w:rsidRDefault="00D14231" w:rsidP="00D14231"/>
    <w:p w14:paraId="60E509B1" w14:textId="77777777" w:rsidR="00D14231" w:rsidRDefault="00D14231" w:rsidP="00D14231"/>
    <w:p w14:paraId="4DB1BD44" w14:textId="77777777" w:rsidR="00D14231" w:rsidRDefault="00D14231" w:rsidP="00D14231"/>
    <w:p w14:paraId="36B6BE1C" w14:textId="77777777" w:rsidR="00D14231" w:rsidRDefault="00D14231" w:rsidP="00D14231"/>
    <w:p w14:paraId="1BA7FAEF" w14:textId="77777777" w:rsidR="00D14231" w:rsidRDefault="00D14231" w:rsidP="00D14231"/>
    <w:p w14:paraId="16527699" w14:textId="77777777" w:rsidR="00D14231" w:rsidRDefault="00D14231" w:rsidP="00D14231"/>
    <w:p w14:paraId="29EC8856" w14:textId="77777777" w:rsidR="00D14231" w:rsidRPr="00C0524A" w:rsidRDefault="00D14231" w:rsidP="00D14231">
      <w:pPr>
        <w:rPr>
          <w:rFonts w:cstheme="minorHAnsi"/>
          <w:b/>
          <w:bCs/>
          <w:sz w:val="28"/>
          <w:szCs w:val="28"/>
        </w:rPr>
      </w:pPr>
      <w:r w:rsidRPr="00C0524A">
        <w:rPr>
          <w:rFonts w:cstheme="minorHAnsi"/>
          <w:b/>
          <w:bCs/>
          <w:sz w:val="28"/>
          <w:szCs w:val="28"/>
        </w:rPr>
        <w:lastRenderedPageBreak/>
        <w:t>Essay 5</w:t>
      </w:r>
      <w:r>
        <w:rPr>
          <w:rFonts w:cstheme="minorHAnsi"/>
          <w:b/>
          <w:bCs/>
          <w:sz w:val="28"/>
          <w:szCs w:val="28"/>
        </w:rPr>
        <w:t>-</w:t>
      </w:r>
      <w:r w:rsidRPr="00C0524A">
        <w:rPr>
          <w:rFonts w:cstheme="minorHAnsi"/>
          <w:b/>
          <w:bCs/>
          <w:sz w:val="28"/>
          <w:szCs w:val="28"/>
        </w:rPr>
        <w:t>Examine the effectiveness of rehabilitation and/or restorative justice as a means of reducing reoffending among young offenders.</w:t>
      </w:r>
    </w:p>
    <w:p w14:paraId="72372694" w14:textId="77777777" w:rsidR="00D14231" w:rsidRPr="0077406A" w:rsidRDefault="00D14231" w:rsidP="00D14231">
      <w:pPr>
        <w:spacing w:line="360" w:lineRule="auto"/>
        <w:rPr>
          <w:rFonts w:cstheme="minorHAnsi"/>
          <w:color w:val="000000"/>
          <w:spacing w:val="3"/>
          <w:sz w:val="24"/>
          <w:szCs w:val="24"/>
        </w:rPr>
      </w:pPr>
      <w:r w:rsidRPr="0077406A">
        <w:rPr>
          <w:rFonts w:cstheme="minorHAnsi"/>
          <w:color w:val="000000"/>
          <w:spacing w:val="3"/>
          <w:sz w:val="24"/>
          <w:szCs w:val="24"/>
        </w:rPr>
        <w:t xml:space="preserve">In 2022-2023 the reoffending rates of young people increased by 0.9% (Ministry of Justice 2024) and the criminal justice system is seeking to continually evolve and move away from punitive approaches in addressing criminal behaviour, especially of young offenders. </w:t>
      </w:r>
      <w:r>
        <w:rPr>
          <w:rFonts w:cstheme="minorHAnsi"/>
          <w:color w:val="000000"/>
          <w:spacing w:val="3"/>
          <w:sz w:val="24"/>
          <w:szCs w:val="24"/>
        </w:rPr>
        <w:t xml:space="preserve">Ward and Langlands (2009) identified that criminal justice procedures were inflexible and impersonal and different approaches should be adopted. </w:t>
      </w:r>
      <w:r w:rsidRPr="0077406A">
        <w:rPr>
          <w:rFonts w:cstheme="minorHAnsi"/>
          <w:color w:val="000000"/>
          <w:spacing w:val="3"/>
          <w:sz w:val="24"/>
          <w:szCs w:val="24"/>
        </w:rPr>
        <w:t xml:space="preserve">Bez (2018) mentioned that punitive approaches to criminal behaviour only provides a temporary solution to the problem. He identified that offenders should not be labelled as criminals but seen as individuals who are acting deviantly because of a significant situation they may </w:t>
      </w:r>
      <w:r>
        <w:rPr>
          <w:rFonts w:cstheme="minorHAnsi"/>
          <w:color w:val="000000"/>
          <w:spacing w:val="3"/>
          <w:sz w:val="24"/>
          <w:szCs w:val="24"/>
        </w:rPr>
        <w:t xml:space="preserve">have found </w:t>
      </w:r>
      <w:r w:rsidRPr="0077406A">
        <w:rPr>
          <w:rFonts w:cstheme="minorHAnsi"/>
          <w:color w:val="000000"/>
          <w:spacing w:val="3"/>
          <w:sz w:val="24"/>
          <w:szCs w:val="24"/>
        </w:rPr>
        <w:t xml:space="preserve">themselves in. The Ministry of Justice (2013) mentioned there is a need to reform offenders, so they do not reoffend and the better options for dealing with crime is to place greater emphasis on rehabilitation and/or restorative justice. </w:t>
      </w:r>
    </w:p>
    <w:p w14:paraId="48CFE5B7" w14:textId="77777777" w:rsidR="00D14231" w:rsidRPr="0077406A" w:rsidRDefault="00D14231" w:rsidP="00D14231">
      <w:pPr>
        <w:spacing w:line="360" w:lineRule="auto"/>
        <w:rPr>
          <w:rFonts w:cstheme="minorHAnsi"/>
          <w:color w:val="000000"/>
          <w:spacing w:val="3"/>
          <w:sz w:val="24"/>
          <w:szCs w:val="24"/>
        </w:rPr>
      </w:pPr>
      <w:r w:rsidRPr="0077406A">
        <w:rPr>
          <w:rFonts w:cstheme="minorHAnsi"/>
          <w:color w:val="000000"/>
          <w:spacing w:val="3"/>
          <w:sz w:val="24"/>
          <w:szCs w:val="24"/>
        </w:rPr>
        <w:t xml:space="preserve">Rehabilitation focusses on transforming offenders’ criminal behaviour by addressing the underlying issues that contribute to it, and ultimately providing them with necessary skills for improved behaviour. Rehabilitation programmes have been shown to reduce reoffending rates by up to 35% (Andrews and Bonta 2010) and educational programmes, vocational training and counselling are believed to be integral components of this initiative to equip young offenders with the tools needed for reintegration into society.  By addressing issues such as substance misuse or mental health problems, rehabilitation seeks to break the cycle of criminal behaviour. </w:t>
      </w:r>
      <w:bookmarkStart w:id="2" w:name="_Hlk157361500"/>
      <w:r w:rsidRPr="0077406A">
        <w:rPr>
          <w:rFonts w:cstheme="minorHAnsi"/>
          <w:color w:val="000000"/>
          <w:spacing w:val="3"/>
          <w:sz w:val="24"/>
          <w:szCs w:val="24"/>
        </w:rPr>
        <w:t>Effective rehabilitation programmes can decrease reoffending amongst youths, providing a more constructive path toward reformation.</w:t>
      </w:r>
      <w:bookmarkEnd w:id="2"/>
      <w:r w:rsidRPr="0077406A">
        <w:rPr>
          <w:rFonts w:cstheme="minorHAnsi"/>
          <w:color w:val="000000"/>
          <w:spacing w:val="3"/>
          <w:sz w:val="24"/>
          <w:szCs w:val="24"/>
        </w:rPr>
        <w:t xml:space="preserve"> Welch et al (2019) suggested that </w:t>
      </w:r>
      <w:r w:rsidRPr="0077406A">
        <w:rPr>
          <w:rFonts w:cstheme="minorHAnsi"/>
          <w:sz w:val="24"/>
          <w:szCs w:val="24"/>
        </w:rPr>
        <w:t>due to the immaturity of young offenders they have a greater capacity for rehabilitation when compared to older perpetrators of crime.</w:t>
      </w:r>
      <w:r w:rsidRPr="0077406A">
        <w:rPr>
          <w:rFonts w:cstheme="minorHAnsi"/>
          <w:color w:val="000000"/>
          <w:spacing w:val="3"/>
          <w:sz w:val="24"/>
          <w:szCs w:val="24"/>
        </w:rPr>
        <w:t xml:space="preserve">However, Burke et al (2018) identified that for rehabilitation to work effectively consideration has to be given to the proper administration of such programmes and they have to be sensitive to cultural and gender differences within offenders, as potentially ‘one size does not fit all’.  </w:t>
      </w:r>
    </w:p>
    <w:p w14:paraId="6AAC7153" w14:textId="77777777" w:rsidR="00D14231" w:rsidRPr="0077406A" w:rsidRDefault="00D14231" w:rsidP="00D14231">
      <w:pPr>
        <w:spacing w:line="360" w:lineRule="auto"/>
        <w:rPr>
          <w:rFonts w:cstheme="minorHAnsi"/>
          <w:color w:val="000000"/>
          <w:spacing w:val="3"/>
          <w:sz w:val="24"/>
          <w:szCs w:val="24"/>
        </w:rPr>
      </w:pPr>
      <w:r w:rsidRPr="0077406A">
        <w:rPr>
          <w:rFonts w:cstheme="minorHAnsi"/>
          <w:color w:val="000000"/>
          <w:spacing w:val="3"/>
          <w:sz w:val="24"/>
          <w:szCs w:val="24"/>
        </w:rPr>
        <w:lastRenderedPageBreak/>
        <w:t xml:space="preserve">Lipsy and Cullen (2007) suggested the effect of correctional interventions on reoffending has important public safety implications and identified that when punitive approaches were compared to rehabilitation treatments there was a modest reduction in reoffending with rehabilitation treatment showing significant positive results. Yet, prior to this Wilkinson (2005) questioned the evidence on rehabilitation programmes and whether they were effective enough. </w:t>
      </w:r>
    </w:p>
    <w:p w14:paraId="748460CE" w14:textId="77777777" w:rsidR="00D14231" w:rsidRPr="0077406A" w:rsidRDefault="00D14231" w:rsidP="00D14231">
      <w:pPr>
        <w:spacing w:line="360" w:lineRule="auto"/>
        <w:rPr>
          <w:rFonts w:cstheme="minorHAnsi"/>
          <w:sz w:val="24"/>
          <w:szCs w:val="24"/>
        </w:rPr>
      </w:pPr>
      <w:r w:rsidRPr="0077406A">
        <w:rPr>
          <w:rFonts w:cstheme="minorHAnsi"/>
          <w:color w:val="000000"/>
          <w:spacing w:val="3"/>
          <w:sz w:val="24"/>
          <w:szCs w:val="24"/>
        </w:rPr>
        <w:t xml:space="preserve">Another approach to reoffending is restorative justice </w:t>
      </w:r>
      <w:r>
        <w:rPr>
          <w:rFonts w:cstheme="minorHAnsi"/>
          <w:color w:val="000000"/>
          <w:spacing w:val="3"/>
          <w:sz w:val="24"/>
          <w:szCs w:val="24"/>
        </w:rPr>
        <w:t xml:space="preserve">(RJ) </w:t>
      </w:r>
      <w:r w:rsidRPr="0077406A">
        <w:rPr>
          <w:rFonts w:cstheme="minorHAnsi"/>
          <w:color w:val="000000"/>
          <w:spacing w:val="3"/>
          <w:sz w:val="24"/>
          <w:szCs w:val="24"/>
        </w:rPr>
        <w:t xml:space="preserve">which emphasises repairing harm caused by the offence and building relationships through a conversation and involvement of any, and all parties affected, fostering accountability and empathy (Dzur 2011). </w:t>
      </w:r>
      <w:r>
        <w:rPr>
          <w:rFonts w:cstheme="minorHAnsi"/>
          <w:color w:val="000000"/>
          <w:spacing w:val="3"/>
          <w:sz w:val="24"/>
          <w:szCs w:val="24"/>
        </w:rPr>
        <w:t>Ward and Langlands (20009</w:t>
      </w:r>
      <w:r w:rsidRPr="00C0524A">
        <w:rPr>
          <w:rFonts w:cstheme="minorHAnsi"/>
          <w:color w:val="000000"/>
          <w:spacing w:val="3"/>
          <w:sz w:val="24"/>
          <w:szCs w:val="24"/>
        </w:rPr>
        <w:t>)</w:t>
      </w:r>
      <w:r w:rsidRPr="00C0524A">
        <w:rPr>
          <w:rFonts w:cstheme="minorHAnsi"/>
          <w:color w:val="1F1F1F"/>
          <w:sz w:val="24"/>
          <w:szCs w:val="24"/>
        </w:rPr>
        <w:t xml:space="preserve"> mentioned that the three stakeholders for RJ are victims, offenders, and communities.</w:t>
      </w:r>
      <w:r w:rsidRPr="00C0524A">
        <w:rPr>
          <w:rFonts w:cstheme="minorHAnsi"/>
          <w:color w:val="000000"/>
          <w:spacing w:val="3"/>
          <w:sz w:val="24"/>
          <w:szCs w:val="24"/>
        </w:rPr>
        <w:t xml:space="preserve"> The College of Policing (</w:t>
      </w:r>
      <w:r w:rsidRPr="0077406A">
        <w:rPr>
          <w:rFonts w:cstheme="minorHAnsi"/>
          <w:color w:val="000000"/>
          <w:spacing w:val="3"/>
          <w:sz w:val="24"/>
          <w:szCs w:val="24"/>
        </w:rPr>
        <w:t>2022) identify that RJ is a means of repairing the harm caused by criminal behaviour and involves communication between those that cause crime and those who are harmed by it. This approach may involve  victim-offender mediation and conferences, community services or restitution. RJ can positively reduce reoffending by promoting a sense of responsibility and facilitating healing for both the victim and offender.</w:t>
      </w:r>
      <w:r w:rsidRPr="0077406A">
        <w:rPr>
          <w:rFonts w:cstheme="minorHAnsi"/>
          <w:sz w:val="24"/>
          <w:szCs w:val="24"/>
        </w:rPr>
        <w:t xml:space="preserve"> Fulham (2018) </w:t>
      </w:r>
      <w:r w:rsidRPr="0077406A">
        <w:rPr>
          <w:rFonts w:cstheme="minorHAnsi"/>
          <w:color w:val="333333"/>
          <w:sz w:val="24"/>
          <w:szCs w:val="24"/>
          <w:shd w:val="clear" w:color="auto" w:fill="FFFFFF"/>
        </w:rPr>
        <w:t>revealed that RJ was associated with moderate reductions in reoffending, improved satisfaction, greater offender accountability, improved offender attitudes, and decrease in reoffence severity.</w:t>
      </w:r>
    </w:p>
    <w:p w14:paraId="1582AF02" w14:textId="77777777" w:rsidR="00D14231" w:rsidRPr="0077406A" w:rsidRDefault="00D14231" w:rsidP="00D14231">
      <w:pPr>
        <w:spacing w:line="360" w:lineRule="auto"/>
        <w:rPr>
          <w:rFonts w:cstheme="minorHAnsi"/>
          <w:color w:val="333333"/>
          <w:sz w:val="24"/>
          <w:szCs w:val="24"/>
          <w:shd w:val="clear" w:color="auto" w:fill="FFFFFF"/>
        </w:rPr>
      </w:pPr>
      <w:r w:rsidRPr="0077406A">
        <w:rPr>
          <w:rFonts w:cstheme="minorHAnsi"/>
          <w:sz w:val="24"/>
          <w:szCs w:val="24"/>
        </w:rPr>
        <w:t>Sherman and Strang (2007) identified that RJ works differently on different people and it is best used when the approach can be tailored to individuals, specifying when or not to use it and identifying what works best and for whom.</w:t>
      </w:r>
      <w:r w:rsidRPr="0077406A">
        <w:rPr>
          <w:rFonts w:cstheme="minorHAnsi"/>
          <w:color w:val="000000"/>
          <w:spacing w:val="3"/>
          <w:sz w:val="24"/>
          <w:szCs w:val="24"/>
        </w:rPr>
        <w:t xml:space="preserve"> Sherman and Strang (2012) have suggested that restorative justice can reduce harm to victims but additionally reduce reoffending rates.</w:t>
      </w:r>
      <w:r w:rsidRPr="0077406A">
        <w:rPr>
          <w:rFonts w:cstheme="minorHAnsi"/>
          <w:sz w:val="24"/>
          <w:szCs w:val="24"/>
        </w:rPr>
        <w:t xml:space="preserve"> Furthermore Sherman et al (2015) examined 519 studies and found that RJ was modestly successful but highly cost effective in reducing repeat offending.</w:t>
      </w:r>
      <w:r w:rsidRPr="0077406A">
        <w:rPr>
          <w:rFonts w:cstheme="minorHAnsi"/>
          <w:color w:val="000000"/>
          <w:spacing w:val="3"/>
          <w:sz w:val="24"/>
          <w:szCs w:val="24"/>
        </w:rPr>
        <w:t xml:space="preserve"> </w:t>
      </w:r>
      <w:r w:rsidRPr="0077406A">
        <w:rPr>
          <w:rFonts w:cstheme="minorHAnsi"/>
          <w:color w:val="333333"/>
          <w:sz w:val="24"/>
          <w:szCs w:val="24"/>
        </w:rPr>
        <w:t>Suzuki and Yuan (2021)</w:t>
      </w:r>
      <w:r w:rsidRPr="0077406A">
        <w:rPr>
          <w:rFonts w:cstheme="minorHAnsi"/>
          <w:color w:val="000000"/>
          <w:sz w:val="24"/>
          <w:szCs w:val="24"/>
        </w:rPr>
        <w:t xml:space="preserve"> mentioned that the ultimate goal of RJ is to rebuild the relationship between the victim and perpetrator of crime. It aims to restore the damage caused by crime by encouraging those who commit it to take responsibility. Alongside this it is about empowering the victim to voice their feelings and identify the impact of the offending behaviour on themselves. Gavrielides (2017)</w:t>
      </w:r>
      <w:r>
        <w:rPr>
          <w:rFonts w:cstheme="minorHAnsi"/>
          <w:color w:val="000000"/>
          <w:sz w:val="24"/>
          <w:szCs w:val="24"/>
        </w:rPr>
        <w:t xml:space="preserve"> </w:t>
      </w:r>
      <w:r w:rsidRPr="0077406A">
        <w:rPr>
          <w:rFonts w:cstheme="minorHAnsi"/>
          <w:color w:val="000000"/>
          <w:sz w:val="24"/>
          <w:szCs w:val="24"/>
        </w:rPr>
        <w:t xml:space="preserve">indicated that RJ has a significant impact on offender emotions (such as shame), reoffending rates, </w:t>
      </w:r>
      <w:r w:rsidRPr="0077406A">
        <w:rPr>
          <w:rFonts w:cstheme="minorHAnsi"/>
          <w:color w:val="000000"/>
          <w:sz w:val="24"/>
          <w:szCs w:val="24"/>
        </w:rPr>
        <w:lastRenderedPageBreak/>
        <w:t xml:space="preserve">satisfaction of victims and societal reintegration.  </w:t>
      </w:r>
      <w:r w:rsidRPr="0077406A">
        <w:rPr>
          <w:rFonts w:cstheme="minorHAnsi"/>
          <w:color w:val="202124"/>
          <w:sz w:val="24"/>
          <w:szCs w:val="24"/>
          <w:shd w:val="clear" w:color="auto" w:fill="FFFFFF"/>
        </w:rPr>
        <w:t xml:space="preserve"> </w:t>
      </w:r>
      <w:r w:rsidRPr="0077406A">
        <w:rPr>
          <w:rFonts w:cstheme="minorHAnsi"/>
          <w:color w:val="000000"/>
          <w:sz w:val="24"/>
          <w:szCs w:val="24"/>
        </w:rPr>
        <w:t xml:space="preserve">Yet, O’Mahony and Doak (2017) stated there is a lack of clarity in the purpose and function of RJ, with Suzuki and Wood (2018) suggesting there are issues with a common </w:t>
      </w:r>
      <w:r w:rsidRPr="0077406A">
        <w:rPr>
          <w:rFonts w:cstheme="minorHAnsi"/>
          <w:color w:val="333333"/>
          <w:sz w:val="24"/>
          <w:szCs w:val="24"/>
          <w:shd w:val="clear" w:color="auto" w:fill="FFFFFF"/>
        </w:rPr>
        <w:t>understanding between the victim and offender and the sincerity of the offender. Moreover, Bolitho (2015) identifie</w:t>
      </w:r>
      <w:r>
        <w:rPr>
          <w:rFonts w:cstheme="minorHAnsi"/>
          <w:color w:val="333333"/>
          <w:sz w:val="24"/>
          <w:szCs w:val="24"/>
          <w:shd w:val="clear" w:color="auto" w:fill="FFFFFF"/>
        </w:rPr>
        <w:t xml:space="preserve">d that </w:t>
      </w:r>
      <w:r w:rsidRPr="0077406A">
        <w:rPr>
          <w:rFonts w:cstheme="minorHAnsi"/>
          <w:color w:val="333333"/>
          <w:sz w:val="24"/>
          <w:szCs w:val="24"/>
          <w:shd w:val="clear" w:color="auto" w:fill="FFFFFF"/>
        </w:rPr>
        <w:t xml:space="preserve">RJ </w:t>
      </w:r>
      <w:r>
        <w:rPr>
          <w:rFonts w:cstheme="minorHAnsi"/>
          <w:color w:val="333333"/>
          <w:sz w:val="24"/>
          <w:szCs w:val="24"/>
          <w:shd w:val="clear" w:color="auto" w:fill="FFFFFF"/>
        </w:rPr>
        <w:t xml:space="preserve">can be </w:t>
      </w:r>
      <w:r w:rsidRPr="0077406A">
        <w:rPr>
          <w:rFonts w:cstheme="minorHAnsi"/>
          <w:color w:val="333333"/>
          <w:sz w:val="24"/>
          <w:szCs w:val="24"/>
          <w:shd w:val="clear" w:color="auto" w:fill="FFFFFF"/>
        </w:rPr>
        <w:t>seen as ‘tokenistic’.</w:t>
      </w:r>
    </w:p>
    <w:p w14:paraId="5180900E" w14:textId="77777777" w:rsidR="00D14231" w:rsidRPr="0077406A" w:rsidRDefault="00D14231" w:rsidP="00D14231">
      <w:pPr>
        <w:spacing w:line="360" w:lineRule="auto"/>
        <w:rPr>
          <w:rFonts w:cstheme="minorHAnsi"/>
          <w:color w:val="000000"/>
          <w:spacing w:val="3"/>
          <w:sz w:val="24"/>
          <w:szCs w:val="24"/>
        </w:rPr>
      </w:pPr>
      <w:r w:rsidRPr="0077406A">
        <w:rPr>
          <w:rFonts w:cstheme="minorHAnsi"/>
          <w:color w:val="000000"/>
          <w:spacing w:val="3"/>
          <w:sz w:val="24"/>
          <w:szCs w:val="24"/>
        </w:rPr>
        <w:t>The challenge of rehabilitative and restorative justice is executing and gauging their effectiveness. They have to rely on either the offender being open to change or the victim being accepting of the offender’s apology/remorse. Particularly, the success of rehabilitation relies on the offender’s willingness to reform, tailored programmes and individualised treatment which should addresses many differences that occur within young offenders. There also needs to be sufficient resources allocated to such programmes (Mears et al 2014). Yet, limited funding or overcrowded facilities may hinder the efficacy of rehabilitation efforts. The diverse needs of young offenders necessitate a comprehensive and nuanced approach to address the various influencing factors that contribute to criminal behaviour.</w:t>
      </w:r>
    </w:p>
    <w:p w14:paraId="4C2348FE" w14:textId="77777777" w:rsidR="00D14231" w:rsidRPr="0077406A" w:rsidRDefault="00D14231" w:rsidP="00D14231">
      <w:pPr>
        <w:spacing w:line="360" w:lineRule="auto"/>
        <w:rPr>
          <w:rFonts w:cstheme="minorHAnsi"/>
          <w:color w:val="000000"/>
          <w:spacing w:val="3"/>
          <w:sz w:val="24"/>
          <w:szCs w:val="24"/>
        </w:rPr>
      </w:pPr>
      <w:r w:rsidRPr="0077406A">
        <w:rPr>
          <w:rFonts w:cstheme="minorHAnsi"/>
          <w:color w:val="000000"/>
          <w:spacing w:val="3"/>
          <w:sz w:val="24"/>
          <w:szCs w:val="24"/>
        </w:rPr>
        <w:t xml:space="preserve">The challenges of RJ relate to the victim’s willingness to participate as there is a potential for re-traumatisation. Furthermore, Bolitho (2015) indicated that the operationalisation of RJ can take many forms; ranging from letters to face-to-face meetings and trying to  compare the effect of each RJ programme is difficult as there is lack of parity. The effectiveness of RJ also depends significantly on the support from the community and the availability and accessibility of trained and knowledgeable facilitators. Implementing RJ in a systematic and standardised manner can be challenging but is seen to be crucial for achieving positive outcomes. </w:t>
      </w:r>
    </w:p>
    <w:p w14:paraId="00B4254C" w14:textId="77777777" w:rsidR="00D14231" w:rsidRPr="009F752A" w:rsidRDefault="00D14231" w:rsidP="00D14231">
      <w:pPr>
        <w:spacing w:line="360" w:lineRule="auto"/>
        <w:rPr>
          <w:rFonts w:cstheme="minorHAnsi"/>
          <w:b/>
          <w:bCs/>
          <w:color w:val="000000"/>
          <w:spacing w:val="3"/>
          <w:sz w:val="24"/>
          <w:szCs w:val="24"/>
        </w:rPr>
      </w:pPr>
      <w:r w:rsidRPr="009F752A">
        <w:rPr>
          <w:rFonts w:cstheme="minorHAnsi"/>
          <w:color w:val="000000"/>
          <w:spacing w:val="3"/>
          <w:sz w:val="24"/>
          <w:szCs w:val="24"/>
        </w:rPr>
        <w:t>Both approaches offer alternatives to conventional punitive measures for young offenders yet their effectiveness is reliant on sufficient resources, tailored interventions and community involvement. R</w:t>
      </w:r>
      <w:r w:rsidRPr="009F752A">
        <w:rPr>
          <w:rFonts w:cstheme="minorHAnsi"/>
          <w:color w:val="1F1F1F"/>
          <w:sz w:val="24"/>
          <w:szCs w:val="24"/>
        </w:rPr>
        <w:t>estorative justice and rehabilitation models are distinct entities, although</w:t>
      </w:r>
      <w:r>
        <w:rPr>
          <w:rFonts w:cstheme="minorHAnsi"/>
          <w:color w:val="1F1F1F"/>
          <w:sz w:val="24"/>
          <w:szCs w:val="24"/>
        </w:rPr>
        <w:t xml:space="preserve"> they do </w:t>
      </w:r>
      <w:r w:rsidRPr="009F752A">
        <w:rPr>
          <w:rFonts w:cstheme="minorHAnsi"/>
          <w:color w:val="1F1F1F"/>
          <w:sz w:val="24"/>
          <w:szCs w:val="24"/>
        </w:rPr>
        <w:t>overlap with one another yet they have different application models within the criminal justice system. Ward and Langlands (2009) suggested it is a mistake to attempt to blend them in any way whilst others insist that c</w:t>
      </w:r>
      <w:r w:rsidRPr="009F752A">
        <w:rPr>
          <w:rFonts w:cstheme="minorHAnsi"/>
          <w:color w:val="000000"/>
          <w:spacing w:val="3"/>
          <w:sz w:val="24"/>
          <w:szCs w:val="24"/>
        </w:rPr>
        <w:t xml:space="preserve">ombining elements of both rehabilitative and restorative justice may provide a more holistic strategy for reducing youth reoffending , addressing the root cause of </w:t>
      </w:r>
      <w:r w:rsidRPr="009F752A">
        <w:rPr>
          <w:rFonts w:cstheme="minorHAnsi"/>
          <w:color w:val="000000"/>
          <w:spacing w:val="3"/>
          <w:sz w:val="24"/>
          <w:szCs w:val="24"/>
        </w:rPr>
        <w:lastRenderedPageBreak/>
        <w:t>criminal behaviour whilst fostering accountability and healing within the community</w:t>
      </w:r>
      <w:r w:rsidRPr="0077406A">
        <w:rPr>
          <w:rFonts w:cstheme="minorHAnsi"/>
          <w:color w:val="000000"/>
          <w:spacing w:val="3"/>
          <w:sz w:val="24"/>
          <w:szCs w:val="24"/>
        </w:rPr>
        <w:t xml:space="preserve">. </w:t>
      </w:r>
      <w:r w:rsidRPr="009F752A">
        <w:rPr>
          <w:rFonts w:cstheme="minorHAnsi"/>
          <w:b/>
          <w:bCs/>
          <w:color w:val="000000"/>
          <w:spacing w:val="3"/>
          <w:sz w:val="24"/>
          <w:szCs w:val="24"/>
        </w:rPr>
        <w:t>Words 105</w:t>
      </w:r>
      <w:r>
        <w:rPr>
          <w:rFonts w:cstheme="minorHAnsi"/>
          <w:b/>
          <w:bCs/>
          <w:color w:val="000000"/>
          <w:spacing w:val="3"/>
          <w:sz w:val="24"/>
          <w:szCs w:val="24"/>
        </w:rPr>
        <w:t>8</w:t>
      </w:r>
    </w:p>
    <w:p w14:paraId="1A07931A" w14:textId="77777777" w:rsidR="00D14231" w:rsidRDefault="00D14231" w:rsidP="00D14231">
      <w:pPr>
        <w:rPr>
          <w:rFonts w:cstheme="minorHAnsi"/>
          <w:color w:val="000000"/>
          <w:spacing w:val="3"/>
          <w:sz w:val="24"/>
          <w:szCs w:val="24"/>
        </w:rPr>
      </w:pPr>
    </w:p>
    <w:p w14:paraId="2FA312A8" w14:textId="77777777" w:rsidR="00D14231" w:rsidRDefault="00D14231" w:rsidP="00D14231">
      <w:pPr>
        <w:rPr>
          <w:rFonts w:cstheme="minorHAnsi"/>
          <w:color w:val="000000"/>
          <w:spacing w:val="3"/>
          <w:sz w:val="24"/>
          <w:szCs w:val="24"/>
        </w:rPr>
      </w:pPr>
    </w:p>
    <w:p w14:paraId="1E0F7D94" w14:textId="77777777" w:rsidR="00D14231" w:rsidRDefault="00D14231" w:rsidP="00D14231">
      <w:pPr>
        <w:rPr>
          <w:rFonts w:cstheme="minorHAnsi"/>
          <w:color w:val="000000"/>
          <w:spacing w:val="3"/>
          <w:sz w:val="24"/>
          <w:szCs w:val="24"/>
        </w:rPr>
      </w:pPr>
    </w:p>
    <w:p w14:paraId="7104D3BF" w14:textId="77777777" w:rsidR="00D14231" w:rsidRDefault="00D14231" w:rsidP="00D14231">
      <w:pPr>
        <w:rPr>
          <w:rFonts w:ascii="Open Sans" w:hAnsi="Open Sans" w:cs="Open Sans"/>
          <w:b/>
          <w:bCs/>
          <w:color w:val="000000"/>
          <w:sz w:val="28"/>
          <w:szCs w:val="28"/>
          <w:shd w:val="clear" w:color="auto" w:fill="FFFFFF"/>
        </w:rPr>
      </w:pPr>
    </w:p>
    <w:p w14:paraId="5F252F58" w14:textId="77777777" w:rsidR="00D14231" w:rsidRDefault="00D14231" w:rsidP="00D14231">
      <w:pPr>
        <w:rPr>
          <w:rFonts w:ascii="Open Sans" w:hAnsi="Open Sans" w:cs="Open Sans"/>
          <w:b/>
          <w:bCs/>
          <w:color w:val="000000"/>
          <w:sz w:val="28"/>
          <w:szCs w:val="28"/>
          <w:shd w:val="clear" w:color="auto" w:fill="FFFFFF"/>
        </w:rPr>
      </w:pPr>
    </w:p>
    <w:p w14:paraId="2BAF4C29" w14:textId="77777777" w:rsidR="00D14231" w:rsidRDefault="00D14231" w:rsidP="00D14231">
      <w:pPr>
        <w:rPr>
          <w:rFonts w:ascii="Open Sans" w:hAnsi="Open Sans" w:cs="Open Sans"/>
          <w:b/>
          <w:bCs/>
          <w:color w:val="000000"/>
          <w:sz w:val="28"/>
          <w:szCs w:val="28"/>
          <w:shd w:val="clear" w:color="auto" w:fill="FFFFFF"/>
        </w:rPr>
      </w:pPr>
    </w:p>
    <w:p w14:paraId="436CE881" w14:textId="77777777" w:rsidR="00D14231" w:rsidRDefault="00D14231" w:rsidP="00D14231">
      <w:pPr>
        <w:rPr>
          <w:rFonts w:ascii="Open Sans" w:hAnsi="Open Sans" w:cs="Open Sans"/>
          <w:b/>
          <w:bCs/>
          <w:color w:val="000000"/>
          <w:sz w:val="28"/>
          <w:szCs w:val="28"/>
          <w:shd w:val="clear" w:color="auto" w:fill="FFFFFF"/>
        </w:rPr>
      </w:pPr>
    </w:p>
    <w:p w14:paraId="2EAA0FB7" w14:textId="77777777" w:rsidR="00D14231" w:rsidRDefault="00D14231" w:rsidP="00D14231">
      <w:pPr>
        <w:rPr>
          <w:rFonts w:ascii="Open Sans" w:hAnsi="Open Sans" w:cs="Open Sans"/>
          <w:b/>
          <w:bCs/>
          <w:color w:val="000000"/>
          <w:sz w:val="28"/>
          <w:szCs w:val="28"/>
          <w:shd w:val="clear" w:color="auto" w:fill="FFFFFF"/>
        </w:rPr>
      </w:pPr>
    </w:p>
    <w:p w14:paraId="545594DB" w14:textId="77777777" w:rsidR="00D14231" w:rsidRDefault="00D14231" w:rsidP="00D14231">
      <w:pPr>
        <w:rPr>
          <w:rFonts w:ascii="Open Sans" w:hAnsi="Open Sans" w:cs="Open Sans"/>
          <w:b/>
          <w:bCs/>
          <w:color w:val="000000"/>
          <w:sz w:val="28"/>
          <w:szCs w:val="28"/>
          <w:shd w:val="clear" w:color="auto" w:fill="FFFFFF"/>
        </w:rPr>
      </w:pPr>
    </w:p>
    <w:p w14:paraId="1739434F" w14:textId="77777777" w:rsidR="00D14231" w:rsidRDefault="00D14231" w:rsidP="00D14231">
      <w:pPr>
        <w:rPr>
          <w:rFonts w:ascii="Open Sans" w:hAnsi="Open Sans" w:cs="Open Sans"/>
          <w:b/>
          <w:bCs/>
          <w:color w:val="000000"/>
          <w:sz w:val="28"/>
          <w:szCs w:val="28"/>
          <w:shd w:val="clear" w:color="auto" w:fill="FFFFFF"/>
        </w:rPr>
      </w:pPr>
    </w:p>
    <w:p w14:paraId="1B419AD8" w14:textId="77777777" w:rsidR="00D14231" w:rsidRDefault="00D14231" w:rsidP="00D14231">
      <w:pPr>
        <w:rPr>
          <w:rFonts w:ascii="Open Sans" w:hAnsi="Open Sans" w:cs="Open Sans"/>
          <w:b/>
          <w:bCs/>
          <w:color w:val="000000"/>
          <w:sz w:val="28"/>
          <w:szCs w:val="28"/>
          <w:shd w:val="clear" w:color="auto" w:fill="FFFFFF"/>
        </w:rPr>
      </w:pPr>
    </w:p>
    <w:p w14:paraId="68105826" w14:textId="77777777" w:rsidR="00D14231" w:rsidRDefault="00D14231" w:rsidP="00D14231">
      <w:pPr>
        <w:rPr>
          <w:rFonts w:ascii="Open Sans" w:hAnsi="Open Sans" w:cs="Open Sans"/>
          <w:b/>
          <w:bCs/>
          <w:color w:val="000000"/>
          <w:sz w:val="28"/>
          <w:szCs w:val="28"/>
          <w:shd w:val="clear" w:color="auto" w:fill="FFFFFF"/>
        </w:rPr>
      </w:pPr>
    </w:p>
    <w:p w14:paraId="2527DF5E" w14:textId="77777777" w:rsidR="00D14231" w:rsidRDefault="00D14231" w:rsidP="00D14231">
      <w:pPr>
        <w:rPr>
          <w:rFonts w:ascii="Open Sans" w:hAnsi="Open Sans" w:cs="Open Sans"/>
          <w:b/>
          <w:bCs/>
          <w:color w:val="000000"/>
          <w:sz w:val="28"/>
          <w:szCs w:val="28"/>
          <w:shd w:val="clear" w:color="auto" w:fill="FFFFFF"/>
        </w:rPr>
      </w:pPr>
    </w:p>
    <w:p w14:paraId="6B649F42" w14:textId="77777777" w:rsidR="00D14231" w:rsidRDefault="00D14231" w:rsidP="00D14231">
      <w:pPr>
        <w:rPr>
          <w:rFonts w:ascii="Open Sans" w:hAnsi="Open Sans" w:cs="Open Sans"/>
          <w:b/>
          <w:bCs/>
          <w:color w:val="000000"/>
          <w:sz w:val="28"/>
          <w:szCs w:val="28"/>
          <w:shd w:val="clear" w:color="auto" w:fill="FFFFFF"/>
        </w:rPr>
      </w:pPr>
    </w:p>
    <w:p w14:paraId="140AE830" w14:textId="77777777" w:rsidR="00D14231" w:rsidRDefault="00D14231" w:rsidP="00D14231">
      <w:pPr>
        <w:rPr>
          <w:rFonts w:ascii="Open Sans" w:hAnsi="Open Sans" w:cs="Open Sans"/>
          <w:b/>
          <w:bCs/>
          <w:color w:val="000000"/>
          <w:sz w:val="28"/>
          <w:szCs w:val="28"/>
          <w:shd w:val="clear" w:color="auto" w:fill="FFFFFF"/>
        </w:rPr>
      </w:pPr>
    </w:p>
    <w:p w14:paraId="45B28ED8" w14:textId="77777777" w:rsidR="00D14231" w:rsidRDefault="00D14231" w:rsidP="00D14231">
      <w:pPr>
        <w:rPr>
          <w:rFonts w:ascii="Open Sans" w:hAnsi="Open Sans" w:cs="Open Sans"/>
          <w:b/>
          <w:bCs/>
          <w:color w:val="000000"/>
          <w:sz w:val="28"/>
          <w:szCs w:val="28"/>
          <w:shd w:val="clear" w:color="auto" w:fill="FFFFFF"/>
        </w:rPr>
      </w:pPr>
    </w:p>
    <w:p w14:paraId="3141CE4A" w14:textId="77777777" w:rsidR="00D14231" w:rsidRDefault="00D14231" w:rsidP="00D14231">
      <w:pPr>
        <w:rPr>
          <w:rFonts w:ascii="Open Sans" w:hAnsi="Open Sans" w:cs="Open Sans"/>
          <w:b/>
          <w:bCs/>
          <w:color w:val="000000"/>
          <w:sz w:val="28"/>
          <w:szCs w:val="28"/>
          <w:shd w:val="clear" w:color="auto" w:fill="FFFFFF"/>
        </w:rPr>
      </w:pPr>
    </w:p>
    <w:p w14:paraId="73A5FF9A" w14:textId="77777777" w:rsidR="00D14231" w:rsidRDefault="00D14231" w:rsidP="00D14231">
      <w:pPr>
        <w:rPr>
          <w:rFonts w:ascii="Open Sans" w:hAnsi="Open Sans" w:cs="Open Sans"/>
          <w:b/>
          <w:bCs/>
          <w:color w:val="000000"/>
          <w:sz w:val="28"/>
          <w:szCs w:val="28"/>
          <w:shd w:val="clear" w:color="auto" w:fill="FFFFFF"/>
        </w:rPr>
      </w:pPr>
    </w:p>
    <w:p w14:paraId="6B4B5ABE" w14:textId="77777777" w:rsidR="00D14231" w:rsidRDefault="00D14231" w:rsidP="00D14231">
      <w:pPr>
        <w:rPr>
          <w:rFonts w:ascii="Open Sans" w:hAnsi="Open Sans" w:cs="Open Sans"/>
          <w:b/>
          <w:bCs/>
          <w:color w:val="000000"/>
          <w:sz w:val="28"/>
          <w:szCs w:val="28"/>
          <w:shd w:val="clear" w:color="auto" w:fill="FFFFFF"/>
        </w:rPr>
      </w:pPr>
    </w:p>
    <w:p w14:paraId="2A1842CC" w14:textId="77777777" w:rsidR="00D14231" w:rsidRDefault="00D14231" w:rsidP="00D14231">
      <w:pPr>
        <w:rPr>
          <w:rFonts w:ascii="Open Sans" w:hAnsi="Open Sans" w:cs="Open Sans"/>
          <w:b/>
          <w:bCs/>
          <w:color w:val="000000"/>
          <w:sz w:val="28"/>
          <w:szCs w:val="28"/>
          <w:shd w:val="clear" w:color="auto" w:fill="FFFFFF"/>
        </w:rPr>
      </w:pPr>
    </w:p>
    <w:p w14:paraId="1B0FE175" w14:textId="77777777" w:rsidR="00D14231" w:rsidRDefault="00D14231" w:rsidP="00D14231">
      <w:pPr>
        <w:rPr>
          <w:rFonts w:ascii="Open Sans" w:hAnsi="Open Sans" w:cs="Open Sans"/>
          <w:b/>
          <w:bCs/>
          <w:color w:val="000000"/>
          <w:sz w:val="28"/>
          <w:szCs w:val="28"/>
          <w:shd w:val="clear" w:color="auto" w:fill="FFFFFF"/>
        </w:rPr>
      </w:pPr>
    </w:p>
    <w:p w14:paraId="4CF9DF06" w14:textId="77777777" w:rsidR="00D14231" w:rsidRDefault="00D14231" w:rsidP="00D14231">
      <w:pPr>
        <w:rPr>
          <w:rFonts w:ascii="Open Sans" w:hAnsi="Open Sans" w:cs="Open Sans"/>
          <w:b/>
          <w:bCs/>
          <w:color w:val="000000"/>
          <w:sz w:val="28"/>
          <w:szCs w:val="28"/>
          <w:shd w:val="clear" w:color="auto" w:fill="FFFFFF"/>
        </w:rPr>
      </w:pPr>
    </w:p>
    <w:p w14:paraId="43CFAEF4" w14:textId="77777777" w:rsidR="00D14231" w:rsidRDefault="00D14231" w:rsidP="00D14231">
      <w:pPr>
        <w:rPr>
          <w:rFonts w:ascii="Open Sans" w:hAnsi="Open Sans" w:cs="Open Sans"/>
          <w:b/>
          <w:bCs/>
          <w:color w:val="000000"/>
          <w:sz w:val="28"/>
          <w:szCs w:val="28"/>
          <w:shd w:val="clear" w:color="auto" w:fill="FFFFFF"/>
        </w:rPr>
      </w:pPr>
    </w:p>
    <w:p w14:paraId="53515DFC" w14:textId="28EDBF46" w:rsidR="00D14231" w:rsidRPr="00C0524A" w:rsidRDefault="00D14231" w:rsidP="00D14231">
      <w:pPr>
        <w:rPr>
          <w:rFonts w:ascii="Open Sans" w:hAnsi="Open Sans" w:cs="Open Sans"/>
          <w:b/>
          <w:bCs/>
          <w:color w:val="000000"/>
          <w:sz w:val="28"/>
          <w:szCs w:val="28"/>
          <w:shd w:val="clear" w:color="auto" w:fill="FFFFFF"/>
        </w:rPr>
      </w:pPr>
      <w:r>
        <w:rPr>
          <w:rFonts w:ascii="Open Sans" w:hAnsi="Open Sans" w:cs="Open Sans"/>
          <w:b/>
          <w:bCs/>
          <w:color w:val="000000"/>
          <w:sz w:val="28"/>
          <w:szCs w:val="28"/>
          <w:shd w:val="clear" w:color="auto" w:fill="FFFFFF"/>
        </w:rPr>
        <w:lastRenderedPageBreak/>
        <w:t>Bibliography- Essay 2</w:t>
      </w:r>
    </w:p>
    <w:p w14:paraId="738F6C1D" w14:textId="77777777" w:rsidR="00D14231" w:rsidRPr="00D14231" w:rsidRDefault="00D14231" w:rsidP="00D14231">
      <w:pPr>
        <w:rPr>
          <w:rFonts w:cstheme="minorHAnsi"/>
          <w:color w:val="000000"/>
          <w:sz w:val="24"/>
          <w:szCs w:val="24"/>
          <w:shd w:val="clear" w:color="auto" w:fill="FFFFFF"/>
        </w:rPr>
      </w:pPr>
      <w:r w:rsidRPr="00D14231">
        <w:rPr>
          <w:rFonts w:cstheme="minorHAnsi"/>
          <w:sz w:val="24"/>
          <w:szCs w:val="24"/>
        </w:rPr>
        <w:t xml:space="preserve">Boateng , FD. , Heeuk DL , and Gassan A (2016). Analyzing citizens’ reported levels of confidence in the police: A cross-national study of public attitudes toward the police in the United States and South Korea . Asian Journal of Criminology 11 ( 4 ): 289 – 308 . Accessed via </w:t>
      </w:r>
      <w:hyperlink r:id="rId6" w:history="1">
        <w:r w:rsidRPr="00D14231">
          <w:rPr>
            <w:rStyle w:val="Hyperlink"/>
            <w:rFonts w:cstheme="minorHAnsi"/>
            <w:sz w:val="24"/>
            <w:szCs w:val="24"/>
          </w:rPr>
          <w:t>https://doi.org/10.1007/s11417-016-9231-8</w:t>
        </w:r>
      </w:hyperlink>
      <w:r w:rsidRPr="00D14231">
        <w:rPr>
          <w:rFonts w:cstheme="minorHAnsi"/>
          <w:sz w:val="24"/>
          <w:szCs w:val="24"/>
        </w:rPr>
        <w:t>. Date accessed 5/1/24.</w:t>
      </w:r>
    </w:p>
    <w:p w14:paraId="60339BB4" w14:textId="77777777" w:rsidR="00D14231" w:rsidRPr="00D14231" w:rsidRDefault="00D14231" w:rsidP="00D14231">
      <w:pPr>
        <w:rPr>
          <w:rFonts w:cstheme="minorHAnsi"/>
          <w:color w:val="0B0C0C"/>
          <w:sz w:val="24"/>
          <w:szCs w:val="24"/>
          <w:shd w:val="clear" w:color="auto" w:fill="FFFFFF"/>
        </w:rPr>
      </w:pPr>
      <w:r w:rsidRPr="00D14231">
        <w:rPr>
          <w:rFonts w:cstheme="minorHAnsi"/>
          <w:color w:val="0B0C0C"/>
          <w:sz w:val="24"/>
          <w:szCs w:val="24"/>
          <w:shd w:val="clear" w:color="auto" w:fill="FFFFFF"/>
        </w:rPr>
        <w:t>Bradford, B. and Myhill, A. (2015) ‘Triggers of change to public confidence in the police and criminal justice system: Findings from the Crime Survey for England and Wales panel experiment’. Criminology and Criminal Justice, 15(1), pp. 23 to 43.</w:t>
      </w:r>
    </w:p>
    <w:p w14:paraId="36E93C4E" w14:textId="77777777" w:rsidR="00D14231" w:rsidRPr="00D14231" w:rsidRDefault="00D14231" w:rsidP="00D14231">
      <w:pPr>
        <w:rPr>
          <w:rFonts w:cstheme="minorHAnsi"/>
          <w:color w:val="0B0C0C"/>
          <w:sz w:val="24"/>
          <w:szCs w:val="24"/>
          <w:shd w:val="clear" w:color="auto" w:fill="FFFFFF"/>
        </w:rPr>
      </w:pPr>
      <w:r w:rsidRPr="00D14231">
        <w:rPr>
          <w:rFonts w:cstheme="minorHAnsi"/>
          <w:color w:val="0B0C0C"/>
          <w:sz w:val="24"/>
          <w:szCs w:val="24"/>
          <w:shd w:val="clear" w:color="auto" w:fill="FFFFFF"/>
        </w:rPr>
        <w:t>Brewster, B., Gibson, H. and Gunning, M. (2018) ‘Policing the community together: The impact of technology on citizen engagement’. Societal Implications of Community-oriented Policing and Technology, p. 91.</w:t>
      </w:r>
    </w:p>
    <w:p w14:paraId="2CBB561A" w14:textId="77777777" w:rsidR="00D14231" w:rsidRPr="00D14231" w:rsidRDefault="00D14231" w:rsidP="00D14231">
      <w:pPr>
        <w:rPr>
          <w:rFonts w:cstheme="minorHAnsi"/>
          <w:color w:val="0B0C0C"/>
          <w:sz w:val="24"/>
          <w:szCs w:val="24"/>
          <w:shd w:val="clear" w:color="auto" w:fill="FFFFFF"/>
        </w:rPr>
      </w:pPr>
      <w:r w:rsidRPr="00D14231">
        <w:rPr>
          <w:rFonts w:cstheme="minorHAnsi"/>
          <w:sz w:val="24"/>
          <w:szCs w:val="24"/>
        </w:rPr>
        <w:t xml:space="preserve">Cao , L (2011). Visible minorities and confidence in the police. Canadian Journal of Criminology and Criminal Justice 53 ( 1 ): 1 – 26 . Accessed via </w:t>
      </w:r>
      <w:hyperlink r:id="rId7" w:history="1">
        <w:r w:rsidRPr="00D14231">
          <w:rPr>
            <w:rStyle w:val="Hyperlink"/>
            <w:rFonts w:cstheme="minorHAnsi"/>
            <w:sz w:val="24"/>
            <w:szCs w:val="24"/>
          </w:rPr>
          <w:t>https://doi.org/10.3138/cjccj.53.1.1</w:t>
        </w:r>
      </w:hyperlink>
      <w:r w:rsidRPr="00D14231">
        <w:rPr>
          <w:rFonts w:cstheme="minorHAnsi"/>
          <w:sz w:val="24"/>
          <w:szCs w:val="24"/>
        </w:rPr>
        <w:t>. Date accessed 5/1/24</w:t>
      </w:r>
    </w:p>
    <w:p w14:paraId="29E2EE27" w14:textId="77777777" w:rsidR="00D14231" w:rsidRPr="00D14231" w:rsidRDefault="00D14231" w:rsidP="00D14231">
      <w:pPr>
        <w:rPr>
          <w:rFonts w:cstheme="minorHAnsi"/>
          <w:sz w:val="24"/>
          <w:szCs w:val="24"/>
        </w:rPr>
      </w:pPr>
      <w:r w:rsidRPr="00D14231">
        <w:rPr>
          <w:rFonts w:cstheme="minorHAnsi"/>
          <w:color w:val="0B0C0C"/>
          <w:sz w:val="24"/>
          <w:szCs w:val="24"/>
          <w:shd w:val="clear" w:color="auto" w:fill="FFFFFF"/>
        </w:rPr>
        <w:t xml:space="preserve">College of Policing (2023) Response Constable. Accessed via </w:t>
      </w:r>
      <w:hyperlink r:id="rId8" w:history="1">
        <w:r w:rsidRPr="00D14231">
          <w:rPr>
            <w:rFonts w:cstheme="minorHAnsi"/>
            <w:color w:val="0000FF"/>
            <w:sz w:val="24"/>
            <w:szCs w:val="24"/>
            <w:u w:val="single"/>
          </w:rPr>
          <w:t>Response Constable - College of Policing</w:t>
        </w:r>
      </w:hyperlink>
      <w:r w:rsidRPr="00D14231">
        <w:rPr>
          <w:rFonts w:cstheme="minorHAnsi"/>
          <w:sz w:val="24"/>
          <w:szCs w:val="24"/>
        </w:rPr>
        <w:t>. Date accessed 3/1/24.</w:t>
      </w:r>
    </w:p>
    <w:p w14:paraId="01D70552" w14:textId="77777777" w:rsidR="00D14231" w:rsidRPr="00D14231" w:rsidRDefault="00D14231" w:rsidP="00D14231">
      <w:pPr>
        <w:rPr>
          <w:rFonts w:cstheme="minorHAnsi"/>
          <w:sz w:val="24"/>
          <w:szCs w:val="24"/>
        </w:rPr>
      </w:pPr>
      <w:r w:rsidRPr="00D14231">
        <w:rPr>
          <w:rFonts w:cstheme="minorHAnsi"/>
          <w:sz w:val="24"/>
          <w:szCs w:val="24"/>
        </w:rPr>
        <w:t xml:space="preserve">College of Policing (2014) Code of Ethics Accessed via </w:t>
      </w:r>
      <w:hyperlink r:id="rId9" w:history="1">
        <w:r w:rsidRPr="00D14231">
          <w:rPr>
            <w:rFonts w:cstheme="minorHAnsi"/>
            <w:color w:val="0000FF"/>
            <w:sz w:val="24"/>
            <w:szCs w:val="24"/>
            <w:u w:val="single"/>
          </w:rPr>
          <w:t>Code of Ethics | College of Policing</w:t>
        </w:r>
      </w:hyperlink>
      <w:r w:rsidRPr="00D14231">
        <w:rPr>
          <w:rFonts w:cstheme="minorHAnsi"/>
          <w:sz w:val="24"/>
          <w:szCs w:val="24"/>
        </w:rPr>
        <w:t>. Date accessed 5/1/24</w:t>
      </w:r>
    </w:p>
    <w:p w14:paraId="30F3C247" w14:textId="77777777" w:rsidR="00D14231" w:rsidRPr="00D14231" w:rsidRDefault="00D14231" w:rsidP="00D14231">
      <w:pPr>
        <w:spacing w:before="161" w:after="161" w:line="240" w:lineRule="auto"/>
        <w:outlineLvl w:val="0"/>
        <w:rPr>
          <w:rFonts w:cstheme="minorHAnsi"/>
          <w:sz w:val="24"/>
          <w:szCs w:val="24"/>
        </w:rPr>
      </w:pPr>
      <w:r w:rsidRPr="00D14231">
        <w:rPr>
          <w:rFonts w:cstheme="minorHAnsi"/>
          <w:color w:val="282828"/>
          <w:sz w:val="24"/>
          <w:szCs w:val="24"/>
        </w:rPr>
        <w:t>HMICRFS</w:t>
      </w:r>
      <w:r w:rsidRPr="00D14231">
        <w:rPr>
          <w:rFonts w:eastAsia="Times New Roman" w:cstheme="minorHAnsi"/>
          <w:color w:val="282828"/>
          <w:kern w:val="36"/>
          <w:sz w:val="24"/>
          <w:szCs w:val="24"/>
          <w:lang w:eastAsia="en-GB"/>
          <w14:ligatures w14:val="none"/>
        </w:rPr>
        <w:t xml:space="preserve"> (2022) Policing has come a long way but major problems persist, says outgoing Chief Inspector of Constabulary. Accessed via </w:t>
      </w:r>
      <w:hyperlink r:id="rId10" w:history="1">
        <w:r w:rsidRPr="00D14231">
          <w:rPr>
            <w:rFonts w:cstheme="minorHAnsi"/>
            <w:color w:val="0000FF"/>
            <w:sz w:val="24"/>
            <w:szCs w:val="24"/>
            <w:u w:val="single"/>
          </w:rPr>
          <w:t>Policing has come a long way but major problems persist, says outgoing Chief Inspector of Constabulary - His Majesty’s Inspectorate of Constabulary and Fire &amp; Rescue Services (justiceinspectorates.gov.uk)</w:t>
        </w:r>
      </w:hyperlink>
      <w:r w:rsidRPr="00D14231">
        <w:rPr>
          <w:rFonts w:cstheme="minorHAnsi"/>
          <w:sz w:val="24"/>
          <w:szCs w:val="24"/>
        </w:rPr>
        <w:t>. Date accessed 5/1/24</w:t>
      </w:r>
    </w:p>
    <w:p w14:paraId="1270ED13" w14:textId="77777777" w:rsidR="00D14231" w:rsidRPr="00D14231" w:rsidRDefault="00D14231" w:rsidP="00D14231">
      <w:pPr>
        <w:spacing w:before="161" w:after="161" w:line="240" w:lineRule="auto"/>
        <w:outlineLvl w:val="0"/>
        <w:rPr>
          <w:rFonts w:eastAsia="Times New Roman" w:cstheme="minorHAnsi"/>
          <w:b/>
          <w:bCs/>
          <w:color w:val="FFFFFF"/>
          <w:kern w:val="36"/>
          <w:sz w:val="24"/>
          <w:szCs w:val="24"/>
          <w:lang w:eastAsia="en-GB"/>
          <w14:ligatures w14:val="none"/>
        </w:rPr>
      </w:pPr>
      <w:r w:rsidRPr="00D14231">
        <w:rPr>
          <w:rFonts w:cstheme="minorHAnsi"/>
          <w:color w:val="000000"/>
          <w:sz w:val="24"/>
          <w:szCs w:val="24"/>
          <w:shd w:val="clear" w:color="auto" w:fill="FFFFFF"/>
        </w:rPr>
        <w:t xml:space="preserve">Hanway P and Hambly O  (2023)Public perceptions of policing; A review of research and literature Accessed via </w:t>
      </w:r>
      <w:hyperlink w:history="1">
        <w:r w:rsidRPr="00D14231">
          <w:rPr>
            <w:rStyle w:val="Hyperlink"/>
            <w:rFonts w:cstheme="minorHAnsi"/>
            <w:sz w:val="24"/>
            <w:szCs w:val="24"/>
          </w:rPr>
          <w:t>Public perceptions of policing: A review of research and literature - GOV.UK (www.gov.uk)</w:t>
        </w:r>
      </w:hyperlink>
      <w:r w:rsidRPr="00D14231">
        <w:rPr>
          <w:rFonts w:cstheme="minorHAnsi"/>
          <w:sz w:val="24"/>
          <w:szCs w:val="24"/>
        </w:rPr>
        <w:t>. Date accessed 10/1/24.</w:t>
      </w:r>
      <w:r w:rsidRPr="00D14231">
        <w:rPr>
          <w:rFonts w:eastAsia="Times New Roman" w:cstheme="minorHAnsi"/>
          <w:b/>
          <w:bCs/>
          <w:color w:val="FFFFFF"/>
          <w:kern w:val="36"/>
          <w:sz w:val="24"/>
          <w:szCs w:val="24"/>
          <w:lang w:eastAsia="en-GB"/>
          <w14:ligatures w14:val="none"/>
        </w:rPr>
        <w:t>Acing: A of research re</w:t>
      </w:r>
    </w:p>
    <w:p w14:paraId="11439CC4" w14:textId="77777777" w:rsidR="00D14231" w:rsidRPr="00D14231" w:rsidRDefault="00D14231" w:rsidP="00D14231">
      <w:pPr>
        <w:spacing w:before="161" w:after="161" w:line="240" w:lineRule="auto"/>
        <w:outlineLvl w:val="0"/>
        <w:rPr>
          <w:rFonts w:cstheme="minorHAnsi"/>
          <w:color w:val="000000"/>
          <w:sz w:val="24"/>
          <w:szCs w:val="24"/>
          <w:shd w:val="clear" w:color="auto" w:fill="FFFFFF"/>
        </w:rPr>
      </w:pPr>
      <w:r w:rsidRPr="00D14231">
        <w:rPr>
          <w:rFonts w:cstheme="minorHAnsi"/>
          <w:sz w:val="24"/>
          <w:szCs w:val="24"/>
        </w:rPr>
        <w:t xml:space="preserve">Higgins A (2020) Policing and the Public: Understanding public priorities, attitudes and expectations. The Police Foundation. Accessed via </w:t>
      </w:r>
      <w:hyperlink r:id="rId11" w:history="1">
        <w:r w:rsidRPr="00D14231">
          <w:rPr>
            <w:rFonts w:cstheme="minorHAnsi"/>
            <w:color w:val="0000FF"/>
            <w:sz w:val="24"/>
            <w:szCs w:val="24"/>
            <w:u w:val="single"/>
          </w:rPr>
          <w:t>insight_paper_1.pdf (policingreview.org.uk)</w:t>
        </w:r>
      </w:hyperlink>
      <w:r w:rsidRPr="00D14231">
        <w:rPr>
          <w:rFonts w:cstheme="minorHAnsi"/>
          <w:sz w:val="24"/>
          <w:szCs w:val="24"/>
        </w:rPr>
        <w:t>. Date accessed 10/1/24.</w:t>
      </w:r>
    </w:p>
    <w:p w14:paraId="69E1BAC8" w14:textId="77777777" w:rsidR="00D14231" w:rsidRPr="00D14231" w:rsidRDefault="00D14231" w:rsidP="00D14231">
      <w:pPr>
        <w:rPr>
          <w:rFonts w:cstheme="minorHAnsi"/>
          <w:color w:val="0B0C0C"/>
          <w:sz w:val="24"/>
          <w:szCs w:val="24"/>
          <w:shd w:val="clear" w:color="auto" w:fill="FFFFFF"/>
        </w:rPr>
      </w:pPr>
      <w:r w:rsidRPr="00D14231">
        <w:rPr>
          <w:rFonts w:cstheme="minorHAnsi"/>
          <w:color w:val="0B0C0C"/>
          <w:sz w:val="24"/>
          <w:szCs w:val="24"/>
          <w:shd w:val="clear" w:color="auto" w:fill="FFFFFF"/>
        </w:rPr>
        <w:t>Hu, X., Dai, M., DeValve, M.J. and Lejeune, A. (2020) ‘Understanding public attitudes towards the police: Co-variates of satisfaction, trust, and confidence’. Canadian Journal of Criminology and Criminal Justice, 62(1), pp. 26 to 49.</w:t>
      </w:r>
    </w:p>
    <w:p w14:paraId="13C7719C" w14:textId="77777777" w:rsidR="00D14231" w:rsidRPr="00D14231" w:rsidRDefault="00D14231" w:rsidP="00D14231">
      <w:pPr>
        <w:rPr>
          <w:rFonts w:cstheme="minorHAnsi"/>
          <w:sz w:val="24"/>
          <w:szCs w:val="24"/>
        </w:rPr>
      </w:pPr>
      <w:r w:rsidRPr="00D14231">
        <w:rPr>
          <w:rFonts w:cstheme="minorHAnsi"/>
          <w:sz w:val="24"/>
          <w:szCs w:val="24"/>
        </w:rPr>
        <w:t xml:space="preserve"> Institute for Government (2023) Performance tracker 2022/2023.Accessed via </w:t>
      </w:r>
      <w:hyperlink r:id="rId12" w:history="1">
        <w:r w:rsidRPr="00D14231">
          <w:rPr>
            <w:rFonts w:cstheme="minorHAnsi"/>
            <w:color w:val="0000FF"/>
            <w:sz w:val="24"/>
            <w:szCs w:val="24"/>
            <w:u w:val="single"/>
          </w:rPr>
          <w:t>Performance Tracker 2022/23: Spring update - Police | Institute for Government</w:t>
        </w:r>
      </w:hyperlink>
      <w:r w:rsidRPr="00D14231">
        <w:rPr>
          <w:rFonts w:cstheme="minorHAnsi"/>
          <w:color w:val="0000FF"/>
          <w:sz w:val="24"/>
          <w:szCs w:val="24"/>
          <w:u w:val="single"/>
        </w:rPr>
        <w:t xml:space="preserve">. </w:t>
      </w:r>
      <w:r w:rsidRPr="00D14231">
        <w:rPr>
          <w:rFonts w:cstheme="minorHAnsi"/>
          <w:sz w:val="24"/>
          <w:szCs w:val="24"/>
        </w:rPr>
        <w:t>Date accessed</w:t>
      </w:r>
      <w:r w:rsidRPr="00D14231">
        <w:rPr>
          <w:rFonts w:cstheme="minorHAnsi"/>
          <w:sz w:val="24"/>
          <w:szCs w:val="24"/>
          <w:u w:val="single"/>
        </w:rPr>
        <w:t xml:space="preserve"> </w:t>
      </w:r>
      <w:r w:rsidRPr="00D14231">
        <w:rPr>
          <w:rFonts w:cstheme="minorHAnsi"/>
          <w:color w:val="0000FF"/>
          <w:sz w:val="24"/>
          <w:szCs w:val="24"/>
          <w:u w:val="single"/>
        </w:rPr>
        <w:t>10/1/24.</w:t>
      </w:r>
    </w:p>
    <w:p w14:paraId="655E372D" w14:textId="77777777" w:rsidR="00D14231" w:rsidRPr="00D14231" w:rsidRDefault="00D14231" w:rsidP="00D14231">
      <w:pPr>
        <w:rPr>
          <w:rFonts w:eastAsia="Times New Roman" w:cstheme="minorHAnsi"/>
          <w:color w:val="333333"/>
          <w:kern w:val="0"/>
          <w:sz w:val="24"/>
          <w:szCs w:val="24"/>
          <w:lang w:eastAsia="en-GB"/>
          <w14:ligatures w14:val="none"/>
        </w:rPr>
      </w:pPr>
      <w:r w:rsidRPr="00D14231">
        <w:rPr>
          <w:rFonts w:eastAsia="Times New Roman" w:cstheme="minorHAnsi"/>
          <w:color w:val="333333"/>
          <w:kern w:val="0"/>
          <w:sz w:val="24"/>
          <w:szCs w:val="24"/>
          <w:lang w:eastAsia="en-GB"/>
          <w14:ligatures w14:val="none"/>
        </w:rPr>
        <w:t xml:space="preserve">Laufs, J ;Bowers, K; Birks, D &amp; Johnson SD (2021) Understanding the concept of ‘demand’ in policing: a scoping review and resulting implications for demand </w:t>
      </w:r>
      <w:r w:rsidRPr="00D14231">
        <w:rPr>
          <w:rFonts w:eastAsia="Times New Roman" w:cstheme="minorHAnsi"/>
          <w:color w:val="333333"/>
          <w:kern w:val="0"/>
          <w:sz w:val="24"/>
          <w:szCs w:val="24"/>
          <w:lang w:eastAsia="en-GB"/>
          <w14:ligatures w14:val="none"/>
        </w:rPr>
        <w:lastRenderedPageBreak/>
        <w:t>management, Policing and Society, 31:8, 895-918, DOI: </w:t>
      </w:r>
      <w:hyperlink r:id="rId13" w:history="1">
        <w:r w:rsidRPr="00D14231">
          <w:rPr>
            <w:rFonts w:eastAsia="Times New Roman" w:cstheme="minorHAnsi"/>
            <w:color w:val="333333"/>
            <w:kern w:val="0"/>
            <w:sz w:val="24"/>
            <w:szCs w:val="24"/>
            <w:u w:val="single"/>
            <w:lang w:eastAsia="en-GB"/>
            <w14:ligatures w14:val="none"/>
          </w:rPr>
          <w:t>10.1080/10439463.2020.1791862</w:t>
        </w:r>
      </w:hyperlink>
    </w:p>
    <w:p w14:paraId="6A779A74" w14:textId="77777777" w:rsidR="00D14231" w:rsidRPr="00D14231" w:rsidRDefault="00D14231" w:rsidP="00D14231">
      <w:pPr>
        <w:shd w:val="clear" w:color="auto" w:fill="FFFFFF"/>
        <w:spacing w:after="100" w:afterAutospacing="1" w:line="240" w:lineRule="auto"/>
        <w:outlineLvl w:val="0"/>
        <w:rPr>
          <w:rFonts w:eastAsia="Times New Roman" w:cstheme="minorHAnsi"/>
          <w:kern w:val="0"/>
          <w:sz w:val="24"/>
          <w:szCs w:val="24"/>
          <w:lang w:eastAsia="en-GB"/>
          <w14:ligatures w14:val="none"/>
        </w:rPr>
      </w:pPr>
      <w:r w:rsidRPr="00D14231">
        <w:rPr>
          <w:rFonts w:eastAsia="Times New Roman" w:cstheme="minorHAnsi"/>
          <w:kern w:val="36"/>
          <w:sz w:val="24"/>
          <w:szCs w:val="24"/>
          <w:lang w:eastAsia="en-GB"/>
          <w14:ligatures w14:val="none"/>
        </w:rPr>
        <w:t xml:space="preserve">Lee JS and Zhao JS (2016) Disentangling the myth about citizen participation in collaborative work with police: The difference between general citizens and citizen volunteers. </w:t>
      </w:r>
      <w:hyperlink r:id="rId14" w:history="1">
        <w:r w:rsidRPr="00D14231">
          <w:rPr>
            <w:rFonts w:eastAsia="Times New Roman" w:cstheme="minorHAnsi"/>
            <w:kern w:val="0"/>
            <w:sz w:val="24"/>
            <w:szCs w:val="24"/>
            <w:lang w:eastAsia="en-GB"/>
            <w14:ligatures w14:val="none"/>
          </w:rPr>
          <w:t>Policing: An International Journal</w:t>
        </w:r>
      </w:hyperlink>
      <w:r w:rsidRPr="00D14231">
        <w:rPr>
          <w:rFonts w:eastAsia="Times New Roman" w:cstheme="minorHAnsi"/>
          <w:kern w:val="0"/>
          <w:sz w:val="24"/>
          <w:szCs w:val="24"/>
          <w:lang w:eastAsia="en-GB"/>
          <w14:ligatures w14:val="none"/>
        </w:rPr>
        <w:t xml:space="preserve">. Accessed via  </w:t>
      </w:r>
      <w:hyperlink r:id="rId15" w:history="1">
        <w:r w:rsidRPr="00D14231">
          <w:rPr>
            <w:rFonts w:cstheme="minorHAnsi"/>
            <w:color w:val="0000FF"/>
            <w:sz w:val="24"/>
            <w:szCs w:val="24"/>
            <w:u w:val="single"/>
          </w:rPr>
          <w:t>Disentangling the myth about citizen participation in collaborative work with police: The difference between general citizens and citizen volunteers | Emerald Insight</w:t>
        </w:r>
      </w:hyperlink>
      <w:r w:rsidRPr="00D14231">
        <w:rPr>
          <w:rFonts w:cstheme="minorHAnsi"/>
          <w:sz w:val="24"/>
          <w:szCs w:val="24"/>
        </w:rPr>
        <w:t>. Date accessed 5/1/24</w:t>
      </w:r>
    </w:p>
    <w:p w14:paraId="096D3D92" w14:textId="77777777" w:rsidR="00D14231" w:rsidRPr="00D14231" w:rsidRDefault="00D14231" w:rsidP="00D14231">
      <w:pPr>
        <w:rPr>
          <w:rFonts w:cstheme="minorHAnsi"/>
          <w:color w:val="000000"/>
          <w:sz w:val="24"/>
          <w:szCs w:val="24"/>
          <w:shd w:val="clear" w:color="auto" w:fill="FFFFFF"/>
        </w:rPr>
      </w:pPr>
      <w:r w:rsidRPr="00D14231">
        <w:rPr>
          <w:rFonts w:cstheme="minorHAnsi"/>
          <w:color w:val="0B0C0C"/>
          <w:sz w:val="24"/>
          <w:szCs w:val="24"/>
          <w:shd w:val="clear" w:color="auto" w:fill="FFFFFF"/>
        </w:rPr>
        <w:t>Mason, D., Hillenbrand, C. and Money, K. (2014) ‘Are informed citizens more trusting? Transparency of performance data and trust towards a British police force’. Journal of Business Ethics, 122(2), pp. 321 to 341.</w:t>
      </w:r>
    </w:p>
    <w:p w14:paraId="3EDFACF5" w14:textId="77777777" w:rsidR="00D14231" w:rsidRPr="00D14231" w:rsidRDefault="00D14231" w:rsidP="00D14231">
      <w:pPr>
        <w:rPr>
          <w:rFonts w:cstheme="minorHAnsi"/>
          <w:color w:val="0B0C0C"/>
          <w:sz w:val="24"/>
          <w:szCs w:val="24"/>
          <w:shd w:val="clear" w:color="auto" w:fill="FFFFFF"/>
        </w:rPr>
      </w:pPr>
      <w:r w:rsidRPr="00D14231">
        <w:rPr>
          <w:rFonts w:cstheme="minorHAnsi"/>
          <w:color w:val="0B0C0C"/>
          <w:sz w:val="24"/>
          <w:szCs w:val="24"/>
          <w:shd w:val="clear" w:color="auto" w:fill="FFFFFF"/>
        </w:rPr>
        <w:t xml:space="preserve">Miller, J. and D’Souza, A. (2016) ‘Indirect effects of police searches on community attitudes to the police: resentment or reassurance?’ The British Journal of Criminology, 56(3), pp. 456 to 478. </w:t>
      </w:r>
    </w:p>
    <w:p w14:paraId="25FAFF35" w14:textId="77777777" w:rsidR="00D14231" w:rsidRPr="00D14231" w:rsidRDefault="00D14231" w:rsidP="00D14231">
      <w:pPr>
        <w:rPr>
          <w:rFonts w:cstheme="minorHAnsi"/>
          <w:color w:val="0B0C0C"/>
          <w:sz w:val="24"/>
          <w:szCs w:val="24"/>
          <w:shd w:val="clear" w:color="auto" w:fill="FFFFFF"/>
        </w:rPr>
      </w:pPr>
      <w:r w:rsidRPr="00D14231">
        <w:rPr>
          <w:rFonts w:cstheme="minorHAnsi"/>
          <w:color w:val="0B0C0C"/>
          <w:sz w:val="24"/>
          <w:szCs w:val="24"/>
          <w:shd w:val="clear" w:color="auto" w:fill="FFFFFF"/>
        </w:rPr>
        <w:t>Office of National Statistics (2019) Crime in England and Wales. Year ending March 2019. London .ONS.</w:t>
      </w:r>
    </w:p>
    <w:p w14:paraId="291D63AE" w14:textId="77777777" w:rsidR="00D14231" w:rsidRPr="00D14231" w:rsidRDefault="00D14231" w:rsidP="00D14231">
      <w:pPr>
        <w:rPr>
          <w:rFonts w:cstheme="minorHAnsi"/>
          <w:color w:val="0B0C0C"/>
          <w:sz w:val="24"/>
          <w:szCs w:val="24"/>
          <w:shd w:val="clear" w:color="auto" w:fill="FFFFFF"/>
        </w:rPr>
      </w:pPr>
      <w:r w:rsidRPr="00D14231">
        <w:rPr>
          <w:rFonts w:cstheme="minorHAnsi"/>
          <w:sz w:val="24"/>
          <w:szCs w:val="24"/>
        </w:rPr>
        <w:t xml:space="preserve">Skogan , WG. (2005). Citizen satisfaction with police encounters . Police Quarterly 8 ( 3 ): 298 – 321 . Accessed via https://doi. org/10.1177/1098611104271086.  Date accessed 5/1/24. </w:t>
      </w:r>
    </w:p>
    <w:p w14:paraId="6785D25D" w14:textId="77777777" w:rsidR="00D14231" w:rsidRPr="00D14231" w:rsidRDefault="00D14231" w:rsidP="00D14231">
      <w:pPr>
        <w:rPr>
          <w:rFonts w:cstheme="minorHAnsi"/>
          <w:color w:val="0B0C0C"/>
          <w:sz w:val="24"/>
          <w:szCs w:val="24"/>
          <w:shd w:val="clear" w:color="auto" w:fill="FFFFFF"/>
        </w:rPr>
      </w:pPr>
      <w:r w:rsidRPr="00D14231">
        <w:rPr>
          <w:rFonts w:cstheme="minorHAnsi"/>
          <w:color w:val="0B0C0C"/>
          <w:sz w:val="24"/>
          <w:szCs w:val="24"/>
          <w:shd w:val="clear" w:color="auto" w:fill="FFFFFF"/>
        </w:rPr>
        <w:t>Skogan, W.G. (2009) ‘Concern about crime and confidence in the police: Reassurance or accountability?’ Police Quarterly, 12(3), pp. 301 to 318.</w:t>
      </w:r>
    </w:p>
    <w:p w14:paraId="13E436EB" w14:textId="77777777" w:rsidR="00D14231" w:rsidRPr="00D14231" w:rsidRDefault="00D14231" w:rsidP="00D14231">
      <w:pPr>
        <w:rPr>
          <w:rFonts w:eastAsia="Times New Roman" w:cstheme="minorHAnsi"/>
          <w:color w:val="000000"/>
          <w:kern w:val="0"/>
          <w:sz w:val="24"/>
          <w:szCs w:val="24"/>
          <w:lang w:eastAsia="en-GB"/>
          <w14:ligatures w14:val="none"/>
        </w:rPr>
      </w:pPr>
      <w:r w:rsidRPr="00D14231">
        <w:rPr>
          <w:rFonts w:eastAsia="Times New Roman" w:cstheme="minorHAnsi"/>
          <w:color w:val="000000"/>
          <w:kern w:val="0"/>
          <w:sz w:val="24"/>
          <w:szCs w:val="24"/>
          <w:lang w:eastAsia="en-GB"/>
          <w14:ligatures w14:val="none"/>
        </w:rPr>
        <w:t>The European Social Survey (2012) Policing by Consent:Topline Results UK from round 5 of the European Social Survey.</w:t>
      </w:r>
      <w:r w:rsidRPr="00D14231">
        <w:rPr>
          <w:rFonts w:cstheme="minorHAnsi"/>
          <w:sz w:val="24"/>
          <w:szCs w:val="24"/>
        </w:rPr>
        <w:t xml:space="preserve"> Accessed via </w:t>
      </w:r>
      <w:hyperlink r:id="rId16" w:history="1">
        <w:r w:rsidRPr="00D14231">
          <w:rPr>
            <w:rFonts w:cstheme="minorHAnsi"/>
            <w:color w:val="0000FF"/>
            <w:sz w:val="24"/>
            <w:szCs w:val="24"/>
            <w:u w:val="single"/>
          </w:rPr>
          <w:t>(PDF) Policing by consent: understanding the dynamics of police power and legitimacy (researchgate.net)</w:t>
        </w:r>
      </w:hyperlink>
      <w:r w:rsidRPr="00D14231">
        <w:rPr>
          <w:rFonts w:cstheme="minorHAnsi"/>
          <w:sz w:val="24"/>
          <w:szCs w:val="24"/>
        </w:rPr>
        <w:t>. Date accessed 5/1/24.</w:t>
      </w:r>
    </w:p>
    <w:p w14:paraId="351B95E3" w14:textId="77777777" w:rsidR="00D14231" w:rsidRPr="00D14231" w:rsidRDefault="00D14231" w:rsidP="00D14231">
      <w:pPr>
        <w:shd w:val="clear" w:color="auto" w:fill="FFFFFF"/>
        <w:spacing w:after="0" w:line="0" w:lineRule="auto"/>
        <w:rPr>
          <w:rFonts w:eastAsia="Times New Roman" w:cstheme="minorHAnsi"/>
          <w:color w:val="231F20"/>
          <w:kern w:val="0"/>
          <w:sz w:val="24"/>
          <w:szCs w:val="24"/>
          <w:lang w:eastAsia="en-GB"/>
          <w14:ligatures w14:val="none"/>
        </w:rPr>
      </w:pPr>
      <w:r w:rsidRPr="00D14231">
        <w:rPr>
          <w:rFonts w:eastAsia="Times New Roman" w:cstheme="minorHAnsi"/>
          <w:color w:val="231F20"/>
          <w:kern w:val="0"/>
          <w:sz w:val="24"/>
          <w:szCs w:val="24"/>
          <w:lang w:eastAsia="en-GB"/>
          <w14:ligatures w14:val="none"/>
        </w:rPr>
        <w:t xml:space="preserve">Topline Results (UK) from Round 5 </w:t>
      </w:r>
    </w:p>
    <w:p w14:paraId="7E51E7FF" w14:textId="77777777" w:rsidR="00D14231" w:rsidRPr="00D14231" w:rsidRDefault="00D14231" w:rsidP="00D14231">
      <w:pPr>
        <w:shd w:val="clear" w:color="auto" w:fill="FFFFFF"/>
        <w:spacing w:after="0" w:line="0" w:lineRule="auto"/>
        <w:rPr>
          <w:rFonts w:eastAsia="Times New Roman" w:cstheme="minorHAnsi"/>
          <w:color w:val="231F20"/>
          <w:kern w:val="0"/>
          <w:sz w:val="24"/>
          <w:szCs w:val="24"/>
          <w:lang w:eastAsia="en-GB"/>
          <w14:ligatures w14:val="none"/>
        </w:rPr>
      </w:pPr>
      <w:r w:rsidRPr="00D14231">
        <w:rPr>
          <w:rFonts w:eastAsia="Times New Roman" w:cstheme="minorHAnsi"/>
          <w:color w:val="231F20"/>
          <w:kern w:val="0"/>
          <w:sz w:val="24"/>
          <w:szCs w:val="24"/>
          <w:lang w:eastAsia="en-GB"/>
          <w14:ligatures w14:val="none"/>
        </w:rPr>
        <w:t>of the European Social Survey</w:t>
      </w:r>
    </w:p>
    <w:p w14:paraId="273E2D3B" w14:textId="77777777" w:rsidR="00D14231" w:rsidRPr="00D14231" w:rsidRDefault="00D14231" w:rsidP="00D14231">
      <w:pPr>
        <w:rPr>
          <w:rFonts w:cstheme="minorHAnsi"/>
          <w:sz w:val="24"/>
          <w:szCs w:val="24"/>
        </w:rPr>
      </w:pPr>
      <w:r w:rsidRPr="00D14231">
        <w:rPr>
          <w:rFonts w:cstheme="minorHAnsi"/>
          <w:sz w:val="24"/>
          <w:szCs w:val="24"/>
        </w:rPr>
        <w:t xml:space="preserve">Vidal JB and Kirchmaker T (2016) The Effect of Police Response Time on Crime Detection’ . CEP Discussion Paper No. 1376 . Accessed via </w:t>
      </w:r>
      <w:hyperlink r:id="rId17" w:history="1">
        <w:r w:rsidRPr="00D14231">
          <w:rPr>
            <w:rStyle w:val="Hyperlink"/>
            <w:rFonts w:cstheme="minorHAnsi"/>
            <w:sz w:val="24"/>
            <w:szCs w:val="24"/>
          </w:rPr>
          <w:t>http://cep.lse.ac.uk/pubs/download/dp1376.pdf. Date accessed 5/1/24</w:t>
        </w:r>
      </w:hyperlink>
    </w:p>
    <w:p w14:paraId="1759F333" w14:textId="77777777" w:rsidR="00D14231" w:rsidRPr="00D14231" w:rsidRDefault="00D14231" w:rsidP="00D14231">
      <w:pPr>
        <w:rPr>
          <w:rFonts w:cstheme="minorHAnsi"/>
          <w:sz w:val="24"/>
          <w:szCs w:val="24"/>
        </w:rPr>
      </w:pPr>
      <w:r w:rsidRPr="00D14231">
        <w:rPr>
          <w:rFonts w:cstheme="minorHAnsi"/>
          <w:sz w:val="24"/>
          <w:szCs w:val="24"/>
        </w:rPr>
        <w:t xml:space="preserve">Walley P and Adams M   (2019) An Evaluation of Demand Management Practices in UK Police Forces.Centre of Policing Research and Learning. Open University. Accessed via  </w:t>
      </w:r>
      <w:hyperlink r:id="rId18" w:history="1">
        <w:r w:rsidRPr="00D14231">
          <w:rPr>
            <w:rFonts w:cstheme="minorHAnsi"/>
            <w:color w:val="0000FF"/>
            <w:sz w:val="24"/>
            <w:szCs w:val="24"/>
            <w:u w:val="single"/>
          </w:rPr>
          <w:t>An Evaluation of Demand Management Practices in UK - Final report.pdf (open.ac.uk)</w:t>
        </w:r>
      </w:hyperlink>
      <w:r w:rsidRPr="00D14231">
        <w:rPr>
          <w:rFonts w:cstheme="minorHAnsi"/>
          <w:sz w:val="24"/>
          <w:szCs w:val="24"/>
        </w:rPr>
        <w:t>. Date accessed 10/1/24.</w:t>
      </w:r>
    </w:p>
    <w:p w14:paraId="70D398EE" w14:textId="225E291C" w:rsidR="00D14231" w:rsidRPr="00D14231" w:rsidRDefault="00D14231" w:rsidP="00D14231">
      <w:pPr>
        <w:rPr>
          <w:rFonts w:cstheme="minorHAnsi"/>
          <w:b/>
          <w:bCs/>
          <w:sz w:val="24"/>
          <w:szCs w:val="24"/>
        </w:rPr>
      </w:pPr>
      <w:r>
        <w:rPr>
          <w:rFonts w:cstheme="minorHAnsi"/>
          <w:b/>
          <w:bCs/>
          <w:sz w:val="24"/>
          <w:szCs w:val="24"/>
        </w:rPr>
        <w:t xml:space="preserve">Bibliography </w:t>
      </w:r>
      <w:r w:rsidRPr="00D14231">
        <w:rPr>
          <w:rFonts w:cstheme="minorHAnsi"/>
          <w:b/>
          <w:bCs/>
          <w:sz w:val="24"/>
          <w:szCs w:val="24"/>
        </w:rPr>
        <w:t xml:space="preserve">Essay 3 </w:t>
      </w:r>
    </w:p>
    <w:p w14:paraId="009EE584" w14:textId="77777777" w:rsidR="00D14231" w:rsidRPr="00D14231" w:rsidRDefault="00D14231" w:rsidP="00D14231">
      <w:pPr>
        <w:tabs>
          <w:tab w:val="num" w:pos="720"/>
        </w:tabs>
        <w:rPr>
          <w:rFonts w:eastAsia="Times New Roman" w:cstheme="minorHAnsi"/>
          <w:color w:val="323232"/>
          <w:kern w:val="0"/>
          <w:sz w:val="24"/>
          <w:szCs w:val="24"/>
          <w:lang w:eastAsia="en-GB"/>
          <w14:ligatures w14:val="none"/>
        </w:rPr>
      </w:pPr>
      <w:r w:rsidRPr="00D14231">
        <w:rPr>
          <w:rFonts w:cstheme="minorHAnsi"/>
          <w:color w:val="3A3A3A"/>
          <w:sz w:val="24"/>
          <w:szCs w:val="24"/>
          <w:shd w:val="clear" w:color="auto" w:fill="FFFFFF"/>
        </w:rPr>
        <w:t xml:space="preserve">Brunnel M and Py J (2013) </w:t>
      </w:r>
      <w:r w:rsidRPr="00D14231">
        <w:rPr>
          <w:rFonts w:eastAsia="Times New Roman" w:cstheme="minorHAnsi"/>
          <w:color w:val="323232"/>
          <w:kern w:val="0"/>
          <w:sz w:val="24"/>
          <w:szCs w:val="24"/>
          <w:lang w:eastAsia="en-GB"/>
          <w14:ligatures w14:val="none"/>
        </w:rPr>
        <w:t>Questioning the acceptability of the Cognitive Interview to improve its use. In  </w:t>
      </w:r>
      <w:hyperlink r:id="rId19" w:history="1">
        <w:r w:rsidRPr="00D14231">
          <w:rPr>
            <w:rFonts w:eastAsia="Times New Roman" w:cstheme="minorHAnsi"/>
            <w:kern w:val="0"/>
            <w:sz w:val="24"/>
            <w:szCs w:val="24"/>
            <w:u w:val="single"/>
            <w:lang w:eastAsia="en-GB"/>
            <w14:ligatures w14:val="none"/>
          </w:rPr>
          <w:t>L’Année psychologique</w:t>
        </w:r>
      </w:hyperlink>
      <w:r w:rsidRPr="00D14231">
        <w:rPr>
          <w:rFonts w:eastAsia="Times New Roman" w:cstheme="minorHAnsi"/>
          <w:kern w:val="0"/>
          <w:sz w:val="24"/>
          <w:szCs w:val="24"/>
          <w:lang w:eastAsia="en-GB"/>
          <w14:ligatures w14:val="none"/>
        </w:rPr>
        <w:t> </w:t>
      </w:r>
      <w:hyperlink r:id="rId20" w:history="1">
        <w:r w:rsidRPr="00D14231">
          <w:rPr>
            <w:rFonts w:eastAsia="Times New Roman" w:cstheme="minorHAnsi"/>
            <w:kern w:val="0"/>
            <w:sz w:val="24"/>
            <w:szCs w:val="24"/>
            <w:u w:val="single"/>
            <w:lang w:eastAsia="en-GB"/>
            <w14:ligatures w14:val="none"/>
          </w:rPr>
          <w:t xml:space="preserve"> (Vol. 113)</w:t>
        </w:r>
      </w:hyperlink>
      <w:r w:rsidRPr="00D14231">
        <w:rPr>
          <w:rFonts w:eastAsia="Times New Roman" w:cstheme="minorHAnsi"/>
          <w:kern w:val="0"/>
          <w:sz w:val="24"/>
          <w:szCs w:val="24"/>
          <w:lang w:eastAsia="en-GB"/>
          <w14:ligatures w14:val="none"/>
        </w:rPr>
        <w:t>,</w:t>
      </w:r>
      <w:r w:rsidRPr="00D14231">
        <w:rPr>
          <w:rFonts w:eastAsia="Times New Roman" w:cstheme="minorHAnsi"/>
          <w:color w:val="323232"/>
          <w:kern w:val="0"/>
          <w:sz w:val="24"/>
          <w:szCs w:val="24"/>
          <w:lang w:eastAsia="en-GB"/>
          <w14:ligatures w14:val="none"/>
        </w:rPr>
        <w:t xml:space="preserve"> pages 427 – 458. Accessed via </w:t>
      </w:r>
      <w:hyperlink r:id="rId21" w:history="1">
        <w:r w:rsidRPr="00D14231">
          <w:rPr>
            <w:color w:val="0000FF"/>
            <w:sz w:val="24"/>
            <w:szCs w:val="24"/>
            <w:u w:val="single"/>
          </w:rPr>
          <w:t>Questioning the acceptability of the Cognitive Interview to improve its use | Cairn.info</w:t>
        </w:r>
      </w:hyperlink>
      <w:r w:rsidRPr="00D14231">
        <w:rPr>
          <w:sz w:val="24"/>
          <w:szCs w:val="24"/>
        </w:rPr>
        <w:t>. Date Accessed 28/12/23.</w:t>
      </w:r>
    </w:p>
    <w:p w14:paraId="6AD7A097" w14:textId="77777777" w:rsidR="00D14231" w:rsidRPr="00D14231" w:rsidRDefault="00D14231" w:rsidP="00D14231">
      <w:pPr>
        <w:rPr>
          <w:rFonts w:cs="Calibri"/>
          <w:color w:val="3A3A3A"/>
          <w:sz w:val="24"/>
          <w:szCs w:val="24"/>
          <w:shd w:val="clear" w:color="auto" w:fill="FFFFFF"/>
        </w:rPr>
      </w:pPr>
      <w:r w:rsidRPr="00D14231">
        <w:rPr>
          <w:rFonts w:cs="Calibri"/>
          <w:color w:val="3A3A3A"/>
          <w:sz w:val="24"/>
          <w:szCs w:val="24"/>
          <w:shd w:val="clear" w:color="auto" w:fill="FFFFFF"/>
        </w:rPr>
        <w:t xml:space="preserve">College of Policing (2020) Investigative Interviewing. COP. Accessed via </w:t>
      </w:r>
      <w:hyperlink r:id="rId22" w:history="1">
        <w:r w:rsidRPr="00D14231">
          <w:rPr>
            <w:rFonts w:cs="Calibri"/>
            <w:color w:val="0000FF"/>
            <w:sz w:val="24"/>
            <w:szCs w:val="24"/>
            <w:u w:val="single"/>
          </w:rPr>
          <w:t>Investigative interviewing | College of Policing</w:t>
        </w:r>
      </w:hyperlink>
      <w:r w:rsidRPr="00D14231">
        <w:rPr>
          <w:rFonts w:cs="Calibri"/>
          <w:sz w:val="24"/>
          <w:szCs w:val="24"/>
        </w:rPr>
        <w:t>. Date accessed 28/12/23.</w:t>
      </w:r>
    </w:p>
    <w:p w14:paraId="6D389E11" w14:textId="77777777" w:rsidR="00D14231" w:rsidRPr="00D14231" w:rsidRDefault="00D14231" w:rsidP="00D14231">
      <w:pPr>
        <w:rPr>
          <w:rFonts w:cs="Calibri"/>
          <w:color w:val="3A3A3A"/>
          <w:sz w:val="24"/>
          <w:szCs w:val="24"/>
          <w:shd w:val="clear" w:color="auto" w:fill="FFFFFF"/>
        </w:rPr>
      </w:pPr>
      <w:r w:rsidRPr="00D14231">
        <w:rPr>
          <w:rFonts w:cs="Calibri"/>
          <w:color w:val="3A3A3A"/>
          <w:sz w:val="24"/>
          <w:szCs w:val="24"/>
          <w:shd w:val="clear" w:color="auto" w:fill="FFFFFF"/>
        </w:rPr>
        <w:lastRenderedPageBreak/>
        <w:t>Conway MA and Holmes EA (2008) Guidelines on Memory and the Law: Recommendations from the Scientific Study of human Memory. British Psychological Society .</w:t>
      </w:r>
    </w:p>
    <w:p w14:paraId="3014D60E" w14:textId="77777777" w:rsidR="00D14231" w:rsidRPr="00D14231" w:rsidRDefault="00D14231" w:rsidP="00D14231">
      <w:pPr>
        <w:rPr>
          <w:rFonts w:cstheme="minorHAnsi"/>
          <w:color w:val="26346F"/>
          <w:sz w:val="24"/>
          <w:szCs w:val="24"/>
          <w:u w:val="single"/>
          <w:shd w:val="clear" w:color="auto" w:fill="FFFFFF"/>
        </w:rPr>
      </w:pPr>
      <w:r w:rsidRPr="00D14231">
        <w:rPr>
          <w:rFonts w:cstheme="minorHAnsi"/>
          <w:color w:val="1C1D1E"/>
          <w:sz w:val="24"/>
          <w:szCs w:val="24"/>
          <w:shd w:val="clear" w:color="auto" w:fill="FFFFFF"/>
        </w:rPr>
        <w:t>Dando, C., Wilcock, R. and Milne, R. (2008), The cognitive interview: Inexperienced police officers' perceptions of their witness/victim interviewing practices. Legal and Criminological Psychology, 13: 59-70. </w:t>
      </w:r>
      <w:hyperlink r:id="rId23" w:history="1">
        <w:r w:rsidRPr="00D14231">
          <w:rPr>
            <w:rFonts w:cstheme="minorHAnsi"/>
            <w:color w:val="26346F"/>
            <w:sz w:val="24"/>
            <w:szCs w:val="24"/>
            <w:u w:val="single"/>
            <w:shd w:val="clear" w:color="auto" w:fill="FFFFFF"/>
          </w:rPr>
          <w:t>https://doi.org/10.1348/135532506X162498</w:t>
        </w:r>
      </w:hyperlink>
    </w:p>
    <w:p w14:paraId="2A64B5DF" w14:textId="77777777" w:rsidR="00D14231" w:rsidRPr="00D14231" w:rsidRDefault="00D14231" w:rsidP="00D14231">
      <w:pPr>
        <w:rPr>
          <w:rFonts w:cstheme="minorHAnsi"/>
          <w:sz w:val="24"/>
          <w:szCs w:val="24"/>
          <w:shd w:val="clear" w:color="auto" w:fill="FFFFFF"/>
        </w:rPr>
      </w:pPr>
      <w:r w:rsidRPr="00D14231">
        <w:rPr>
          <w:rFonts w:cstheme="minorHAnsi"/>
          <w:sz w:val="24"/>
          <w:szCs w:val="24"/>
          <w:shd w:val="clear" w:color="auto" w:fill="FFFFFF"/>
        </w:rPr>
        <w:t>Davies R; Mcmahon M and Greenwood KM (2005) The efficacy of mnemonic components of the cognitive interview-towards a shortened variant for time critical investigations.  Applied Cognitive Psychology. 19 (1), pp75-93.</w:t>
      </w:r>
    </w:p>
    <w:p w14:paraId="74A1FD3B" w14:textId="77777777" w:rsidR="00D14231" w:rsidRPr="00D14231" w:rsidRDefault="00D14231" w:rsidP="00D14231">
      <w:pPr>
        <w:rPr>
          <w:rFonts w:cstheme="minorHAnsi"/>
          <w:sz w:val="24"/>
          <w:szCs w:val="24"/>
        </w:rPr>
      </w:pPr>
      <w:r w:rsidRPr="00D14231">
        <w:rPr>
          <w:rFonts w:cstheme="minorHAnsi"/>
          <w:color w:val="3A3A3A"/>
          <w:sz w:val="24"/>
          <w:szCs w:val="24"/>
          <w:shd w:val="clear" w:color="auto" w:fill="FFFFFF"/>
        </w:rPr>
        <w:t>Fisher, R. P., &amp; Geiselman, R. E. (2010). The Cognitive Interview method of conducting police interviews: Eliciting extensive information and promoting Therapeutic Jurisprudence. </w:t>
      </w:r>
      <w:r w:rsidRPr="00D14231">
        <w:rPr>
          <w:rStyle w:val="Emphasis"/>
          <w:rFonts w:cstheme="minorHAnsi"/>
          <w:color w:val="3A3A3A"/>
          <w:sz w:val="24"/>
          <w:szCs w:val="24"/>
          <w:shd w:val="clear" w:color="auto" w:fill="FFFFFF"/>
        </w:rPr>
        <w:t>International  Journal of Law and Psychiatry</w:t>
      </w:r>
      <w:r w:rsidRPr="00D14231">
        <w:rPr>
          <w:rFonts w:cstheme="minorHAnsi"/>
          <w:color w:val="3A3A3A"/>
          <w:sz w:val="24"/>
          <w:szCs w:val="24"/>
          <w:shd w:val="clear" w:color="auto" w:fill="FFFFFF"/>
        </w:rPr>
        <w:t>, </w:t>
      </w:r>
      <w:r w:rsidRPr="00D14231">
        <w:rPr>
          <w:rStyle w:val="Emphasis"/>
          <w:rFonts w:cstheme="minorHAnsi"/>
          <w:color w:val="3A3A3A"/>
          <w:sz w:val="24"/>
          <w:szCs w:val="24"/>
          <w:shd w:val="clear" w:color="auto" w:fill="FFFFFF"/>
        </w:rPr>
        <w:t>33</w:t>
      </w:r>
      <w:r w:rsidRPr="00D14231">
        <w:rPr>
          <w:rFonts w:cstheme="minorHAnsi"/>
          <w:color w:val="3A3A3A"/>
          <w:sz w:val="24"/>
          <w:szCs w:val="24"/>
          <w:shd w:val="clear" w:color="auto" w:fill="FFFFFF"/>
        </w:rPr>
        <w:t>(5), 321-328.</w:t>
      </w:r>
      <w:r w:rsidRPr="00D14231">
        <w:rPr>
          <w:rFonts w:cstheme="minorHAnsi"/>
          <w:sz w:val="24"/>
          <w:szCs w:val="24"/>
        </w:rPr>
        <w:t xml:space="preserve"> </w:t>
      </w:r>
    </w:p>
    <w:p w14:paraId="057CBCBE" w14:textId="77777777" w:rsidR="00D14231" w:rsidRPr="00D14231" w:rsidRDefault="00D14231" w:rsidP="00D14231">
      <w:pPr>
        <w:rPr>
          <w:sz w:val="24"/>
          <w:szCs w:val="24"/>
        </w:rPr>
      </w:pPr>
      <w:r w:rsidRPr="00D14231">
        <w:rPr>
          <w:sz w:val="24"/>
          <w:szCs w:val="24"/>
        </w:rPr>
        <w:t>George RC (1991) A field and experimental evaluation of three methods of interviewing witnesses/victims of crime. Unpublished MSc Thesis. University of East London.</w:t>
      </w:r>
    </w:p>
    <w:p w14:paraId="1D6185B0" w14:textId="77777777" w:rsidR="00D14231" w:rsidRPr="00D14231" w:rsidRDefault="00D14231" w:rsidP="00D14231">
      <w:pPr>
        <w:rPr>
          <w:rFonts w:eastAsia="Times New Roman" w:cstheme="minorHAnsi"/>
          <w:color w:val="111111"/>
          <w:kern w:val="0"/>
          <w:sz w:val="24"/>
          <w:szCs w:val="24"/>
          <w:lang w:eastAsia="en-GB"/>
          <w14:ligatures w14:val="none"/>
        </w:rPr>
      </w:pPr>
      <w:r w:rsidRPr="00D14231">
        <w:rPr>
          <w:sz w:val="24"/>
          <w:szCs w:val="24"/>
        </w:rPr>
        <w:t xml:space="preserve">Griffiths A and Milne R (2010) </w:t>
      </w:r>
      <w:r w:rsidRPr="00D14231">
        <w:rPr>
          <w:rFonts w:eastAsia="Times New Roman" w:cstheme="minorHAnsi"/>
          <w:color w:val="111111"/>
          <w:kern w:val="36"/>
          <w:sz w:val="24"/>
          <w:szCs w:val="24"/>
          <w:lang w:eastAsia="en-GB"/>
          <w14:ligatures w14:val="none"/>
        </w:rPr>
        <w:t xml:space="preserve">The Application of Cognitive Interview Techniques as Part of an Investigation. In </w:t>
      </w:r>
      <w:r w:rsidRPr="00D14231">
        <w:rPr>
          <w:rFonts w:eastAsia="Times New Roman" w:cstheme="minorHAnsi"/>
          <w:color w:val="111111"/>
          <w:kern w:val="0"/>
          <w:sz w:val="24"/>
          <w:szCs w:val="24"/>
          <w:lang w:eastAsia="en-GB"/>
          <w14:ligatures w14:val="none"/>
        </w:rPr>
        <w:t>Consultancy and Advising in Forensic Practice: Empirical and Practical Guidelines (pp.69 - 90) DOI:</w:t>
      </w:r>
      <w:hyperlink r:id="rId24" w:tgtFrame="_blank" w:history="1">
        <w:r w:rsidRPr="00D14231">
          <w:rPr>
            <w:rFonts w:eastAsia="Times New Roman" w:cstheme="minorHAnsi"/>
            <w:color w:val="0000FF"/>
            <w:kern w:val="0"/>
            <w:sz w:val="24"/>
            <w:szCs w:val="24"/>
            <w:u w:val="single"/>
            <w:bdr w:val="none" w:sz="0" w:space="0" w:color="auto" w:frame="1"/>
            <w:lang w:eastAsia="en-GB"/>
            <w14:ligatures w14:val="none"/>
          </w:rPr>
          <w:t>10.1002/9780470661505.ch5</w:t>
        </w:r>
      </w:hyperlink>
    </w:p>
    <w:p w14:paraId="41528169" w14:textId="77777777" w:rsidR="00D14231" w:rsidRPr="00D14231" w:rsidRDefault="00D14231" w:rsidP="00D14231">
      <w:pPr>
        <w:shd w:val="clear" w:color="auto" w:fill="FFFFFF"/>
        <w:spacing w:after="0" w:line="0" w:lineRule="auto"/>
        <w:rPr>
          <w:rFonts w:eastAsia="Times New Roman" w:cs="Times New Roman"/>
          <w:color w:val="000000"/>
          <w:kern w:val="0"/>
          <w:sz w:val="24"/>
          <w:szCs w:val="24"/>
          <w:lang w:eastAsia="en-GB"/>
          <w14:ligatures w14:val="none"/>
        </w:rPr>
      </w:pPr>
      <w:r w:rsidRPr="00D14231">
        <w:rPr>
          <w:rFonts w:eastAsia="Times New Roman" w:cs="Times New Roman"/>
          <w:color w:val="000000"/>
          <w:kern w:val="0"/>
          <w:sz w:val="24"/>
          <w:szCs w:val="24"/>
          <w:lang w:eastAsia="en-GB"/>
          <w14:ligatures w14:val="none"/>
        </w:rPr>
        <w:t xml:space="preserve">Kebbell, M. R., &amp; Milne, R. (1998). Police officers' perceptions of eyewitness factors </w:t>
      </w:r>
    </w:p>
    <w:p w14:paraId="153B7622" w14:textId="77777777" w:rsidR="00D14231" w:rsidRPr="00D14231" w:rsidRDefault="00D14231" w:rsidP="00D14231">
      <w:pPr>
        <w:shd w:val="clear" w:color="auto" w:fill="FFFFFF"/>
        <w:spacing w:after="0" w:line="0" w:lineRule="auto"/>
        <w:rPr>
          <w:rFonts w:eastAsia="Times New Roman" w:cs="Times New Roman"/>
          <w:color w:val="000000"/>
          <w:kern w:val="0"/>
          <w:sz w:val="24"/>
          <w:szCs w:val="24"/>
          <w:lang w:eastAsia="en-GB"/>
          <w14:ligatures w14:val="none"/>
        </w:rPr>
      </w:pPr>
      <w:r w:rsidRPr="00D14231">
        <w:rPr>
          <w:rFonts w:eastAsia="Times New Roman" w:cs="Times New Roman"/>
          <w:color w:val="000000"/>
          <w:kern w:val="0"/>
          <w:sz w:val="24"/>
          <w:szCs w:val="24"/>
          <w:lang w:eastAsia="en-GB"/>
          <w14:ligatures w14:val="none"/>
        </w:rPr>
        <w:t>in forensic investigations. The Journal of Social Psychology, 138, 323-330</w:t>
      </w:r>
    </w:p>
    <w:p w14:paraId="252FB9CA" w14:textId="77777777" w:rsidR="00D14231" w:rsidRPr="00D14231" w:rsidRDefault="00D14231" w:rsidP="00D14231">
      <w:pPr>
        <w:rPr>
          <w:sz w:val="24"/>
          <w:szCs w:val="24"/>
        </w:rPr>
      </w:pPr>
      <w:r w:rsidRPr="00D14231">
        <w:rPr>
          <w:rFonts w:cs="Arial"/>
          <w:color w:val="333333"/>
          <w:sz w:val="24"/>
          <w:szCs w:val="24"/>
          <w:shd w:val="clear" w:color="auto" w:fill="FFFFFF"/>
        </w:rPr>
        <w:t>Kebbell, M. R., &amp; Milne, R. (1998). Police officers' perceptions of eyewitness performance in forensic investigations. </w:t>
      </w:r>
      <w:r w:rsidRPr="00D14231">
        <w:rPr>
          <w:rFonts w:cs="Arial"/>
          <w:i/>
          <w:iCs/>
          <w:color w:val="333333"/>
          <w:sz w:val="24"/>
          <w:szCs w:val="24"/>
          <w:shd w:val="clear" w:color="auto" w:fill="FFFFFF"/>
        </w:rPr>
        <w:t>The Journal of Social Psychology, 138</w:t>
      </w:r>
      <w:r w:rsidRPr="00D14231">
        <w:rPr>
          <w:rFonts w:cs="Arial"/>
          <w:color w:val="333333"/>
          <w:sz w:val="24"/>
          <w:szCs w:val="24"/>
          <w:shd w:val="clear" w:color="auto" w:fill="FFFFFF"/>
        </w:rPr>
        <w:t>(3), 323–330. </w:t>
      </w:r>
      <w:hyperlink r:id="rId25" w:tgtFrame="_blank" w:history="1">
        <w:r w:rsidRPr="00D14231">
          <w:rPr>
            <w:rFonts w:cs="Arial"/>
            <w:color w:val="2C72B7"/>
            <w:sz w:val="24"/>
            <w:szCs w:val="24"/>
            <w:u w:val="single"/>
            <w:shd w:val="clear" w:color="auto" w:fill="FFFFFF"/>
          </w:rPr>
          <w:t>https://doi.org/10.1080/00224549809600384</w:t>
        </w:r>
      </w:hyperlink>
    </w:p>
    <w:p w14:paraId="32F74024" w14:textId="77777777" w:rsidR="00D14231" w:rsidRPr="00D14231" w:rsidRDefault="00D14231" w:rsidP="00D14231">
      <w:pPr>
        <w:rPr>
          <w:rFonts w:eastAsia="Times New Roman" w:cstheme="minorHAnsi"/>
          <w:color w:val="111111"/>
          <w:kern w:val="0"/>
          <w:sz w:val="24"/>
          <w:szCs w:val="24"/>
          <w:lang w:eastAsia="en-GB"/>
          <w14:ligatures w14:val="none"/>
        </w:rPr>
      </w:pPr>
      <w:r w:rsidRPr="00D14231">
        <w:rPr>
          <w:rFonts w:cs="Arial"/>
          <w:color w:val="333333"/>
          <w:sz w:val="24"/>
          <w:szCs w:val="24"/>
          <w:shd w:val="clear" w:color="auto" w:fill="FFFFFF"/>
        </w:rPr>
        <w:t>Kebbell, M. R., Milne, R., &amp; Wagstaff, G. F. (1999). The cognitive interview: A survey of its forensic effectiveness. </w:t>
      </w:r>
      <w:r w:rsidRPr="00D14231">
        <w:rPr>
          <w:rFonts w:cs="Arial"/>
          <w:i/>
          <w:iCs/>
          <w:color w:val="333333"/>
          <w:sz w:val="24"/>
          <w:szCs w:val="24"/>
          <w:shd w:val="clear" w:color="auto" w:fill="FFFFFF"/>
        </w:rPr>
        <w:t>Psychology, Crime &amp; Law, 5</w:t>
      </w:r>
      <w:r w:rsidRPr="00D14231">
        <w:rPr>
          <w:rFonts w:cs="Arial"/>
          <w:color w:val="333333"/>
          <w:sz w:val="24"/>
          <w:szCs w:val="24"/>
          <w:shd w:val="clear" w:color="auto" w:fill="FFFFFF"/>
        </w:rPr>
        <w:t>(1-2), 101–115. </w:t>
      </w:r>
      <w:hyperlink r:id="rId26" w:tgtFrame="_blank" w:history="1">
        <w:r w:rsidRPr="00D14231">
          <w:rPr>
            <w:rFonts w:cs="Arial"/>
            <w:color w:val="23527C"/>
            <w:sz w:val="24"/>
            <w:szCs w:val="24"/>
            <w:u w:val="single"/>
            <w:shd w:val="clear" w:color="auto" w:fill="FFFFFF"/>
          </w:rPr>
          <w:t>https://doi.org/10.1080/10683169908414996</w:t>
        </w:r>
      </w:hyperlink>
    </w:p>
    <w:p w14:paraId="5264830A" w14:textId="77777777" w:rsidR="00D14231" w:rsidRPr="00D14231" w:rsidRDefault="00D14231" w:rsidP="00D14231">
      <w:pPr>
        <w:pStyle w:val="Heading1"/>
        <w:shd w:val="clear" w:color="auto" w:fill="FFFFFF"/>
        <w:rPr>
          <w:rFonts w:asciiTheme="minorHAnsi" w:eastAsia="Times New Roman" w:hAnsiTheme="minorHAnsi" w:cs="Open Sans"/>
          <w:b/>
          <w:bCs/>
          <w:color w:val="1C1D1E"/>
          <w:kern w:val="36"/>
          <w:sz w:val="24"/>
          <w:szCs w:val="24"/>
          <w:lang w:val="en" w:eastAsia="en-GB"/>
          <w14:ligatures w14:val="none"/>
        </w:rPr>
      </w:pPr>
      <w:r w:rsidRPr="00D14231">
        <w:rPr>
          <w:rFonts w:asciiTheme="minorHAnsi" w:hAnsiTheme="minorHAnsi" w:cs="Arial"/>
          <w:color w:val="333333"/>
          <w:sz w:val="24"/>
          <w:szCs w:val="24"/>
          <w:shd w:val="clear" w:color="auto" w:fill="FFFFFF"/>
        </w:rPr>
        <w:t>Köhnken, G., Milne, R., Memon, A., &amp; Bull, R. (1999). The cognitive interview: A meta-analysis. </w:t>
      </w:r>
      <w:r w:rsidRPr="00D14231">
        <w:rPr>
          <w:rFonts w:asciiTheme="minorHAnsi" w:hAnsiTheme="minorHAnsi" w:cs="Arial"/>
          <w:i/>
          <w:iCs/>
          <w:color w:val="333333"/>
          <w:sz w:val="24"/>
          <w:szCs w:val="24"/>
          <w:shd w:val="clear" w:color="auto" w:fill="FFFFFF"/>
        </w:rPr>
        <w:t>Psychology, Crime &amp; Law, 5</w:t>
      </w:r>
      <w:r w:rsidRPr="00D14231">
        <w:rPr>
          <w:rFonts w:asciiTheme="minorHAnsi" w:hAnsiTheme="minorHAnsi" w:cs="Arial"/>
          <w:color w:val="333333"/>
          <w:sz w:val="24"/>
          <w:szCs w:val="24"/>
          <w:shd w:val="clear" w:color="auto" w:fill="FFFFFF"/>
        </w:rPr>
        <w:t>(1-2), 3–27. </w:t>
      </w:r>
      <w:hyperlink r:id="rId27" w:tgtFrame="_blank" w:history="1">
        <w:r w:rsidRPr="00D14231">
          <w:rPr>
            <w:rFonts w:asciiTheme="minorHAnsi" w:hAnsiTheme="minorHAnsi" w:cs="Arial"/>
            <w:color w:val="23527C"/>
            <w:sz w:val="24"/>
            <w:szCs w:val="24"/>
            <w:u w:val="single"/>
            <w:shd w:val="clear" w:color="auto" w:fill="FFFFFF"/>
          </w:rPr>
          <w:t>https://doi.org/10.1080/10683169908414991</w:t>
        </w:r>
      </w:hyperlink>
      <w:r w:rsidRPr="00D14231">
        <w:rPr>
          <w:rFonts w:asciiTheme="minorHAnsi" w:eastAsia="Times New Roman" w:hAnsiTheme="minorHAnsi" w:cs="Open Sans"/>
          <w:b/>
          <w:bCs/>
          <w:color w:val="1C1D1E"/>
          <w:kern w:val="36"/>
          <w:sz w:val="24"/>
          <w:szCs w:val="24"/>
          <w:lang w:val="en" w:eastAsia="en-GB"/>
          <w14:ligatures w14:val="none"/>
        </w:rPr>
        <w:t xml:space="preserve"> </w:t>
      </w:r>
    </w:p>
    <w:p w14:paraId="7503E7ED" w14:textId="77777777" w:rsidR="00D14231" w:rsidRPr="00D14231" w:rsidRDefault="00D14231" w:rsidP="00D14231">
      <w:pPr>
        <w:pStyle w:val="Heading1"/>
        <w:shd w:val="clear" w:color="auto" w:fill="FFFFFF"/>
        <w:rPr>
          <w:rFonts w:asciiTheme="minorHAnsi" w:eastAsia="Times New Roman" w:hAnsiTheme="minorHAnsi" w:cstheme="minorHAnsi"/>
          <w:kern w:val="0"/>
          <w:sz w:val="24"/>
          <w:szCs w:val="24"/>
          <w:lang w:eastAsia="en-GB"/>
          <w14:ligatures w14:val="none"/>
        </w:rPr>
      </w:pPr>
      <w:r w:rsidRPr="00D14231">
        <w:rPr>
          <w:rFonts w:asciiTheme="minorHAnsi" w:eastAsia="Times New Roman" w:hAnsiTheme="minorHAnsi" w:cstheme="minorHAnsi"/>
          <w:color w:val="1C1D1E"/>
          <w:kern w:val="36"/>
          <w:sz w:val="24"/>
          <w:szCs w:val="24"/>
          <w:lang w:val="en" w:eastAsia="en-GB"/>
          <w14:ligatures w14:val="none"/>
        </w:rPr>
        <w:t xml:space="preserve">Kohnken G; Thurer C and Zoberbier D (1994) The cognitive interview: Are the interviewers' memories enhanced, too? Accessed via </w:t>
      </w:r>
    </w:p>
    <w:p w14:paraId="31E57260" w14:textId="77777777" w:rsidR="00D14231" w:rsidRPr="00D14231" w:rsidRDefault="00D14231" w:rsidP="00D14231">
      <w:pPr>
        <w:shd w:val="clear" w:color="auto" w:fill="FFFFFF"/>
        <w:spacing w:after="0" w:line="240" w:lineRule="auto"/>
        <w:rPr>
          <w:rFonts w:eastAsia="Times New Roman" w:cstheme="minorHAnsi"/>
          <w:kern w:val="0"/>
          <w:sz w:val="24"/>
          <w:szCs w:val="24"/>
          <w:lang w:eastAsia="en-GB"/>
          <w14:ligatures w14:val="none"/>
        </w:rPr>
      </w:pPr>
      <w:hyperlink r:id="rId28" w:history="1">
        <w:r w:rsidRPr="00D14231">
          <w:rPr>
            <w:rFonts w:eastAsia="Times New Roman" w:cstheme="minorHAnsi"/>
            <w:color w:val="0000FF"/>
            <w:kern w:val="0"/>
            <w:sz w:val="24"/>
            <w:szCs w:val="24"/>
            <w:u w:val="single"/>
            <w:lang w:eastAsia="en-GB"/>
            <w14:ligatures w14:val="none"/>
          </w:rPr>
          <w:t>https://doi.org/10.1002/acp.2350080103</w:t>
        </w:r>
      </w:hyperlink>
      <w:r w:rsidRPr="00D14231">
        <w:rPr>
          <w:rFonts w:eastAsia="Times New Roman" w:cstheme="minorHAnsi"/>
          <w:kern w:val="0"/>
          <w:sz w:val="24"/>
          <w:szCs w:val="24"/>
          <w:lang w:eastAsia="en-GB"/>
          <w14:ligatures w14:val="none"/>
        </w:rPr>
        <w:t>. Date accessed 28/12/23</w:t>
      </w:r>
    </w:p>
    <w:p w14:paraId="4A618958" w14:textId="77777777" w:rsidR="00D14231" w:rsidRPr="00D14231" w:rsidRDefault="00D14231" w:rsidP="00D14231">
      <w:pPr>
        <w:rPr>
          <w:sz w:val="24"/>
          <w:szCs w:val="24"/>
        </w:rPr>
      </w:pPr>
    </w:p>
    <w:p w14:paraId="1ADEBEDA" w14:textId="77777777" w:rsidR="00D14231" w:rsidRPr="00D14231" w:rsidRDefault="00D14231" w:rsidP="00D14231">
      <w:pPr>
        <w:rPr>
          <w:rFonts w:eastAsia="Times New Roman" w:cstheme="minorHAnsi"/>
          <w:color w:val="111111"/>
          <w:kern w:val="0"/>
          <w:sz w:val="24"/>
          <w:szCs w:val="24"/>
          <w:lang w:eastAsia="en-GB"/>
          <w14:ligatures w14:val="none"/>
        </w:rPr>
      </w:pPr>
      <w:r w:rsidRPr="00D14231">
        <w:rPr>
          <w:rFonts w:eastAsia="Times New Roman" w:cstheme="minorHAnsi"/>
          <w:color w:val="111111"/>
          <w:kern w:val="0"/>
          <w:sz w:val="24"/>
          <w:szCs w:val="24"/>
          <w:lang w:eastAsia="en-GB"/>
          <w14:ligatures w14:val="none"/>
        </w:rPr>
        <w:t>Longford G (1991)  The use of the cognitive interview by officers trained on the National Investigative Interview course. Unpublished MSc Dissertation. University of Portsmouth.</w:t>
      </w:r>
    </w:p>
    <w:p w14:paraId="6E4C686A" w14:textId="77777777" w:rsidR="00D14231" w:rsidRPr="00D14231" w:rsidRDefault="00D14231" w:rsidP="00D14231">
      <w:pPr>
        <w:rPr>
          <w:sz w:val="24"/>
          <w:szCs w:val="24"/>
        </w:rPr>
      </w:pPr>
      <w:r w:rsidRPr="00D14231">
        <w:rPr>
          <w:rFonts w:cs="Arial"/>
          <w:color w:val="333333"/>
          <w:sz w:val="24"/>
          <w:szCs w:val="24"/>
          <w:shd w:val="clear" w:color="auto" w:fill="FFFFFF"/>
        </w:rPr>
        <w:t>Memon, A., Meissner, C. A., &amp; Fraser, J. (2010). The Cognitive Interview: A meta-analytic review and study space analysis of the past 25 years. </w:t>
      </w:r>
      <w:r w:rsidRPr="00D14231">
        <w:rPr>
          <w:rFonts w:cs="Arial"/>
          <w:i/>
          <w:iCs/>
          <w:color w:val="333333"/>
          <w:sz w:val="24"/>
          <w:szCs w:val="24"/>
          <w:shd w:val="clear" w:color="auto" w:fill="FFFFFF"/>
        </w:rPr>
        <w:t>Psychology, Public Policy, and Law, 16</w:t>
      </w:r>
      <w:r w:rsidRPr="00D14231">
        <w:rPr>
          <w:rFonts w:cs="Arial"/>
          <w:color w:val="333333"/>
          <w:sz w:val="24"/>
          <w:szCs w:val="24"/>
          <w:shd w:val="clear" w:color="auto" w:fill="FFFFFF"/>
        </w:rPr>
        <w:t>(4), 340–372. </w:t>
      </w:r>
      <w:hyperlink r:id="rId29" w:tgtFrame="_blank" w:history="1">
        <w:r w:rsidRPr="00D14231">
          <w:rPr>
            <w:rFonts w:cs="Arial"/>
            <w:color w:val="2C72B7"/>
            <w:sz w:val="24"/>
            <w:szCs w:val="24"/>
            <w:u w:val="single"/>
            <w:shd w:val="clear" w:color="auto" w:fill="FFFFFF"/>
          </w:rPr>
          <w:t>https://doi.org/10.1037/a0020518</w:t>
        </w:r>
      </w:hyperlink>
    </w:p>
    <w:p w14:paraId="044EA5B2" w14:textId="77777777" w:rsidR="00D14231" w:rsidRPr="00D14231" w:rsidRDefault="00D14231" w:rsidP="00D14231">
      <w:pPr>
        <w:rPr>
          <w:rFonts w:eastAsia="Times New Roman" w:cstheme="minorHAnsi"/>
          <w:color w:val="111111"/>
          <w:kern w:val="0"/>
          <w:sz w:val="24"/>
          <w:szCs w:val="24"/>
          <w:lang w:eastAsia="en-GB"/>
          <w14:ligatures w14:val="none"/>
        </w:rPr>
      </w:pPr>
      <w:r w:rsidRPr="00D14231">
        <w:rPr>
          <w:sz w:val="24"/>
          <w:szCs w:val="24"/>
        </w:rPr>
        <w:lastRenderedPageBreak/>
        <w:t>Milne R and Bull R (2002) Back to basics: A componential analysis of the original congnitibve interview mnemonics with three age groups. Applied Cognitive Psychology. Vol 16 issue 7. Pp 743-753.</w:t>
      </w:r>
    </w:p>
    <w:p w14:paraId="58374274" w14:textId="77777777" w:rsidR="00D14231" w:rsidRPr="00D14231" w:rsidRDefault="00D14231" w:rsidP="00D14231">
      <w:pPr>
        <w:rPr>
          <w:rFonts w:eastAsia="Times New Roman" w:cstheme="minorHAnsi"/>
          <w:b/>
          <w:bCs/>
          <w:kern w:val="0"/>
          <w:sz w:val="24"/>
          <w:szCs w:val="24"/>
          <w:lang w:eastAsia="en-GB"/>
          <w14:ligatures w14:val="none"/>
        </w:rPr>
      </w:pPr>
      <w:r w:rsidRPr="00D14231">
        <w:rPr>
          <w:rFonts w:eastAsia="Times New Roman" w:cstheme="minorHAnsi"/>
          <w:color w:val="111111"/>
          <w:kern w:val="0"/>
          <w:sz w:val="24"/>
          <w:szCs w:val="24"/>
          <w:lang w:eastAsia="en-GB"/>
          <w14:ligatures w14:val="none"/>
        </w:rPr>
        <w:t xml:space="preserve">The Rand Corporation (1975)  reported by </w:t>
      </w:r>
      <w:r w:rsidRPr="00D14231">
        <w:rPr>
          <w:rFonts w:cstheme="minorHAnsi"/>
          <w:color w:val="333333"/>
          <w:sz w:val="24"/>
          <w:szCs w:val="24"/>
          <w:shd w:val="clear" w:color="auto" w:fill="FFFFFF"/>
        </w:rPr>
        <w:t>Greenwood, Peter W. and Joan R. Petersilia, </w:t>
      </w:r>
      <w:r w:rsidRPr="00D14231">
        <w:rPr>
          <w:rStyle w:val="Emphasis"/>
          <w:rFonts w:cstheme="minorHAnsi"/>
          <w:color w:val="333333"/>
          <w:sz w:val="24"/>
          <w:szCs w:val="24"/>
          <w:shd w:val="clear" w:color="auto" w:fill="FFFFFF"/>
        </w:rPr>
        <w:t>The Criminal Investigation Process: Volume I: Summary and Policy Implications,</w:t>
      </w:r>
      <w:r w:rsidRPr="00D14231">
        <w:rPr>
          <w:rFonts w:cstheme="minorHAnsi"/>
          <w:color w:val="333333"/>
          <w:sz w:val="24"/>
          <w:szCs w:val="24"/>
          <w:shd w:val="clear" w:color="auto" w:fill="FFFFFF"/>
        </w:rPr>
        <w:t> RAND Corporation, R-1776-DOJ, 1975. As of December 28, 2023: https://www.rand.org/pubs/reports/R1776.html</w:t>
      </w:r>
    </w:p>
    <w:p w14:paraId="5AFD3D19" w14:textId="77777777" w:rsidR="00D14231" w:rsidRPr="00D14231" w:rsidRDefault="00D14231" w:rsidP="00D14231">
      <w:pPr>
        <w:shd w:val="clear" w:color="auto" w:fill="FFFFFF"/>
        <w:spacing w:after="0" w:line="240" w:lineRule="auto"/>
        <w:rPr>
          <w:rFonts w:eastAsia="Times New Roman" w:cstheme="minorHAnsi"/>
          <w:color w:val="111111"/>
          <w:kern w:val="0"/>
          <w:sz w:val="24"/>
          <w:szCs w:val="24"/>
          <w:lang w:eastAsia="en-GB"/>
          <w14:ligatures w14:val="none"/>
        </w:rPr>
      </w:pPr>
      <w:r w:rsidRPr="00D14231">
        <w:rPr>
          <w:rFonts w:cs="Open Sans"/>
          <w:color w:val="333333"/>
          <w:sz w:val="24"/>
          <w:szCs w:val="24"/>
          <w:shd w:val="clear" w:color="auto" w:fill="FFFFFF"/>
        </w:rPr>
        <w:t>Wright AM &amp; Holliday RE (2007) Interviewing cognitively impaired older adults: How useful is a Cognitive Interview?, Memory, 15:1, 17-33, DOI: </w:t>
      </w:r>
      <w:hyperlink r:id="rId30" w:history="1">
        <w:r w:rsidRPr="00D14231">
          <w:rPr>
            <w:rFonts w:cs="Open Sans"/>
            <w:color w:val="333333"/>
            <w:sz w:val="24"/>
            <w:szCs w:val="24"/>
            <w:u w:val="single"/>
            <w:shd w:val="clear" w:color="auto" w:fill="FFFFFF"/>
          </w:rPr>
          <w:t>10.1080/09658210601047351</w:t>
        </w:r>
      </w:hyperlink>
    </w:p>
    <w:p w14:paraId="401DC392" w14:textId="77777777" w:rsidR="00D14231" w:rsidRPr="00D14231" w:rsidRDefault="00D14231" w:rsidP="00D14231">
      <w:pPr>
        <w:shd w:val="clear" w:color="auto" w:fill="FFFFFF"/>
        <w:spacing w:after="0" w:line="240" w:lineRule="auto"/>
        <w:rPr>
          <w:rFonts w:eastAsia="Times New Roman" w:cstheme="minorHAnsi"/>
          <w:color w:val="111111"/>
          <w:kern w:val="0"/>
          <w:sz w:val="24"/>
          <w:szCs w:val="24"/>
          <w:lang w:eastAsia="en-GB"/>
          <w14:ligatures w14:val="none"/>
        </w:rPr>
      </w:pPr>
    </w:p>
    <w:p w14:paraId="50E4898F" w14:textId="1C426DA0" w:rsidR="00D14231" w:rsidRPr="00D14231" w:rsidRDefault="00D14231" w:rsidP="00D14231">
      <w:pPr>
        <w:rPr>
          <w:b/>
          <w:bCs/>
          <w:sz w:val="24"/>
          <w:szCs w:val="24"/>
        </w:rPr>
      </w:pPr>
      <w:r>
        <w:rPr>
          <w:b/>
          <w:bCs/>
          <w:sz w:val="24"/>
          <w:szCs w:val="24"/>
        </w:rPr>
        <w:t xml:space="preserve">Bibliography </w:t>
      </w:r>
      <w:r w:rsidRPr="00D14231">
        <w:rPr>
          <w:b/>
          <w:bCs/>
          <w:sz w:val="24"/>
          <w:szCs w:val="24"/>
        </w:rPr>
        <w:t>Essay 4</w:t>
      </w:r>
    </w:p>
    <w:p w14:paraId="6A7E24C3" w14:textId="77777777" w:rsidR="00D14231" w:rsidRPr="00D14231" w:rsidRDefault="00D14231" w:rsidP="00D14231">
      <w:pPr>
        <w:rPr>
          <w:rFonts w:cstheme="minorHAnsi"/>
          <w:sz w:val="24"/>
          <w:szCs w:val="24"/>
        </w:rPr>
      </w:pPr>
      <w:r w:rsidRPr="00D14231">
        <w:rPr>
          <w:rFonts w:cstheme="minorHAnsi"/>
          <w:sz w:val="24"/>
          <w:szCs w:val="24"/>
        </w:rPr>
        <w:t>Bradford B and Quinto P (2014) perceptions of bias, fairness and effectiveness in the policing of anti social behaviour. Criminal Justice and Behaviour. 41 (4) 450-470.</w:t>
      </w:r>
    </w:p>
    <w:p w14:paraId="045549AD" w14:textId="77777777" w:rsidR="00D14231" w:rsidRPr="00D14231" w:rsidRDefault="00D14231" w:rsidP="00D14231">
      <w:pPr>
        <w:rPr>
          <w:rFonts w:cstheme="minorHAnsi"/>
          <w:sz w:val="24"/>
          <w:szCs w:val="24"/>
        </w:rPr>
      </w:pPr>
      <w:r w:rsidRPr="00D14231">
        <w:rPr>
          <w:rFonts w:cstheme="minorHAnsi"/>
          <w:sz w:val="24"/>
          <w:szCs w:val="24"/>
        </w:rPr>
        <w:t>Bullock K (2018) The Police use of Social media: Transformation or Normalisation? Social Policy and Society. 17 (2): doi: 10.1017/S1474746417000112.</w:t>
      </w:r>
    </w:p>
    <w:p w14:paraId="56F8167D" w14:textId="77777777" w:rsidR="00D14231" w:rsidRPr="00D14231" w:rsidRDefault="00D14231" w:rsidP="00D14231">
      <w:pPr>
        <w:rPr>
          <w:rFonts w:eastAsia="Times New Roman" w:cstheme="minorHAnsi"/>
          <w:color w:val="333333"/>
          <w:kern w:val="0"/>
          <w:sz w:val="24"/>
          <w:szCs w:val="24"/>
          <w:lang w:eastAsia="en-GB"/>
          <w14:ligatures w14:val="none"/>
        </w:rPr>
      </w:pPr>
      <w:r w:rsidRPr="00D14231">
        <w:rPr>
          <w:rFonts w:eastAsia="Times New Roman" w:cstheme="minorHAnsi"/>
          <w:color w:val="333333"/>
          <w:kern w:val="0"/>
          <w:sz w:val="24"/>
          <w:szCs w:val="24"/>
          <w:lang w:eastAsia="en-GB"/>
          <w14:ligatures w14:val="none"/>
        </w:rPr>
        <w:t>Colbran MP (2020) Policing, social media and the new media landscape: can the police and the traditional media ever successfully bypass each other?, Policing and Society, 30:3, 295-309, DOI: </w:t>
      </w:r>
      <w:hyperlink r:id="rId31" w:history="1">
        <w:r w:rsidRPr="00D14231">
          <w:rPr>
            <w:rFonts w:eastAsia="Times New Roman" w:cstheme="minorHAnsi"/>
            <w:color w:val="333333"/>
            <w:kern w:val="0"/>
            <w:sz w:val="24"/>
            <w:szCs w:val="24"/>
            <w:u w:val="single"/>
            <w:lang w:eastAsia="en-GB"/>
            <w14:ligatures w14:val="none"/>
          </w:rPr>
          <w:t>10.1080/10439463.2018.1532426</w:t>
        </w:r>
      </w:hyperlink>
    </w:p>
    <w:p w14:paraId="06838C6F" w14:textId="77777777" w:rsidR="00D14231" w:rsidRPr="00D14231" w:rsidRDefault="00D14231" w:rsidP="00D14231">
      <w:pPr>
        <w:rPr>
          <w:rFonts w:cstheme="minorHAnsi"/>
          <w:sz w:val="24"/>
          <w:szCs w:val="24"/>
        </w:rPr>
      </w:pPr>
      <w:r w:rsidRPr="00D14231">
        <w:rPr>
          <w:rFonts w:cstheme="minorHAnsi"/>
          <w:sz w:val="24"/>
          <w:szCs w:val="24"/>
        </w:rPr>
        <w:t>College of Policing (2013) Guidance on Relationships with the Media.COP.</w:t>
      </w:r>
    </w:p>
    <w:p w14:paraId="7FAF3BB0" w14:textId="77777777" w:rsidR="00D14231" w:rsidRPr="00D14231" w:rsidRDefault="00D14231" w:rsidP="00D14231">
      <w:pPr>
        <w:rPr>
          <w:rFonts w:cstheme="minorHAnsi"/>
          <w:sz w:val="24"/>
          <w:szCs w:val="24"/>
        </w:rPr>
      </w:pPr>
      <w:r w:rsidRPr="00D14231">
        <w:rPr>
          <w:rFonts w:cstheme="minorHAnsi"/>
          <w:sz w:val="24"/>
          <w:szCs w:val="24"/>
        </w:rPr>
        <w:t>Davies PG (2011) Media Relations in the Modern Police State. Crime Reporting in Russia. In Policing across the World. CRC Press. Pp203-223</w:t>
      </w:r>
    </w:p>
    <w:p w14:paraId="0091C614" w14:textId="77777777" w:rsidR="00D14231" w:rsidRPr="00D14231" w:rsidRDefault="00D14231" w:rsidP="00D14231">
      <w:pPr>
        <w:rPr>
          <w:rFonts w:cstheme="minorHAnsi"/>
          <w:sz w:val="24"/>
          <w:szCs w:val="24"/>
        </w:rPr>
      </w:pPr>
      <w:r w:rsidRPr="00D14231">
        <w:rPr>
          <w:rFonts w:cstheme="minorHAnsi"/>
          <w:sz w:val="24"/>
          <w:szCs w:val="24"/>
        </w:rPr>
        <w:t xml:space="preserve">Entman RM (2012) Scandal and Silence. Media responses to Presidential Misconduct. Wiley. New York. </w:t>
      </w:r>
    </w:p>
    <w:p w14:paraId="7368998C" w14:textId="77777777" w:rsidR="00D14231" w:rsidRPr="00D14231" w:rsidRDefault="00D14231" w:rsidP="00D14231">
      <w:pPr>
        <w:rPr>
          <w:rFonts w:cstheme="minorHAnsi"/>
          <w:sz w:val="24"/>
          <w:szCs w:val="24"/>
        </w:rPr>
      </w:pPr>
      <w:r w:rsidRPr="00D14231">
        <w:rPr>
          <w:rFonts w:cstheme="minorHAnsi"/>
          <w:sz w:val="24"/>
          <w:szCs w:val="24"/>
        </w:rPr>
        <w:t xml:space="preserve">Erikson RV, Baranek PM and Chand J (1987) Visualising Deviance. A study of New Organisation. University of Toronto Press Accessed via </w:t>
      </w:r>
      <w:hyperlink r:id="rId32" w:history="1">
        <w:r w:rsidRPr="00D14231">
          <w:rPr>
            <w:rFonts w:cstheme="minorHAnsi"/>
            <w:color w:val="0000FF"/>
            <w:sz w:val="24"/>
            <w:szCs w:val="24"/>
            <w:u w:val="single"/>
          </w:rPr>
          <w:t>Visualizing Deviance. A Study of News Organization. Richard V. Ericson, Patricia M. Baranek and Janet B.L. Chan. Toronto: University of Toronto Press, 1987, 390pp. | Canadian Journal of Law and Society / La Revue Canadienne Droit et Société | Cambridge Core</w:t>
        </w:r>
      </w:hyperlink>
      <w:r w:rsidRPr="00D14231">
        <w:rPr>
          <w:rFonts w:cstheme="minorHAnsi"/>
          <w:sz w:val="24"/>
          <w:szCs w:val="24"/>
        </w:rPr>
        <w:t>. Date Accessed 27/12/23.</w:t>
      </w:r>
    </w:p>
    <w:p w14:paraId="0ED7771D" w14:textId="77777777" w:rsidR="00D14231" w:rsidRPr="00D14231" w:rsidRDefault="00D14231" w:rsidP="00D14231">
      <w:pPr>
        <w:rPr>
          <w:rFonts w:cstheme="minorHAnsi"/>
          <w:sz w:val="24"/>
          <w:szCs w:val="24"/>
          <w:lang w:eastAsia="en-GB"/>
        </w:rPr>
      </w:pPr>
      <w:r w:rsidRPr="00D14231">
        <w:rPr>
          <w:rFonts w:cstheme="minorHAnsi"/>
          <w:sz w:val="24"/>
          <w:szCs w:val="24"/>
        </w:rPr>
        <w:t xml:space="preserve">Graziano LM and Gauthier JF (2017) Media consumption and perceptions of police legitimacy. Accessed via </w:t>
      </w:r>
      <w:hyperlink r:id="rId33" w:history="1">
        <w:r w:rsidRPr="00D14231">
          <w:rPr>
            <w:rFonts w:cstheme="minorHAnsi"/>
            <w:color w:val="0000FF"/>
            <w:sz w:val="24"/>
            <w:szCs w:val="24"/>
            <w:u w:val="single"/>
          </w:rPr>
          <w:t>EMERALD_</w:t>
        </w:r>
        <w:r w:rsidRPr="00D14231">
          <w:rPr>
            <w:rFonts w:cstheme="minorHAnsi"/>
            <w:color w:val="0000FF"/>
            <w:sz w:val="24"/>
            <w:szCs w:val="24"/>
          </w:rPr>
          <w:t>PIJPSM</w:t>
        </w:r>
        <w:r w:rsidRPr="00D14231">
          <w:rPr>
            <w:rFonts w:cstheme="minorHAnsi"/>
            <w:color w:val="0000FF"/>
            <w:sz w:val="24"/>
            <w:szCs w:val="24"/>
            <w:u w:val="single"/>
          </w:rPr>
          <w:t>_PIJPSM609432 593..607</w:t>
        </w:r>
      </w:hyperlink>
      <w:r w:rsidRPr="00D14231">
        <w:rPr>
          <w:rFonts w:cstheme="minorHAnsi"/>
          <w:sz w:val="24"/>
          <w:szCs w:val="24"/>
        </w:rPr>
        <w:t>. Date accessed 27/12/23.</w:t>
      </w:r>
    </w:p>
    <w:p w14:paraId="7B015E16" w14:textId="77777777" w:rsidR="00D14231" w:rsidRPr="00D14231" w:rsidRDefault="00D14231" w:rsidP="00D14231">
      <w:pPr>
        <w:pStyle w:val="Heading1"/>
        <w:shd w:val="clear" w:color="auto" w:fill="FFFFFF"/>
        <w:spacing w:before="0" w:line="317" w:lineRule="atLeast"/>
        <w:textAlignment w:val="baseline"/>
        <w:rPr>
          <w:rFonts w:asciiTheme="minorHAnsi" w:eastAsia="Times New Roman" w:hAnsiTheme="minorHAnsi" w:cstheme="minorHAnsi"/>
          <w:color w:val="000000"/>
          <w:kern w:val="36"/>
          <w:sz w:val="24"/>
          <w:szCs w:val="24"/>
          <w:lang w:eastAsia="en-GB"/>
          <w14:ligatures w14:val="none"/>
        </w:rPr>
      </w:pPr>
      <w:r w:rsidRPr="00D14231">
        <w:rPr>
          <w:rFonts w:asciiTheme="minorHAnsi" w:hAnsiTheme="minorHAnsi" w:cstheme="minorHAnsi"/>
          <w:sz w:val="24"/>
          <w:szCs w:val="24"/>
        </w:rPr>
        <w:lastRenderedPageBreak/>
        <w:t xml:space="preserve">Gest T (2019) </w:t>
      </w:r>
      <w:r w:rsidRPr="00D14231">
        <w:rPr>
          <w:rFonts w:asciiTheme="minorHAnsi" w:eastAsia="Times New Roman" w:hAnsiTheme="minorHAnsi" w:cstheme="minorHAnsi"/>
          <w:color w:val="000000"/>
          <w:kern w:val="36"/>
          <w:sz w:val="24"/>
          <w:szCs w:val="24"/>
          <w:lang w:eastAsia="en-GB"/>
          <w14:ligatures w14:val="none"/>
        </w:rPr>
        <w:t xml:space="preserve">Police and the News Media. Criminology and Criminal Justice Accessed via . </w:t>
      </w:r>
      <w:hyperlink r:id="rId34" w:history="1">
        <w:r w:rsidRPr="00D14231">
          <w:rPr>
            <w:rStyle w:val="Hyperlink"/>
            <w:rFonts w:asciiTheme="minorHAnsi" w:eastAsiaTheme="minorHAnsi" w:hAnsiTheme="minorHAnsi" w:cstheme="minorHAnsi"/>
            <w:sz w:val="24"/>
            <w:szCs w:val="24"/>
            <w:bdr w:val="none" w:sz="0" w:space="0" w:color="auto" w:frame="1"/>
            <w:shd w:val="clear" w:color="auto" w:fill="FFFFFF"/>
          </w:rPr>
          <w:t>https://doi.org/10.1093/acrefore/9780190264079.013.501</w:t>
        </w:r>
      </w:hyperlink>
      <w:r w:rsidRPr="00D14231">
        <w:rPr>
          <w:rFonts w:asciiTheme="minorHAnsi" w:eastAsiaTheme="minorHAnsi" w:hAnsiTheme="minorHAnsi" w:cstheme="minorHAnsi"/>
          <w:color w:val="006FB7"/>
          <w:sz w:val="24"/>
          <w:szCs w:val="24"/>
          <w:u w:val="single"/>
          <w:bdr w:val="none" w:sz="0" w:space="0" w:color="auto" w:frame="1"/>
          <w:shd w:val="clear" w:color="auto" w:fill="FFFFFF"/>
        </w:rPr>
        <w:t xml:space="preserve">   </w:t>
      </w:r>
      <w:r w:rsidRPr="00D14231">
        <w:rPr>
          <w:rFonts w:asciiTheme="minorHAnsi" w:eastAsia="Times New Roman" w:hAnsiTheme="minorHAnsi" w:cstheme="minorHAnsi"/>
          <w:color w:val="000000"/>
          <w:kern w:val="36"/>
          <w:sz w:val="24"/>
          <w:szCs w:val="24"/>
          <w:lang w:eastAsia="en-GB"/>
          <w14:ligatures w14:val="none"/>
        </w:rPr>
        <w:t>Date Accessed 27.12.23.</w:t>
      </w:r>
    </w:p>
    <w:p w14:paraId="1236EBB5" w14:textId="77777777" w:rsidR="00D14231" w:rsidRPr="00D14231" w:rsidRDefault="00D14231" w:rsidP="00D14231">
      <w:pPr>
        <w:pStyle w:val="Heading1"/>
        <w:shd w:val="clear" w:color="auto" w:fill="FFFFFF"/>
        <w:spacing w:before="0" w:line="317" w:lineRule="atLeast"/>
        <w:textAlignment w:val="baseline"/>
        <w:rPr>
          <w:rFonts w:asciiTheme="minorHAnsi" w:eastAsia="Times New Roman" w:hAnsiTheme="minorHAnsi" w:cstheme="minorHAnsi"/>
          <w:color w:val="333333"/>
          <w:kern w:val="0"/>
          <w:sz w:val="24"/>
          <w:szCs w:val="24"/>
          <w:lang w:eastAsia="en-GB"/>
          <w14:ligatures w14:val="none"/>
        </w:rPr>
      </w:pPr>
      <w:r w:rsidRPr="00D14231">
        <w:rPr>
          <w:rFonts w:asciiTheme="minorHAnsi" w:eastAsia="Times New Roman" w:hAnsiTheme="minorHAnsi" w:cstheme="minorHAnsi"/>
          <w:color w:val="000000"/>
          <w:kern w:val="36"/>
          <w:sz w:val="24"/>
          <w:szCs w:val="24"/>
          <w:lang w:eastAsia="en-GB"/>
          <w14:ligatures w14:val="none"/>
        </w:rPr>
        <w:t xml:space="preserve"> </w:t>
      </w:r>
      <w:r w:rsidRPr="00D14231">
        <w:rPr>
          <w:rFonts w:asciiTheme="minorHAnsi" w:eastAsia="Times New Roman" w:hAnsiTheme="minorHAnsi" w:cstheme="minorHAnsi"/>
          <w:color w:val="333333"/>
          <w:kern w:val="0"/>
          <w:sz w:val="24"/>
          <w:szCs w:val="24"/>
          <w:lang w:eastAsia="en-GB"/>
          <w14:ligatures w14:val="none"/>
        </w:rPr>
        <w:t>Goldsmith A (2015) Disgracebook policing: social media and the rise of police indiscretion, Policing and Society, 25:3, 249-267, DOI: </w:t>
      </w:r>
      <w:hyperlink r:id="rId35" w:history="1">
        <w:r w:rsidRPr="00D14231">
          <w:rPr>
            <w:rFonts w:asciiTheme="minorHAnsi" w:eastAsia="Times New Roman" w:hAnsiTheme="minorHAnsi" w:cstheme="minorHAnsi"/>
            <w:color w:val="333333"/>
            <w:kern w:val="0"/>
            <w:sz w:val="24"/>
            <w:szCs w:val="24"/>
            <w:u w:val="single"/>
            <w:lang w:eastAsia="en-GB"/>
            <w14:ligatures w14:val="none"/>
          </w:rPr>
          <w:t>10.1080/10439463.2013.864653</w:t>
        </w:r>
      </w:hyperlink>
    </w:p>
    <w:p w14:paraId="0FE44E74" w14:textId="77777777" w:rsidR="00D14231" w:rsidRPr="00D14231" w:rsidRDefault="00D14231" w:rsidP="00D14231">
      <w:pPr>
        <w:pStyle w:val="Heading1"/>
        <w:shd w:val="clear" w:color="auto" w:fill="FFFFFF"/>
        <w:spacing w:before="0" w:line="317" w:lineRule="atLeast"/>
        <w:textAlignment w:val="baseline"/>
        <w:rPr>
          <w:rFonts w:asciiTheme="minorHAnsi" w:hAnsiTheme="minorHAnsi" w:cstheme="minorHAnsi"/>
          <w:color w:val="000000" w:themeColor="text1"/>
          <w:sz w:val="24"/>
          <w:szCs w:val="24"/>
        </w:rPr>
      </w:pPr>
      <w:r w:rsidRPr="00D14231">
        <w:rPr>
          <w:rFonts w:asciiTheme="minorHAnsi" w:hAnsiTheme="minorHAnsi" w:cstheme="minorHAnsi"/>
          <w:color w:val="000000" w:themeColor="text1"/>
          <w:sz w:val="24"/>
          <w:szCs w:val="24"/>
        </w:rPr>
        <w:t>HMIC (2011) Without fear or favour: A review of police relationships</w:t>
      </w:r>
    </w:p>
    <w:p w14:paraId="44A27043" w14:textId="77777777" w:rsidR="00D14231" w:rsidRPr="00D14231" w:rsidRDefault="00D14231" w:rsidP="00D14231">
      <w:pPr>
        <w:rPr>
          <w:rFonts w:cstheme="minorHAnsi"/>
          <w:sz w:val="24"/>
          <w:szCs w:val="24"/>
        </w:rPr>
      </w:pPr>
      <w:r w:rsidRPr="00D14231">
        <w:rPr>
          <w:rFonts w:cstheme="minorHAnsi"/>
          <w:color w:val="333333"/>
          <w:sz w:val="24"/>
          <w:szCs w:val="24"/>
          <w:shd w:val="clear" w:color="auto" w:fill="FFFFFF"/>
        </w:rPr>
        <w:t>Intravia, J ; Wolff KT &amp;  Piquero AR (2018) Investigating the Effects of Media Consumption on Attitudes Toward Police Legitimacy, Deviant Behavior, 39:8, 963-980, DOI: </w:t>
      </w:r>
      <w:hyperlink r:id="rId36" w:history="1">
        <w:r w:rsidRPr="00D14231">
          <w:rPr>
            <w:rFonts w:cstheme="minorHAnsi"/>
            <w:color w:val="333333"/>
            <w:sz w:val="24"/>
            <w:szCs w:val="24"/>
            <w:u w:val="single"/>
            <w:shd w:val="clear" w:color="auto" w:fill="FFFFFF"/>
          </w:rPr>
          <w:t>10.1080/01639625.2017.1343038</w:t>
        </w:r>
      </w:hyperlink>
    </w:p>
    <w:p w14:paraId="26B9960E" w14:textId="77777777" w:rsidR="00D14231" w:rsidRPr="00D14231" w:rsidRDefault="00D14231" w:rsidP="00D14231">
      <w:pPr>
        <w:rPr>
          <w:rFonts w:cstheme="minorHAnsi"/>
          <w:sz w:val="24"/>
          <w:szCs w:val="24"/>
        </w:rPr>
      </w:pPr>
      <w:r w:rsidRPr="00D14231">
        <w:rPr>
          <w:rFonts w:cstheme="minorHAnsi"/>
          <w:color w:val="0B0C0C"/>
          <w:sz w:val="24"/>
          <w:szCs w:val="24"/>
          <w:shd w:val="clear" w:color="auto" w:fill="FFFFFF"/>
        </w:rPr>
        <w:t>Jackson, J., Bradford, B., Stanko, B. and Hohl, K. (2012) Just authority? Trust in the police in England and Wales. Willan.</w:t>
      </w:r>
    </w:p>
    <w:p w14:paraId="38BE5727" w14:textId="77777777" w:rsidR="00D14231" w:rsidRPr="00D14231" w:rsidRDefault="00D14231" w:rsidP="00D14231">
      <w:pPr>
        <w:rPr>
          <w:rFonts w:cstheme="minorHAnsi"/>
          <w:color w:val="333333"/>
          <w:sz w:val="24"/>
          <w:szCs w:val="24"/>
        </w:rPr>
      </w:pPr>
      <w:r w:rsidRPr="00D14231">
        <w:rPr>
          <w:rFonts w:cstheme="minorHAnsi"/>
          <w:color w:val="333333"/>
          <w:sz w:val="24"/>
          <w:szCs w:val="24"/>
        </w:rPr>
        <w:t>Johnston, J., and McGovern, A., 2013. Communicating justice: a comparison of courts and police Use of contemporary media. </w:t>
      </w:r>
      <w:r w:rsidRPr="00D14231">
        <w:rPr>
          <w:rStyle w:val="citationsource-journal"/>
          <w:rFonts w:cstheme="minorHAnsi"/>
          <w:i/>
          <w:iCs/>
          <w:color w:val="333333"/>
          <w:sz w:val="24"/>
          <w:szCs w:val="24"/>
        </w:rPr>
        <w:t>International journal of communication</w:t>
      </w:r>
      <w:r w:rsidRPr="00D14231">
        <w:rPr>
          <w:rFonts w:cstheme="minorHAnsi"/>
          <w:color w:val="333333"/>
          <w:sz w:val="24"/>
          <w:szCs w:val="24"/>
        </w:rPr>
        <w:t xml:space="preserve">, 7, 1667–1687 </w:t>
      </w:r>
    </w:p>
    <w:p w14:paraId="79223241" w14:textId="77777777" w:rsidR="00D14231" w:rsidRPr="00D14231" w:rsidRDefault="00D14231" w:rsidP="00D14231">
      <w:pPr>
        <w:rPr>
          <w:rFonts w:cstheme="minorHAnsi"/>
          <w:color w:val="333333"/>
          <w:sz w:val="24"/>
          <w:szCs w:val="24"/>
        </w:rPr>
      </w:pPr>
      <w:r w:rsidRPr="00D14231">
        <w:rPr>
          <w:rFonts w:cstheme="minorHAnsi"/>
          <w:color w:val="333333"/>
          <w:sz w:val="24"/>
          <w:szCs w:val="24"/>
        </w:rPr>
        <w:t>Lee, M. and McGovern, A., 2014. </w:t>
      </w:r>
      <w:r w:rsidRPr="00D14231">
        <w:rPr>
          <w:rStyle w:val="citationsource-book"/>
          <w:rFonts w:cstheme="minorHAnsi"/>
          <w:i/>
          <w:iCs/>
          <w:color w:val="333333"/>
          <w:sz w:val="24"/>
          <w:szCs w:val="24"/>
        </w:rPr>
        <w:t>Policing and media: public relations, simulacrums and communications</w:t>
      </w:r>
      <w:r w:rsidRPr="00D14231">
        <w:rPr>
          <w:rFonts w:cstheme="minorHAnsi"/>
          <w:color w:val="333333"/>
          <w:sz w:val="24"/>
          <w:szCs w:val="24"/>
        </w:rPr>
        <w:t>. Abingdon and New York, NY: Routledge.</w:t>
      </w:r>
    </w:p>
    <w:p w14:paraId="2FEEE592" w14:textId="77777777" w:rsidR="00D14231" w:rsidRPr="00D14231" w:rsidRDefault="00D14231" w:rsidP="00D14231">
      <w:pPr>
        <w:rPr>
          <w:rFonts w:cstheme="minorHAnsi"/>
          <w:color w:val="0B0C0C"/>
          <w:sz w:val="24"/>
          <w:szCs w:val="24"/>
          <w:shd w:val="clear" w:color="auto" w:fill="FFFFFF"/>
        </w:rPr>
      </w:pPr>
      <w:r w:rsidRPr="00D14231">
        <w:rPr>
          <w:rFonts w:cstheme="minorHAnsi"/>
          <w:color w:val="333333"/>
          <w:sz w:val="24"/>
          <w:szCs w:val="24"/>
        </w:rPr>
        <w:t>Lun C, Koper CS and Telep CW (2011) The evidence based Policing Matrix. Journal of Experimental Criminology. 7 (1) 3-26.</w:t>
      </w:r>
      <w:r w:rsidRPr="00D14231">
        <w:rPr>
          <w:rFonts w:cstheme="minorHAnsi"/>
          <w:color w:val="0B0C0C"/>
          <w:sz w:val="24"/>
          <w:szCs w:val="24"/>
          <w:shd w:val="clear" w:color="auto" w:fill="FFFFFF"/>
        </w:rPr>
        <w:t xml:space="preserve"> </w:t>
      </w:r>
    </w:p>
    <w:p w14:paraId="7AE9D28D" w14:textId="77777777" w:rsidR="00D14231" w:rsidRPr="00D14231" w:rsidRDefault="00D14231" w:rsidP="00D14231">
      <w:pPr>
        <w:rPr>
          <w:rFonts w:cstheme="minorHAnsi"/>
          <w:color w:val="333333"/>
          <w:sz w:val="24"/>
          <w:szCs w:val="24"/>
        </w:rPr>
      </w:pPr>
      <w:r w:rsidRPr="00D14231">
        <w:rPr>
          <w:rFonts w:cstheme="minorHAnsi"/>
          <w:color w:val="0B0C0C"/>
          <w:sz w:val="24"/>
          <w:szCs w:val="24"/>
          <w:shd w:val="clear" w:color="auto" w:fill="FFFFFF"/>
        </w:rPr>
        <w:t>McIntee, V. (2016) Police public relations in the age of social media. Canterbury Christ Church University (United Kingdom).</w:t>
      </w:r>
    </w:p>
    <w:p w14:paraId="773F541F" w14:textId="77777777" w:rsidR="00D14231" w:rsidRPr="00D14231" w:rsidRDefault="00D14231" w:rsidP="00D14231">
      <w:pPr>
        <w:rPr>
          <w:rFonts w:cstheme="minorHAnsi"/>
          <w:color w:val="333333"/>
          <w:sz w:val="24"/>
          <w:szCs w:val="24"/>
        </w:rPr>
      </w:pPr>
      <w:r w:rsidRPr="00D14231">
        <w:rPr>
          <w:rFonts w:cstheme="minorHAnsi"/>
          <w:color w:val="333333"/>
          <w:sz w:val="24"/>
          <w:szCs w:val="24"/>
        </w:rPr>
        <w:t>Skogan WG and Frydl I (2004) Fairness and Effectiveness in Policing. The Evidence. National Academic Press.</w:t>
      </w:r>
    </w:p>
    <w:p w14:paraId="538B0E7D" w14:textId="77777777" w:rsidR="00D14231" w:rsidRPr="00D14231" w:rsidRDefault="00D14231" w:rsidP="00D14231">
      <w:pPr>
        <w:rPr>
          <w:rFonts w:cstheme="minorHAnsi"/>
          <w:color w:val="333333"/>
          <w:sz w:val="24"/>
          <w:szCs w:val="24"/>
        </w:rPr>
      </w:pPr>
      <w:r w:rsidRPr="00D14231">
        <w:rPr>
          <w:rFonts w:cstheme="minorHAnsi"/>
          <w:color w:val="333333"/>
          <w:sz w:val="24"/>
          <w:szCs w:val="24"/>
        </w:rPr>
        <w:t>Surette R (2013) Media Crime and Criminal Justice. Realties and Policies. Wadsworth. Missouri.</w:t>
      </w:r>
    </w:p>
    <w:p w14:paraId="18B7BA8A" w14:textId="77777777" w:rsidR="00D14231" w:rsidRPr="00D14231" w:rsidRDefault="00D14231" w:rsidP="00D14231">
      <w:pPr>
        <w:rPr>
          <w:rFonts w:cstheme="minorHAnsi"/>
          <w:color w:val="333333"/>
          <w:sz w:val="24"/>
          <w:szCs w:val="24"/>
        </w:rPr>
      </w:pPr>
      <w:r w:rsidRPr="00D14231">
        <w:rPr>
          <w:rFonts w:cstheme="minorHAnsi"/>
          <w:color w:val="333333"/>
          <w:sz w:val="24"/>
          <w:szCs w:val="24"/>
        </w:rPr>
        <w:t>Taylor TR (2006) Why people obey the Law. Princetown University Press.</w:t>
      </w:r>
    </w:p>
    <w:p w14:paraId="5B7BED8A" w14:textId="77777777" w:rsidR="00D14231" w:rsidRPr="00D14231" w:rsidRDefault="00D14231" w:rsidP="00D14231">
      <w:pPr>
        <w:rPr>
          <w:rFonts w:cstheme="minorHAnsi"/>
          <w:sz w:val="24"/>
          <w:szCs w:val="24"/>
        </w:rPr>
      </w:pPr>
      <w:r w:rsidRPr="00D14231">
        <w:rPr>
          <w:rFonts w:cstheme="minorHAnsi"/>
          <w:color w:val="333333"/>
          <w:sz w:val="24"/>
          <w:szCs w:val="24"/>
        </w:rPr>
        <w:t xml:space="preserve">Walsh JP and Oconnor C (2018) Social media and policing: A review of recent research. Sociology Compass. Accessed via </w:t>
      </w:r>
      <w:hyperlink r:id="rId37" w:history="1">
        <w:r w:rsidRPr="00D14231">
          <w:rPr>
            <w:rFonts w:cstheme="minorHAnsi"/>
            <w:color w:val="0000FF"/>
            <w:sz w:val="24"/>
            <w:szCs w:val="24"/>
            <w:u w:val="single"/>
          </w:rPr>
          <w:t>Social media and policing: A review of recent research (wiley.com)</w:t>
        </w:r>
      </w:hyperlink>
      <w:r w:rsidRPr="00D14231">
        <w:rPr>
          <w:rFonts w:cstheme="minorHAnsi"/>
          <w:sz w:val="24"/>
          <w:szCs w:val="24"/>
        </w:rPr>
        <w:t>. Date accessed 27/12/23.</w:t>
      </w:r>
    </w:p>
    <w:p w14:paraId="3C54A3D2" w14:textId="34B61015" w:rsidR="00D14231" w:rsidRPr="00D14231" w:rsidRDefault="00D14231" w:rsidP="00D14231">
      <w:pPr>
        <w:rPr>
          <w:rFonts w:cstheme="minorHAnsi"/>
          <w:b/>
          <w:bCs/>
          <w:color w:val="000000"/>
          <w:spacing w:val="3"/>
          <w:sz w:val="24"/>
          <w:szCs w:val="24"/>
        </w:rPr>
      </w:pPr>
      <w:r>
        <w:rPr>
          <w:rFonts w:cstheme="minorHAnsi"/>
          <w:b/>
          <w:bCs/>
          <w:color w:val="000000"/>
          <w:spacing w:val="3"/>
          <w:sz w:val="24"/>
          <w:szCs w:val="24"/>
        </w:rPr>
        <w:t xml:space="preserve">Bibliography </w:t>
      </w:r>
      <w:r w:rsidRPr="00D14231">
        <w:rPr>
          <w:rFonts w:cstheme="minorHAnsi"/>
          <w:b/>
          <w:bCs/>
          <w:color w:val="000000"/>
          <w:spacing w:val="3"/>
          <w:sz w:val="24"/>
          <w:szCs w:val="24"/>
        </w:rPr>
        <w:t>Essay 5</w:t>
      </w:r>
    </w:p>
    <w:p w14:paraId="161D7D38" w14:textId="77777777" w:rsidR="00D14231" w:rsidRPr="00D14231" w:rsidRDefault="00D14231" w:rsidP="00D14231">
      <w:pPr>
        <w:rPr>
          <w:rFonts w:cstheme="minorHAnsi"/>
          <w:color w:val="333333"/>
          <w:sz w:val="24"/>
          <w:szCs w:val="24"/>
        </w:rPr>
      </w:pPr>
      <w:r w:rsidRPr="00D14231">
        <w:rPr>
          <w:rFonts w:cstheme="minorHAnsi"/>
          <w:color w:val="333333"/>
          <w:sz w:val="24"/>
          <w:szCs w:val="24"/>
        </w:rPr>
        <w:t>Andrews DA and Bonta J (2010) Psychology Public Policy and Law. Vol 16 (1), pp39</w:t>
      </w:r>
    </w:p>
    <w:p w14:paraId="04597D3A" w14:textId="77777777" w:rsidR="00D14231" w:rsidRPr="00D14231" w:rsidRDefault="00D14231" w:rsidP="00D14231">
      <w:pPr>
        <w:rPr>
          <w:rFonts w:cstheme="minorHAnsi"/>
          <w:sz w:val="24"/>
          <w:szCs w:val="24"/>
        </w:rPr>
      </w:pPr>
      <w:r w:rsidRPr="00D14231">
        <w:rPr>
          <w:rFonts w:cstheme="minorHAnsi"/>
          <w:color w:val="000000"/>
          <w:spacing w:val="3"/>
          <w:sz w:val="24"/>
          <w:szCs w:val="24"/>
        </w:rPr>
        <w:t>Bez DJ (2018)  R</w:t>
      </w:r>
      <w:r w:rsidRPr="00D14231">
        <w:rPr>
          <w:rFonts w:cstheme="minorHAnsi"/>
          <w:sz w:val="24"/>
          <w:szCs w:val="24"/>
        </w:rPr>
        <w:t xml:space="preserve">eformative and rehabilitative treatments of offenders: a general overview. MSSV JOURNAL OF HUMANITIES AND SOCIAL SCIENCES VOL. 2 N0. 1 [ISSN 2455-7706]. Accessed via </w:t>
      </w:r>
      <w:hyperlink r:id="rId38" w:history="1">
        <w:r w:rsidRPr="00D14231">
          <w:rPr>
            <w:rFonts w:cstheme="minorHAnsi"/>
            <w:color w:val="0000FF"/>
            <w:sz w:val="24"/>
            <w:szCs w:val="24"/>
            <w:u w:val="single"/>
          </w:rPr>
          <w:t>UGFcS497vgjfSweZ7N9vu9FQmEZa7yEL5qA1EdNF.pdf (mssv.ac.in)</w:t>
        </w:r>
      </w:hyperlink>
      <w:r w:rsidRPr="00D14231">
        <w:rPr>
          <w:rFonts w:cstheme="minorHAnsi"/>
          <w:sz w:val="24"/>
          <w:szCs w:val="24"/>
        </w:rPr>
        <w:t>. Date Accessed 28/1/24.</w:t>
      </w:r>
    </w:p>
    <w:p w14:paraId="7825D02A" w14:textId="77777777" w:rsidR="00D14231" w:rsidRPr="00D14231" w:rsidRDefault="00D14231" w:rsidP="00D14231">
      <w:pPr>
        <w:rPr>
          <w:rFonts w:cstheme="minorHAnsi"/>
          <w:sz w:val="24"/>
          <w:szCs w:val="24"/>
        </w:rPr>
      </w:pPr>
      <w:r w:rsidRPr="00D14231">
        <w:rPr>
          <w:rFonts w:cstheme="minorHAnsi"/>
          <w:sz w:val="24"/>
          <w:szCs w:val="24"/>
        </w:rPr>
        <w:lastRenderedPageBreak/>
        <w:t>Bolitho J (2015) Putting justice needs first: a case study of best practice for restorative justice.  Restorative Justice: An International Journal, 2015Vol. 3, No. 2, 256–281, http://dx.doi.org/10.1080/20504721.2015.1069531</w:t>
      </w:r>
    </w:p>
    <w:p w14:paraId="5DAFE101" w14:textId="77777777" w:rsidR="00D14231" w:rsidRPr="00D14231" w:rsidRDefault="00D14231" w:rsidP="00D14231">
      <w:pPr>
        <w:rPr>
          <w:rFonts w:cstheme="minorHAnsi"/>
          <w:sz w:val="24"/>
          <w:szCs w:val="24"/>
        </w:rPr>
      </w:pPr>
      <w:r w:rsidRPr="00D14231">
        <w:rPr>
          <w:rFonts w:cstheme="minorHAnsi"/>
          <w:sz w:val="24"/>
          <w:szCs w:val="24"/>
        </w:rPr>
        <w:t>Burke, L; Collett S  and McNeill F (2018) Reimagining Rehabilitation. Beyond the Individual. Routledge. London.</w:t>
      </w:r>
    </w:p>
    <w:p w14:paraId="3F57C60B" w14:textId="77777777" w:rsidR="00D14231" w:rsidRPr="00D14231" w:rsidRDefault="00D14231" w:rsidP="00D14231">
      <w:pPr>
        <w:rPr>
          <w:rFonts w:eastAsia="Times New Roman" w:cstheme="minorHAnsi"/>
          <w:kern w:val="0"/>
          <w:sz w:val="24"/>
          <w:szCs w:val="24"/>
          <w:lang w:eastAsia="en-GB"/>
          <w14:ligatures w14:val="none"/>
        </w:rPr>
      </w:pPr>
      <w:r w:rsidRPr="00D14231">
        <w:rPr>
          <w:rFonts w:eastAsia="Times New Roman" w:cstheme="minorHAnsi"/>
          <w:kern w:val="0"/>
          <w:sz w:val="24"/>
          <w:szCs w:val="24"/>
          <w:lang w:eastAsia="en-GB"/>
          <w14:ligatures w14:val="none"/>
        </w:rPr>
        <w:t>College of Policing (2022) Restorative Justice.</w:t>
      </w:r>
      <w:r w:rsidRPr="00D14231">
        <w:rPr>
          <w:rFonts w:cstheme="minorHAnsi"/>
          <w:sz w:val="24"/>
          <w:szCs w:val="24"/>
        </w:rPr>
        <w:t xml:space="preserve"> Accessed via </w:t>
      </w:r>
      <w:hyperlink r:id="rId39" w:history="1">
        <w:r w:rsidRPr="00D14231">
          <w:rPr>
            <w:rFonts w:cstheme="minorHAnsi"/>
            <w:color w:val="0000FF"/>
            <w:sz w:val="24"/>
            <w:szCs w:val="24"/>
            <w:u w:val="single"/>
          </w:rPr>
          <w:t>Restorative justice | College of Policing</w:t>
        </w:r>
      </w:hyperlink>
      <w:r w:rsidRPr="00D14231">
        <w:rPr>
          <w:rFonts w:cstheme="minorHAnsi"/>
          <w:sz w:val="24"/>
          <w:szCs w:val="24"/>
        </w:rPr>
        <w:t>. Date accessed 25/1/24</w:t>
      </w:r>
    </w:p>
    <w:p w14:paraId="2555764E" w14:textId="77777777" w:rsidR="00D14231" w:rsidRPr="00D14231" w:rsidRDefault="00D14231" w:rsidP="00D14231">
      <w:pPr>
        <w:spacing w:after="0" w:line="240" w:lineRule="auto"/>
        <w:outlineLvl w:val="0"/>
        <w:rPr>
          <w:rFonts w:eastAsia="Times New Roman" w:cstheme="minorHAnsi"/>
          <w:color w:val="333333"/>
          <w:kern w:val="0"/>
          <w:sz w:val="24"/>
          <w:szCs w:val="24"/>
          <w:lang w:eastAsia="en-GB"/>
          <w14:ligatures w14:val="none"/>
        </w:rPr>
      </w:pPr>
      <w:r w:rsidRPr="00D14231">
        <w:rPr>
          <w:rFonts w:eastAsia="Times New Roman" w:cstheme="minorHAnsi"/>
          <w:color w:val="333333"/>
          <w:kern w:val="0"/>
          <w:sz w:val="24"/>
          <w:szCs w:val="24"/>
          <w:lang w:eastAsia="en-GB"/>
          <w14:ligatures w14:val="none"/>
        </w:rPr>
        <w:t>Dzur A (2011) Restorative justice and democracy: fostering public accountability for criminal justice, Contemporary Justice Review, 14:4, 367-381, DOI: </w:t>
      </w:r>
      <w:hyperlink r:id="rId40" w:history="1">
        <w:r w:rsidRPr="00D14231">
          <w:rPr>
            <w:rFonts w:eastAsia="Times New Roman" w:cstheme="minorHAnsi"/>
            <w:color w:val="333333"/>
            <w:kern w:val="0"/>
            <w:sz w:val="24"/>
            <w:szCs w:val="24"/>
            <w:u w:val="single"/>
            <w:lang w:eastAsia="en-GB"/>
            <w14:ligatures w14:val="none"/>
          </w:rPr>
          <w:t>10.1080/10282580.2011.616367</w:t>
        </w:r>
      </w:hyperlink>
    </w:p>
    <w:p w14:paraId="5AA84DCD" w14:textId="77777777" w:rsidR="00D14231" w:rsidRPr="00D14231" w:rsidRDefault="00D14231" w:rsidP="00D14231">
      <w:pPr>
        <w:spacing w:after="0" w:line="240" w:lineRule="auto"/>
        <w:outlineLvl w:val="0"/>
        <w:rPr>
          <w:rFonts w:eastAsia="Times New Roman" w:cstheme="minorHAnsi"/>
          <w:color w:val="333333"/>
          <w:kern w:val="0"/>
          <w:sz w:val="24"/>
          <w:szCs w:val="24"/>
          <w:lang w:eastAsia="en-GB"/>
          <w14:ligatures w14:val="none"/>
        </w:rPr>
      </w:pPr>
    </w:p>
    <w:p w14:paraId="05BD858C" w14:textId="77777777" w:rsidR="00D14231" w:rsidRPr="00D14231" w:rsidRDefault="00D14231" w:rsidP="00D14231">
      <w:pPr>
        <w:spacing w:after="0" w:line="240" w:lineRule="auto"/>
        <w:outlineLvl w:val="0"/>
        <w:rPr>
          <w:rFonts w:cstheme="minorHAnsi"/>
          <w:sz w:val="24"/>
          <w:szCs w:val="24"/>
        </w:rPr>
      </w:pPr>
      <w:r w:rsidRPr="00D14231">
        <w:rPr>
          <w:rFonts w:eastAsia="Times New Roman" w:cstheme="minorHAnsi"/>
          <w:kern w:val="36"/>
          <w:sz w:val="24"/>
          <w:szCs w:val="24"/>
          <w:lang w:eastAsia="en-GB"/>
          <w14:ligatures w14:val="none"/>
        </w:rPr>
        <w:t xml:space="preserve">Fulham L (2018) The Effectiveness of Restorative Justice Programs: A Meta-Analysis of Recidivism and Other Outcomes. Accessed via </w:t>
      </w:r>
      <w:hyperlink r:id="rId41" w:history="1">
        <w:r w:rsidRPr="00D14231">
          <w:rPr>
            <w:rFonts w:cstheme="minorHAnsi"/>
            <w:color w:val="0000FF"/>
            <w:sz w:val="24"/>
            <w:szCs w:val="24"/>
            <w:u w:val="single"/>
          </w:rPr>
          <w:t>Etd | The Effectiveness of Restorative Justice Programs: A Meta-Analysis of Recidivism and Other Outcomes | ID: r781wg85w | Hyrax (carleton.ca)</w:t>
        </w:r>
      </w:hyperlink>
      <w:r w:rsidRPr="00D14231">
        <w:rPr>
          <w:rFonts w:cstheme="minorHAnsi"/>
          <w:sz w:val="24"/>
          <w:szCs w:val="24"/>
        </w:rPr>
        <w:t>. Date Accessed 28/1/24.</w:t>
      </w:r>
    </w:p>
    <w:p w14:paraId="52B8F7B1" w14:textId="77777777" w:rsidR="00D14231" w:rsidRPr="00D14231" w:rsidRDefault="00D14231" w:rsidP="00D14231">
      <w:pPr>
        <w:spacing w:after="0" w:line="240" w:lineRule="auto"/>
        <w:outlineLvl w:val="0"/>
        <w:rPr>
          <w:rFonts w:cstheme="minorHAnsi"/>
          <w:sz w:val="24"/>
          <w:szCs w:val="24"/>
        </w:rPr>
      </w:pPr>
    </w:p>
    <w:p w14:paraId="1D03251C" w14:textId="77777777" w:rsidR="00D14231" w:rsidRPr="00D14231" w:rsidRDefault="00D14231" w:rsidP="00D14231">
      <w:pPr>
        <w:spacing w:after="0" w:line="240" w:lineRule="auto"/>
        <w:outlineLvl w:val="0"/>
        <w:rPr>
          <w:rFonts w:cstheme="minorHAnsi"/>
          <w:sz w:val="24"/>
          <w:szCs w:val="24"/>
        </w:rPr>
      </w:pPr>
      <w:r w:rsidRPr="00D14231">
        <w:rPr>
          <w:rFonts w:cstheme="minorHAnsi"/>
          <w:sz w:val="24"/>
          <w:szCs w:val="24"/>
        </w:rPr>
        <w:t>Gavrielides T (2017) Restorative Justise. Ideals and Rationale. Taylor Francis. London.</w:t>
      </w:r>
    </w:p>
    <w:p w14:paraId="1CB3548D" w14:textId="77777777" w:rsidR="00D14231" w:rsidRPr="00D14231" w:rsidRDefault="00D14231" w:rsidP="00D14231">
      <w:pPr>
        <w:spacing w:after="0" w:line="240" w:lineRule="auto"/>
        <w:outlineLvl w:val="0"/>
        <w:rPr>
          <w:rFonts w:cstheme="minorHAnsi"/>
          <w:sz w:val="24"/>
          <w:szCs w:val="24"/>
        </w:rPr>
      </w:pPr>
    </w:p>
    <w:p w14:paraId="26BF7399" w14:textId="77777777" w:rsidR="00D14231" w:rsidRPr="00D14231" w:rsidRDefault="00D14231" w:rsidP="00D14231">
      <w:pPr>
        <w:rPr>
          <w:rFonts w:cstheme="minorHAnsi"/>
          <w:sz w:val="24"/>
          <w:szCs w:val="24"/>
        </w:rPr>
      </w:pPr>
      <w:r w:rsidRPr="00D14231">
        <w:rPr>
          <w:rFonts w:cstheme="minorHAnsi"/>
          <w:color w:val="333333"/>
          <w:sz w:val="24"/>
          <w:szCs w:val="24"/>
        </w:rPr>
        <w:t xml:space="preserve">Lipsy MW and Cullen FT (2007) The effectiveness of correctional rehabilitation: A review of systematic reviews.  Annual Review of Law and Social Science pp, 297-320 </w:t>
      </w:r>
      <w:hyperlink r:id="rId42" w:history="1">
        <w:r w:rsidRPr="00D14231">
          <w:rPr>
            <w:rFonts w:cstheme="minorHAnsi"/>
            <w:color w:val="0000FF"/>
            <w:sz w:val="24"/>
            <w:szCs w:val="24"/>
            <w:u w:val="single"/>
          </w:rPr>
          <w:t>The Effectiveness of Correctional Rehabilitation: A Review of Systematic Reviews | Annual Review of Law and Social Science (annualreviews.org)</w:t>
        </w:r>
      </w:hyperlink>
      <w:r w:rsidRPr="00D14231">
        <w:rPr>
          <w:rFonts w:cstheme="minorHAnsi"/>
          <w:sz w:val="24"/>
          <w:szCs w:val="24"/>
        </w:rPr>
        <w:t>. Date Accessed 28/1/24.</w:t>
      </w:r>
    </w:p>
    <w:p w14:paraId="19C28E46" w14:textId="77777777" w:rsidR="00D14231" w:rsidRPr="00D14231" w:rsidRDefault="00D14231" w:rsidP="00D14231">
      <w:pPr>
        <w:rPr>
          <w:rFonts w:cstheme="minorHAnsi"/>
          <w:color w:val="333333"/>
          <w:sz w:val="24"/>
          <w:szCs w:val="24"/>
        </w:rPr>
      </w:pPr>
      <w:r w:rsidRPr="00D14231">
        <w:rPr>
          <w:rFonts w:cstheme="minorHAnsi"/>
          <w:sz w:val="24"/>
          <w:szCs w:val="24"/>
        </w:rPr>
        <w:t>Mears DP; Pickett JT and Mancini C (2014) Support for Balanced Juvenile Justice ; Assessing views of about Youth Rehabilitation and Punishment. Journal of Quantitative Criminology. 31</w:t>
      </w:r>
      <w:r w:rsidRPr="00D14231">
        <w:rPr>
          <w:rFonts w:cstheme="minorHAnsi"/>
          <w:color w:val="222222"/>
          <w:sz w:val="24"/>
          <w:szCs w:val="24"/>
          <w:shd w:val="clear" w:color="auto" w:fill="FFFFFF"/>
        </w:rPr>
        <w:t>, 459–479 (2015). https://doi.org/10.1007/s10940-014-9234-5</w:t>
      </w:r>
    </w:p>
    <w:p w14:paraId="57D8D72A" w14:textId="77777777" w:rsidR="00D14231" w:rsidRPr="00D14231" w:rsidRDefault="00D14231" w:rsidP="00D14231">
      <w:pPr>
        <w:rPr>
          <w:rFonts w:cstheme="minorHAnsi"/>
          <w:color w:val="333333"/>
          <w:sz w:val="24"/>
          <w:szCs w:val="24"/>
        </w:rPr>
      </w:pPr>
      <w:r w:rsidRPr="00D14231">
        <w:rPr>
          <w:rFonts w:cstheme="minorHAnsi"/>
          <w:color w:val="333333"/>
          <w:sz w:val="24"/>
          <w:szCs w:val="24"/>
        </w:rPr>
        <w:t>Ministry of Justice (2013) Transforming Rehabilitation. A revolution in the way we mange offenders. Stationary office.</w:t>
      </w:r>
    </w:p>
    <w:p w14:paraId="34C347E4" w14:textId="77777777" w:rsidR="00D14231" w:rsidRPr="00D14231" w:rsidRDefault="00D14231" w:rsidP="00D14231">
      <w:pPr>
        <w:spacing w:after="0" w:line="240" w:lineRule="auto"/>
        <w:outlineLvl w:val="0"/>
        <w:rPr>
          <w:rFonts w:eastAsia="Times New Roman" w:cstheme="minorHAnsi"/>
          <w:color w:val="333333"/>
          <w:kern w:val="0"/>
          <w:sz w:val="24"/>
          <w:szCs w:val="24"/>
          <w:lang w:eastAsia="en-GB"/>
          <w14:ligatures w14:val="none"/>
        </w:rPr>
      </w:pPr>
      <w:r w:rsidRPr="00D14231">
        <w:rPr>
          <w:rFonts w:cstheme="minorHAnsi"/>
          <w:color w:val="333333"/>
          <w:sz w:val="24"/>
          <w:szCs w:val="24"/>
        </w:rPr>
        <w:t xml:space="preserve">Ministry of Justice (2024) Youth Justice statistics 2022-2023. Accessed via </w:t>
      </w:r>
      <w:hyperlink r:id="rId43" w:history="1">
        <w:r w:rsidRPr="00D14231">
          <w:rPr>
            <w:rFonts w:cstheme="minorHAnsi"/>
            <w:color w:val="0000FF"/>
            <w:sz w:val="24"/>
            <w:szCs w:val="24"/>
            <w:u w:val="single"/>
          </w:rPr>
          <w:t>Youth Justice Statistics: 2022 to 2023 (accessible version) - GOV.UK (www.gov.uk)</w:t>
        </w:r>
      </w:hyperlink>
      <w:r w:rsidRPr="00D14231">
        <w:rPr>
          <w:rFonts w:cstheme="minorHAnsi"/>
          <w:sz w:val="24"/>
          <w:szCs w:val="24"/>
        </w:rPr>
        <w:t>. Date accessed 28//1/24.</w:t>
      </w:r>
      <w:r w:rsidRPr="00D14231">
        <w:rPr>
          <w:rFonts w:eastAsia="Times New Roman" w:cstheme="minorHAnsi"/>
          <w:color w:val="333333"/>
          <w:kern w:val="0"/>
          <w:sz w:val="24"/>
          <w:szCs w:val="24"/>
          <w:lang w:eastAsia="en-GB"/>
          <w14:ligatures w14:val="none"/>
        </w:rPr>
        <w:t xml:space="preserve"> </w:t>
      </w:r>
    </w:p>
    <w:p w14:paraId="42A9C34E" w14:textId="77777777" w:rsidR="00D14231" w:rsidRPr="00D14231" w:rsidRDefault="00D14231" w:rsidP="00D14231">
      <w:pPr>
        <w:spacing w:after="0" w:line="240" w:lineRule="auto"/>
        <w:outlineLvl w:val="0"/>
        <w:rPr>
          <w:rFonts w:eastAsia="Times New Roman" w:cstheme="minorHAnsi"/>
          <w:color w:val="333333"/>
          <w:kern w:val="0"/>
          <w:sz w:val="24"/>
          <w:szCs w:val="24"/>
          <w:lang w:eastAsia="en-GB"/>
          <w14:ligatures w14:val="none"/>
        </w:rPr>
      </w:pPr>
    </w:p>
    <w:p w14:paraId="05B65A23" w14:textId="77777777" w:rsidR="00D14231" w:rsidRPr="00D14231" w:rsidRDefault="00D14231" w:rsidP="00D14231">
      <w:pPr>
        <w:spacing w:after="0" w:line="240" w:lineRule="auto"/>
        <w:outlineLvl w:val="0"/>
        <w:rPr>
          <w:rFonts w:eastAsia="Times New Roman" w:cstheme="minorHAnsi"/>
          <w:color w:val="333333"/>
          <w:kern w:val="0"/>
          <w:sz w:val="24"/>
          <w:szCs w:val="24"/>
          <w:lang w:eastAsia="en-GB"/>
          <w14:ligatures w14:val="none"/>
        </w:rPr>
      </w:pPr>
      <w:r w:rsidRPr="00D14231">
        <w:rPr>
          <w:rFonts w:eastAsia="Times New Roman" w:cstheme="minorHAnsi"/>
          <w:color w:val="333333"/>
          <w:kern w:val="0"/>
          <w:sz w:val="24"/>
          <w:szCs w:val="24"/>
          <w:lang w:eastAsia="en-GB"/>
          <w14:ligatures w14:val="none"/>
        </w:rPr>
        <w:t>Omahony D and Doak K (2017) Reimagining Restorative Justice. Agency and Accountability in the criminal process. Bloomsbury Publishing . Oxford.</w:t>
      </w:r>
    </w:p>
    <w:p w14:paraId="51642E92" w14:textId="77777777" w:rsidR="00D14231" w:rsidRPr="00D14231" w:rsidRDefault="00D14231" w:rsidP="00D14231">
      <w:pPr>
        <w:rPr>
          <w:rFonts w:cstheme="minorHAnsi"/>
          <w:color w:val="333333"/>
          <w:sz w:val="24"/>
          <w:szCs w:val="24"/>
        </w:rPr>
      </w:pPr>
    </w:p>
    <w:p w14:paraId="5B7D307B" w14:textId="2EB78488" w:rsidR="00D14231" w:rsidRPr="00D14231" w:rsidRDefault="00D14231" w:rsidP="00D14231">
      <w:pPr>
        <w:rPr>
          <w:rFonts w:cstheme="minorHAnsi"/>
          <w:color w:val="333333"/>
          <w:sz w:val="24"/>
          <w:szCs w:val="24"/>
        </w:rPr>
      </w:pPr>
      <w:r w:rsidRPr="00D14231">
        <w:rPr>
          <w:rFonts w:cstheme="minorHAnsi"/>
          <w:color w:val="333333"/>
          <w:sz w:val="24"/>
          <w:szCs w:val="24"/>
        </w:rPr>
        <w:t>Sherman LW; Strang H; Mayo-Wilson E; Woods DJ and Ariel B  (2015) Are restorative justice conferences effective in reducing repeat offending? Findings frm a Campbell systematic review. Journal of Quantative Criminology. 31pp1-24.</w:t>
      </w:r>
    </w:p>
    <w:p w14:paraId="6CB9D66B" w14:textId="77777777" w:rsidR="00D14231" w:rsidRPr="00D14231" w:rsidRDefault="00D14231" w:rsidP="00D14231">
      <w:pPr>
        <w:rPr>
          <w:rFonts w:cstheme="minorHAnsi"/>
          <w:color w:val="333333"/>
          <w:sz w:val="24"/>
          <w:szCs w:val="24"/>
        </w:rPr>
      </w:pPr>
      <w:r w:rsidRPr="00D14231">
        <w:rPr>
          <w:rFonts w:cstheme="minorHAnsi"/>
          <w:color w:val="333333"/>
          <w:sz w:val="24"/>
          <w:szCs w:val="24"/>
        </w:rPr>
        <w:t xml:space="preserve">Sherman and Strang (2007) Restorative Justice; the evidence. The Smith Institute. Accessed via </w:t>
      </w:r>
      <w:hyperlink r:id="rId44" w:history="1">
        <w:r w:rsidRPr="00D14231">
          <w:rPr>
            <w:rFonts w:cstheme="minorHAnsi"/>
            <w:color w:val="0000FF"/>
            <w:sz w:val="24"/>
            <w:szCs w:val="24"/>
            <w:u w:val="single"/>
          </w:rPr>
          <w:t>RJ_Text_FINAL (restorativejustice.org.uk)</w:t>
        </w:r>
      </w:hyperlink>
      <w:r w:rsidRPr="00D14231">
        <w:rPr>
          <w:rFonts w:cstheme="minorHAnsi"/>
          <w:sz w:val="24"/>
          <w:szCs w:val="24"/>
        </w:rPr>
        <w:t>. Date accessed 28/1/24.</w:t>
      </w:r>
    </w:p>
    <w:p w14:paraId="3063AAC0" w14:textId="77777777" w:rsidR="00D14231" w:rsidRPr="00D14231" w:rsidRDefault="00D14231" w:rsidP="00D14231">
      <w:pPr>
        <w:rPr>
          <w:rFonts w:cstheme="minorHAnsi"/>
          <w:sz w:val="24"/>
          <w:szCs w:val="24"/>
        </w:rPr>
      </w:pPr>
      <w:r w:rsidRPr="00D14231">
        <w:rPr>
          <w:rFonts w:cstheme="minorHAnsi"/>
          <w:color w:val="333333"/>
          <w:sz w:val="24"/>
          <w:szCs w:val="24"/>
        </w:rPr>
        <w:lastRenderedPageBreak/>
        <w:t xml:space="preserve">Suzuki M and Yuan X (2021) </w:t>
      </w:r>
      <w:r w:rsidRPr="00D14231">
        <w:rPr>
          <w:rFonts w:eastAsia="Times New Roman" w:cstheme="minorHAnsi"/>
          <w:color w:val="555555"/>
          <w:kern w:val="36"/>
          <w:sz w:val="24"/>
          <w:szCs w:val="24"/>
          <w:lang w:eastAsia="en-GB"/>
          <w14:ligatures w14:val="none"/>
        </w:rPr>
        <w:t xml:space="preserve">Criminal Justice and Behaviour How Does Restorative Justice Work? A Qualitative Metasynthesis. Accessed via </w:t>
      </w:r>
      <w:hyperlink r:id="rId45" w:history="1">
        <w:r w:rsidRPr="00D14231">
          <w:rPr>
            <w:rStyle w:val="Hyperlink"/>
            <w:rFonts w:eastAsia="Times New Roman" w:cstheme="minorHAnsi"/>
            <w:kern w:val="0"/>
            <w:sz w:val="24"/>
            <w:szCs w:val="24"/>
            <w:lang w:eastAsia="en-GB"/>
            <w14:ligatures w14:val="none"/>
          </w:rPr>
          <w:t>https://doi.org/10.1177/0093854821994622. Date accessed 25/1/24</w:t>
        </w:r>
      </w:hyperlink>
      <w:r w:rsidRPr="00D14231">
        <w:rPr>
          <w:rFonts w:eastAsia="Times New Roman" w:cstheme="minorHAnsi"/>
          <w:kern w:val="0"/>
          <w:sz w:val="24"/>
          <w:szCs w:val="24"/>
          <w:lang w:eastAsia="en-GB"/>
          <w14:ligatures w14:val="none"/>
        </w:rPr>
        <w:t>.</w:t>
      </w:r>
      <w:r w:rsidRPr="00D14231">
        <w:rPr>
          <w:rFonts w:cstheme="minorHAnsi"/>
          <w:sz w:val="24"/>
          <w:szCs w:val="24"/>
        </w:rPr>
        <w:t xml:space="preserve"> </w:t>
      </w:r>
    </w:p>
    <w:p w14:paraId="7A9A6688" w14:textId="77777777" w:rsidR="00D14231" w:rsidRPr="00D14231" w:rsidRDefault="00D14231" w:rsidP="00D14231">
      <w:pPr>
        <w:rPr>
          <w:rFonts w:cstheme="minorHAnsi"/>
          <w:sz w:val="24"/>
          <w:szCs w:val="24"/>
        </w:rPr>
      </w:pPr>
      <w:r w:rsidRPr="00D14231">
        <w:rPr>
          <w:rFonts w:cstheme="minorHAnsi"/>
          <w:color w:val="333333"/>
          <w:sz w:val="24"/>
          <w:szCs w:val="24"/>
          <w:shd w:val="clear" w:color="auto" w:fill="FFFFFF"/>
        </w:rPr>
        <w:t>Suzuki, M., &amp; Wood, W. R. (2018). Is restorative justice conferencing appropriate for youth offenders? </w:t>
      </w:r>
      <w:r w:rsidRPr="00D14231">
        <w:rPr>
          <w:rFonts w:cstheme="minorHAnsi"/>
          <w:i/>
          <w:iCs/>
          <w:color w:val="333333"/>
          <w:sz w:val="24"/>
          <w:szCs w:val="24"/>
          <w:shd w:val="clear" w:color="auto" w:fill="FFFFFF"/>
        </w:rPr>
        <w:t>Criminology &amp; Criminal Justice</w:t>
      </w:r>
      <w:r w:rsidRPr="00D14231">
        <w:rPr>
          <w:rFonts w:cstheme="minorHAnsi"/>
          <w:color w:val="333333"/>
          <w:sz w:val="24"/>
          <w:szCs w:val="24"/>
          <w:shd w:val="clear" w:color="auto" w:fill="FFFFFF"/>
        </w:rPr>
        <w:t>, </w:t>
      </w:r>
      <w:r w:rsidRPr="00D14231">
        <w:rPr>
          <w:rFonts w:cstheme="minorHAnsi"/>
          <w:i/>
          <w:iCs/>
          <w:color w:val="333333"/>
          <w:sz w:val="24"/>
          <w:szCs w:val="24"/>
          <w:shd w:val="clear" w:color="auto" w:fill="FFFFFF"/>
        </w:rPr>
        <w:t>18</w:t>
      </w:r>
      <w:r w:rsidRPr="00D14231">
        <w:rPr>
          <w:rFonts w:cstheme="minorHAnsi"/>
          <w:color w:val="333333"/>
          <w:sz w:val="24"/>
          <w:szCs w:val="24"/>
          <w:shd w:val="clear" w:color="auto" w:fill="FFFFFF"/>
        </w:rPr>
        <w:t>(4), 450-467. </w:t>
      </w:r>
      <w:hyperlink r:id="rId46" w:history="1">
        <w:r w:rsidRPr="00D14231">
          <w:rPr>
            <w:rFonts w:cstheme="minorHAnsi"/>
            <w:color w:val="006ACC"/>
            <w:sz w:val="24"/>
            <w:szCs w:val="24"/>
            <w:u w:val="single"/>
            <w:shd w:val="clear" w:color="auto" w:fill="FFFFFF"/>
          </w:rPr>
          <w:t>https://doi.org/10.1177/1748895817722188</w:t>
        </w:r>
      </w:hyperlink>
    </w:p>
    <w:p w14:paraId="105C66FF" w14:textId="77777777" w:rsidR="00D14231" w:rsidRPr="00D14231" w:rsidRDefault="00D14231" w:rsidP="00D14231">
      <w:pPr>
        <w:rPr>
          <w:rFonts w:cstheme="minorHAnsi"/>
          <w:sz w:val="24"/>
          <w:szCs w:val="24"/>
        </w:rPr>
      </w:pPr>
      <w:r w:rsidRPr="00D14231">
        <w:rPr>
          <w:rFonts w:cstheme="minorHAnsi"/>
          <w:sz w:val="24"/>
          <w:szCs w:val="24"/>
        </w:rPr>
        <w:t>Ward T and Langlands R (2009) Repairing the rupture: Restorative justice and the rehabilitation of offenders. Aggression and Violent Behaviour, Volume 14, Issue 3,Pages 205-214,</w:t>
      </w:r>
    </w:p>
    <w:p w14:paraId="43E7F437" w14:textId="77777777" w:rsidR="00D14231" w:rsidRPr="00D14231" w:rsidRDefault="00D14231" w:rsidP="00D14231">
      <w:pPr>
        <w:rPr>
          <w:rFonts w:eastAsia="Times New Roman" w:cstheme="minorHAnsi"/>
          <w:kern w:val="0"/>
          <w:sz w:val="24"/>
          <w:szCs w:val="24"/>
          <w:lang w:eastAsia="en-GB"/>
          <w14:ligatures w14:val="none"/>
        </w:rPr>
      </w:pPr>
      <w:r w:rsidRPr="00D14231">
        <w:rPr>
          <w:rFonts w:cstheme="minorHAnsi"/>
          <w:sz w:val="24"/>
          <w:szCs w:val="24"/>
        </w:rPr>
        <w:t>Welch, K., Butler, L. F., &amp; Gertz, M. (2019). Saving children, damning adults? An examination of public support for juvenile rehabilitation and adult punishment. Criminal Justice Review, 44(4), 470–491.</w:t>
      </w:r>
    </w:p>
    <w:p w14:paraId="3490C8EF" w14:textId="15D9A7D0" w:rsidR="00D14231" w:rsidRPr="00D14231" w:rsidRDefault="00D14231" w:rsidP="00D14231">
      <w:pPr>
        <w:rPr>
          <w:rFonts w:cstheme="minorHAnsi"/>
          <w:color w:val="333333"/>
          <w:sz w:val="24"/>
          <w:szCs w:val="24"/>
        </w:rPr>
      </w:pPr>
      <w:r w:rsidRPr="00D14231">
        <w:rPr>
          <w:rFonts w:cstheme="minorHAnsi"/>
          <w:color w:val="333333"/>
          <w:sz w:val="24"/>
          <w:szCs w:val="24"/>
        </w:rPr>
        <w:t>W</w:t>
      </w:r>
      <w:r w:rsidRPr="00D14231">
        <w:rPr>
          <w:rFonts w:cstheme="minorHAnsi"/>
          <w:color w:val="333333"/>
          <w:sz w:val="24"/>
          <w:szCs w:val="24"/>
        </w:rPr>
        <w:t>il</w:t>
      </w:r>
      <w:r w:rsidRPr="00D14231">
        <w:rPr>
          <w:rFonts w:cstheme="minorHAnsi"/>
          <w:color w:val="333333"/>
          <w:sz w:val="24"/>
          <w:szCs w:val="24"/>
        </w:rPr>
        <w:t>kinson J (2005) Evaluating evidence for the effectiveness of reasoning and rehabilitation programme. The Howard Journal of Criminal Justice . Vol 44, issue 1 pp70-85.</w:t>
      </w:r>
    </w:p>
    <w:p w14:paraId="31794255" w14:textId="77777777" w:rsidR="00D14231" w:rsidRPr="00D14231" w:rsidRDefault="00D14231" w:rsidP="00D14231">
      <w:pPr>
        <w:rPr>
          <w:rFonts w:cstheme="minorHAnsi"/>
          <w:color w:val="333333"/>
          <w:sz w:val="24"/>
          <w:szCs w:val="24"/>
        </w:rPr>
      </w:pPr>
    </w:p>
    <w:p w14:paraId="13F271A0" w14:textId="77777777" w:rsidR="00D14231" w:rsidRPr="00D14231" w:rsidRDefault="00D14231" w:rsidP="00D14231">
      <w:pPr>
        <w:rPr>
          <w:rFonts w:cstheme="minorHAnsi"/>
          <w:color w:val="333333"/>
          <w:sz w:val="24"/>
          <w:szCs w:val="24"/>
        </w:rPr>
      </w:pPr>
    </w:p>
    <w:p w14:paraId="4DD2D10C" w14:textId="77777777" w:rsidR="0093604D" w:rsidRDefault="0093604D"/>
    <w:sectPr w:rsidR="0093604D" w:rsidSect="000777D4">
      <w:headerReference w:type="even" r:id="rId47"/>
      <w:headerReference w:type="default" r:id="rId48"/>
      <w:headerReference w:type="first" r:id="rId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1200E8" w14:textId="77777777" w:rsidR="000777D4" w:rsidRDefault="000777D4" w:rsidP="00D14231">
      <w:pPr>
        <w:spacing w:after="0" w:line="240" w:lineRule="auto"/>
      </w:pPr>
      <w:r>
        <w:separator/>
      </w:r>
    </w:p>
  </w:endnote>
  <w:endnote w:type="continuationSeparator" w:id="0">
    <w:p w14:paraId="7EAE31FE" w14:textId="77777777" w:rsidR="000777D4" w:rsidRDefault="000777D4" w:rsidP="00D142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D6BAA1" w14:textId="77777777" w:rsidR="000777D4" w:rsidRDefault="000777D4" w:rsidP="00D14231">
      <w:pPr>
        <w:spacing w:after="0" w:line="240" w:lineRule="auto"/>
      </w:pPr>
      <w:r>
        <w:separator/>
      </w:r>
    </w:p>
  </w:footnote>
  <w:footnote w:type="continuationSeparator" w:id="0">
    <w:p w14:paraId="3A3553B5" w14:textId="77777777" w:rsidR="000777D4" w:rsidRDefault="000777D4" w:rsidP="00D142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86147" w14:textId="0BB5FC4A" w:rsidR="00000000" w:rsidRDefault="00D14231">
    <w:pPr>
      <w:pStyle w:val="Header"/>
    </w:pPr>
    <w:r>
      <w:rPr>
        <w:noProof/>
      </w:rPr>
      <mc:AlternateContent>
        <mc:Choice Requires="wps">
          <w:drawing>
            <wp:anchor distT="0" distB="0" distL="0" distR="0" simplePos="0" relativeHeight="251660288" behindDoc="0" locked="0" layoutInCell="1" allowOverlap="1" wp14:anchorId="79C7D1A0" wp14:editId="0F42AB65">
              <wp:simplePos x="0" y="0"/>
              <wp:positionH relativeFrom="page">
                <wp:align>right</wp:align>
              </wp:positionH>
              <wp:positionV relativeFrom="page">
                <wp:align>top</wp:align>
              </wp:positionV>
              <wp:extent cx="443865" cy="443865"/>
              <wp:effectExtent l="0" t="0" r="0" b="0"/>
              <wp:wrapNone/>
              <wp:docPr id="187988086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56FDCA2F" w14:textId="77777777" w:rsidR="00000000" w:rsidRPr="00606393" w:rsidRDefault="00000000" w:rsidP="00606393">
                          <w:pPr>
                            <w:spacing w:after="0"/>
                            <w:rPr>
                              <w:rFonts w:ascii="Calibri" w:eastAsia="Calibri" w:hAnsi="Calibri" w:cs="Calibri"/>
                              <w:noProof/>
                              <w:color w:val="000000"/>
                              <w:sz w:val="20"/>
                              <w:szCs w:val="20"/>
                            </w:rPr>
                          </w:pPr>
                          <w:r w:rsidRPr="00606393">
                            <w:rPr>
                              <w:rFonts w:ascii="Calibri" w:eastAsia="Calibri" w:hAnsi="Calibri" w:cs="Calibri"/>
                              <w:noProof/>
                              <w:color w:val="000000"/>
                              <w:sz w:val="20"/>
                              <w:szCs w:val="20"/>
                            </w:rPr>
                            <w:t>PUBLIC / CYHOEDDUS</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79C7D1A0" id="_x0000_t202" coordsize="21600,21600" o:spt="202" path="m,l,21600r21600,l21600,xe">
              <v:stroke joinstyle="miter"/>
              <v:path gradientshapeok="t" o:connecttype="rect"/>
            </v:shapetype>
            <v:shape id="Text Box 3" o:spid="_x0000_s1026" type="#_x0000_t202" style="position:absolute;margin-left:-16.25pt;margin-top:0;width:34.95pt;height:34.95pt;z-index:251660288;visibility:visible;mso-wrap-style:none;mso-width-percent:0;mso-height-percent:0;mso-wrap-distance-left:0;mso-wrap-distance-top:0;mso-wrap-distance-right:0;mso-wrap-distance-bottom:0;mso-position-horizontal:right;mso-position-horizontal-relative:page;mso-position-vertical:top;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" filled="f" stroked="f">
              <v:textbox style="mso-fit-shape-to-text:t" inset="0,15pt,20pt,0">
                <w:txbxContent>
                  <w:p w14:paraId="56FDCA2F" w14:textId="77777777" w:rsidR="00000000" w:rsidRPr="00606393" w:rsidRDefault="00000000" w:rsidP="00606393">
                    <w:pPr>
                      <w:spacing w:after="0"/>
                      <w:rPr>
                        <w:rFonts w:ascii="Calibri" w:eastAsia="Calibri" w:hAnsi="Calibri" w:cs="Calibri"/>
                        <w:noProof/>
                        <w:color w:val="000000"/>
                        <w:sz w:val="20"/>
                        <w:szCs w:val="20"/>
                      </w:rPr>
                    </w:pPr>
                    <w:r w:rsidRPr="00606393">
                      <w:rPr>
                        <w:rFonts w:ascii="Calibri" w:eastAsia="Calibri" w:hAnsi="Calibri" w:cs="Calibri"/>
                        <w:noProof/>
                        <w:color w:val="000000"/>
                        <w:sz w:val="20"/>
                        <w:szCs w:val="20"/>
                      </w:rPr>
                      <w:t>PUBLIC / CYHOEDDUS</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5D53F" w14:textId="1A948F48" w:rsidR="00000000" w:rsidRDefault="00D14231">
    <w:pPr>
      <w:pStyle w:val="Header"/>
    </w:pPr>
    <w:r>
      <w:rPr>
        <w:noProof/>
      </w:rPr>
      <mc:AlternateContent>
        <mc:Choice Requires="wps">
          <w:drawing>
            <wp:anchor distT="0" distB="0" distL="0" distR="0" simplePos="0" relativeHeight="251661312" behindDoc="0" locked="0" layoutInCell="1" allowOverlap="1" wp14:anchorId="617B0CE4" wp14:editId="06CA5110">
              <wp:simplePos x="0" y="0"/>
              <wp:positionH relativeFrom="page">
                <wp:align>right</wp:align>
              </wp:positionH>
              <wp:positionV relativeFrom="page">
                <wp:align>top</wp:align>
              </wp:positionV>
              <wp:extent cx="1381125" cy="357505"/>
              <wp:effectExtent l="0" t="0" r="0" b="0"/>
              <wp:wrapNone/>
              <wp:docPr id="19176213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1125" cy="357505"/>
                      </a:xfrm>
                      <a:prstGeom prst="rect">
                        <a:avLst/>
                      </a:prstGeom>
                      <a:noFill/>
                      <a:ln>
                        <a:noFill/>
                      </a:ln>
                    </wps:spPr>
                    <wps:txbx>
                      <w:txbxContent>
                        <w:p w14:paraId="49EBCB0C" w14:textId="77777777" w:rsidR="00000000" w:rsidRPr="00606393" w:rsidRDefault="00000000" w:rsidP="00606393">
                          <w:pPr>
                            <w:spacing w:after="0"/>
                            <w:rPr>
                              <w:rFonts w:ascii="Calibri" w:eastAsia="Calibri" w:hAnsi="Calibri" w:cs="Calibri"/>
                              <w:noProof/>
                              <w:color w:val="000000"/>
                              <w:sz w:val="20"/>
                              <w:szCs w:val="20"/>
                            </w:rPr>
                          </w:pPr>
                          <w:r w:rsidRPr="00606393">
                            <w:rPr>
                              <w:rFonts w:ascii="Calibri" w:eastAsia="Calibri" w:hAnsi="Calibri" w:cs="Calibri"/>
                              <w:noProof/>
                              <w:color w:val="000000"/>
                              <w:sz w:val="20"/>
                              <w:szCs w:val="20"/>
                            </w:rPr>
                            <w:t>PUBLIC / CYHOEDDUS</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617B0CE4" id="_x0000_t202" coordsize="21600,21600" o:spt="202" path="m,l,21600r21600,l21600,xe">
              <v:stroke joinstyle="miter"/>
              <v:path gradientshapeok="t" o:connecttype="rect"/>
            </v:shapetype>
            <v:shape id="Text Box 2" o:spid="_x0000_s1027" type="#_x0000_t202" style="position:absolute;margin-left:57.55pt;margin-top:0;width:108.75pt;height:28.15pt;z-index:251661312;visibility:visible;mso-wrap-style:none;mso-width-percent:0;mso-height-percent:0;mso-wrap-distance-left:0;mso-wrap-distance-top:0;mso-wrap-distance-right:0;mso-wrap-distance-bottom:0;mso-position-horizontal:right;mso-position-horizontal-relative:page;mso-position-vertical:top;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" filled="f" stroked="f">
              <v:textbox style="mso-fit-shape-to-text:t" inset="0,15pt,20pt,0">
                <w:txbxContent>
                  <w:p w14:paraId="49EBCB0C" w14:textId="77777777" w:rsidR="00000000" w:rsidRPr="00606393" w:rsidRDefault="00000000" w:rsidP="00606393">
                    <w:pPr>
                      <w:spacing w:after="0"/>
                      <w:rPr>
                        <w:rFonts w:ascii="Calibri" w:eastAsia="Calibri" w:hAnsi="Calibri" w:cs="Calibri"/>
                        <w:noProof/>
                        <w:color w:val="000000"/>
                        <w:sz w:val="20"/>
                        <w:szCs w:val="20"/>
                      </w:rPr>
                    </w:pPr>
                    <w:r w:rsidRPr="00606393">
                      <w:rPr>
                        <w:rFonts w:ascii="Calibri" w:eastAsia="Calibri" w:hAnsi="Calibri" w:cs="Calibri"/>
                        <w:noProof/>
                        <w:color w:val="000000"/>
                        <w:sz w:val="20"/>
                        <w:szCs w:val="20"/>
                      </w:rPr>
                      <w:t>PUBLIC / CYHOEDDUS</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42A07B" w14:textId="6CD3642E" w:rsidR="00000000" w:rsidRDefault="00D14231">
    <w:pPr>
      <w:pStyle w:val="Header"/>
    </w:pPr>
    <w:r>
      <w:rPr>
        <w:noProof/>
      </w:rPr>
      <mc:AlternateContent>
        <mc:Choice Requires="wps">
          <w:drawing>
            <wp:anchor distT="0" distB="0" distL="0" distR="0" simplePos="0" relativeHeight="251659264" behindDoc="0" locked="0" layoutInCell="1" allowOverlap="1" wp14:anchorId="6FD379B3" wp14:editId="141460D4">
              <wp:simplePos x="0" y="0"/>
              <wp:positionH relativeFrom="page">
                <wp:align>right</wp:align>
              </wp:positionH>
              <wp:positionV relativeFrom="page">
                <wp:align>top</wp:align>
              </wp:positionV>
              <wp:extent cx="443865" cy="443865"/>
              <wp:effectExtent l="0" t="0" r="0" b="0"/>
              <wp:wrapNone/>
              <wp:docPr id="24138764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2E7C992D" w14:textId="77777777" w:rsidR="00000000" w:rsidRPr="00606393" w:rsidRDefault="00000000" w:rsidP="00606393">
                          <w:pPr>
                            <w:spacing w:after="0"/>
                            <w:rPr>
                              <w:rFonts w:ascii="Calibri" w:eastAsia="Calibri" w:hAnsi="Calibri" w:cs="Calibri"/>
                              <w:noProof/>
                              <w:color w:val="000000"/>
                              <w:sz w:val="20"/>
                              <w:szCs w:val="20"/>
                            </w:rPr>
                          </w:pPr>
                          <w:r w:rsidRPr="00606393">
                            <w:rPr>
                              <w:rFonts w:ascii="Calibri" w:eastAsia="Calibri" w:hAnsi="Calibri" w:cs="Calibri"/>
                              <w:noProof/>
                              <w:color w:val="000000"/>
                              <w:sz w:val="20"/>
                              <w:szCs w:val="20"/>
                            </w:rPr>
                            <w:t>PUBLIC / CYHOEDDUS</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6FD379B3" id="_x0000_t202" coordsize="21600,21600" o:spt="202" path="m,l,21600r21600,l21600,xe">
              <v:stroke joinstyle="miter"/>
              <v:path gradientshapeok="t" o:connecttype="rect"/>
            </v:shapetype>
            <v:shape id="Text Box 1" o:spid="_x0000_s1028" type="#_x0000_t202" style="position:absolute;margin-left:-16.25pt;margin-top:0;width:34.95pt;height:34.95pt;z-index:251659264;visibility:visible;mso-wrap-style:none;mso-width-percent:0;mso-height-percent:0;mso-wrap-distance-left:0;mso-wrap-distance-top:0;mso-wrap-distance-right:0;mso-wrap-distance-bottom:0;mso-position-horizontal:right;mso-position-horizontal-relative:page;mso-position-vertical:top;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" filled="f" stroked="f">
              <v:textbox style="mso-fit-shape-to-text:t" inset="0,15pt,20pt,0">
                <w:txbxContent>
                  <w:p w14:paraId="2E7C992D" w14:textId="77777777" w:rsidR="00000000" w:rsidRPr="00606393" w:rsidRDefault="00000000" w:rsidP="00606393">
                    <w:pPr>
                      <w:spacing w:after="0"/>
                      <w:rPr>
                        <w:rFonts w:ascii="Calibri" w:eastAsia="Calibri" w:hAnsi="Calibri" w:cs="Calibri"/>
                        <w:noProof/>
                        <w:color w:val="000000"/>
                        <w:sz w:val="20"/>
                        <w:szCs w:val="20"/>
                      </w:rPr>
                    </w:pPr>
                    <w:r w:rsidRPr="00606393">
                      <w:rPr>
                        <w:rFonts w:ascii="Calibri" w:eastAsia="Calibri" w:hAnsi="Calibri" w:cs="Calibri"/>
                        <w:noProof/>
                        <w:color w:val="000000"/>
                        <w:sz w:val="20"/>
                        <w:szCs w:val="20"/>
                      </w:rPr>
                      <w:t>PUBLIC / CYHOEDDUS</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4231"/>
    <w:rsid w:val="000777D4"/>
    <w:rsid w:val="0093604D"/>
    <w:rsid w:val="00A01D45"/>
    <w:rsid w:val="00D142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3215FE"/>
  <w15:chartTrackingRefBased/>
  <w15:docId w15:val="{AA658AA7-3347-4DDA-B4C5-54C247F2E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4231"/>
  </w:style>
  <w:style w:type="paragraph" w:styleId="Heading1">
    <w:name w:val="heading 1"/>
    <w:basedOn w:val="Normal"/>
    <w:next w:val="Normal"/>
    <w:link w:val="Heading1Char"/>
    <w:uiPriority w:val="9"/>
    <w:qFormat/>
    <w:rsid w:val="00D142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142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42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42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42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42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42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42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42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42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42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42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42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42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42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42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42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4231"/>
    <w:rPr>
      <w:rFonts w:eastAsiaTheme="majorEastAsia" w:cstheme="majorBidi"/>
      <w:color w:val="272727" w:themeColor="text1" w:themeTint="D8"/>
    </w:rPr>
  </w:style>
  <w:style w:type="paragraph" w:styleId="Title">
    <w:name w:val="Title"/>
    <w:basedOn w:val="Normal"/>
    <w:next w:val="Normal"/>
    <w:link w:val="TitleChar"/>
    <w:uiPriority w:val="10"/>
    <w:qFormat/>
    <w:rsid w:val="00D142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42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42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42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4231"/>
    <w:pPr>
      <w:spacing w:before="160"/>
      <w:jc w:val="center"/>
    </w:pPr>
    <w:rPr>
      <w:i/>
      <w:iCs/>
      <w:color w:val="404040" w:themeColor="text1" w:themeTint="BF"/>
    </w:rPr>
  </w:style>
  <w:style w:type="character" w:customStyle="1" w:styleId="QuoteChar">
    <w:name w:val="Quote Char"/>
    <w:basedOn w:val="DefaultParagraphFont"/>
    <w:link w:val="Quote"/>
    <w:uiPriority w:val="29"/>
    <w:rsid w:val="00D14231"/>
    <w:rPr>
      <w:i/>
      <w:iCs/>
      <w:color w:val="404040" w:themeColor="text1" w:themeTint="BF"/>
    </w:rPr>
  </w:style>
  <w:style w:type="paragraph" w:styleId="ListParagraph">
    <w:name w:val="List Paragraph"/>
    <w:basedOn w:val="Normal"/>
    <w:uiPriority w:val="34"/>
    <w:qFormat/>
    <w:rsid w:val="00D14231"/>
    <w:pPr>
      <w:ind w:left="720"/>
      <w:contextualSpacing/>
    </w:pPr>
  </w:style>
  <w:style w:type="character" w:styleId="IntenseEmphasis">
    <w:name w:val="Intense Emphasis"/>
    <w:basedOn w:val="DefaultParagraphFont"/>
    <w:uiPriority w:val="21"/>
    <w:qFormat/>
    <w:rsid w:val="00D14231"/>
    <w:rPr>
      <w:i/>
      <w:iCs/>
      <w:color w:val="0F4761" w:themeColor="accent1" w:themeShade="BF"/>
    </w:rPr>
  </w:style>
  <w:style w:type="paragraph" w:styleId="IntenseQuote">
    <w:name w:val="Intense Quote"/>
    <w:basedOn w:val="Normal"/>
    <w:next w:val="Normal"/>
    <w:link w:val="IntenseQuoteChar"/>
    <w:uiPriority w:val="30"/>
    <w:qFormat/>
    <w:rsid w:val="00D142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4231"/>
    <w:rPr>
      <w:i/>
      <w:iCs/>
      <w:color w:val="0F4761" w:themeColor="accent1" w:themeShade="BF"/>
    </w:rPr>
  </w:style>
  <w:style w:type="character" w:styleId="IntenseReference">
    <w:name w:val="Intense Reference"/>
    <w:basedOn w:val="DefaultParagraphFont"/>
    <w:uiPriority w:val="32"/>
    <w:qFormat/>
    <w:rsid w:val="00D14231"/>
    <w:rPr>
      <w:b/>
      <w:bCs/>
      <w:smallCaps/>
      <w:color w:val="0F4761" w:themeColor="accent1" w:themeShade="BF"/>
      <w:spacing w:val="5"/>
    </w:rPr>
  </w:style>
  <w:style w:type="character" w:styleId="Hyperlink">
    <w:name w:val="Hyperlink"/>
    <w:basedOn w:val="DefaultParagraphFont"/>
    <w:uiPriority w:val="99"/>
    <w:unhideWhenUsed/>
    <w:rsid w:val="00D14231"/>
    <w:rPr>
      <w:color w:val="0000FF"/>
      <w:u w:val="single"/>
    </w:rPr>
  </w:style>
  <w:style w:type="paragraph" w:styleId="Header">
    <w:name w:val="header"/>
    <w:basedOn w:val="Normal"/>
    <w:link w:val="HeaderChar"/>
    <w:uiPriority w:val="99"/>
    <w:unhideWhenUsed/>
    <w:rsid w:val="00D142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4231"/>
  </w:style>
  <w:style w:type="character" w:customStyle="1" w:styleId="citationsource-journal">
    <w:name w:val="citation_source-journal"/>
    <w:basedOn w:val="DefaultParagraphFont"/>
    <w:rsid w:val="00D14231"/>
  </w:style>
  <w:style w:type="character" w:styleId="Emphasis">
    <w:name w:val="Emphasis"/>
    <w:basedOn w:val="DefaultParagraphFont"/>
    <w:uiPriority w:val="20"/>
    <w:qFormat/>
    <w:rsid w:val="00D14231"/>
    <w:rPr>
      <w:i/>
      <w:iCs/>
    </w:rPr>
  </w:style>
  <w:style w:type="character" w:customStyle="1" w:styleId="citationsource-book">
    <w:name w:val="citation_source-book"/>
    <w:basedOn w:val="DefaultParagraphFont"/>
    <w:rsid w:val="00D142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80/10439463.2020.1791862" TargetMode="External"/><Relationship Id="rId18" Type="http://schemas.openxmlformats.org/officeDocument/2006/relationships/hyperlink" Target="https://www5.open.ac.uk/centres/policing/sites/www.open.ac.uk.centres.policing/files/files/Outputs/An%20Evaluation%20of%20Demand%20Management%20Practices%20in%20UK%20-%20Final%20report.pdf" TargetMode="External"/><Relationship Id="rId26" Type="http://schemas.openxmlformats.org/officeDocument/2006/relationships/hyperlink" Target="https://psycnet.apa.org/doi/10.1080/10683169908414996" TargetMode="External"/><Relationship Id="rId39" Type="http://schemas.openxmlformats.org/officeDocument/2006/relationships/hyperlink" Target="https://www.college.police.uk/guidance/restorative-justice" TargetMode="External"/><Relationship Id="rId21" Type="http://schemas.openxmlformats.org/officeDocument/2006/relationships/hyperlink" Target="https://www.cairn.info/revue-l-annee-psychologique1-2013-3-page-427.htm" TargetMode="External"/><Relationship Id="rId34" Type="http://schemas.openxmlformats.org/officeDocument/2006/relationships/hyperlink" Target="https://doi.org/10.1093/acrefore/9780190264079.013.501" TargetMode="External"/><Relationship Id="rId42" Type="http://schemas.openxmlformats.org/officeDocument/2006/relationships/hyperlink" Target="https://www.annualreviews.org/doi/abs/10.1146/annurev.lawsocsci.3.081806.112833" TargetMode="External"/><Relationship Id="rId47" Type="http://schemas.openxmlformats.org/officeDocument/2006/relationships/header" Target="header1.xml"/><Relationship Id="rId50" Type="http://schemas.openxmlformats.org/officeDocument/2006/relationships/fontTable" Target="fontTable.xml"/><Relationship Id="rId7" Type="http://schemas.openxmlformats.org/officeDocument/2006/relationships/hyperlink" Target="https://doi.org/10.3138/cjccj.53.1.1" TargetMode="External"/><Relationship Id="rId2" Type="http://schemas.openxmlformats.org/officeDocument/2006/relationships/settings" Target="settings.xml"/><Relationship Id="rId16" Type="http://schemas.openxmlformats.org/officeDocument/2006/relationships/hyperlink" Target="https://www.researchgate.net/publication/294582692_Policing_by_consent_understanding_the_dynamics_of_police_power_and_legitimacy" TargetMode="External"/><Relationship Id="rId29" Type="http://schemas.openxmlformats.org/officeDocument/2006/relationships/hyperlink" Target="https://psycnet.apa.org/doi/10.1037/a0020518" TargetMode="External"/><Relationship Id="rId11" Type="http://schemas.openxmlformats.org/officeDocument/2006/relationships/hyperlink" Target="https://www.policingreview.org.uk/wp-content/uploads/insight_paper_1.pdf" TargetMode="External"/><Relationship Id="rId24" Type="http://schemas.openxmlformats.org/officeDocument/2006/relationships/hyperlink" Target="http://dx.doi.org/10.1002/9780470661505.ch5" TargetMode="External"/><Relationship Id="rId32" Type="http://schemas.openxmlformats.org/officeDocument/2006/relationships/hyperlink" Target="https://www.cambridge.org/core/journals/canadian-journal-of-law-and-society-la-revue-canadienne-droit-et-societe/article/abs/visualizing-deviance-a-study-of-news-organization-richard-v-ericson-patricia-m-baranek-and-janet-bl-chan-toronto-university-of-toronto-press-1987-390pp/3EE814E1AEFC6D68946F22159DCDF452" TargetMode="External"/><Relationship Id="rId37" Type="http://schemas.openxmlformats.org/officeDocument/2006/relationships/hyperlink" Target="https://compass.onlinelibrary.wiley.com/doi/epdf/10.1111/soc4.12648" TargetMode="External"/><Relationship Id="rId40" Type="http://schemas.openxmlformats.org/officeDocument/2006/relationships/hyperlink" Target="https://doi.org/10.1080/10282580.2011.616367" TargetMode="External"/><Relationship Id="rId45" Type="http://schemas.openxmlformats.org/officeDocument/2006/relationships/hyperlink" Target="https://doi.org/10.1177/0093854821994622.%20Date%20accessed%2025/1/24" TargetMode="External"/><Relationship Id="rId5" Type="http://schemas.openxmlformats.org/officeDocument/2006/relationships/endnotes" Target="endnotes.xml"/><Relationship Id="rId15" Type="http://schemas.openxmlformats.org/officeDocument/2006/relationships/hyperlink" Target="https://www.emerald.com/insight/content/doi/10.1108/PIJPSM-07-2015-0089/full/html" TargetMode="External"/><Relationship Id="rId23" Type="http://schemas.openxmlformats.org/officeDocument/2006/relationships/hyperlink" Target="https://doi.org/10.1348/135532506X162498" TargetMode="External"/><Relationship Id="rId28" Type="http://schemas.openxmlformats.org/officeDocument/2006/relationships/hyperlink" Target="https://doi.org/10.1002/acp.2350080103" TargetMode="External"/><Relationship Id="rId36" Type="http://schemas.openxmlformats.org/officeDocument/2006/relationships/hyperlink" Target="https://doi.org/10.1080/01639625.2017.1343038" TargetMode="External"/><Relationship Id="rId49" Type="http://schemas.openxmlformats.org/officeDocument/2006/relationships/header" Target="header3.xml"/><Relationship Id="rId10" Type="http://schemas.openxmlformats.org/officeDocument/2006/relationships/hyperlink" Target="https://hmicfrs.justiceinspectorates.gov.uk/news/news-feed/policing-has-come-a-long-way-but-major-problems-persist/" TargetMode="External"/><Relationship Id="rId19" Type="http://schemas.openxmlformats.org/officeDocument/2006/relationships/hyperlink" Target="https://www.cairn.info/revue-l-annee-psychologique1.htm" TargetMode="External"/><Relationship Id="rId31" Type="http://schemas.openxmlformats.org/officeDocument/2006/relationships/hyperlink" Target="https://doi.org/10.1080/10439463.2018.1532426" TargetMode="External"/><Relationship Id="rId44" Type="http://schemas.openxmlformats.org/officeDocument/2006/relationships/hyperlink" Target="https://restorativejustice.org.uk/sites/default/files/resources/files/Restorative%20JusticeThe%20evidence%20-%20Professor%20Lawrence%20Sherman%20and%20Dr%20Heather%20Strang.pdf" TargetMode="External"/><Relationship Id="rId4" Type="http://schemas.openxmlformats.org/officeDocument/2006/relationships/footnotes" Target="footnotes.xml"/><Relationship Id="rId9" Type="http://schemas.openxmlformats.org/officeDocument/2006/relationships/hyperlink" Target="https://www.college.police.uk/ethics/code-of-ethics" TargetMode="External"/><Relationship Id="rId14" Type="http://schemas.openxmlformats.org/officeDocument/2006/relationships/hyperlink" Target="https://www.emerald.com/insight/publication/issn/1363-951X" TargetMode="External"/><Relationship Id="rId22" Type="http://schemas.openxmlformats.org/officeDocument/2006/relationships/hyperlink" Target="https://www.college.police.uk/app/investigation/investigative-interviewing/investigative-interviewing" TargetMode="External"/><Relationship Id="rId27" Type="http://schemas.openxmlformats.org/officeDocument/2006/relationships/hyperlink" Target="https://psycnet.apa.org/doi/10.1080/10683169908414991" TargetMode="External"/><Relationship Id="rId30" Type="http://schemas.openxmlformats.org/officeDocument/2006/relationships/hyperlink" Target="https://doi.org/10.1080/09658210601047351" TargetMode="External"/><Relationship Id="rId35" Type="http://schemas.openxmlformats.org/officeDocument/2006/relationships/hyperlink" Target="https://doi.org/10.1080/10439463.2013.864653" TargetMode="External"/><Relationship Id="rId43" Type="http://schemas.openxmlformats.org/officeDocument/2006/relationships/hyperlink" Target="https://www.gov.uk/government/statistics/youth-justice-statistics-2022-to-2023/youth-justice-statistics-2022-to-2023-accessible-version" TargetMode="External"/><Relationship Id="rId48" Type="http://schemas.openxmlformats.org/officeDocument/2006/relationships/header" Target="header2.xml"/><Relationship Id="rId8" Type="http://schemas.openxmlformats.org/officeDocument/2006/relationships/hyperlink" Target="https://profdev.college.police.uk/professional-profile/test-9/" TargetMode="External"/><Relationship Id="rId51" Type="http://schemas.openxmlformats.org/officeDocument/2006/relationships/theme" Target="theme/theme1.xml"/><Relationship Id="rId3" Type="http://schemas.openxmlformats.org/officeDocument/2006/relationships/webSettings" Target="webSettings.xml"/><Relationship Id="rId12" Type="http://schemas.openxmlformats.org/officeDocument/2006/relationships/hyperlink" Target="https://www.instituteforgovernment.org.uk/performance-tracker-2022-23/police" TargetMode="External"/><Relationship Id="rId17" Type="http://schemas.openxmlformats.org/officeDocument/2006/relationships/hyperlink" Target="http://cep.lse.ac.uk/pubs/download/dp1376.pdf.%20Date%20accessed%205/1/24" TargetMode="External"/><Relationship Id="rId25" Type="http://schemas.openxmlformats.org/officeDocument/2006/relationships/hyperlink" Target="https://psycnet.apa.org/doi/10.1080/00224549809600384" TargetMode="External"/><Relationship Id="rId33" Type="http://schemas.openxmlformats.org/officeDocument/2006/relationships/hyperlink" Target="https://www.emerald.com/insight/content/doi/10.1108/PIJPSM-12-2016-0177/full/pdf?title=media-consumption-and-perceptions-of-police-legitimacy" TargetMode="External"/><Relationship Id="rId38" Type="http://schemas.openxmlformats.org/officeDocument/2006/relationships/hyperlink" Target="https://www.mssv.ac.in/media-library/uploads/UGFcS497vgjfSweZ7N9vu9FQmEZa7yEL5qA1EdNF.pdf" TargetMode="External"/><Relationship Id="rId46" Type="http://schemas.openxmlformats.org/officeDocument/2006/relationships/hyperlink" Target="https://doi.org/10.1177/1748895817722188" TargetMode="External"/><Relationship Id="rId20" Type="http://schemas.openxmlformats.org/officeDocument/2006/relationships/hyperlink" Target="https://www.cairn.info/revue-l-annee-psychologique1-2013-3.htm" TargetMode="External"/><Relationship Id="rId41" Type="http://schemas.openxmlformats.org/officeDocument/2006/relationships/hyperlink" Target="https://repository.library.carleton.ca/concern/etds/r781wg85w" TargetMode="External"/><Relationship Id="rId1" Type="http://schemas.openxmlformats.org/officeDocument/2006/relationships/styles" Target="styles.xml"/><Relationship Id="rId6" Type="http://schemas.openxmlformats.org/officeDocument/2006/relationships/hyperlink" Target="https://doi.org/10.1007/s11417-016-923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553f0066-c24e-444c-9c2a-7427c31ebeab}" enabled="1" method="Standard" siteId="{e5aafe7c-971b-4ab7-b039-141ad36acec0}" contentBits="1" removed="0"/>
</clbl:labelList>
</file>

<file path=docProps/app.xml><?xml version="1.0" encoding="utf-8"?>
<Properties xmlns="http://schemas.openxmlformats.org/officeDocument/2006/extended-properties" xmlns:vt="http://schemas.openxmlformats.org/officeDocument/2006/docPropsVTypes">
  <Template>Normal</Template>
  <TotalTime>6</TotalTime>
  <Pages>20</Pages>
  <Words>7004</Words>
  <Characters>39925</Characters>
  <Application>Microsoft Office Word</Application>
  <DocSecurity>0</DocSecurity>
  <Lines>332</Lines>
  <Paragraphs>93</Paragraphs>
  <ScaleCrop>false</ScaleCrop>
  <Company>University of South Wales</Company>
  <LinksUpToDate>false</LinksUpToDate>
  <CharactersWithSpaces>46836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Bridie Jones</dc:creator>
  <cp:keywords/>
  <dc:description/>
  <cp:lastModifiedBy>Bridie Jones</cp:lastModifiedBy>
  <cp:revision>1</cp:revision>
  <dcterms:created xsi:type="dcterms:W3CDTF">2024-03-03T16:58:00Z</dcterms:created>
  <dcterms:modified xsi:type="dcterms:W3CDTF">2024-03-03T17:04:00Z</dcterms:modified>
</cp:coreProperties>
</file>