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CE3A5" w14:textId="77777777" w:rsidR="006F7B4A" w:rsidRDefault="006F7B4A" w:rsidP="006F7B4A">
      <w:pPr>
        <w:rPr>
          <w:b/>
          <w:bCs/>
        </w:rPr>
      </w:pPr>
      <w:r w:rsidRPr="002D10F0">
        <w:rPr>
          <w:b/>
          <w:bCs/>
          <w:sz w:val="24"/>
          <w:szCs w:val="24"/>
        </w:rPr>
        <w:t>Examine the various socio-economic and psychological characteristics which can make people vulnerable to exploitation by criminal gangs</w:t>
      </w:r>
      <w:r w:rsidRPr="002D10F0">
        <w:rPr>
          <w:b/>
          <w:bCs/>
        </w:rPr>
        <w:t>.</w:t>
      </w:r>
    </w:p>
    <w:p w14:paraId="0455E552" w14:textId="77777777" w:rsidR="006F7B4A" w:rsidRPr="001D58B5" w:rsidRDefault="006F7B4A" w:rsidP="006F7B4A">
      <w:r w:rsidRPr="001D58B5">
        <w:t>When we talk about vulnerability to exploitation and criminal gangs, we are often faced with a mixture of socio-economic problems, psychological characteristics, and money problems. This essay will aim to highlight why some people become more likely to be influenced by criminal groups. Using academic research, I will talk about the factors that contribute to people’s vulnerabilities.</w:t>
      </w:r>
      <w:r>
        <w:t xml:space="preserve"> Additionally, by examining the demographic profiles, psychological characteristics, educational and employment status, as well as cultural and social influences, this essay will explore the multifaceted nature of vulnerability to gang exploitation.</w:t>
      </w:r>
    </w:p>
    <w:p w14:paraId="6E4B2CFD" w14:textId="77777777" w:rsidR="006F7B4A" w:rsidRDefault="006F7B4A" w:rsidP="006F7B4A">
      <w:pPr>
        <w:rPr>
          <w:sz w:val="24"/>
          <w:szCs w:val="24"/>
        </w:rPr>
      </w:pPr>
      <w:r>
        <w:rPr>
          <w:sz w:val="24"/>
          <w:szCs w:val="24"/>
        </w:rPr>
        <w:t xml:space="preserve">Generally, socio-economic factors can play a significant role in contributing to the vulnerability to exploitation by criminal gangs in the UK. Research findings from Home Office funded projects highlighted that young people with clear vulnerabilities, for example learning difficulties are particularly susceptible to exploitation by criminal gangs. (N. Thompson,2019). The study also revealed that complex reasons, including the need to provide for their families during unemployment and financial struggles, pushed young individuals towards involvement in criminal gangs (Thompson, 2019) </w:t>
      </w:r>
    </w:p>
    <w:p w14:paraId="5509DA93" w14:textId="77777777" w:rsidR="006F7B4A" w:rsidRDefault="006F7B4A" w:rsidP="006F7B4A">
      <w:pPr>
        <w:rPr>
          <w:sz w:val="24"/>
          <w:szCs w:val="24"/>
        </w:rPr>
      </w:pPr>
      <w:r>
        <w:rPr>
          <w:sz w:val="24"/>
          <w:szCs w:val="24"/>
        </w:rPr>
        <w:t>Similarly, an analysis of the music culture within young people indicates that some rap-based songs made by UK artists showed that even themselves like poverty and involvement in crime, this was featured in their lyrics, reflecting the lived experiences of black boys who have encountered various adversities. (B. Hall et al, 2022)</w:t>
      </w:r>
    </w:p>
    <w:p w14:paraId="76130C32" w14:textId="77777777" w:rsidR="006F7B4A" w:rsidRDefault="006F7B4A" w:rsidP="006F7B4A">
      <w:pPr>
        <w:rPr>
          <w:sz w:val="24"/>
          <w:szCs w:val="24"/>
        </w:rPr>
      </w:pPr>
      <w:r>
        <w:rPr>
          <w:sz w:val="24"/>
          <w:szCs w:val="24"/>
        </w:rPr>
        <w:t>Likewise, a study by (Molla,2023) highlights that the general idea of having more friends and a status within the gang can be very appealing to individuals that are struggling to form community ties. The feeling that they belong in a social group and have their own identity is the reason they are drawn to joining or associating with criminal gangs. (</w:t>
      </w:r>
      <w:proofErr w:type="spellStart"/>
      <w:r>
        <w:rPr>
          <w:sz w:val="24"/>
          <w:szCs w:val="24"/>
        </w:rPr>
        <w:t>Molla</w:t>
      </w:r>
      <w:proofErr w:type="spellEnd"/>
      <w:r>
        <w:rPr>
          <w:sz w:val="24"/>
          <w:szCs w:val="24"/>
        </w:rPr>
        <w:t>, 2023)</w:t>
      </w:r>
    </w:p>
    <w:p w14:paraId="53C7CF5A" w14:textId="77777777" w:rsidR="006F7B4A" w:rsidRDefault="006F7B4A" w:rsidP="006F7B4A">
      <w:pPr>
        <w:rPr>
          <w:sz w:val="24"/>
          <w:szCs w:val="24"/>
        </w:rPr>
      </w:pPr>
      <w:r>
        <w:rPr>
          <w:sz w:val="24"/>
          <w:szCs w:val="24"/>
        </w:rPr>
        <w:t xml:space="preserve">Moreover, the impact of adverse childhood experiences is also a critical factor in understanding vulnerability to gangs’ exploitation. Children that have had tough childhood and bad experiences with family and friends would be vulnerable to exploitation by criminal gangs. For instance, children that had experienced abuse, neglect, or other adverse childhood experiences (ACES) (NHS 2023) would often turn to gangs to escape their difficult situations. These tough experiences can have an influence on the children’s resilience and their ability to bounce back, this would in turn make them more likely to be attracted to the false promises often given by criminal groups. (Kevin T, 2020) </w:t>
      </w:r>
    </w:p>
    <w:p w14:paraId="336A8CD5" w14:textId="77777777" w:rsidR="006F7B4A" w:rsidRDefault="006F7B4A" w:rsidP="006F7B4A">
      <w:pPr>
        <w:rPr>
          <w:sz w:val="24"/>
          <w:szCs w:val="24"/>
        </w:rPr>
      </w:pPr>
      <w:r>
        <w:rPr>
          <w:sz w:val="24"/>
          <w:szCs w:val="24"/>
        </w:rPr>
        <w:t xml:space="preserve">While it is true that socio-economic factors such as poverty, lack of education opportunities and ACES can contribute to vulnerability to exploitation by criminal gangs, it is important to recognize that not all individuals facing these challenges end up being recruited by gangs. There are many individuals who come from disadvantaged backgrounds but choose the right paths despite their circumstances. This highlights the fact that personal resilience also plays a crucial role in determining whether someone falls prey to criminal gangs. (Scharff Peterson and Das, 2017) </w:t>
      </w:r>
    </w:p>
    <w:p w14:paraId="19A998C1" w14:textId="77777777" w:rsidR="006F7B4A" w:rsidRDefault="006F7B4A" w:rsidP="006F7B4A">
      <w:pPr>
        <w:rPr>
          <w:sz w:val="24"/>
          <w:szCs w:val="24"/>
        </w:rPr>
      </w:pPr>
      <w:r>
        <w:rPr>
          <w:sz w:val="24"/>
          <w:szCs w:val="24"/>
        </w:rPr>
        <w:t xml:space="preserve">For example, there are numerous success stories of individuals overcoming adversity through education and community support without resorting to illegal activities. According </w:t>
      </w:r>
      <w:r>
        <w:rPr>
          <w:sz w:val="24"/>
          <w:szCs w:val="24"/>
        </w:rPr>
        <w:lastRenderedPageBreak/>
        <w:t xml:space="preserve">to data from the U.S Bureau of Justice Statistics, individuals who have obtained a bachelor’s degree or higher have a significantly lower likelihood of engaging in criminal activities compared to those with lower levels of education. In 2019, only 1.5% of individuals with a bachelor’s degree or higher ended up in prison, whilst 12.2% of those with less than a high school diploma ended up there. (Harlow,2023) In addition, a study conducted by the (S. </w:t>
      </w:r>
      <w:proofErr w:type="spellStart"/>
      <w:r>
        <w:rPr>
          <w:sz w:val="24"/>
          <w:szCs w:val="24"/>
        </w:rPr>
        <w:t>Lockey</w:t>
      </w:r>
      <w:proofErr w:type="spellEnd"/>
      <w:r>
        <w:rPr>
          <w:sz w:val="24"/>
          <w:szCs w:val="24"/>
        </w:rPr>
        <w:t xml:space="preserve"> 2019) revealed that the effective community support networks can decrease the probability of engaging in illegal activities by as much as 40%.</w:t>
      </w:r>
    </w:p>
    <w:p w14:paraId="1A55E1A2" w14:textId="77777777" w:rsidR="006F7B4A" w:rsidRDefault="006F7B4A" w:rsidP="006F7B4A">
      <w:pPr>
        <w:rPr>
          <w:sz w:val="24"/>
          <w:szCs w:val="24"/>
        </w:rPr>
      </w:pPr>
      <w:r>
        <w:rPr>
          <w:sz w:val="24"/>
          <w:szCs w:val="24"/>
        </w:rPr>
        <w:t>In other words, by acknowledging the importance of personal choices and resilience alongside addressing systematic issues, forces can develop more comprehensive strategies to prevent individuals from falling into the grasp of criminal gangs.</w:t>
      </w:r>
    </w:p>
    <w:p w14:paraId="6BBDBC32" w14:textId="77777777" w:rsidR="006F7B4A" w:rsidRDefault="006F7B4A" w:rsidP="006F7B4A">
      <w:pPr>
        <w:rPr>
          <w:sz w:val="24"/>
          <w:szCs w:val="24"/>
        </w:rPr>
      </w:pPr>
      <w:r>
        <w:rPr>
          <w:sz w:val="24"/>
          <w:szCs w:val="24"/>
        </w:rPr>
        <w:t xml:space="preserve">For instance, programs that will have a focus on children’s education, giving adults a better work opportunity, and increased support with mental health, anxiety and depression issues will have a very positive impact on the individuals involved and would steer them away from being vulnerable to exploitation. (L., Lochner 2012,). </w:t>
      </w:r>
    </w:p>
    <w:p w14:paraId="68E9BAC7" w14:textId="77777777" w:rsidR="006F7B4A" w:rsidRDefault="006F7B4A" w:rsidP="006F7B4A">
      <w:pPr>
        <w:rPr>
          <w:sz w:val="24"/>
          <w:szCs w:val="24"/>
        </w:rPr>
      </w:pPr>
      <w:r>
        <w:rPr>
          <w:sz w:val="24"/>
          <w:szCs w:val="24"/>
        </w:rPr>
        <w:t>Consequently, all Police forces across the United Kingdom will have different strategies they employ to prevent the influence of criminal gangs on those individuals that will often find themselves in a position of vulnerability. For example, several community policing initiatives have been implemented to build positive relationship between the police and the communities they serve. It is vital that police are addressing neighbourhood issues raised even if minor, any disorders, and other anti-social behaviour concerns, as neglecting those will in turn contribute to a negative environment, and no community cohesion, which will contribute to criminal activities within the neighbourhood. (Hobson et al. 2018)</w:t>
      </w:r>
    </w:p>
    <w:p w14:paraId="69AF64CB" w14:textId="77777777" w:rsidR="006F7B4A" w:rsidRDefault="006F7B4A" w:rsidP="006F7B4A">
      <w:pPr>
        <w:rPr>
          <w:sz w:val="24"/>
          <w:szCs w:val="24"/>
        </w:rPr>
      </w:pPr>
      <w:r>
        <w:rPr>
          <w:sz w:val="24"/>
          <w:szCs w:val="24"/>
        </w:rPr>
        <w:t xml:space="preserve">Furthermore, community policing initiatives would often include educational programs and other opportunities for youths like the Police Cadets. Those programs are aiming to disrupt the cycle of vulnerability and contribute to building resilience and give those individuals susceptible to exploitation a sense of purpose and a place they belong. By exposing the police cadets to community policing, crime prevention strategies and other activities will lead them to making future positive choices. (Pepper, I.., Rogers, C. (2022) </w:t>
      </w:r>
    </w:p>
    <w:p w14:paraId="08BAAD4C" w14:textId="77777777" w:rsidR="006F7B4A" w:rsidRDefault="006F7B4A" w:rsidP="006F7B4A">
      <w:pPr>
        <w:rPr>
          <w:sz w:val="24"/>
          <w:szCs w:val="24"/>
        </w:rPr>
      </w:pPr>
      <w:r>
        <w:rPr>
          <w:sz w:val="24"/>
          <w:szCs w:val="24"/>
        </w:rPr>
        <w:t xml:space="preserve">In conclusion, looking at the bigger picture of vulnerability to criminal gangs within the </w:t>
      </w:r>
      <w:proofErr w:type="spellStart"/>
      <w:r>
        <w:rPr>
          <w:sz w:val="24"/>
          <w:szCs w:val="24"/>
        </w:rPr>
        <w:t>uk</w:t>
      </w:r>
      <w:proofErr w:type="spellEnd"/>
      <w:r>
        <w:rPr>
          <w:sz w:val="24"/>
          <w:szCs w:val="24"/>
        </w:rPr>
        <w:t>, a mixture of money issues and vulnerable young children is present. By looking at these factors, the police and other partnership agencies need to find solutions that will address both money problems and the psychological aspect of the vulnerability. For this reason, police forces are working actively to stop young children and adults from being involved with criminal activities and deter them from anti-social behaviour. They often would work with social services and other community groups with a common goal, to break the cycle of poverty and limited opportunities within the communities. Through the efforts of all partnership agencies, a stronger communities will form, and people will be less likely to be involved in crime.</w:t>
      </w:r>
    </w:p>
    <w:p w14:paraId="7C96DF26" w14:textId="77777777" w:rsidR="006F7B4A" w:rsidRDefault="006F7B4A" w:rsidP="006F7B4A">
      <w:pPr>
        <w:rPr>
          <w:sz w:val="24"/>
          <w:szCs w:val="24"/>
        </w:rPr>
      </w:pPr>
    </w:p>
    <w:p w14:paraId="42FBAAE4" w14:textId="77777777" w:rsidR="006F7B4A" w:rsidRDefault="006F7B4A" w:rsidP="006F7B4A">
      <w:pPr>
        <w:rPr>
          <w:sz w:val="24"/>
          <w:szCs w:val="24"/>
        </w:rPr>
      </w:pPr>
    </w:p>
    <w:p w14:paraId="4BD7D0DB" w14:textId="77777777" w:rsidR="006F7B4A" w:rsidRPr="008F5054" w:rsidRDefault="006F7B4A" w:rsidP="006F7B4A">
      <w:pPr>
        <w:rPr>
          <w:b/>
          <w:bCs/>
          <w:sz w:val="24"/>
          <w:szCs w:val="24"/>
        </w:rPr>
      </w:pPr>
      <w:r w:rsidRPr="008F5054">
        <w:rPr>
          <w:b/>
          <w:bCs/>
          <w:sz w:val="24"/>
          <w:szCs w:val="24"/>
        </w:rPr>
        <w:lastRenderedPageBreak/>
        <w:t>Word Count: 9</w:t>
      </w:r>
      <w:r>
        <w:rPr>
          <w:b/>
          <w:bCs/>
          <w:sz w:val="24"/>
          <w:szCs w:val="24"/>
        </w:rPr>
        <w:t>84</w:t>
      </w:r>
    </w:p>
    <w:p w14:paraId="31744E35" w14:textId="77777777" w:rsidR="006F7B4A" w:rsidRDefault="006F7B4A" w:rsidP="006F7B4A">
      <w:pPr>
        <w:pStyle w:val="PlainText"/>
      </w:pPr>
    </w:p>
    <w:p w14:paraId="55E90944" w14:textId="77777777" w:rsidR="006F7B4A" w:rsidRDefault="006F7B4A" w:rsidP="006F7B4A">
      <w:pPr>
        <w:pStyle w:val="PlainText"/>
        <w:numPr>
          <w:ilvl w:val="0"/>
          <w:numId w:val="1"/>
        </w:numPr>
      </w:pPr>
      <w:r>
        <w:t xml:space="preserve">Cosgrove, F., &amp; Ramshaw, P. (2013, June 4). It is what you do as well as the way that you do it: the value and deployment of PCSOs in achieving public engagement. Policing and Society, 25(1), 77–96. </w:t>
      </w:r>
      <w:hyperlink r:id="rId5" w:history="1">
        <w:r>
          <w:rPr>
            <w:rStyle w:val="Hyperlink"/>
          </w:rPr>
          <w:t>https://doi.org/10.1080/10439463.2013.802787</w:t>
        </w:r>
      </w:hyperlink>
    </w:p>
    <w:p w14:paraId="68155084" w14:textId="77777777" w:rsidR="006F7B4A" w:rsidRDefault="006F7B4A" w:rsidP="006F7B4A">
      <w:pPr>
        <w:pStyle w:val="PlainText"/>
      </w:pPr>
    </w:p>
    <w:p w14:paraId="14BEB77D" w14:textId="77777777" w:rsidR="006F7B4A" w:rsidRDefault="006F7B4A" w:rsidP="006F7B4A">
      <w:pPr>
        <w:numPr>
          <w:ilvl w:val="0"/>
          <w:numId w:val="1"/>
        </w:numPr>
        <w:rPr>
          <w:sz w:val="24"/>
          <w:szCs w:val="24"/>
        </w:rPr>
      </w:pPr>
      <w:r>
        <w:rPr>
          <w:sz w:val="24"/>
          <w:szCs w:val="24"/>
        </w:rPr>
        <w:t xml:space="preserve">Hall, Beth, et al. “Criminalising Black Trauma: Grime and Drill Lyrics as a form of ethnographic data to understand “gangs” and serious youth violence. “Genealogy, vol. 7, no 1, 23 dec. 2022, p. 2, www.mdpi.com/2313-5778/7/1/2, </w:t>
      </w:r>
    </w:p>
    <w:p w14:paraId="73920096" w14:textId="77777777" w:rsidR="006F7B4A" w:rsidRDefault="006F7B4A" w:rsidP="006F7B4A">
      <w:pPr>
        <w:pStyle w:val="ListParagraph"/>
        <w:rPr>
          <w:sz w:val="24"/>
          <w:szCs w:val="24"/>
        </w:rPr>
      </w:pPr>
    </w:p>
    <w:p w14:paraId="432D73F3" w14:textId="77777777" w:rsidR="006F7B4A" w:rsidRDefault="006F7B4A" w:rsidP="006F7B4A">
      <w:pPr>
        <w:pStyle w:val="NormalWeb"/>
        <w:numPr>
          <w:ilvl w:val="0"/>
          <w:numId w:val="1"/>
        </w:numPr>
        <w:rPr>
          <w:rFonts w:ascii="Arial" w:hAnsi="Arial" w:cs="Arial"/>
          <w:color w:val="000000"/>
          <w:sz w:val="20"/>
          <w:szCs w:val="20"/>
        </w:rPr>
      </w:pPr>
      <w:r>
        <w:rPr>
          <w:rFonts w:ascii="Arial" w:hAnsi="Arial" w:cs="Arial"/>
          <w:color w:val="000000"/>
          <w:sz w:val="20"/>
          <w:szCs w:val="20"/>
        </w:rPr>
        <w:t xml:space="preserve">‌Harlow, C. (2023). </w:t>
      </w:r>
      <w:r>
        <w:rPr>
          <w:rStyle w:val="Emphasis"/>
          <w:rFonts w:ascii="Arial" w:hAnsi="Arial" w:cs="Arial"/>
          <w:iCs/>
          <w:color w:val="000000"/>
          <w:sz w:val="20"/>
          <w:szCs w:val="20"/>
        </w:rPr>
        <w:t>Education and Correctional Populations</w:t>
      </w:r>
      <w:r>
        <w:rPr>
          <w:rFonts w:ascii="Arial" w:hAnsi="Arial" w:cs="Arial"/>
          <w:color w:val="000000"/>
          <w:sz w:val="20"/>
          <w:szCs w:val="20"/>
        </w:rPr>
        <w:t xml:space="preserve">. [online] U.S. Department of Justice. Available at: </w:t>
      </w:r>
      <w:hyperlink r:id="rId6" w:history="1">
        <w:r>
          <w:rPr>
            <w:rStyle w:val="Hyperlink"/>
            <w:rFonts w:ascii="Arial" w:hAnsi="Arial" w:cs="Arial"/>
            <w:sz w:val="20"/>
            <w:szCs w:val="20"/>
          </w:rPr>
          <w:t>https://bjs.ojp.gov/content/pub/pdf/ecp.pdf</w:t>
        </w:r>
      </w:hyperlink>
    </w:p>
    <w:p w14:paraId="41C61C0D" w14:textId="77777777" w:rsidR="006F7B4A" w:rsidRDefault="006F7B4A" w:rsidP="006F7B4A">
      <w:pPr>
        <w:pStyle w:val="ListParagraph"/>
        <w:rPr>
          <w:rFonts w:ascii="Arial" w:hAnsi="Arial" w:cs="Arial"/>
          <w:color w:val="000000"/>
          <w:sz w:val="20"/>
          <w:szCs w:val="20"/>
        </w:rPr>
      </w:pPr>
    </w:p>
    <w:p w14:paraId="682EF257" w14:textId="77777777" w:rsidR="006F7B4A" w:rsidRDefault="006F7B4A" w:rsidP="006F7B4A">
      <w:pPr>
        <w:pStyle w:val="NormalWeb"/>
        <w:ind w:left="720"/>
        <w:rPr>
          <w:rFonts w:ascii="Arial" w:hAnsi="Arial" w:cs="Arial"/>
          <w:color w:val="000000"/>
          <w:sz w:val="20"/>
          <w:szCs w:val="20"/>
        </w:rPr>
      </w:pPr>
    </w:p>
    <w:p w14:paraId="6C13E8B7" w14:textId="77777777" w:rsidR="006F7B4A" w:rsidRDefault="006F7B4A" w:rsidP="006F7B4A">
      <w:pPr>
        <w:numPr>
          <w:ilvl w:val="0"/>
          <w:numId w:val="1"/>
        </w:numPr>
        <w:rPr>
          <w:sz w:val="24"/>
          <w:szCs w:val="24"/>
        </w:rPr>
      </w:pPr>
      <w:r>
        <w:rPr>
          <w:sz w:val="24"/>
          <w:szCs w:val="24"/>
        </w:rPr>
        <w:t xml:space="preserve">Hobson, Jonathan, et al. </w:t>
      </w:r>
      <w:proofErr w:type="gramStart"/>
      <w:r>
        <w:rPr>
          <w:sz w:val="24"/>
          <w:szCs w:val="24"/>
        </w:rPr>
        <w:t>“ are</w:t>
      </w:r>
      <w:proofErr w:type="gramEnd"/>
      <w:r>
        <w:rPr>
          <w:sz w:val="24"/>
          <w:szCs w:val="24"/>
        </w:rPr>
        <w:t xml:space="preserve"> Police -led social crime prevention initiatives effective?: A process and outcome evaluation of UK youth </w:t>
      </w:r>
      <w:proofErr w:type="spellStart"/>
      <w:r>
        <w:rPr>
          <w:sz w:val="24"/>
          <w:szCs w:val="24"/>
        </w:rPr>
        <w:t>intervention.”International</w:t>
      </w:r>
      <w:proofErr w:type="spellEnd"/>
      <w:r>
        <w:rPr>
          <w:sz w:val="24"/>
          <w:szCs w:val="24"/>
        </w:rPr>
        <w:t xml:space="preserve"> Criminal Justice Review, vol. 31, no.3, 5 dec. 2018, p. 105756771881489, </w:t>
      </w:r>
    </w:p>
    <w:p w14:paraId="52D3B103" w14:textId="77777777" w:rsidR="006F7B4A" w:rsidRDefault="006F7B4A" w:rsidP="006F7B4A">
      <w:pPr>
        <w:pStyle w:val="PlainText"/>
        <w:numPr>
          <w:ilvl w:val="0"/>
          <w:numId w:val="1"/>
        </w:numPr>
      </w:pPr>
      <w:r>
        <w:t xml:space="preserve">Lochner, L. (2012) The impact of education on crime: International evidence. Available at: </w:t>
      </w:r>
      <w:hyperlink r:id="rId7" w:history="1">
        <w:r>
          <w:rPr>
            <w:rStyle w:val="Hyperlink"/>
          </w:rPr>
          <w:t>https://www.econstor.eu/bitstream/10419/167078/1/ifo-dice-report-v10-y2012-i2-p49-55.pdf</w:t>
        </w:r>
      </w:hyperlink>
      <w:r>
        <w:t xml:space="preserve"> (Accessed: 22 December 2023). </w:t>
      </w:r>
    </w:p>
    <w:p w14:paraId="1E3A95BC" w14:textId="77777777" w:rsidR="006F7B4A" w:rsidRDefault="006F7B4A" w:rsidP="006F7B4A">
      <w:pPr>
        <w:numPr>
          <w:ilvl w:val="0"/>
          <w:numId w:val="1"/>
        </w:numPr>
        <w:rPr>
          <w:sz w:val="24"/>
          <w:szCs w:val="24"/>
        </w:rPr>
      </w:pPr>
      <w:proofErr w:type="spellStart"/>
      <w:r>
        <w:rPr>
          <w:sz w:val="24"/>
          <w:szCs w:val="24"/>
        </w:rPr>
        <w:t>Molla</w:t>
      </w:r>
      <w:proofErr w:type="spellEnd"/>
      <w:r>
        <w:rPr>
          <w:sz w:val="24"/>
          <w:szCs w:val="24"/>
        </w:rPr>
        <w:t xml:space="preserve">, T. (2023). Racial Othering and Relational Wellbeing: African Refugee Youth in Australia. Social Sciences, [online] 12(11), p.609. Doi: </w:t>
      </w:r>
      <w:hyperlink r:id="rId8" w:history="1">
        <w:r w:rsidRPr="00ED171B">
          <w:rPr>
            <w:rStyle w:val="Hyperlink"/>
            <w:sz w:val="24"/>
            <w:szCs w:val="24"/>
          </w:rPr>
          <w:t>https://doi.org/10.3390/socsci12110609</w:t>
        </w:r>
      </w:hyperlink>
    </w:p>
    <w:p w14:paraId="488F1860" w14:textId="77777777" w:rsidR="006F7B4A" w:rsidRDefault="006F7B4A" w:rsidP="006F7B4A">
      <w:pPr>
        <w:pStyle w:val="PlainText"/>
        <w:ind w:left="720"/>
      </w:pPr>
    </w:p>
    <w:p w14:paraId="34A6F4DD" w14:textId="77777777" w:rsidR="006F7B4A" w:rsidRDefault="006F7B4A" w:rsidP="006F7B4A">
      <w:pPr>
        <w:ind w:left="720"/>
        <w:rPr>
          <w:sz w:val="24"/>
          <w:szCs w:val="24"/>
        </w:rPr>
      </w:pPr>
    </w:p>
    <w:p w14:paraId="040CA1E6" w14:textId="77777777" w:rsidR="006F7B4A" w:rsidRDefault="006F7B4A" w:rsidP="006F7B4A">
      <w:pPr>
        <w:pStyle w:val="NormalWeb"/>
        <w:numPr>
          <w:ilvl w:val="0"/>
          <w:numId w:val="1"/>
        </w:numPr>
        <w:rPr>
          <w:rFonts w:ascii="Arial" w:hAnsi="Arial" w:cs="Arial"/>
          <w:color w:val="000000"/>
          <w:sz w:val="20"/>
          <w:szCs w:val="20"/>
        </w:rPr>
      </w:pPr>
      <w:r>
        <w:rPr>
          <w:rFonts w:ascii="Arial" w:hAnsi="Arial" w:cs="Arial"/>
          <w:color w:val="000000"/>
          <w:sz w:val="20"/>
          <w:szCs w:val="20"/>
        </w:rPr>
        <w:t>Scharff Peterson, D. and Das, D.K. eds., (2017). </w:t>
      </w:r>
      <w:r>
        <w:rPr>
          <w:rStyle w:val="Emphasis"/>
          <w:rFonts w:ascii="Arial" w:hAnsi="Arial" w:cs="Arial"/>
          <w:iCs/>
          <w:color w:val="000000"/>
          <w:sz w:val="20"/>
          <w:szCs w:val="20"/>
        </w:rPr>
        <w:t>Global Perspectives on Crime Prevention and Community Resilience</w:t>
      </w:r>
      <w:r>
        <w:rPr>
          <w:rFonts w:ascii="Arial" w:hAnsi="Arial" w:cs="Arial"/>
          <w:color w:val="000000"/>
          <w:sz w:val="20"/>
          <w:szCs w:val="20"/>
        </w:rPr>
        <w:t>. Routledge. </w:t>
      </w:r>
    </w:p>
    <w:p w14:paraId="73AB9F56" w14:textId="77777777" w:rsidR="006F7B4A" w:rsidRDefault="006F7B4A" w:rsidP="006F7B4A">
      <w:pPr>
        <w:pStyle w:val="PlainText"/>
        <w:ind w:left="720"/>
      </w:pPr>
    </w:p>
    <w:p w14:paraId="1A0C9B95" w14:textId="77777777" w:rsidR="006F7B4A" w:rsidRDefault="006F7B4A" w:rsidP="006F7B4A">
      <w:pPr>
        <w:pStyle w:val="PlainText"/>
        <w:numPr>
          <w:ilvl w:val="0"/>
          <w:numId w:val="1"/>
        </w:numPr>
      </w:pPr>
      <w:r>
        <w:t xml:space="preserve">T, K. (2020) The Relationship between Adverse Childhood Experiences (ACE) and Juvenile Offending Trajectories in a Juvenile Offender Sample. Available at: </w:t>
      </w:r>
      <w:hyperlink r:id="rId9" w:history="1">
        <w:r>
          <w:rPr>
            <w:rStyle w:val="Hyperlink"/>
          </w:rPr>
          <w:t>https://www.pacesconnection.com/g/ace-juvenile-justice/fileSendAction/fcType/5/fcOid/450964185277680460/fodoid/450964185277680459/5-ACEs%20and%20Juvenile%20Offending%20Trajectories-Journal%20of%20Criminal%20Justice.pdf</w:t>
        </w:r>
      </w:hyperlink>
      <w:r>
        <w:t xml:space="preserve"> (Accessed: 05 January 2024). </w:t>
      </w:r>
    </w:p>
    <w:p w14:paraId="70B967FC" w14:textId="77777777" w:rsidR="006F7B4A" w:rsidRDefault="006F7B4A" w:rsidP="006F7B4A">
      <w:pPr>
        <w:numPr>
          <w:ilvl w:val="0"/>
          <w:numId w:val="1"/>
        </w:numPr>
        <w:rPr>
          <w:sz w:val="24"/>
          <w:szCs w:val="24"/>
        </w:rPr>
      </w:pPr>
      <w:proofErr w:type="spellStart"/>
      <w:r>
        <w:rPr>
          <w:sz w:val="24"/>
          <w:szCs w:val="24"/>
        </w:rPr>
        <w:t>Tompson</w:t>
      </w:r>
      <w:proofErr w:type="spellEnd"/>
      <w:r>
        <w:rPr>
          <w:sz w:val="24"/>
          <w:szCs w:val="24"/>
        </w:rPr>
        <w:t>, N. (2019</w:t>
      </w:r>
      <w:proofErr w:type="gramStart"/>
      <w:r>
        <w:rPr>
          <w:sz w:val="24"/>
          <w:szCs w:val="24"/>
        </w:rPr>
        <w:t>) .</w:t>
      </w:r>
      <w:proofErr w:type="gramEnd"/>
      <w:r>
        <w:rPr>
          <w:sz w:val="24"/>
          <w:szCs w:val="24"/>
        </w:rPr>
        <w:t xml:space="preserve"> It’s a No-Win Scenario, either the police or the Gang Will Get You: Young people and Organised Crime – Vulnerable or Criminal? Pp.102-119. Doi: </w:t>
      </w:r>
      <w:hyperlink r:id="rId10" w:history="1">
        <w:r w:rsidRPr="00ED171B">
          <w:rPr>
            <w:rStyle w:val="Hyperlink"/>
            <w:sz w:val="24"/>
            <w:szCs w:val="24"/>
          </w:rPr>
          <w:t>https://doi.org/10.1177/1473225419843353</w:t>
        </w:r>
      </w:hyperlink>
    </w:p>
    <w:p w14:paraId="13D72BFB" w14:textId="77777777" w:rsidR="006F7B4A" w:rsidRDefault="006F7B4A" w:rsidP="006F7B4A">
      <w:pPr>
        <w:pStyle w:val="NormalWeb"/>
        <w:numPr>
          <w:ilvl w:val="0"/>
          <w:numId w:val="1"/>
        </w:numPr>
        <w:rPr>
          <w:rFonts w:ascii="Arial" w:hAnsi="Arial" w:cs="Arial"/>
          <w:color w:val="000000"/>
          <w:sz w:val="20"/>
          <w:szCs w:val="20"/>
        </w:rPr>
      </w:pPr>
      <w:proofErr w:type="spellStart"/>
      <w:r>
        <w:rPr>
          <w:rFonts w:ascii="Arial" w:hAnsi="Arial" w:cs="Arial"/>
          <w:color w:val="000000"/>
          <w:sz w:val="20"/>
          <w:szCs w:val="20"/>
        </w:rPr>
        <w:t>Lockey</w:t>
      </w:r>
      <w:proofErr w:type="spellEnd"/>
      <w:r>
        <w:rPr>
          <w:rFonts w:ascii="Arial" w:hAnsi="Arial" w:cs="Arial"/>
          <w:color w:val="000000"/>
          <w:sz w:val="20"/>
          <w:szCs w:val="20"/>
        </w:rPr>
        <w:t xml:space="preserve">, S., Graham, L., Redman, T., Zheng, Y., Routledge, G. and Purves, L. (2019). The impact of a local community engagement intervention on residents’ fear of crime and </w:t>
      </w:r>
      <w:r>
        <w:rPr>
          <w:rFonts w:ascii="Arial" w:hAnsi="Arial" w:cs="Arial"/>
          <w:color w:val="000000"/>
          <w:sz w:val="20"/>
          <w:szCs w:val="20"/>
        </w:rPr>
        <w:lastRenderedPageBreak/>
        <w:t xml:space="preserve">perceptions of the police. </w:t>
      </w:r>
      <w:r>
        <w:rPr>
          <w:rStyle w:val="Emphasis"/>
          <w:rFonts w:ascii="Arial" w:hAnsi="Arial" w:cs="Arial"/>
          <w:iCs/>
          <w:color w:val="000000"/>
          <w:sz w:val="20"/>
          <w:szCs w:val="20"/>
        </w:rPr>
        <w:t>International Journal of Police Science &amp; Management</w:t>
      </w:r>
      <w:r>
        <w:rPr>
          <w:rFonts w:ascii="Arial" w:hAnsi="Arial" w:cs="Arial"/>
          <w:color w:val="000000"/>
          <w:sz w:val="20"/>
          <w:szCs w:val="20"/>
        </w:rPr>
        <w:t xml:space="preserve">, 21(3), pp.168–180. </w:t>
      </w:r>
      <w:proofErr w:type="spellStart"/>
      <w:proofErr w:type="gramStart"/>
      <w:r>
        <w:rPr>
          <w:rFonts w:ascii="Arial" w:hAnsi="Arial" w:cs="Arial"/>
          <w:color w:val="000000"/>
          <w:sz w:val="20"/>
          <w:szCs w:val="20"/>
        </w:rPr>
        <w:t>doi:https</w:t>
      </w:r>
      <w:proofErr w:type="spellEnd"/>
      <w:r>
        <w:rPr>
          <w:rFonts w:ascii="Arial" w:hAnsi="Arial" w:cs="Arial"/>
          <w:color w:val="000000"/>
          <w:sz w:val="20"/>
          <w:szCs w:val="20"/>
        </w:rPr>
        <w:t>://doi.org/10.1177/1461355719856039</w:t>
      </w:r>
      <w:proofErr w:type="gramEnd"/>
      <w:r>
        <w:rPr>
          <w:rFonts w:ascii="Arial" w:hAnsi="Arial" w:cs="Arial"/>
          <w:color w:val="000000"/>
          <w:sz w:val="20"/>
          <w:szCs w:val="20"/>
        </w:rPr>
        <w:t>.</w:t>
      </w:r>
    </w:p>
    <w:p w14:paraId="40BEF25B" w14:textId="77777777" w:rsidR="006F7B4A" w:rsidRDefault="006F7B4A" w:rsidP="006F7B4A">
      <w:pPr>
        <w:pStyle w:val="PlainText"/>
        <w:numPr>
          <w:ilvl w:val="0"/>
          <w:numId w:val="1"/>
        </w:numPr>
      </w:pPr>
      <w:proofErr w:type="spellStart"/>
      <w:r>
        <w:t>Джaкубaевa</w:t>
      </w:r>
      <w:proofErr w:type="spellEnd"/>
      <w:r>
        <w:t xml:space="preserve">, &amp; </w:t>
      </w:r>
      <w:proofErr w:type="spellStart"/>
      <w:r>
        <w:t>Жекенов</w:t>
      </w:r>
      <w:proofErr w:type="spellEnd"/>
      <w:r>
        <w:t xml:space="preserve">. (2019, August 4). </w:t>
      </w:r>
      <w:hyperlink r:id="rId11" w:history="1">
        <w:r>
          <w:rPr>
            <w:rStyle w:val="Hyperlink"/>
          </w:rPr>
          <w:t>https://bulletin-orientalism.kaznu.kz/index.php/1-vostok/article/view/1396</w:t>
        </w:r>
      </w:hyperlink>
      <w:r>
        <w:t xml:space="preserve">. Journal of Oriental Studies, 89(2). </w:t>
      </w:r>
      <w:hyperlink r:id="rId12" w:history="1">
        <w:r>
          <w:rPr>
            <w:rStyle w:val="Hyperlink"/>
          </w:rPr>
          <w:t>https://doi.org/10.26577/jos.v89i2.1396</w:t>
        </w:r>
      </w:hyperlink>
    </w:p>
    <w:p w14:paraId="78647368" w14:textId="77777777" w:rsidR="006F7B4A" w:rsidRDefault="006F7B4A" w:rsidP="006F7B4A">
      <w:pPr>
        <w:ind w:left="720"/>
        <w:rPr>
          <w:sz w:val="24"/>
          <w:szCs w:val="24"/>
        </w:rPr>
      </w:pPr>
    </w:p>
    <w:p w14:paraId="69095B4A" w14:textId="77777777" w:rsidR="00F96450" w:rsidRDefault="00F96450" w:rsidP="00F96450">
      <w:pPr>
        <w:pStyle w:val="Default"/>
        <w:rPr>
          <w:b/>
          <w:bCs/>
          <w:sz w:val="22"/>
          <w:szCs w:val="22"/>
        </w:rPr>
      </w:pPr>
      <w:r w:rsidRPr="00D41494">
        <w:rPr>
          <w:b/>
          <w:bCs/>
          <w:sz w:val="22"/>
          <w:szCs w:val="22"/>
        </w:rPr>
        <w:t>Assess the impact that cultural diversity has had on policing practice (</w:t>
      </w:r>
      <w:proofErr w:type="gramStart"/>
      <w:r w:rsidRPr="00D41494">
        <w:rPr>
          <w:b/>
          <w:bCs/>
          <w:sz w:val="22"/>
          <w:szCs w:val="22"/>
        </w:rPr>
        <w:t>e.g.</w:t>
      </w:r>
      <w:proofErr w:type="gramEnd"/>
      <w:r w:rsidRPr="00D41494">
        <w:rPr>
          <w:b/>
          <w:bCs/>
          <w:sz w:val="22"/>
          <w:szCs w:val="22"/>
        </w:rPr>
        <w:t xml:space="preserve"> neighbourhood policing) and professional policies and standards (e.g. PACE, Code of Ethics). </w:t>
      </w:r>
    </w:p>
    <w:p w14:paraId="270021D1" w14:textId="77777777" w:rsidR="00F96450" w:rsidRDefault="00F96450" w:rsidP="00F96450">
      <w:pPr>
        <w:pStyle w:val="Default"/>
        <w:rPr>
          <w:b/>
          <w:bCs/>
          <w:sz w:val="22"/>
          <w:szCs w:val="22"/>
        </w:rPr>
      </w:pPr>
    </w:p>
    <w:p w14:paraId="4B1E1309" w14:textId="77777777" w:rsidR="00F96450" w:rsidRDefault="00F96450" w:rsidP="00F96450">
      <w:pPr>
        <w:pStyle w:val="Default"/>
        <w:rPr>
          <w:sz w:val="22"/>
          <w:szCs w:val="22"/>
        </w:rPr>
      </w:pPr>
      <w:r>
        <w:rPr>
          <w:sz w:val="22"/>
          <w:szCs w:val="22"/>
        </w:rPr>
        <w:t xml:space="preserve">The cultural diversity within the United Kingdom has a significant impact on the policing within the country, it mainly impacts the operational approaches different forces use and the development of professional standards. This essay will examine the effects on cultural diversity on policing, focusing on neighbourhood policing strategies and the shift in policies and standards such as the Police and Criminal Evidence ACT (PACE) and the Code of Ethics. </w:t>
      </w:r>
    </w:p>
    <w:p w14:paraId="5BCD1E61" w14:textId="77777777" w:rsidR="00F96450" w:rsidRDefault="00F96450" w:rsidP="00F96450">
      <w:pPr>
        <w:pStyle w:val="Default"/>
        <w:rPr>
          <w:sz w:val="22"/>
          <w:szCs w:val="22"/>
        </w:rPr>
      </w:pPr>
      <w:r>
        <w:rPr>
          <w:sz w:val="22"/>
          <w:szCs w:val="22"/>
        </w:rPr>
        <w:t>(PACE) Codes of Practice, 2023) (College of Policing, n.d.)</w:t>
      </w:r>
    </w:p>
    <w:p w14:paraId="67134E78" w14:textId="77777777" w:rsidR="00F96450" w:rsidRDefault="00F96450" w:rsidP="00F96450">
      <w:pPr>
        <w:pStyle w:val="Default"/>
        <w:rPr>
          <w:sz w:val="22"/>
          <w:szCs w:val="22"/>
        </w:rPr>
      </w:pPr>
    </w:p>
    <w:p w14:paraId="6AB64CA0" w14:textId="77777777" w:rsidR="00F96450" w:rsidRDefault="00F96450" w:rsidP="00F96450">
      <w:pPr>
        <w:pStyle w:val="Default"/>
        <w:rPr>
          <w:sz w:val="22"/>
          <w:szCs w:val="22"/>
        </w:rPr>
      </w:pPr>
      <w:r>
        <w:rPr>
          <w:sz w:val="22"/>
          <w:szCs w:val="22"/>
        </w:rPr>
        <w:t xml:space="preserve">The mixture of people with different believes, sexual orientation and other factors has made the police forces to re-evaluate the way they operate and work. The increased multiculturalism within the UK has certainly led to the adoption of community-oriented approaches that different forces use </w:t>
      </w:r>
      <w:proofErr w:type="gramStart"/>
      <w:r>
        <w:rPr>
          <w:sz w:val="22"/>
          <w:szCs w:val="22"/>
        </w:rPr>
        <w:t>in order to</w:t>
      </w:r>
      <w:proofErr w:type="gramEnd"/>
      <w:r>
        <w:rPr>
          <w:sz w:val="22"/>
          <w:szCs w:val="22"/>
        </w:rPr>
        <w:t xml:space="preserve"> build trust and collaboration with the communities. New programs like Safer Neighbourhoods initiatives have been introduced. (Bury, 2018) These programs are greatly improving the relations and public satisfaction through increased police visibility in neighbourhoods, and the police approachability. Example of this is many Police Surgeries PCSOS are holding weekly around the country, giving residents the chance to approach their local PCSOs or Officer and talk about any concerns they might have. (Ali, et al. 2023) </w:t>
      </w:r>
    </w:p>
    <w:p w14:paraId="6EA679B4" w14:textId="77777777" w:rsidR="00F96450" w:rsidRDefault="00F96450" w:rsidP="00F96450">
      <w:pPr>
        <w:pStyle w:val="Default"/>
        <w:rPr>
          <w:sz w:val="22"/>
          <w:szCs w:val="22"/>
        </w:rPr>
      </w:pPr>
    </w:p>
    <w:p w14:paraId="0397D798" w14:textId="77777777" w:rsidR="00F96450" w:rsidRDefault="00F96450" w:rsidP="00F96450">
      <w:pPr>
        <w:pStyle w:val="Default"/>
        <w:rPr>
          <w:sz w:val="22"/>
          <w:szCs w:val="22"/>
        </w:rPr>
      </w:pPr>
      <w:r>
        <w:rPr>
          <w:sz w:val="22"/>
          <w:szCs w:val="22"/>
        </w:rPr>
        <w:t>The presence of diverse cultural backgrounds has had a substantial impact on the way policing works, especially in neighbourhood policing. Research by Durham university suggests that just expanding workforce diversity alone does not automatically lead to positive outcomes for individuals and organisations involved. Instead, achieving inclusion alongside diversity is essential to support and improve policing practices. An inclusive force enables all officers to feel express themselves and voice their concerns if needed. (Durham University 2019)</w:t>
      </w:r>
    </w:p>
    <w:p w14:paraId="73369697" w14:textId="77777777" w:rsidR="00F96450" w:rsidRDefault="00F96450" w:rsidP="00F96450">
      <w:pPr>
        <w:pStyle w:val="Default"/>
        <w:rPr>
          <w:sz w:val="22"/>
          <w:szCs w:val="22"/>
        </w:rPr>
      </w:pPr>
    </w:p>
    <w:p w14:paraId="103C1DCA" w14:textId="77777777" w:rsidR="00F96450" w:rsidRDefault="00F96450" w:rsidP="00F96450">
      <w:pPr>
        <w:pStyle w:val="Default"/>
        <w:rPr>
          <w:sz w:val="22"/>
          <w:szCs w:val="22"/>
        </w:rPr>
      </w:pPr>
      <w:r>
        <w:rPr>
          <w:sz w:val="22"/>
          <w:szCs w:val="22"/>
        </w:rPr>
        <w:t xml:space="preserve">Furthermore, The National Diversity, Equality, and inclusion Survey among police forces in England and Wales highlighted the significance of inclusive employment practices, such as impartial hiring process and investing in the development of all officers involved. </w:t>
      </w:r>
      <w:proofErr w:type="spellStart"/>
      <w:r>
        <w:rPr>
          <w:sz w:val="22"/>
          <w:szCs w:val="22"/>
        </w:rPr>
        <w:t>Additonally</w:t>
      </w:r>
      <w:proofErr w:type="spellEnd"/>
      <w:r>
        <w:rPr>
          <w:sz w:val="22"/>
          <w:szCs w:val="22"/>
        </w:rPr>
        <w:t>, addressing unfair treatment due to protected characteristics, such as gender, ethnicity, religion, or disability, is crucial for fostering a supportive environment within the police force. The survey’s findings also suggest that communication techniques intended to address prejudice and bias are crucial in influencing the attitudes towards diversity among officers and staff. (Durham University 2019)</w:t>
      </w:r>
    </w:p>
    <w:p w14:paraId="6D4F7678" w14:textId="77777777" w:rsidR="00F96450" w:rsidRDefault="00F96450" w:rsidP="00F96450">
      <w:pPr>
        <w:pStyle w:val="Default"/>
        <w:rPr>
          <w:sz w:val="22"/>
          <w:szCs w:val="22"/>
        </w:rPr>
      </w:pPr>
    </w:p>
    <w:p w14:paraId="1C80BA41" w14:textId="77777777" w:rsidR="00F96450" w:rsidRDefault="00F96450" w:rsidP="00F96450">
      <w:pPr>
        <w:pStyle w:val="Default"/>
        <w:rPr>
          <w:sz w:val="22"/>
          <w:szCs w:val="22"/>
        </w:rPr>
      </w:pPr>
      <w:r>
        <w:rPr>
          <w:sz w:val="22"/>
          <w:szCs w:val="22"/>
        </w:rPr>
        <w:t>However, one possible counterargument to the impact of cultural diversity on policing is that focusing too much on diversity initiatives may lead to a lowering of standards in recruitment and training processes.</w:t>
      </w:r>
    </w:p>
    <w:p w14:paraId="11760F61" w14:textId="77777777" w:rsidR="00F96450" w:rsidRDefault="00F96450" w:rsidP="00F96450">
      <w:pPr>
        <w:pStyle w:val="Default"/>
        <w:rPr>
          <w:sz w:val="22"/>
          <w:szCs w:val="22"/>
        </w:rPr>
      </w:pPr>
      <w:r>
        <w:rPr>
          <w:sz w:val="22"/>
          <w:szCs w:val="22"/>
        </w:rPr>
        <w:t>The research by (Cohen and Goodman, 2023) argues that prioritizing diversity over qualifications could compromise the effectiveness and professionalism of police forces.</w:t>
      </w:r>
    </w:p>
    <w:p w14:paraId="7938C5D1" w14:textId="77777777" w:rsidR="00F96450" w:rsidRDefault="00F96450" w:rsidP="00F96450">
      <w:pPr>
        <w:pStyle w:val="Default"/>
        <w:rPr>
          <w:sz w:val="22"/>
          <w:szCs w:val="22"/>
        </w:rPr>
      </w:pPr>
    </w:p>
    <w:p w14:paraId="1209CB01" w14:textId="77777777" w:rsidR="00F96450" w:rsidRDefault="00F96450" w:rsidP="00F96450">
      <w:pPr>
        <w:pStyle w:val="Default"/>
        <w:rPr>
          <w:sz w:val="22"/>
          <w:szCs w:val="22"/>
        </w:rPr>
      </w:pPr>
      <w:r>
        <w:rPr>
          <w:sz w:val="22"/>
          <w:szCs w:val="22"/>
        </w:rPr>
        <w:t xml:space="preserve">On the other hand, this argument fails to consider that promoting inclusivity within police forces does not mean sacrificing standards. In fact, incorporating cultural sensitivity and </w:t>
      </w:r>
      <w:r>
        <w:rPr>
          <w:sz w:val="22"/>
          <w:szCs w:val="22"/>
        </w:rPr>
        <w:lastRenderedPageBreak/>
        <w:t xml:space="preserve">equity into training can enhance the overall quality of policing by ensuring officers are better equipped to understand and engage with diverse communities effectively. (Lai and </w:t>
      </w:r>
      <w:proofErr w:type="spellStart"/>
      <w:r>
        <w:rPr>
          <w:sz w:val="22"/>
          <w:szCs w:val="22"/>
        </w:rPr>
        <w:t>Lisnek</w:t>
      </w:r>
      <w:proofErr w:type="spellEnd"/>
      <w:r>
        <w:rPr>
          <w:sz w:val="22"/>
          <w:szCs w:val="22"/>
        </w:rPr>
        <w:t xml:space="preserve"> 2023)</w:t>
      </w:r>
    </w:p>
    <w:p w14:paraId="1CBDA461" w14:textId="77777777" w:rsidR="00F96450" w:rsidRDefault="00F96450" w:rsidP="00F96450">
      <w:pPr>
        <w:pStyle w:val="Default"/>
        <w:rPr>
          <w:sz w:val="22"/>
          <w:szCs w:val="22"/>
        </w:rPr>
      </w:pPr>
    </w:p>
    <w:p w14:paraId="3257EDDD" w14:textId="77777777" w:rsidR="00F96450" w:rsidRDefault="00F96450" w:rsidP="00F96450">
      <w:pPr>
        <w:pStyle w:val="Default"/>
        <w:rPr>
          <w:sz w:val="22"/>
          <w:szCs w:val="22"/>
        </w:rPr>
      </w:pPr>
      <w:r>
        <w:rPr>
          <w:sz w:val="22"/>
          <w:szCs w:val="22"/>
        </w:rPr>
        <w:t>Similarly, a study by (Miles-Johnson et al. (2021) argues that cultural diversity training for officers helps them foster empathy and respect for diverse individuals, including the employees from within the organisation and other community members from various backgrounds. Overall, the implementation of diversity training has been beneficial in promoting understanding, trust, and cooperation between the police and the diverse communities.</w:t>
      </w:r>
    </w:p>
    <w:p w14:paraId="724CFBD8" w14:textId="77777777" w:rsidR="00F96450" w:rsidRDefault="00F96450" w:rsidP="00F96450">
      <w:pPr>
        <w:pStyle w:val="Default"/>
        <w:rPr>
          <w:sz w:val="22"/>
          <w:szCs w:val="22"/>
        </w:rPr>
      </w:pPr>
    </w:p>
    <w:p w14:paraId="0E666F07" w14:textId="77777777" w:rsidR="00F96450" w:rsidRDefault="00F96450" w:rsidP="00F96450">
      <w:pPr>
        <w:pStyle w:val="Default"/>
        <w:rPr>
          <w:sz w:val="22"/>
          <w:szCs w:val="22"/>
        </w:rPr>
      </w:pPr>
    </w:p>
    <w:p w14:paraId="0ABE2634" w14:textId="77777777" w:rsidR="00F96450" w:rsidRDefault="00F96450" w:rsidP="00F96450">
      <w:pPr>
        <w:pStyle w:val="Default"/>
        <w:rPr>
          <w:sz w:val="22"/>
          <w:szCs w:val="22"/>
        </w:rPr>
      </w:pPr>
    </w:p>
    <w:p w14:paraId="3BCC5762" w14:textId="77777777" w:rsidR="00F96450" w:rsidRDefault="00F96450" w:rsidP="00F96450">
      <w:pPr>
        <w:pStyle w:val="Default"/>
        <w:rPr>
          <w:sz w:val="22"/>
          <w:szCs w:val="22"/>
        </w:rPr>
      </w:pPr>
      <w:r>
        <w:rPr>
          <w:sz w:val="22"/>
          <w:szCs w:val="22"/>
        </w:rPr>
        <w:t>Cultural diversity doesn’t only change how police forces operate, it also changes the rules the police follow, like PACE and Code of Ethics. Both PACE and code of ethics are guiding the police in their interactions with the public.</w:t>
      </w:r>
    </w:p>
    <w:p w14:paraId="294110D0" w14:textId="77777777" w:rsidR="00F96450" w:rsidRDefault="00F96450" w:rsidP="00F96450">
      <w:pPr>
        <w:pStyle w:val="Default"/>
        <w:rPr>
          <w:sz w:val="22"/>
          <w:szCs w:val="22"/>
        </w:rPr>
      </w:pPr>
      <w:r>
        <w:rPr>
          <w:sz w:val="22"/>
          <w:szCs w:val="22"/>
        </w:rPr>
        <w:t>Code of ethics now outlies how officers should act when interacting with the public and helps them understand and respect different cultures. (College of Policing (</w:t>
      </w:r>
      <w:proofErr w:type="spellStart"/>
      <w:r>
        <w:rPr>
          <w:sz w:val="22"/>
          <w:szCs w:val="22"/>
        </w:rPr>
        <w:t>n.d</w:t>
      </w:r>
      <w:proofErr w:type="spellEnd"/>
      <w:r>
        <w:rPr>
          <w:sz w:val="22"/>
          <w:szCs w:val="22"/>
        </w:rPr>
        <w:t>))</w:t>
      </w:r>
    </w:p>
    <w:p w14:paraId="402EB69B" w14:textId="77777777" w:rsidR="00F96450" w:rsidRDefault="00F96450" w:rsidP="00F96450">
      <w:pPr>
        <w:pStyle w:val="Default"/>
        <w:rPr>
          <w:sz w:val="22"/>
          <w:szCs w:val="22"/>
        </w:rPr>
      </w:pPr>
    </w:p>
    <w:p w14:paraId="5B20373E" w14:textId="77777777" w:rsidR="00F96450" w:rsidRPr="006476FE" w:rsidRDefault="00F96450" w:rsidP="00F96450">
      <w:pPr>
        <w:pStyle w:val="Default"/>
        <w:rPr>
          <w:sz w:val="22"/>
          <w:szCs w:val="22"/>
        </w:rPr>
      </w:pPr>
      <w:r w:rsidRPr="006476FE">
        <w:rPr>
          <w:sz w:val="22"/>
          <w:szCs w:val="22"/>
        </w:rPr>
        <w:t xml:space="preserve">In fact, the implementation of professional policies and standards have been notably impacted by cultural diversity. This is especially evident in frameworks such as PACE and the code of ethics. Research conducted since the introduction of PACE has consistently revealed failures to meet the standards for suspicion when it comes to stop and search. (Brooks &amp; Stanwell, 2018) Additionally, the research statistic is highlighting the disproportionate targeting of individuals from black and minority ethnic groups. These findings emphasise the necessity of addressing cultural diversity within policing practices. For instance, the Stephen Lawrence inquiry has instigated legislative changes intended to improve accountability and procedural fairness. This is demonstrated by the implementation of improved surveillance systems and new recording requirements </w:t>
      </w:r>
      <w:proofErr w:type="gramStart"/>
      <w:r w:rsidRPr="006476FE">
        <w:rPr>
          <w:sz w:val="22"/>
          <w:szCs w:val="22"/>
        </w:rPr>
        <w:t>subsequent to</w:t>
      </w:r>
      <w:proofErr w:type="gramEnd"/>
      <w:r w:rsidRPr="006476FE">
        <w:rPr>
          <w:sz w:val="22"/>
          <w:szCs w:val="22"/>
        </w:rPr>
        <w:t xml:space="preserve"> the inquire. (Brooks &amp; Stanwell, 2018)</w:t>
      </w:r>
    </w:p>
    <w:p w14:paraId="7DF424AE" w14:textId="77777777" w:rsidR="00F96450" w:rsidRDefault="00F96450" w:rsidP="00F96450">
      <w:pPr>
        <w:pStyle w:val="Default"/>
        <w:rPr>
          <w:sz w:val="22"/>
          <w:szCs w:val="22"/>
        </w:rPr>
      </w:pPr>
    </w:p>
    <w:p w14:paraId="1A301B47" w14:textId="77777777" w:rsidR="00F96450" w:rsidRDefault="00F96450" w:rsidP="00F96450">
      <w:pPr>
        <w:pStyle w:val="Default"/>
        <w:rPr>
          <w:sz w:val="22"/>
          <w:szCs w:val="22"/>
        </w:rPr>
      </w:pPr>
      <w:r>
        <w:rPr>
          <w:sz w:val="22"/>
          <w:szCs w:val="22"/>
        </w:rPr>
        <w:t>Similarly, another key aspect that has been addressed is the integration of cultural sensitivity and equity programs into police training curriculums. Study by (Bryan 2020) highlights how commitments to racial and cultural diversity are now fundamental parts of hate crime policies and influencing how officers respond to incidents of hate crimes. In addition to these training initiatives, the establishment of specialized units like Lesbian and Gay Liaison Officers (LAGLOS) in England and Wales, exemplifies a proactive approach by forces towards catering to diverse communities. (Bryan 2020)</w:t>
      </w:r>
    </w:p>
    <w:p w14:paraId="42933435" w14:textId="77777777" w:rsidR="00F96450" w:rsidRDefault="00F96450" w:rsidP="00F96450">
      <w:pPr>
        <w:pStyle w:val="Default"/>
        <w:rPr>
          <w:sz w:val="22"/>
          <w:szCs w:val="22"/>
        </w:rPr>
      </w:pPr>
    </w:p>
    <w:p w14:paraId="24469EB0" w14:textId="77777777" w:rsidR="00F96450" w:rsidRDefault="00F96450" w:rsidP="00F96450">
      <w:pPr>
        <w:pStyle w:val="Default"/>
        <w:rPr>
          <w:sz w:val="22"/>
          <w:szCs w:val="22"/>
        </w:rPr>
      </w:pPr>
      <w:r>
        <w:rPr>
          <w:sz w:val="22"/>
          <w:szCs w:val="22"/>
        </w:rPr>
        <w:t>In conclusion, the significant impact of cultural diversity on UK policing, specifically in local communities is clearly noticeable. There are favourable results of community-oriented approaches, resulting in enhanced community links and enhanced public satisfaction in policing. Likewise, the impact of cultural diversity on professional practices and standards shows the importance of acknowledging and valuing the many different points of view that diversity brings. Despite ongoing problems, the forces face in dealing with this, it is imperative the forces prioritise achieving a level of effective cultural competency to build strong relationships between police and the diverse communities they serve.</w:t>
      </w:r>
    </w:p>
    <w:p w14:paraId="444279B7" w14:textId="77777777" w:rsidR="00F96450" w:rsidRDefault="00F96450" w:rsidP="00F96450">
      <w:pPr>
        <w:pStyle w:val="Default"/>
        <w:rPr>
          <w:sz w:val="22"/>
          <w:szCs w:val="22"/>
        </w:rPr>
      </w:pPr>
    </w:p>
    <w:p w14:paraId="454428AA" w14:textId="77777777" w:rsidR="00F96450" w:rsidRPr="00BE4C15" w:rsidRDefault="00F96450" w:rsidP="00F96450">
      <w:pPr>
        <w:pStyle w:val="Default"/>
        <w:rPr>
          <w:b/>
          <w:bCs/>
          <w:sz w:val="22"/>
          <w:szCs w:val="22"/>
        </w:rPr>
      </w:pPr>
    </w:p>
    <w:p w14:paraId="62D8CAA9" w14:textId="77777777" w:rsidR="00F96450" w:rsidRDefault="00F96450" w:rsidP="00F96450">
      <w:pPr>
        <w:pStyle w:val="Default"/>
        <w:rPr>
          <w:b/>
          <w:bCs/>
          <w:sz w:val="22"/>
          <w:szCs w:val="22"/>
        </w:rPr>
      </w:pPr>
      <w:r>
        <w:rPr>
          <w:b/>
          <w:bCs/>
          <w:sz w:val="22"/>
          <w:szCs w:val="22"/>
        </w:rPr>
        <w:t>Word count – 909</w:t>
      </w:r>
    </w:p>
    <w:p w14:paraId="31E3AB7C" w14:textId="77777777" w:rsidR="00F96450" w:rsidRDefault="00F96450" w:rsidP="00F96450">
      <w:pPr>
        <w:pStyle w:val="Default"/>
        <w:rPr>
          <w:b/>
          <w:bCs/>
          <w:sz w:val="22"/>
          <w:szCs w:val="22"/>
        </w:rPr>
      </w:pPr>
    </w:p>
    <w:p w14:paraId="063671B7" w14:textId="77777777" w:rsidR="00F96450" w:rsidRDefault="00F96450" w:rsidP="00F96450">
      <w:pPr>
        <w:pStyle w:val="Default"/>
        <w:rPr>
          <w:b/>
          <w:bCs/>
          <w:sz w:val="22"/>
          <w:szCs w:val="22"/>
        </w:rPr>
      </w:pPr>
    </w:p>
    <w:p w14:paraId="71B53FC3" w14:textId="77777777" w:rsidR="00F96450" w:rsidRDefault="00F96450" w:rsidP="00F96450">
      <w:pPr>
        <w:pStyle w:val="PlainText"/>
      </w:pPr>
      <w:r>
        <w:t xml:space="preserve">Ali, Mohammed M., et al. “Promoting Trust and Police Legitimacy in African Australian Communities: A Critical Reflection on Community Engagement Strategies and Practical Recommendations for </w:t>
      </w:r>
      <w:r>
        <w:lastRenderedPageBreak/>
        <w:t xml:space="preserve">Police.” International Journal of Police Science &amp; Management, vol. 25, no. 1, 3 Jan. 2023, p. 146135572211455, </w:t>
      </w:r>
      <w:hyperlink r:id="rId13" w:history="1">
        <w:r>
          <w:rPr>
            <w:rStyle w:val="Hyperlink"/>
          </w:rPr>
          <w:t>https://doi.org/10.1177/14613557221145593</w:t>
        </w:r>
      </w:hyperlink>
      <w:r>
        <w:t>.</w:t>
      </w:r>
    </w:p>
    <w:p w14:paraId="515C0437" w14:textId="77777777" w:rsidR="00F96450" w:rsidRDefault="00F96450" w:rsidP="00F96450">
      <w:pPr>
        <w:pStyle w:val="Default"/>
        <w:rPr>
          <w:b/>
          <w:bCs/>
          <w:sz w:val="22"/>
          <w:szCs w:val="22"/>
        </w:rPr>
      </w:pPr>
    </w:p>
    <w:p w14:paraId="521A8CDE" w14:textId="77777777" w:rsidR="00F96450" w:rsidRDefault="00F96450" w:rsidP="00F96450">
      <w:pPr>
        <w:pStyle w:val="NormalWeb"/>
        <w:ind w:left="567" w:hanging="567"/>
      </w:pPr>
      <w:r>
        <w:t xml:space="preserve">Brooks, M. and </w:t>
      </w:r>
      <w:proofErr w:type="spellStart"/>
      <w:r>
        <w:t>Stanwelll</w:t>
      </w:r>
      <w:proofErr w:type="spellEnd"/>
      <w:r>
        <w:t xml:space="preserve">, S. (2018) </w:t>
      </w:r>
      <w:r>
        <w:rPr>
          <w:i/>
          <w:iCs/>
        </w:rPr>
        <w:t>Understanding the public perception and satisfaction of a UK police constabulary</w:t>
      </w:r>
      <w:r>
        <w:t xml:space="preserve">. Available at: https://www-tandfonline-com.ezproxy.uwtsd.ac.uk/doi/full/10.1080/15614263.2018.1428098. </w:t>
      </w:r>
    </w:p>
    <w:p w14:paraId="5F9B0726" w14:textId="77777777" w:rsidR="00F96450" w:rsidRDefault="00F96450" w:rsidP="00F96450">
      <w:pPr>
        <w:pStyle w:val="NormalWeb"/>
        <w:rPr>
          <w:rFonts w:ascii="Arial" w:hAnsi="Arial" w:cs="Arial"/>
          <w:color w:val="000000"/>
          <w:sz w:val="20"/>
          <w:szCs w:val="20"/>
        </w:rPr>
      </w:pPr>
      <w:r>
        <w:rPr>
          <w:rFonts w:ascii="Arial" w:hAnsi="Arial" w:cs="Arial"/>
          <w:color w:val="000000"/>
          <w:sz w:val="20"/>
          <w:szCs w:val="20"/>
        </w:rPr>
        <w:t xml:space="preserve"> Bryan, T. (2020). Hate crime, policing, and the deployment of racial and cultural diversity. </w:t>
      </w:r>
      <w:proofErr w:type="spellStart"/>
      <w:r>
        <w:rPr>
          <w:rStyle w:val="Emphasis"/>
          <w:rFonts w:ascii="Arial" w:hAnsi="Arial" w:cs="Arial"/>
          <w:color w:val="000000"/>
          <w:sz w:val="20"/>
          <w:szCs w:val="20"/>
        </w:rPr>
        <w:t>Oñati</w:t>
      </w:r>
      <w:proofErr w:type="spellEnd"/>
      <w:r>
        <w:rPr>
          <w:rStyle w:val="Emphasis"/>
          <w:rFonts w:ascii="Arial" w:hAnsi="Arial" w:cs="Arial"/>
          <w:color w:val="000000"/>
          <w:sz w:val="20"/>
          <w:szCs w:val="20"/>
        </w:rPr>
        <w:t xml:space="preserve"> Socio-Legal Series</w:t>
      </w:r>
      <w:r>
        <w:rPr>
          <w:rFonts w:ascii="Arial" w:hAnsi="Arial" w:cs="Arial"/>
          <w:color w:val="000000"/>
          <w:sz w:val="20"/>
          <w:szCs w:val="20"/>
        </w:rPr>
        <w:t xml:space="preserve">, [online] 10(6), pp.1193–1213. Available at: </w:t>
      </w:r>
      <w:hyperlink r:id="rId14" w:history="1">
        <w:r>
          <w:rPr>
            <w:rStyle w:val="Hyperlink"/>
            <w:rFonts w:ascii="Arial" w:hAnsi="Arial" w:cs="Arial"/>
            <w:sz w:val="20"/>
            <w:szCs w:val="20"/>
          </w:rPr>
          <w:t>https://opo.iisj.net/index.php/osls/article/view/1181</w:t>
        </w:r>
      </w:hyperlink>
      <w:r>
        <w:rPr>
          <w:rFonts w:ascii="Arial" w:hAnsi="Arial" w:cs="Arial"/>
          <w:color w:val="000000"/>
          <w:sz w:val="20"/>
          <w:szCs w:val="20"/>
        </w:rPr>
        <w:t>.</w:t>
      </w:r>
    </w:p>
    <w:p w14:paraId="596E293A" w14:textId="77777777" w:rsidR="00F96450" w:rsidRDefault="00F96450" w:rsidP="00F96450">
      <w:pPr>
        <w:pStyle w:val="NormalWeb"/>
        <w:rPr>
          <w:rFonts w:ascii="Arial" w:hAnsi="Arial" w:cs="Arial"/>
          <w:color w:val="000000"/>
          <w:sz w:val="20"/>
          <w:szCs w:val="20"/>
        </w:rPr>
      </w:pPr>
      <w:r>
        <w:rPr>
          <w:rFonts w:ascii="Arial" w:hAnsi="Arial" w:cs="Arial"/>
          <w:color w:val="000000"/>
          <w:sz w:val="20"/>
          <w:szCs w:val="20"/>
        </w:rPr>
        <w:t xml:space="preserve"> Cohen, G. and Goodman, D. (2023). Rethinking Diversity in Policing: An Analysis of Diversity Training Standards in Basic Police Academies Across the United States. </w:t>
      </w:r>
      <w:r>
        <w:rPr>
          <w:rStyle w:val="Emphasis"/>
          <w:rFonts w:ascii="Arial" w:hAnsi="Arial" w:cs="Arial"/>
          <w:color w:val="000000"/>
          <w:sz w:val="20"/>
          <w:szCs w:val="20"/>
        </w:rPr>
        <w:t>Journal of Social Equity and Public Administration</w:t>
      </w:r>
      <w:r>
        <w:rPr>
          <w:rFonts w:ascii="Arial" w:hAnsi="Arial" w:cs="Arial"/>
          <w:color w:val="000000"/>
          <w:sz w:val="20"/>
          <w:szCs w:val="20"/>
        </w:rPr>
        <w:t xml:space="preserve">, [online] 1(2), pp.65–85. </w:t>
      </w:r>
      <w:proofErr w:type="spellStart"/>
      <w:proofErr w:type="gramStart"/>
      <w:r>
        <w:rPr>
          <w:rFonts w:ascii="Arial" w:hAnsi="Arial" w:cs="Arial"/>
          <w:color w:val="000000"/>
          <w:sz w:val="20"/>
          <w:szCs w:val="20"/>
        </w:rPr>
        <w:t>doi:https</w:t>
      </w:r>
      <w:proofErr w:type="spellEnd"/>
      <w:r>
        <w:rPr>
          <w:rFonts w:ascii="Arial" w:hAnsi="Arial" w:cs="Arial"/>
          <w:color w:val="000000"/>
          <w:sz w:val="20"/>
          <w:szCs w:val="20"/>
        </w:rPr>
        <w:t>://doi.org/10.24926/jsepa.v1i2.4836</w:t>
      </w:r>
      <w:proofErr w:type="gramEnd"/>
      <w:r>
        <w:rPr>
          <w:rFonts w:ascii="Arial" w:hAnsi="Arial" w:cs="Arial"/>
          <w:color w:val="000000"/>
          <w:sz w:val="20"/>
          <w:szCs w:val="20"/>
        </w:rPr>
        <w:t>.</w:t>
      </w:r>
    </w:p>
    <w:p w14:paraId="7230698A" w14:textId="77777777" w:rsidR="00F96450" w:rsidRDefault="00F96450" w:rsidP="00F96450">
      <w:pPr>
        <w:pStyle w:val="PlainText"/>
      </w:pPr>
    </w:p>
    <w:p w14:paraId="464DBA4F" w14:textId="77777777" w:rsidR="00F96450" w:rsidRDefault="00F96450" w:rsidP="00F96450">
      <w:pPr>
        <w:pStyle w:val="PlainText"/>
      </w:pPr>
      <w:r>
        <w:t xml:space="preserve">Code of Ethics | College of Policing. (n.d.). College of Policing. </w:t>
      </w:r>
      <w:hyperlink r:id="rId15" w:history="1">
        <w:r>
          <w:rPr>
            <w:rStyle w:val="Hyperlink"/>
          </w:rPr>
          <w:t>https://www.college.police.uk/ethics/code-of-ethics</w:t>
        </w:r>
      </w:hyperlink>
    </w:p>
    <w:p w14:paraId="2EF1472F" w14:textId="77777777" w:rsidR="00F96450" w:rsidRDefault="00F96450" w:rsidP="00F96450">
      <w:pPr>
        <w:pStyle w:val="NormalWeb"/>
      </w:pPr>
      <w:r>
        <w:t>Moir, James. The Discourse of Diversity and Inclusion within Police Recruit Teaching Materials. 2022</w:t>
      </w:r>
    </w:p>
    <w:p w14:paraId="7944B1C9" w14:textId="77777777" w:rsidR="00F96450" w:rsidRDefault="00F96450" w:rsidP="00F96450">
      <w:pPr>
        <w:pStyle w:val="PlainText"/>
      </w:pPr>
    </w:p>
    <w:p w14:paraId="5B655272" w14:textId="77777777" w:rsidR="00F96450" w:rsidRDefault="00F96450" w:rsidP="00F96450">
      <w:pPr>
        <w:pStyle w:val="PlainText"/>
      </w:pPr>
      <w:r>
        <w:t xml:space="preserve"> Miles-Johnson, Toby, et al. “Policing Minority Communities: How Perception of Engagement and Level of “Awareness” Influence Officer Attitudes toward Practice.” Social Sciences, vol. 10, no. 2, 11 Feb. 2021, p. 70, </w:t>
      </w:r>
      <w:hyperlink r:id="rId16" w:history="1">
        <w:r>
          <w:rPr>
            <w:rStyle w:val="Hyperlink"/>
          </w:rPr>
          <w:t>https://doi.org/10.3390/socsci10020070</w:t>
        </w:r>
      </w:hyperlink>
      <w:r>
        <w:t>.</w:t>
      </w:r>
    </w:p>
    <w:p w14:paraId="5918C4F1" w14:textId="77777777" w:rsidR="00F96450" w:rsidRDefault="00F96450" w:rsidP="00F96450">
      <w:pPr>
        <w:pStyle w:val="PlainText"/>
      </w:pPr>
    </w:p>
    <w:p w14:paraId="2648301D" w14:textId="77777777" w:rsidR="00F96450" w:rsidRDefault="00F96450" w:rsidP="00F96450">
      <w:pPr>
        <w:pStyle w:val="NormalWeb"/>
        <w:rPr>
          <w:rFonts w:ascii="Arial" w:hAnsi="Arial" w:cs="Arial"/>
          <w:color w:val="000000"/>
          <w:sz w:val="20"/>
          <w:szCs w:val="20"/>
        </w:rPr>
      </w:pPr>
      <w:r>
        <w:rPr>
          <w:rFonts w:ascii="Arial" w:hAnsi="Arial" w:cs="Arial"/>
          <w:color w:val="000000"/>
          <w:sz w:val="20"/>
          <w:szCs w:val="20"/>
        </w:rPr>
        <w:t xml:space="preserve"> Lai, C.K. and </w:t>
      </w:r>
      <w:proofErr w:type="spellStart"/>
      <w:r>
        <w:rPr>
          <w:rFonts w:ascii="Arial" w:hAnsi="Arial" w:cs="Arial"/>
          <w:color w:val="000000"/>
          <w:sz w:val="20"/>
          <w:szCs w:val="20"/>
        </w:rPr>
        <w:t>Lisnek</w:t>
      </w:r>
      <w:proofErr w:type="spellEnd"/>
      <w:r>
        <w:rPr>
          <w:rFonts w:ascii="Arial" w:hAnsi="Arial" w:cs="Arial"/>
          <w:color w:val="000000"/>
          <w:sz w:val="20"/>
          <w:szCs w:val="20"/>
        </w:rPr>
        <w:t xml:space="preserve">, J.A. (2023). The Impact of Implicit-Bias-Oriented Diversity Training on Police Officers’ Beliefs, Motivations, and Actions. </w:t>
      </w:r>
      <w:r>
        <w:rPr>
          <w:rStyle w:val="Emphasis"/>
          <w:rFonts w:ascii="Arial" w:hAnsi="Arial" w:cs="Arial"/>
          <w:color w:val="000000"/>
          <w:sz w:val="20"/>
          <w:szCs w:val="20"/>
        </w:rPr>
        <w:t>Psychological Science</w:t>
      </w:r>
      <w:r>
        <w:rPr>
          <w:rFonts w:ascii="Arial" w:hAnsi="Arial" w:cs="Arial"/>
          <w:color w:val="000000"/>
          <w:sz w:val="20"/>
          <w:szCs w:val="20"/>
        </w:rPr>
        <w:t xml:space="preserve">, 34(4), p.095679762211506. </w:t>
      </w:r>
      <w:proofErr w:type="spellStart"/>
      <w:proofErr w:type="gramStart"/>
      <w:r>
        <w:rPr>
          <w:rFonts w:ascii="Arial" w:hAnsi="Arial" w:cs="Arial"/>
          <w:color w:val="000000"/>
          <w:sz w:val="20"/>
          <w:szCs w:val="20"/>
        </w:rPr>
        <w:t>doi:https</w:t>
      </w:r>
      <w:proofErr w:type="spellEnd"/>
      <w:r>
        <w:rPr>
          <w:rFonts w:ascii="Arial" w:hAnsi="Arial" w:cs="Arial"/>
          <w:color w:val="000000"/>
          <w:sz w:val="20"/>
          <w:szCs w:val="20"/>
        </w:rPr>
        <w:t>://doi.org/10.1177/09567976221150617</w:t>
      </w:r>
      <w:proofErr w:type="gramEnd"/>
      <w:r>
        <w:rPr>
          <w:rFonts w:ascii="Arial" w:hAnsi="Arial" w:cs="Arial"/>
          <w:color w:val="000000"/>
          <w:sz w:val="20"/>
          <w:szCs w:val="20"/>
        </w:rPr>
        <w:t>.</w:t>
      </w:r>
    </w:p>
    <w:p w14:paraId="3A6A84DA" w14:textId="77777777" w:rsidR="00F96450" w:rsidRDefault="00F96450" w:rsidP="00F96450">
      <w:pPr>
        <w:pStyle w:val="NormalWeb"/>
        <w:rPr>
          <w:rFonts w:ascii="Arial" w:hAnsi="Arial" w:cs="Arial"/>
          <w:color w:val="000000"/>
          <w:sz w:val="20"/>
          <w:szCs w:val="20"/>
        </w:rPr>
      </w:pPr>
    </w:p>
    <w:p w14:paraId="23778181" w14:textId="77777777" w:rsidR="00F96450" w:rsidRDefault="00F96450" w:rsidP="00F96450">
      <w:pPr>
        <w:pStyle w:val="PlainText"/>
        <w:rPr>
          <w:rStyle w:val="Hyperlink"/>
        </w:rPr>
      </w:pPr>
      <w:r>
        <w:t xml:space="preserve">Police and Criminal Evidence Act 1984 (PACE) codes of practice. (2023, December 20). GOV.UK. </w:t>
      </w:r>
      <w:hyperlink r:id="rId17" w:history="1">
        <w:r>
          <w:rPr>
            <w:rStyle w:val="Hyperlink"/>
          </w:rPr>
          <w:t>https://www.gov.uk/guidance/police-and-criminal-evidence-act-1984-pace-codes-of-practice</w:t>
        </w:r>
      </w:hyperlink>
    </w:p>
    <w:p w14:paraId="3AAFF154" w14:textId="77777777" w:rsidR="00F96450" w:rsidRDefault="00F96450" w:rsidP="00F96450">
      <w:pPr>
        <w:pStyle w:val="PlainText"/>
      </w:pPr>
    </w:p>
    <w:p w14:paraId="0AC9F797" w14:textId="77777777" w:rsidR="00F96450" w:rsidRPr="00903CD5" w:rsidRDefault="00F96450" w:rsidP="00F96450">
      <w:pPr>
        <w:pStyle w:val="PlainText"/>
      </w:pPr>
      <w:r>
        <w:rPr>
          <w:rFonts w:ascii="Arial" w:hAnsi="Arial" w:cs="Arial"/>
          <w:color w:val="000000"/>
          <w:sz w:val="20"/>
          <w:szCs w:val="20"/>
        </w:rPr>
        <w:t xml:space="preserve">University, D. (2023). </w:t>
      </w:r>
      <w:r>
        <w:rPr>
          <w:rStyle w:val="Emphasis"/>
          <w:rFonts w:ascii="Arial" w:hAnsi="Arial" w:cs="Arial"/>
          <w:color w:val="000000"/>
          <w:sz w:val="20"/>
          <w:szCs w:val="20"/>
        </w:rPr>
        <w:t xml:space="preserve">Diversity, Equality and Inclusion in </w:t>
      </w:r>
      <w:proofErr w:type="gramStart"/>
      <w:r>
        <w:rPr>
          <w:rStyle w:val="Emphasis"/>
          <w:rFonts w:ascii="Arial" w:hAnsi="Arial" w:cs="Arial"/>
          <w:color w:val="000000"/>
          <w:sz w:val="20"/>
          <w:szCs w:val="20"/>
        </w:rPr>
        <w:t xml:space="preserve">Policing </w:t>
      </w:r>
      <w:r>
        <w:rPr>
          <w:rFonts w:ascii="Arial" w:hAnsi="Arial" w:cs="Arial"/>
          <w:color w:val="000000"/>
          <w:sz w:val="20"/>
          <w:szCs w:val="20"/>
        </w:rPr>
        <w:t>.</w:t>
      </w:r>
      <w:proofErr w:type="gramEnd"/>
      <w:r>
        <w:rPr>
          <w:rFonts w:ascii="Arial" w:hAnsi="Arial" w:cs="Arial"/>
          <w:color w:val="000000"/>
          <w:sz w:val="20"/>
          <w:szCs w:val="20"/>
        </w:rPr>
        <w:t xml:space="preserve"> [online] Available at: University, D. (2023). Diversity, Equality and Inclusion in </w:t>
      </w:r>
      <w:proofErr w:type="gramStart"/>
      <w:r>
        <w:rPr>
          <w:rFonts w:ascii="Arial" w:hAnsi="Arial" w:cs="Arial"/>
          <w:color w:val="000000"/>
          <w:sz w:val="20"/>
          <w:szCs w:val="20"/>
        </w:rPr>
        <w:t>Policing .</w:t>
      </w:r>
      <w:proofErr w:type="gramEnd"/>
      <w:r>
        <w:rPr>
          <w:rFonts w:ascii="Arial" w:hAnsi="Arial" w:cs="Arial"/>
          <w:color w:val="000000"/>
          <w:sz w:val="20"/>
          <w:szCs w:val="20"/>
        </w:rPr>
        <w:t xml:space="preserve"> ‌.</w:t>
      </w:r>
    </w:p>
    <w:p w14:paraId="012C07B1" w14:textId="77777777" w:rsidR="00F96450" w:rsidRPr="00BE4C15" w:rsidRDefault="00F96450" w:rsidP="00F96450">
      <w:pPr>
        <w:pStyle w:val="Default"/>
        <w:rPr>
          <w:b/>
          <w:bCs/>
          <w:sz w:val="22"/>
          <w:szCs w:val="22"/>
        </w:rPr>
      </w:pPr>
    </w:p>
    <w:p w14:paraId="60AA6744" w14:textId="77777777" w:rsidR="008B5676" w:rsidRDefault="008B5676" w:rsidP="00874E4D">
      <w:pPr>
        <w:pStyle w:val="Default"/>
        <w:rPr>
          <w:sz w:val="22"/>
          <w:szCs w:val="22"/>
        </w:rPr>
      </w:pPr>
    </w:p>
    <w:p w14:paraId="2132B064" w14:textId="4D44BA42" w:rsidR="00874E4D" w:rsidRPr="008B5676" w:rsidRDefault="00874E4D" w:rsidP="00874E4D">
      <w:pPr>
        <w:pStyle w:val="Default"/>
        <w:rPr>
          <w:b/>
          <w:bCs/>
          <w:sz w:val="22"/>
          <w:szCs w:val="22"/>
        </w:rPr>
      </w:pPr>
      <w:r w:rsidRPr="008B5676">
        <w:rPr>
          <w:b/>
          <w:bCs/>
          <w:sz w:val="22"/>
          <w:szCs w:val="22"/>
        </w:rPr>
        <w:t xml:space="preserve">Is MAPPA an effective means of managing violent and sexual offenders? What increases or detracts from its effectiveness? </w:t>
      </w:r>
    </w:p>
    <w:p w14:paraId="30A5BF5A" w14:textId="77777777" w:rsidR="00874E4D" w:rsidRPr="008B5676" w:rsidRDefault="00874E4D" w:rsidP="00874E4D">
      <w:pPr>
        <w:pStyle w:val="Default"/>
        <w:rPr>
          <w:b/>
          <w:bCs/>
          <w:sz w:val="22"/>
          <w:szCs w:val="22"/>
        </w:rPr>
      </w:pPr>
    </w:p>
    <w:p w14:paraId="61AA9D0F" w14:textId="77777777" w:rsidR="00874E4D" w:rsidRDefault="00874E4D" w:rsidP="00874E4D">
      <w:r>
        <w:t>This essay seeks to explore what increases and detracts from MAPPAS effectiveness, by researching existing studies on the matter. The essay also seeks to shed light on essential measures required for the successful rehabilitation and reintegration within MAPPA.</w:t>
      </w:r>
    </w:p>
    <w:p w14:paraId="69583F95" w14:textId="77777777" w:rsidR="00874E4D" w:rsidRDefault="00874E4D" w:rsidP="00874E4D">
      <w:r>
        <w:t xml:space="preserve">In 2001, the Multi-Agency Public Protection Arrangements (MAPPA) was implemented in the UK with the main goal being managing violent and sexual offenders within England and Wales. The arrangements are working in a way that they ensure that various agencies, for example the police </w:t>
      </w:r>
      <w:r>
        <w:lastRenderedPageBreak/>
        <w:t>service, prison service and other probation services work together and ensure supervision of violent and sexual offenders. (</w:t>
      </w:r>
      <w:proofErr w:type="spellStart"/>
      <w:r>
        <w:t>Justiceinspectorates</w:t>
      </w:r>
      <w:proofErr w:type="spellEnd"/>
      <w:r>
        <w:t xml:space="preserve"> 2023)</w:t>
      </w:r>
    </w:p>
    <w:p w14:paraId="798C2FFC" w14:textId="77777777" w:rsidR="00874E4D" w:rsidRDefault="00874E4D" w:rsidP="00874E4D">
      <w:r>
        <w:t xml:space="preserve">The implementation of the Multi-Agency Public Protection Arrangements (MAPPA) in England and Wales aimed to bring together the efforts of the police service, </w:t>
      </w:r>
      <w:proofErr w:type="gramStart"/>
      <w:r>
        <w:t>prison</w:t>
      </w:r>
      <w:proofErr w:type="gramEnd"/>
      <w:r>
        <w:t xml:space="preserve"> and probation services to manage the violent and sexual offenders. However, there are doubts whether the partnership will improve the effectiveness of managing the offenders. The work of MAPPAs police officers under MAPPA known as Management of Sexual or Violent Offenders (MOSOVO), has been a topic of focus regarding their role in enabling persons convicted of sexual offences to rehabilitate and reintegrate in the community. (Pemberton, et al. 2023)</w:t>
      </w:r>
    </w:p>
    <w:p w14:paraId="1219D63A" w14:textId="77777777" w:rsidR="00874E4D" w:rsidRDefault="00874E4D" w:rsidP="00874E4D">
      <w:proofErr w:type="gramStart"/>
      <w:r>
        <w:t>In regards to</w:t>
      </w:r>
      <w:proofErr w:type="gramEnd"/>
      <w:r>
        <w:t xml:space="preserve"> MAPPAs effectiveness, various factors play crucial roles in ensuring MAPPAs effectiveness. At the forefront of the priority list are carefully performed risk assessments which include details about a criminal past behaviours and personality traits, they are crucial for tailoring intervention strategies and mitigating potential dangers. These risk assessments play a crucial role in developing individualised preventative measures and monitoring strategies that are precisely designed for the offender’s profile, resulting in a more effective and personalised approach. (College of Policing 2022) </w:t>
      </w:r>
    </w:p>
    <w:p w14:paraId="043C3655" w14:textId="77777777" w:rsidR="00874E4D" w:rsidRDefault="00874E4D" w:rsidP="00874E4D">
      <w:r>
        <w:t>Despite the effectiveness of the risk assessments, (Dr N. Mann 2023) argues that they are too reliant on past behaviours and personality traits. Practitioners do recognise the importance of risk assessments within MAPPA, yet there are concerns regarding their implementation. For example, concerns arise from evident discrepancies among prison staff, who often prioritize the physical behaviour rather than addressing the wider dangers that individuals may pose after their release. These tendencies could unintentionally result in shortcomings in risk management and may not sufficiently address the wide-ranging risks that individuals may pose. (Dr N. Mann 2023).</w:t>
      </w:r>
    </w:p>
    <w:p w14:paraId="14FD0464" w14:textId="77777777" w:rsidR="00874E4D" w:rsidRDefault="00874E4D" w:rsidP="00874E4D">
      <w:r>
        <w:t>Furthermore, the collaborative approach amongst different agencies, including police forces, probation services and medical experts further enhances the monitoring and assistance to offenders, thereby increasing the likelihood of their substantial rehabilitation and reducing the likelihood of the behaviour reoccurring. (Wood 2012)</w:t>
      </w:r>
    </w:p>
    <w:p w14:paraId="499E3BEE" w14:textId="77777777" w:rsidR="00874E4D" w:rsidRDefault="00874E4D" w:rsidP="00874E4D">
      <w:r>
        <w:t>The collaboration of these multiple agencies within the Multi-Agency Public Protection Arrangements is crucial to establishing its effectiveness in dealing with violent and sexual offenders. According to (Sienkiewicz-</w:t>
      </w:r>
      <w:proofErr w:type="spellStart"/>
      <w:r>
        <w:t>Malyjurek</w:t>
      </w:r>
      <w:proofErr w:type="spellEnd"/>
      <w:r>
        <w:t xml:space="preserve"> (2021) research, good collaboration amongst agencies is crucial for lowering collaborative risks and improving public safety networks. When offender management agencies collaborate, activities are better coordinated, information is shared, and resources are allocated more efficiently.</w:t>
      </w:r>
    </w:p>
    <w:p w14:paraId="566DFDDD" w14:textId="77777777" w:rsidR="00874E4D" w:rsidRDefault="00874E4D" w:rsidP="00874E4D">
      <w:r>
        <w:t>However, MAPPA has its challenges and limitations, for example only a limited number of offenders will fall within the MAPPA criteria, potentially leaving gaps in the management of certain high-risk individuals, and the systems effectiveness could be affected by inconsistencies in multi-agency collaboration and information sharing. These aspects need to be addressed, they are critical for minimizing potential risks to society and ensuring the success of public protection agencies (</w:t>
      </w:r>
      <w:proofErr w:type="spellStart"/>
      <w:r>
        <w:t>Dr.</w:t>
      </w:r>
      <w:proofErr w:type="spellEnd"/>
      <w:r>
        <w:t xml:space="preserve"> Natalie Mann 2023)</w:t>
      </w:r>
    </w:p>
    <w:p w14:paraId="54B0F069" w14:textId="77777777" w:rsidR="00874E4D" w:rsidRDefault="00874E4D" w:rsidP="00874E4D">
      <w:r>
        <w:t xml:space="preserve">Additionally, significant legal and ethical concerns undermine the efficacy of MAPPA in the United Kingdom when it comes to supervising violent and sexual offenders. Striking a balance between public protection and the rigs of the offenders, particularly </w:t>
      </w:r>
      <w:proofErr w:type="gramStart"/>
      <w:r>
        <w:t>with regard to</w:t>
      </w:r>
      <w:proofErr w:type="gramEnd"/>
      <w:r>
        <w:t xml:space="preserve"> privacy and information sharing, is a significant legal challenge. When considering the level of surveillance and control that is acceptable for individuals who have completed their sentences, ethical challenges are always a </w:t>
      </w:r>
      <w:r>
        <w:lastRenderedPageBreak/>
        <w:t xml:space="preserve">barrier. Additionally, reliance on subjective assessments of risk to determine the level of supervision needed may lead to debates regarding fairness and accuracy. Addressing these legal and ethical challenges is essential for preserving the effectiveness and integrity of MAPPA in managing offenders in the UK. (Taylor and </w:t>
      </w:r>
      <w:proofErr w:type="spellStart"/>
      <w:r>
        <w:t>Yakeley</w:t>
      </w:r>
      <w:proofErr w:type="spellEnd"/>
      <w:r>
        <w:t xml:space="preserve"> 2020) </w:t>
      </w:r>
    </w:p>
    <w:p w14:paraId="2303BFEB" w14:textId="77777777" w:rsidR="00874E4D" w:rsidRDefault="00874E4D" w:rsidP="00874E4D">
      <w:r>
        <w:t>Consequently, staff members of MAPPA are required to complete specific training programs to equip them with the necessary skills and knowledge to effectively carry out their duties. For example, one of the primary training programs available for MAPPA staff is focused on risk assessment techniques concerning registered sex offenders and privacy protocols. (College of Policing 2022)</w:t>
      </w:r>
    </w:p>
    <w:p w14:paraId="61E650B1" w14:textId="77777777" w:rsidR="00874E4D" w:rsidRDefault="00874E4D" w:rsidP="00874E4D">
      <w:r>
        <w:t>Furthermore, individual qualities such as motivation for change and access to supportive networks and can also impact the success or failure of MAPPAs implementation. The likelihood of integration integrated into society is significantly impacted by offenders’ access to suitable support services and their own willingness to participate in intervention programmes. Furthermore, the effectiveness of MAPPA interventions is substantially influenced by the availability of resources in particular regions of the community. (</w:t>
      </w:r>
      <w:proofErr w:type="spellStart"/>
      <w:r>
        <w:t>Akerele</w:t>
      </w:r>
      <w:proofErr w:type="spellEnd"/>
      <w:r>
        <w:t xml:space="preserve">, 2023). The successful implementation of </w:t>
      </w:r>
      <w:proofErr w:type="spellStart"/>
      <w:r>
        <w:t>MAPPas</w:t>
      </w:r>
      <w:proofErr w:type="spellEnd"/>
      <w:r>
        <w:t xml:space="preserve"> objectives relies on effective inter-agency collaboration, the proper allocation of resources and tasks, and the consideration of individual requirements for encouragement and support. It is imperative to </w:t>
      </w:r>
      <w:proofErr w:type="gramStart"/>
      <w:r>
        <w:t>take into account</w:t>
      </w:r>
      <w:proofErr w:type="gramEnd"/>
      <w:r>
        <w:t xml:space="preserve"> these factors when developing strategies aimed at managing violent and sexual offenders under MAPPA. (</w:t>
      </w:r>
      <w:proofErr w:type="spellStart"/>
      <w:r>
        <w:t>Akerele</w:t>
      </w:r>
      <w:proofErr w:type="spellEnd"/>
      <w:r>
        <w:t>, 2023)</w:t>
      </w:r>
    </w:p>
    <w:p w14:paraId="5BB28A97" w14:textId="77777777" w:rsidR="00874E4D" w:rsidRDefault="00874E4D" w:rsidP="00874E4D">
      <w:r>
        <w:t>In conclusion, the implementation of Multi-Agency Public Protection Arrangements has shown the potential to reduce recidivism rates among violent and sexual offenders. The collaborative approach promotes inter-agency coordination, enhances risk assessment, and facilitates appropriate support for the offender’s reintegration. While resources availability and individual characteristics may influence outcomes, successful MAPPA implementation can help to make communities safer by reducing the likelihood of reoffending. Continued efforts to increase collaboration among offender management agencies are crucial for maximizing the effectiveness of MAPPA in managing these high-risk individuals. Furthermore, whilst MAPPA has prioritised community safety, there is a need for a transition to a more participatory approaches that actively involve service users in their own rehabilitation. By encouraging active participation and ownership in the change process, MAPPA can improve community supervision outcomes and help to avoid reoffending among high-risk offenders. To assist the successful desistance journeys, support beyond risk management is required, as well as the encouragement and belief in personal change.</w:t>
      </w:r>
    </w:p>
    <w:p w14:paraId="6B7B9918" w14:textId="77777777" w:rsidR="00874E4D" w:rsidRPr="00C114CC" w:rsidRDefault="00874E4D" w:rsidP="00874E4D">
      <w:pPr>
        <w:rPr>
          <w:b/>
          <w:bCs/>
        </w:rPr>
      </w:pPr>
      <w:r w:rsidRPr="00C114CC">
        <w:rPr>
          <w:b/>
          <w:bCs/>
        </w:rPr>
        <w:t xml:space="preserve">Word count: </w:t>
      </w:r>
      <w:r>
        <w:rPr>
          <w:b/>
          <w:bCs/>
        </w:rPr>
        <w:t>1008</w:t>
      </w:r>
    </w:p>
    <w:p w14:paraId="7FAD308A" w14:textId="77777777" w:rsidR="00874E4D" w:rsidRDefault="00874E4D" w:rsidP="00874E4D"/>
    <w:p w14:paraId="322C2408" w14:textId="77777777" w:rsidR="00874E4D" w:rsidRDefault="00874E4D" w:rsidP="00874E4D">
      <w:proofErr w:type="spellStart"/>
      <w:r>
        <w:t>Akerele</w:t>
      </w:r>
      <w:proofErr w:type="spellEnd"/>
      <w:r>
        <w:t xml:space="preserve">, Olusegun </w:t>
      </w:r>
      <w:proofErr w:type="spellStart"/>
      <w:r>
        <w:t>Oladapo</w:t>
      </w:r>
      <w:proofErr w:type="spellEnd"/>
      <w:r>
        <w:t>. “The Link between Motivation and Organizational Performance: An Exploration of Factors Influencing Employee Motivation and Its Impact on Organizational Success.” International Journal of Business Ethics and Governance, vol. 6, no. 1, 7 July 2023, pp. 27–37, ijbeg.com/</w:t>
      </w:r>
      <w:proofErr w:type="spellStart"/>
      <w:r>
        <w:t>index.php</w:t>
      </w:r>
      <w:proofErr w:type="spellEnd"/>
      <w:r>
        <w:t xml:space="preserve">/1/article/view/118, </w:t>
      </w:r>
      <w:hyperlink r:id="rId18" w:history="1">
        <w:r>
          <w:rPr>
            <w:rStyle w:val="Hyperlink"/>
          </w:rPr>
          <w:t>https://doi.org/10.51325/ijbeg.v6i1.118</w:t>
        </w:r>
      </w:hyperlink>
      <w:r>
        <w:t xml:space="preserve"> &lt;</w:t>
      </w:r>
      <w:hyperlink r:id="rId19" w:history="1">
        <w:r>
          <w:rPr>
            <w:rStyle w:val="Hyperlink"/>
          </w:rPr>
          <w:t>https://gbr01.safelinks.protection.outlook.com/?url=https%3A%2F%2Fdoi.org%2F10.51325%2Fijbeg.v6i1.118&amp;data=05%7C02%7Cmatt.niles%40gwent.police.uk%7Cf3e5100e5cb54cf05ae108dc36a4d796%7Ce46c8472ef5d4b63bc744a60db42c371%7C0%7C1%7C638445328833383295%7CUnknown%7CTWFpbGZsb3d8eyJWIjoiMC4wLjAwMDAiLCJQIjoiV2luMzIiLCJBTiI6Ik1haWwiLCJXVCI6Mn0%3D%7C20000%7C%7C%7C&amp;sdata=CYrVfXu45%2FZZqEd36G7BLGeH62LAu%2BXD2o3HpB3zuBI%3D&amp;reserved=0</w:t>
        </w:r>
      </w:hyperlink>
    </w:p>
    <w:p w14:paraId="626F1129" w14:textId="77777777" w:rsidR="00874E4D" w:rsidRDefault="00874E4D" w:rsidP="00874E4D"/>
    <w:p w14:paraId="59F22BF5" w14:textId="77777777" w:rsidR="00874E4D" w:rsidRDefault="00874E4D" w:rsidP="00874E4D">
      <w:pPr>
        <w:pStyle w:val="PlainText"/>
      </w:pPr>
      <w:r>
        <w:t xml:space="preserve">College of policing (2022). Introduction to managing sexual offenders and violent offenders. [online] College of Policing. Available at: </w:t>
      </w:r>
      <w:hyperlink r:id="rId20" w:history="1">
        <w:r>
          <w:rPr>
            <w:rStyle w:val="Hyperlink"/>
          </w:rPr>
          <w:t>https://www.college.police.uk/app/major-investigation-and-public-protection/managing-sexual-offenders-and-violent-offenders/introduction-managing-sexual-offenders-and-violent-offenders</w:t>
        </w:r>
      </w:hyperlink>
      <w:r>
        <w:t>.</w:t>
      </w:r>
    </w:p>
    <w:p w14:paraId="3A8D3C95" w14:textId="77777777" w:rsidR="00874E4D" w:rsidRDefault="00874E4D" w:rsidP="00874E4D"/>
    <w:p w14:paraId="5759ED27" w14:textId="77777777" w:rsidR="00874E4D" w:rsidRDefault="00874E4D" w:rsidP="00874E4D">
      <w:pPr>
        <w:pStyle w:val="PlainText"/>
      </w:pPr>
      <w:r>
        <w:t xml:space="preserve">Pemberton, S. (2023, December 15). The police as formal agents of change: Assisting desistance in individuals convicted of sexual offences: This article is related directly to the First European Conference on Law Enforcement and Public Health (LEPH) held in Umea, Sweden in May 2023. </w:t>
      </w:r>
      <w:hyperlink r:id="rId21" w:history="1">
        <w:r>
          <w:rPr>
            <w:rStyle w:val="Hyperlink"/>
          </w:rPr>
          <w:t>www.journalcswb.ca</w:t>
        </w:r>
      </w:hyperlink>
      <w:r>
        <w:t xml:space="preserve">. </w:t>
      </w:r>
      <w:hyperlink r:id="rId22" w:history="1">
        <w:r>
          <w:rPr>
            <w:rStyle w:val="Hyperlink"/>
          </w:rPr>
          <w:t>https://doi.org/10.35502/jcswb.332</w:t>
        </w:r>
      </w:hyperlink>
    </w:p>
    <w:p w14:paraId="2FEBE6E2" w14:textId="77777777" w:rsidR="00874E4D" w:rsidRDefault="00874E4D" w:rsidP="00874E4D">
      <w:pPr>
        <w:pStyle w:val="PlainText"/>
      </w:pPr>
      <w:r>
        <w:t xml:space="preserve"> </w:t>
      </w:r>
    </w:p>
    <w:p w14:paraId="08052D4B" w14:textId="77777777" w:rsidR="00874E4D" w:rsidRDefault="00874E4D" w:rsidP="00874E4D">
      <w:pPr>
        <w:pStyle w:val="PlainText"/>
      </w:pPr>
      <w:r>
        <w:t>Sienkiewicz-</w:t>
      </w:r>
      <w:proofErr w:type="spellStart"/>
      <w:r>
        <w:t>Małyjurek</w:t>
      </w:r>
      <w:proofErr w:type="spellEnd"/>
      <w:r>
        <w:t xml:space="preserve">, K. (2021, May 28). Interpretive structural modelling of inter-agency collaboration risk in public safety networks. Quality &amp; Quantity. </w:t>
      </w:r>
      <w:hyperlink r:id="rId23" w:history="1">
        <w:r>
          <w:rPr>
            <w:rStyle w:val="Hyperlink"/>
          </w:rPr>
          <w:t>https://doi.org/10.1007/s11135-021-01172-0</w:t>
        </w:r>
      </w:hyperlink>
    </w:p>
    <w:p w14:paraId="49A74AC5" w14:textId="77777777" w:rsidR="00874E4D" w:rsidRDefault="00874E4D" w:rsidP="00874E4D">
      <w:pPr>
        <w:pStyle w:val="PlainText"/>
      </w:pPr>
    </w:p>
    <w:p w14:paraId="31EC4E12" w14:textId="77777777" w:rsidR="00874E4D" w:rsidRDefault="00874E4D" w:rsidP="00874E4D">
      <w:r>
        <w:t xml:space="preserve">Taylor, R. and </w:t>
      </w:r>
      <w:proofErr w:type="spellStart"/>
      <w:r>
        <w:t>Yakeley</w:t>
      </w:r>
      <w:proofErr w:type="spellEnd"/>
      <w:r>
        <w:t xml:space="preserve">, J. (2020). Working with MAPPA: Ethics and pragmatics. </w:t>
      </w:r>
      <w:proofErr w:type="spellStart"/>
      <w:r>
        <w:t>BPsych</w:t>
      </w:r>
      <w:proofErr w:type="spellEnd"/>
      <w:r>
        <w:t xml:space="preserve"> Advances, 25(3), pp.157-165. </w:t>
      </w:r>
      <w:proofErr w:type="spellStart"/>
      <w:r>
        <w:t>doi</w:t>
      </w:r>
      <w:proofErr w:type="spellEnd"/>
      <w:r>
        <w:t xml:space="preserve">: https://doi.org/10.1192/bja.2018.5 </w:t>
      </w:r>
    </w:p>
    <w:p w14:paraId="517BCE99" w14:textId="77777777" w:rsidR="00874E4D" w:rsidRDefault="00874E4D" w:rsidP="00874E4D">
      <w:pPr>
        <w:pStyle w:val="PlainText"/>
      </w:pPr>
    </w:p>
    <w:p w14:paraId="15B1970E" w14:textId="77777777" w:rsidR="00874E4D" w:rsidRDefault="00874E4D" w:rsidP="00874E4D">
      <w:pPr>
        <w:pStyle w:val="PlainText"/>
      </w:pPr>
      <w:r>
        <w:t xml:space="preserve"> </w:t>
      </w:r>
    </w:p>
    <w:p w14:paraId="58FCB4E6" w14:textId="77777777" w:rsidR="00874E4D" w:rsidRDefault="00874E4D" w:rsidP="00874E4D">
      <w:pPr>
        <w:pStyle w:val="PlainText"/>
      </w:pPr>
      <w:r>
        <w:t xml:space="preserve">Wu, L., Zhang, L., &amp; Li, Y. (2023, August 24). Basis for fulfilling responsibilities, </w:t>
      </w:r>
      <w:proofErr w:type="spellStart"/>
      <w:r>
        <w:t>behavior</w:t>
      </w:r>
      <w:proofErr w:type="spellEnd"/>
      <w:r>
        <w:t xml:space="preserve">, and professionalism of government agencies and effectiveness in public–public collaboration for food safety risk management. Humanities and Social Sciences Communications. </w:t>
      </w:r>
      <w:hyperlink r:id="rId24" w:history="1">
        <w:r>
          <w:rPr>
            <w:rStyle w:val="Hyperlink"/>
          </w:rPr>
          <w:t>https://doi.org/10.1057/s41599-023-02033-x</w:t>
        </w:r>
      </w:hyperlink>
    </w:p>
    <w:p w14:paraId="71B4B9F6" w14:textId="77777777" w:rsidR="00874E4D" w:rsidRDefault="00874E4D" w:rsidP="00874E4D">
      <w:pPr>
        <w:pStyle w:val="PlainText"/>
      </w:pPr>
      <w:r>
        <w:t xml:space="preserve"> </w:t>
      </w:r>
    </w:p>
    <w:p w14:paraId="3D4F0D7A" w14:textId="77777777" w:rsidR="00874E4D" w:rsidRDefault="00874E4D" w:rsidP="00874E4D"/>
    <w:p w14:paraId="1CC4C595" w14:textId="77777777" w:rsidR="00874E4D" w:rsidRDefault="00874E4D" w:rsidP="00874E4D">
      <w:r>
        <w:t xml:space="preserve">Pemberton, Sarah, et al. “The Police as Formal Agents of Change: Assisting Desistance in Individuals Convicted of Sexual Offences: This Article Is Related Directly to the First European Conference on Law Enforcement and Public Health (LEPH) Held in Umea, Sweden in May 2023.” Journal of Community Safety and Well-Being, vol. 8, no. 4, 15 Dec. 2023, pp. 191–196, </w:t>
      </w:r>
      <w:hyperlink r:id="rId25" w:anchor=":~:text=As%20indicated%20by%20findings%20in" w:history="1">
        <w:r>
          <w:rPr>
            <w:rStyle w:val="Hyperlink"/>
          </w:rPr>
          <w:t>www.journalcswb.ca/index.php/cswb/article/view/332/1017#:~:text=As%20indicated%20by%20findings%20in</w:t>
        </w:r>
      </w:hyperlink>
      <w:r>
        <w:t xml:space="preserve">, </w:t>
      </w:r>
      <w:hyperlink r:id="rId26" w:history="1">
        <w:r>
          <w:rPr>
            <w:rStyle w:val="Hyperlink"/>
          </w:rPr>
          <w:t>https://doi.org/10.35502/jcswb.332</w:t>
        </w:r>
      </w:hyperlink>
      <w:r>
        <w:t>.</w:t>
      </w:r>
    </w:p>
    <w:p w14:paraId="43DCAAD0" w14:textId="77777777" w:rsidR="00874E4D" w:rsidRDefault="00874E4D" w:rsidP="00874E4D">
      <w:pPr>
        <w:pStyle w:val="PlainText"/>
      </w:pPr>
      <w:r>
        <w:t xml:space="preserve">Wood, J. (2012). MAPPA Level 3 offenders: Reconviction as a measure of effectiveness. Probation Journal, 59(2), pp.111–123. </w:t>
      </w:r>
      <w:proofErr w:type="spellStart"/>
      <w:proofErr w:type="gramStart"/>
      <w:r>
        <w:t>doi:https</w:t>
      </w:r>
      <w:proofErr w:type="spellEnd"/>
      <w:r>
        <w:t>://doi.org/10.1177/0264550512438254</w:t>
      </w:r>
      <w:proofErr w:type="gramEnd"/>
      <w:r>
        <w:t>.</w:t>
      </w:r>
    </w:p>
    <w:p w14:paraId="0391C48F" w14:textId="77777777" w:rsidR="00874E4D" w:rsidRDefault="00874E4D" w:rsidP="00874E4D">
      <w:pPr>
        <w:pStyle w:val="PlainText"/>
      </w:pPr>
    </w:p>
    <w:p w14:paraId="0A2E5102" w14:textId="77777777" w:rsidR="00874E4D" w:rsidRDefault="00874E4D" w:rsidP="00874E4D">
      <w:pPr>
        <w:pStyle w:val="PlainText"/>
      </w:pPr>
      <w:r>
        <w:t xml:space="preserve">- Dr Natalie Mann 2023 </w:t>
      </w:r>
      <w:hyperlink r:id="rId27" w:history="1">
        <w:r w:rsidRPr="00131731">
          <w:rPr>
            <w:rStyle w:val="Hyperlink"/>
          </w:rPr>
          <w:t>www.aru.ac.uk</w:t>
        </w:r>
      </w:hyperlink>
      <w:r>
        <w:t xml:space="preserve">. (n.d.). The National MAPPA Research - ARU. [online] Available at: </w:t>
      </w:r>
      <w:hyperlink r:id="rId28" w:history="1">
        <w:r>
          <w:rPr>
            <w:rStyle w:val="Hyperlink"/>
          </w:rPr>
          <w:t>https://www.aru.ac.uk/policing-institute/research/national-mappa-research</w:t>
        </w:r>
      </w:hyperlink>
      <w:r>
        <w:t xml:space="preserve"> &lt;</w:t>
      </w:r>
      <w:hyperlink r:id="rId29" w:history="1">
        <w:r>
          <w:rPr>
            <w:rStyle w:val="Hyperlink"/>
          </w:rPr>
          <w:t>https://gbr01.safelinks.protection.outlook.com/?url=https%3A%2F%2Fwww.aru.ac.uk%2Fpolicing-institute%2Fresearch%2Fnational-mappa-research&amp;data=05%7C02%7Cmatt.niles%40gwent.police.uk%7Cbd45039f88194cf960c008dc49d2a6d2%7Ce46c8472ef5d4b63bc744a60db42c371%7C0%7C0%7C638466416288741816%7CUnknown%7CTWFpbGZsb3d8eyJWIjoiMC4wLjAwMDAiLCJQIjoiV2luMzIiLCJBTiI6Ik1haWwiLCJXVCI6Mn0%3D%7C0%7C%7C%7C&amp;sdata=L4PeeN9erfNTjfwkReLT2RxXfeAfbPN6ZYUsAxs%2BOe4%3D&amp;reserved=0</w:t>
        </w:r>
      </w:hyperlink>
      <w:r>
        <w:t>&gt; .</w:t>
      </w:r>
    </w:p>
    <w:p w14:paraId="2DE66FE7" w14:textId="77777777" w:rsidR="00874E4D" w:rsidRDefault="00874E4D" w:rsidP="00874E4D"/>
    <w:p w14:paraId="7C5FB0E7" w14:textId="77777777" w:rsidR="00874E4D" w:rsidRDefault="00874E4D" w:rsidP="00874E4D"/>
    <w:p w14:paraId="7E1292C3" w14:textId="77777777" w:rsidR="00874E4D" w:rsidRDefault="00874E4D" w:rsidP="00874E4D">
      <w:pPr>
        <w:pStyle w:val="PlainText"/>
      </w:pPr>
    </w:p>
    <w:p w14:paraId="299544FE" w14:textId="77777777" w:rsidR="00874E4D" w:rsidRDefault="00874E4D" w:rsidP="00874E4D">
      <w:pPr>
        <w:pStyle w:val="PlainText"/>
      </w:pPr>
      <w:r>
        <w:lastRenderedPageBreak/>
        <w:t>Effective Practice Guide: MAPPA 1 Effective Practice Guide MAPPA Based On: Twenty Years On, Is MAPPA Achieving Its Objectives? A Joint Thematic Inspection of Multi-Agency Public Protection Arrangements Effective Practice Guide: MAPPA 2. 2022.</w:t>
      </w:r>
    </w:p>
    <w:p w14:paraId="6E80FCBF" w14:textId="77777777" w:rsidR="008B5676" w:rsidRDefault="008B5676" w:rsidP="00874E4D">
      <w:pPr>
        <w:pStyle w:val="PlainText"/>
      </w:pPr>
    </w:p>
    <w:p w14:paraId="0E5544D0" w14:textId="77777777" w:rsidR="00E15582" w:rsidRDefault="00E15582" w:rsidP="00E15582">
      <w:pPr>
        <w:pStyle w:val="Default"/>
        <w:rPr>
          <w:sz w:val="22"/>
          <w:szCs w:val="22"/>
        </w:rPr>
      </w:pPr>
      <w:bookmarkStart w:id="0" w:name="_Hlk160215253"/>
      <w:r>
        <w:rPr>
          <w:b/>
          <w:bCs/>
          <w:sz w:val="22"/>
          <w:szCs w:val="22"/>
        </w:rPr>
        <w:t xml:space="preserve">Essay four: </w:t>
      </w:r>
    </w:p>
    <w:p w14:paraId="783DA53E" w14:textId="77777777" w:rsidR="00E15582" w:rsidRDefault="00E15582" w:rsidP="00E15582">
      <w:pPr>
        <w:pStyle w:val="Default"/>
        <w:rPr>
          <w:sz w:val="22"/>
          <w:szCs w:val="22"/>
        </w:rPr>
      </w:pPr>
      <w:r>
        <w:rPr>
          <w:sz w:val="22"/>
          <w:szCs w:val="22"/>
        </w:rPr>
        <w:t xml:space="preserve">According to the Institute for Government (2023), recent scandals have exposed severe flaws in forces’ internal vetting and misconduct procedures and affected public confidence in the police. </w:t>
      </w:r>
    </w:p>
    <w:p w14:paraId="6FF938E0" w14:textId="77777777" w:rsidR="00E15582" w:rsidRDefault="00E15582" w:rsidP="00E15582">
      <w:pPr>
        <w:pStyle w:val="Default"/>
        <w:rPr>
          <w:sz w:val="22"/>
          <w:szCs w:val="22"/>
        </w:rPr>
      </w:pPr>
      <w:r>
        <w:rPr>
          <w:sz w:val="22"/>
          <w:szCs w:val="22"/>
        </w:rPr>
        <w:t xml:space="preserve">Therefore, why is it important that independent bodies exist to hold police officers accountable? </w:t>
      </w:r>
    </w:p>
    <w:p w14:paraId="4707E53B" w14:textId="77777777" w:rsidR="00E15582" w:rsidRDefault="00E15582" w:rsidP="00E15582"/>
    <w:p w14:paraId="14F1EC04" w14:textId="77777777" w:rsidR="00E15582" w:rsidRDefault="00E15582" w:rsidP="00E15582">
      <w:r>
        <w:t xml:space="preserve">The foundation of public trust in the police forces is heavily influenced by the internal policing policies and practices when it comes to misconduct. There have been </w:t>
      </w:r>
      <w:proofErr w:type="gramStart"/>
      <w:r>
        <w:t>a number of</w:t>
      </w:r>
      <w:proofErr w:type="gramEnd"/>
      <w:r>
        <w:t xml:space="preserve"> failures in these areas in the recent years which led to serious concerns about the current state of police accountability. This essay will examine the crucial role of independent bodies in the United Kingdom that are holding forces accountable for the actions of their officers. </w:t>
      </w:r>
    </w:p>
    <w:p w14:paraId="1FF8184B" w14:textId="77777777" w:rsidR="00E15582" w:rsidRDefault="00E15582" w:rsidP="00E15582">
      <w:r>
        <w:t xml:space="preserve">Examining the history of police accountability reveals that a persistent lack of independent bodies has contributed to an ongoing trend of immunity in incidents where deaths occur </w:t>
      </w:r>
      <w:proofErr w:type="gramStart"/>
      <w:r>
        <w:t>as a result of</w:t>
      </w:r>
      <w:proofErr w:type="gramEnd"/>
      <w:r>
        <w:t xml:space="preserve"> police contact. According to a study by (D. Baker 2022) both the United States and UK have encountered challenges in maintain transparency and accountability in such situations, highlighting the need for formal changes. Historical trends also suggest that internal investigations often lack impartiality and fail to encourage public trust, highlighting the crucial role independent bodies play in holding police forces accountable. Whilst oversight and investigation methods differ between countries, for example the UK use of IOPC and Coroners inquests and the US relying on local police departments and prosecutors, a recurrent pattern comes to light: an ongoing inability to ensure fairness and transparency for investigations involving the use of deadly force by police officers. (D. Baker 2022)</w:t>
      </w:r>
    </w:p>
    <w:p w14:paraId="0BC8A9A0" w14:textId="77777777" w:rsidR="00E15582" w:rsidRDefault="00E15582" w:rsidP="00E15582">
      <w:r>
        <w:t xml:space="preserve">Similarly, the necessity for police accountability has been highlighted by several incidents in the recent years, for example, The Metropolitan Police Service has faced </w:t>
      </w:r>
      <w:proofErr w:type="gramStart"/>
      <w:r>
        <w:t>a number of</w:t>
      </w:r>
      <w:proofErr w:type="gramEnd"/>
      <w:r>
        <w:t xml:space="preserve"> incidents that have exposed flaws in their internal vetting and gross misconduct procedures. One of the recent scandals is the case of former police officer Wayne </w:t>
      </w:r>
      <w:proofErr w:type="spellStart"/>
      <w:r>
        <w:t>Couzens</w:t>
      </w:r>
      <w:proofErr w:type="spellEnd"/>
      <w:r>
        <w:t xml:space="preserve">, who murdered Sarah Everard whilst off duty. The disclosure that </w:t>
      </w:r>
      <w:proofErr w:type="spellStart"/>
      <w:r>
        <w:t>Couzens</w:t>
      </w:r>
      <w:proofErr w:type="spellEnd"/>
      <w:r>
        <w:t xml:space="preserve"> had been cleared of charges of indecent exposure in the past despite being permitted to retain his position uncovered shortcomings in vetting process of the MET. Additionally, when concerns were expressed about </w:t>
      </w:r>
      <w:proofErr w:type="spellStart"/>
      <w:r>
        <w:t>Couzens</w:t>
      </w:r>
      <w:proofErr w:type="spellEnd"/>
      <w:r>
        <w:t xml:space="preserve"> conduct, senior officers failed to take appropriate action, according to a report by the Independent Office for Police Conduct. This failure highlights shortcomings in the Mets protocols for addressing misconduct and prompts inquiries into the organization’s accountability. (IOPC 2021)</w:t>
      </w:r>
    </w:p>
    <w:p w14:paraId="2C201154" w14:textId="77777777" w:rsidR="00E15582" w:rsidRDefault="00E15582" w:rsidP="00E15582">
      <w:r>
        <w:t>Therefore, efficient vetting and misconduct procedures are crucial for maintaining the transparency and public trust in the police. For example, recent reports by HMICFRS highlighted significant flaws in the vetting process during recruitment of new police officers, with 131 cases displaying doubtful decisions concerning individuals with criminal records or connections to serious offences in the past. These shortcomings highlight the urgent need for improving and reinforcing police vetting procedures. (</w:t>
      </w:r>
      <w:proofErr w:type="spellStart"/>
      <w:r>
        <w:t>Cubbit</w:t>
      </w:r>
      <w:proofErr w:type="spellEnd"/>
      <w:r>
        <w:t>, 2023)</w:t>
      </w:r>
    </w:p>
    <w:p w14:paraId="654591D0" w14:textId="77777777" w:rsidR="00E15582" w:rsidRDefault="00E15582" w:rsidP="00E15582">
      <w:r>
        <w:t>However, (</w:t>
      </w:r>
      <w:proofErr w:type="spellStart"/>
      <w:proofErr w:type="gramStart"/>
      <w:r>
        <w:t>D.Baker</w:t>
      </w:r>
      <w:proofErr w:type="spellEnd"/>
      <w:proofErr w:type="gramEnd"/>
      <w:r>
        <w:t xml:space="preserve"> 2022) argues that relying solely on strengthening internal vetting and misconduct procedures is not sufficient, this can lead to a lack of transparency and impartiality, as these processes may be influenced by biases or conflict of interest. For example, in some cases police </w:t>
      </w:r>
      <w:r>
        <w:lastRenderedPageBreak/>
        <w:t>officers might be investigated by their own colleagues or supervisors they work closely with, which poses the risk of cover ups that undermine the credibility of the procedures. Therefore, external independent bodies can provide an independent and fair review of police misconduct, ensuring the fairness and transparency of the investigations. By involving external agencies like the IOPC, the government can demonstrate the commitment to uphold justice and ensure public trust in the police. (</w:t>
      </w:r>
      <w:proofErr w:type="spellStart"/>
      <w:proofErr w:type="gramStart"/>
      <w:r>
        <w:t>D.Baker</w:t>
      </w:r>
      <w:proofErr w:type="spellEnd"/>
      <w:proofErr w:type="gramEnd"/>
      <w:r>
        <w:t xml:space="preserve"> 2022)</w:t>
      </w:r>
    </w:p>
    <w:p w14:paraId="38F7D1A6" w14:textId="77777777" w:rsidR="00E15582" w:rsidRDefault="00E15582" w:rsidP="00E15582"/>
    <w:p w14:paraId="1632952A" w14:textId="77777777" w:rsidR="00E15582" w:rsidRDefault="00E15582" w:rsidP="00E15582">
      <w:r>
        <w:t xml:space="preserve">Furthermore, potential consequences of not having independent bodies to hold police officers accountable is the subsequent lack of public confidence and trust. Research by (Murphy et al. 2017) has shown that when police misconduct goes unchecked, it can seriously damage the public’s confidence in the </w:t>
      </w:r>
      <w:proofErr w:type="gramStart"/>
      <w:r>
        <w:t>force as a whole</w:t>
      </w:r>
      <w:proofErr w:type="gramEnd"/>
      <w:r>
        <w:t>. In the absence of external oversight, incidents of abuse of power and unjust treatment towards members of the public will always lead to community distrust and strained relationship between the police and the people they are mean to protect. (Rowe, 2020)</w:t>
      </w:r>
    </w:p>
    <w:p w14:paraId="2D912727" w14:textId="77777777" w:rsidR="00E15582" w:rsidRDefault="00E15582" w:rsidP="00E15582">
      <w:r>
        <w:t xml:space="preserve">Similarly, in the absence of independent bodies, problems in the systems that exist within police forces may go unaddressed, perpetuating patterns of discrimination and injustice. Therefore, independent bodies play a crucial role in maintaining the transparency, </w:t>
      </w:r>
      <w:proofErr w:type="gramStart"/>
      <w:r>
        <w:t>fairness</w:t>
      </w:r>
      <w:proofErr w:type="gramEnd"/>
      <w:r>
        <w:t xml:space="preserve"> and integrity within forces. (</w:t>
      </w:r>
      <w:proofErr w:type="spellStart"/>
      <w:r>
        <w:t>Torrible</w:t>
      </w:r>
      <w:proofErr w:type="spellEnd"/>
      <w:r>
        <w:t>, 2017)</w:t>
      </w:r>
    </w:p>
    <w:p w14:paraId="3497D42B" w14:textId="77777777" w:rsidR="00E15582" w:rsidRDefault="00E15582" w:rsidP="00E15582">
      <w:r>
        <w:t xml:space="preserve">Above all, according to a survey conducted by IOPC in 2023, only 66% of respondents were aware of the IOPCs existence. Additionally, 74% of respondents didn’t know enough about the IOPC, and were not aware of what exactly the IOPC does. This highlights a significant gap in the knowledge of respondents regarding the importance of overseeing police conduct. </w:t>
      </w:r>
      <w:proofErr w:type="gramStart"/>
      <w:r>
        <w:t>In order for</w:t>
      </w:r>
      <w:proofErr w:type="gramEnd"/>
      <w:r>
        <w:t xml:space="preserve"> transparency to be improved, it is essential for further efforts to be made towards increasing the awareness of the public about the IOPC. (IOPC 2023)</w:t>
      </w:r>
    </w:p>
    <w:p w14:paraId="3FB336A9" w14:textId="77777777" w:rsidR="00E15582" w:rsidRDefault="00E15582" w:rsidP="00E15582">
      <w:r>
        <w:t>In conclusion, the presence of independent bodies to hold Police Forces and their officers accountable is very important in ensuring fair treatment and justice for members of the public. They play a very important role in safeguarding the transparency, impartiality, and accountability of the police forces. Without the independent bodies, there will be an increased risk of abuse of power, corruption, and the loss of trust between the police and the communities they serve. Many events around the globe have shown instances of police misconduct and excessive use of force at times, these always have a devastating consequence in the public’s trust and leading to protests the breakdown of trust. It is necessary for the independent bodies to have the needed resources and legal powers to carry out their duties effectively. Only with the support of the independent bodies, we can ensure the accountability within the police forces and strengthen the relationship between the forces and the communities they serve. It is crucial that the oversight these independent bodies provide continues, so justice and fairness can be ensured within our communities.</w:t>
      </w:r>
    </w:p>
    <w:p w14:paraId="5944BE58" w14:textId="77777777" w:rsidR="00E15582" w:rsidRDefault="00E15582" w:rsidP="00E15582">
      <w:pPr>
        <w:rPr>
          <w:b/>
          <w:bCs/>
        </w:rPr>
      </w:pPr>
      <w:r w:rsidRPr="006E54CF">
        <w:rPr>
          <w:b/>
          <w:bCs/>
        </w:rPr>
        <w:t>Word Count: 9</w:t>
      </w:r>
      <w:r>
        <w:rPr>
          <w:b/>
          <w:bCs/>
        </w:rPr>
        <w:t>51</w:t>
      </w:r>
    </w:p>
    <w:p w14:paraId="3D4724B7" w14:textId="77777777" w:rsidR="00E15582" w:rsidRDefault="00E15582" w:rsidP="00E15582">
      <w:pPr>
        <w:rPr>
          <w:b/>
          <w:bCs/>
        </w:rPr>
      </w:pPr>
    </w:p>
    <w:p w14:paraId="6D5845C9" w14:textId="77777777" w:rsidR="00E15582" w:rsidRDefault="00E15582" w:rsidP="00E15582">
      <w:pPr>
        <w:spacing w:after="240" w:line="360" w:lineRule="auto"/>
        <w:rPr>
          <w:rFonts w:ascii="Times New Roman" w:eastAsia="Times New Roman" w:hAnsi="Times New Roman"/>
          <w:sz w:val="24"/>
          <w:szCs w:val="24"/>
        </w:rPr>
      </w:pPr>
      <w:r w:rsidRPr="005C3E7C">
        <w:rPr>
          <w:rFonts w:ascii="Times New Roman" w:eastAsia="Times New Roman" w:hAnsi="Times New Roman"/>
          <w:sz w:val="24"/>
          <w:szCs w:val="24"/>
        </w:rPr>
        <w:t xml:space="preserve">Baker, D. (2022). </w:t>
      </w:r>
      <w:r w:rsidRPr="005C3E7C">
        <w:rPr>
          <w:rFonts w:ascii="Times New Roman" w:eastAsia="Times New Roman" w:hAnsi="Times New Roman"/>
          <w:i/>
          <w:iCs/>
          <w:sz w:val="24"/>
          <w:szCs w:val="24"/>
        </w:rPr>
        <w:t>Accountability in the aftermath of police related deaths in the US and England and Wales: processes and outcomes</w:t>
      </w:r>
      <w:r w:rsidRPr="005C3E7C">
        <w:rPr>
          <w:rFonts w:ascii="Times New Roman" w:eastAsia="Times New Roman" w:hAnsi="Times New Roman"/>
          <w:sz w:val="24"/>
          <w:szCs w:val="24"/>
        </w:rPr>
        <w:t xml:space="preserve">. [online] Available at: </w:t>
      </w:r>
      <w:hyperlink r:id="rId30" w:history="1">
        <w:r w:rsidRPr="005C3E7C">
          <w:rPr>
            <w:rStyle w:val="Hyperlink"/>
            <w:rFonts w:ascii="Times New Roman" w:eastAsia="Times New Roman" w:hAnsi="Times New Roman"/>
            <w:sz w:val="24"/>
            <w:szCs w:val="24"/>
          </w:rPr>
          <w:t>https://www.proquest.com/docview/2691998411?accountid=130472&amp;sourcetype=Scholarly%20Journals</w:t>
        </w:r>
      </w:hyperlink>
      <w:r w:rsidRPr="005C3E7C">
        <w:rPr>
          <w:rFonts w:ascii="Times New Roman" w:eastAsia="Times New Roman" w:hAnsi="Times New Roman"/>
          <w:sz w:val="24"/>
          <w:szCs w:val="24"/>
        </w:rPr>
        <w:t>.</w:t>
      </w:r>
    </w:p>
    <w:p w14:paraId="6E7A30E5" w14:textId="77777777" w:rsidR="00E15582" w:rsidRDefault="00E15582" w:rsidP="00E15582">
      <w:pPr>
        <w:pStyle w:val="PlainText"/>
      </w:pPr>
      <w:r>
        <w:lastRenderedPageBreak/>
        <w:t xml:space="preserve">Cubitt, T.I.C. (2023). The value of criminal history and police intelligence in vetting and selection of police. Crime Science, 12(1). </w:t>
      </w:r>
      <w:proofErr w:type="spellStart"/>
      <w:proofErr w:type="gramStart"/>
      <w:r>
        <w:t>doi:https</w:t>
      </w:r>
      <w:proofErr w:type="spellEnd"/>
      <w:r>
        <w:t>://doi.org/10.1186/s40163-023-00186-3</w:t>
      </w:r>
      <w:proofErr w:type="gramEnd"/>
      <w:r>
        <w:t>.</w:t>
      </w:r>
    </w:p>
    <w:p w14:paraId="60B2AB37" w14:textId="77777777" w:rsidR="00E15582" w:rsidRDefault="00E15582" w:rsidP="00E15582">
      <w:pPr>
        <w:pStyle w:val="PlainText"/>
      </w:pPr>
    </w:p>
    <w:p w14:paraId="415F37B8" w14:textId="77777777" w:rsidR="00E15582" w:rsidRPr="005C3E7C" w:rsidRDefault="00E15582" w:rsidP="00E15582">
      <w:pPr>
        <w:spacing w:after="240" w:line="360" w:lineRule="auto"/>
        <w:rPr>
          <w:rFonts w:ascii="Times New Roman" w:eastAsia="Times New Roman" w:hAnsi="Times New Roman"/>
          <w:sz w:val="24"/>
          <w:szCs w:val="24"/>
        </w:rPr>
      </w:pPr>
    </w:p>
    <w:p w14:paraId="7CE96668" w14:textId="77777777" w:rsidR="00E15582" w:rsidRDefault="00E15582" w:rsidP="00E15582">
      <w:pPr>
        <w:pStyle w:val="PlainText"/>
        <w:rPr>
          <w:rStyle w:val="Hyperlink"/>
        </w:rPr>
      </w:pPr>
      <w:r>
        <w:t xml:space="preserve"> IOPC, </w:t>
      </w:r>
      <w:proofErr w:type="gramStart"/>
      <w:r>
        <w:t>What</w:t>
      </w:r>
      <w:proofErr w:type="gramEnd"/>
      <w:r>
        <w:t xml:space="preserve"> we do | Independent Office for Police Conduct (IOPC). (n.d.). </w:t>
      </w:r>
      <w:hyperlink r:id="rId31" w:history="1">
        <w:r>
          <w:rPr>
            <w:rStyle w:val="Hyperlink"/>
          </w:rPr>
          <w:t>https://www.policeconduct.gov.uk/about-us/what-we-do</w:t>
        </w:r>
      </w:hyperlink>
    </w:p>
    <w:p w14:paraId="210A9872" w14:textId="77777777" w:rsidR="00E15582" w:rsidRDefault="00E15582" w:rsidP="00E15582">
      <w:pPr>
        <w:pStyle w:val="PlainText"/>
      </w:pPr>
    </w:p>
    <w:p w14:paraId="2E872036" w14:textId="77777777" w:rsidR="00E15582" w:rsidRDefault="00E15582" w:rsidP="00E15582">
      <w:pPr>
        <w:pStyle w:val="NormalWeb"/>
        <w:rPr>
          <w:rFonts w:ascii="Arial" w:hAnsi="Arial" w:cs="Arial"/>
          <w:color w:val="000000"/>
          <w:sz w:val="20"/>
          <w:szCs w:val="20"/>
        </w:rPr>
      </w:pPr>
      <w:r>
        <w:rPr>
          <w:rFonts w:ascii="Arial" w:hAnsi="Arial" w:cs="Arial"/>
          <w:color w:val="000000"/>
          <w:sz w:val="20"/>
          <w:szCs w:val="20"/>
        </w:rPr>
        <w:t xml:space="preserve">Murphy, Peter, et al. “Accountability and Transparency: Police Forces in England and Wales.” </w:t>
      </w:r>
      <w:r>
        <w:rPr>
          <w:rStyle w:val="Emphasis"/>
          <w:rFonts w:ascii="Arial" w:hAnsi="Arial" w:cs="Arial"/>
          <w:color w:val="000000"/>
          <w:sz w:val="20"/>
          <w:szCs w:val="20"/>
        </w:rPr>
        <w:t>Public Policy and Administration</w:t>
      </w:r>
      <w:r>
        <w:rPr>
          <w:rFonts w:ascii="Arial" w:hAnsi="Arial" w:cs="Arial"/>
          <w:color w:val="000000"/>
          <w:sz w:val="20"/>
          <w:szCs w:val="20"/>
        </w:rPr>
        <w:t>, vol. 32, no. 3, 4 Oct. 2016, pp. 197–213, journals.sagepub.com/</w:t>
      </w:r>
      <w:proofErr w:type="spellStart"/>
      <w:r>
        <w:rPr>
          <w:rFonts w:ascii="Arial" w:hAnsi="Arial" w:cs="Arial"/>
          <w:color w:val="000000"/>
          <w:sz w:val="20"/>
          <w:szCs w:val="20"/>
        </w:rPr>
        <w:t>doi</w:t>
      </w:r>
      <w:proofErr w:type="spellEnd"/>
      <w:r>
        <w:rPr>
          <w:rFonts w:ascii="Arial" w:hAnsi="Arial" w:cs="Arial"/>
          <w:color w:val="000000"/>
          <w:sz w:val="20"/>
          <w:szCs w:val="20"/>
        </w:rPr>
        <w:t xml:space="preserve">/full/10.1177/0952076716671033, </w:t>
      </w:r>
      <w:hyperlink r:id="rId32" w:history="1">
        <w:r>
          <w:rPr>
            <w:rStyle w:val="Hyperlink"/>
            <w:rFonts w:ascii="Arial" w:hAnsi="Arial" w:cs="Arial"/>
            <w:sz w:val="20"/>
            <w:szCs w:val="20"/>
          </w:rPr>
          <w:t>https://doi.org/10.1177/0952076716671033</w:t>
        </w:r>
      </w:hyperlink>
      <w:r>
        <w:rPr>
          <w:rFonts w:ascii="Arial" w:hAnsi="Arial" w:cs="Arial"/>
          <w:color w:val="000000"/>
          <w:sz w:val="20"/>
          <w:szCs w:val="20"/>
        </w:rPr>
        <w:t>.</w:t>
      </w:r>
    </w:p>
    <w:p w14:paraId="10EB8672" w14:textId="77777777" w:rsidR="00E15582" w:rsidRDefault="00E15582" w:rsidP="00E15582">
      <w:pPr>
        <w:pStyle w:val="NormalWeb"/>
        <w:rPr>
          <w:rFonts w:ascii="Arial" w:hAnsi="Arial" w:cs="Arial"/>
          <w:color w:val="000000"/>
          <w:sz w:val="20"/>
          <w:szCs w:val="20"/>
        </w:rPr>
      </w:pPr>
      <w:r>
        <w:rPr>
          <w:rFonts w:ascii="Arial" w:hAnsi="Arial" w:cs="Arial"/>
          <w:color w:val="000000"/>
          <w:sz w:val="20"/>
          <w:szCs w:val="20"/>
        </w:rPr>
        <w:t> </w:t>
      </w:r>
    </w:p>
    <w:p w14:paraId="36917A30" w14:textId="77777777" w:rsidR="00E15582" w:rsidRDefault="00E15582" w:rsidP="00E15582">
      <w:pPr>
        <w:pStyle w:val="NormalWeb"/>
        <w:rPr>
          <w:rFonts w:ascii="Arial" w:hAnsi="Arial" w:cs="Arial"/>
          <w:color w:val="000000"/>
          <w:sz w:val="20"/>
          <w:szCs w:val="20"/>
        </w:rPr>
      </w:pPr>
      <w:r>
        <w:rPr>
          <w:rFonts w:ascii="Arial" w:hAnsi="Arial" w:cs="Arial"/>
          <w:color w:val="000000"/>
          <w:sz w:val="20"/>
          <w:szCs w:val="20"/>
        </w:rPr>
        <w:t xml:space="preserve">2021, IOPC. </w:t>
      </w:r>
      <w:r>
        <w:rPr>
          <w:rStyle w:val="Emphasis"/>
          <w:rFonts w:ascii="Arial" w:hAnsi="Arial" w:cs="Arial"/>
          <w:color w:val="000000"/>
          <w:sz w:val="20"/>
          <w:szCs w:val="20"/>
        </w:rPr>
        <w:t>Summary of IOPC Conclusions</w:t>
      </w:r>
      <w:r>
        <w:rPr>
          <w:rFonts w:ascii="Arial" w:hAnsi="Arial" w:cs="Arial"/>
          <w:color w:val="000000"/>
          <w:sz w:val="20"/>
          <w:szCs w:val="20"/>
        </w:rPr>
        <w:t xml:space="preserve">. 5 May 2021, </w:t>
      </w:r>
      <w:hyperlink r:id="rId33" w:history="1">
        <w:r>
          <w:rPr>
            <w:rStyle w:val="Hyperlink"/>
            <w:rFonts w:ascii="Arial" w:hAnsi="Arial" w:cs="Arial"/>
            <w:sz w:val="20"/>
            <w:szCs w:val="20"/>
          </w:rPr>
          <w:t>www.policeconduct.gov.uk/sites/default/files/documents/Summary-of-IOPC-Conclusions-OpKaratash-OpMondego.pdf</w:t>
        </w:r>
      </w:hyperlink>
      <w:r>
        <w:rPr>
          <w:rFonts w:ascii="Arial" w:hAnsi="Arial" w:cs="Arial"/>
          <w:color w:val="000000"/>
          <w:sz w:val="20"/>
          <w:szCs w:val="20"/>
        </w:rPr>
        <w:t>.</w:t>
      </w:r>
    </w:p>
    <w:p w14:paraId="060954D0" w14:textId="77777777" w:rsidR="00E15582" w:rsidRDefault="00E15582" w:rsidP="00E15582">
      <w:pPr>
        <w:pStyle w:val="NormalWeb"/>
        <w:rPr>
          <w:rFonts w:ascii="Arial" w:hAnsi="Arial" w:cs="Arial"/>
          <w:color w:val="000000"/>
          <w:sz w:val="20"/>
          <w:szCs w:val="20"/>
        </w:rPr>
      </w:pPr>
      <w:r>
        <w:rPr>
          <w:rFonts w:ascii="Arial" w:hAnsi="Arial" w:cs="Arial"/>
          <w:color w:val="000000"/>
          <w:sz w:val="20"/>
          <w:szCs w:val="20"/>
        </w:rPr>
        <w:t xml:space="preserve"> Michael, Rowe. </w:t>
      </w:r>
      <w:r>
        <w:rPr>
          <w:rStyle w:val="Emphasis"/>
          <w:rFonts w:ascii="Arial" w:hAnsi="Arial" w:cs="Arial"/>
          <w:color w:val="000000"/>
          <w:sz w:val="20"/>
          <w:szCs w:val="20"/>
        </w:rPr>
        <w:t>Policing the Police: Challenges of Democracy and Accountability</w:t>
      </w:r>
      <w:r>
        <w:rPr>
          <w:rFonts w:ascii="Arial" w:hAnsi="Arial" w:cs="Arial"/>
          <w:color w:val="000000"/>
          <w:sz w:val="20"/>
          <w:szCs w:val="20"/>
        </w:rPr>
        <w:t xml:space="preserve">. </w:t>
      </w:r>
      <w:r>
        <w:rPr>
          <w:rStyle w:val="Emphasis"/>
          <w:rFonts w:ascii="Arial" w:hAnsi="Arial" w:cs="Arial"/>
          <w:color w:val="000000"/>
          <w:sz w:val="20"/>
          <w:szCs w:val="20"/>
        </w:rPr>
        <w:t>Google Books</w:t>
      </w:r>
      <w:r>
        <w:rPr>
          <w:rFonts w:ascii="Arial" w:hAnsi="Arial" w:cs="Arial"/>
          <w:color w:val="000000"/>
          <w:sz w:val="20"/>
          <w:szCs w:val="20"/>
        </w:rPr>
        <w:t>, Policy Press, 5 Feb. 2020, books.google.co.uk/books?hl=en&amp;lr=&amp;id=ZjDNDwAAQBAJ&amp;oi=fnd&amp;pg=PR7&amp;dq=walker+2019+public+trust. Accessed 27 Feb. 2024.</w:t>
      </w:r>
    </w:p>
    <w:p w14:paraId="2F076D14" w14:textId="77777777" w:rsidR="00E15582" w:rsidRDefault="00E15582" w:rsidP="00E15582">
      <w:pPr>
        <w:pStyle w:val="NormalWeb"/>
        <w:rPr>
          <w:rFonts w:ascii="Arial" w:hAnsi="Arial" w:cs="Arial"/>
          <w:color w:val="000000"/>
          <w:sz w:val="20"/>
          <w:szCs w:val="20"/>
        </w:rPr>
      </w:pPr>
      <w:r>
        <w:rPr>
          <w:rFonts w:ascii="Arial" w:hAnsi="Arial" w:cs="Arial"/>
          <w:color w:val="000000"/>
          <w:sz w:val="20"/>
          <w:szCs w:val="20"/>
        </w:rPr>
        <w:t> </w:t>
      </w:r>
      <w:proofErr w:type="spellStart"/>
      <w:r>
        <w:rPr>
          <w:rFonts w:ascii="Arial" w:hAnsi="Arial" w:cs="Arial"/>
          <w:color w:val="000000"/>
          <w:sz w:val="20"/>
          <w:szCs w:val="20"/>
        </w:rPr>
        <w:t>Torrible</w:t>
      </w:r>
      <w:proofErr w:type="spellEnd"/>
      <w:r>
        <w:rPr>
          <w:rFonts w:ascii="Arial" w:hAnsi="Arial" w:cs="Arial"/>
          <w:color w:val="000000"/>
          <w:sz w:val="20"/>
          <w:szCs w:val="20"/>
        </w:rPr>
        <w:t xml:space="preserve">, Clare. “Police Complaints and Discipline: Integrity, Lesson Learning, Independence and Accountability: Some Implications of the Reforms under the Policing and Crime Act 2017.” </w:t>
      </w:r>
      <w:r>
        <w:rPr>
          <w:rStyle w:val="Emphasis"/>
          <w:rFonts w:ascii="Arial" w:hAnsi="Arial" w:cs="Arial"/>
          <w:color w:val="000000"/>
          <w:sz w:val="20"/>
          <w:szCs w:val="20"/>
        </w:rPr>
        <w:t>Policing and Society</w:t>
      </w:r>
      <w:r>
        <w:rPr>
          <w:rFonts w:ascii="Arial" w:hAnsi="Arial" w:cs="Arial"/>
          <w:color w:val="000000"/>
          <w:sz w:val="20"/>
          <w:szCs w:val="20"/>
        </w:rPr>
        <w:t xml:space="preserve">, vol. 31, no. 9, 30 Oct. 2020, pp. 1–16, </w:t>
      </w:r>
      <w:hyperlink r:id="rId34" w:history="1">
        <w:r>
          <w:rPr>
            <w:rStyle w:val="Hyperlink"/>
            <w:rFonts w:ascii="Arial" w:hAnsi="Arial" w:cs="Arial"/>
            <w:sz w:val="20"/>
            <w:szCs w:val="20"/>
          </w:rPr>
          <w:t>https://doi.org/10.1080/10439463.2020.1838516</w:t>
        </w:r>
      </w:hyperlink>
      <w:r>
        <w:rPr>
          <w:rFonts w:ascii="Arial" w:hAnsi="Arial" w:cs="Arial"/>
          <w:color w:val="000000"/>
          <w:sz w:val="20"/>
          <w:szCs w:val="20"/>
        </w:rPr>
        <w:t>.</w:t>
      </w:r>
    </w:p>
    <w:p w14:paraId="4AF076FA" w14:textId="77777777" w:rsidR="00E15582" w:rsidRDefault="00E15582" w:rsidP="00E15582">
      <w:pPr>
        <w:pStyle w:val="NormalWeb"/>
        <w:rPr>
          <w:rFonts w:ascii="Arial" w:hAnsi="Arial" w:cs="Arial"/>
          <w:color w:val="000000"/>
          <w:sz w:val="20"/>
          <w:szCs w:val="20"/>
        </w:rPr>
      </w:pPr>
      <w:r>
        <w:rPr>
          <w:rFonts w:ascii="Arial" w:hAnsi="Arial" w:cs="Arial"/>
          <w:color w:val="000000"/>
          <w:sz w:val="20"/>
          <w:szCs w:val="20"/>
        </w:rPr>
        <w:t xml:space="preserve"> Newburn, Tim, and Jill </w:t>
      </w:r>
      <w:proofErr w:type="spellStart"/>
      <w:r>
        <w:rPr>
          <w:rFonts w:ascii="Arial" w:hAnsi="Arial" w:cs="Arial"/>
          <w:color w:val="000000"/>
          <w:sz w:val="20"/>
          <w:szCs w:val="20"/>
        </w:rPr>
        <w:t>Peay</w:t>
      </w:r>
      <w:proofErr w:type="spellEnd"/>
      <w:r>
        <w:rPr>
          <w:rFonts w:ascii="Arial" w:hAnsi="Arial" w:cs="Arial"/>
          <w:color w:val="000000"/>
          <w:sz w:val="20"/>
          <w:szCs w:val="20"/>
        </w:rPr>
        <w:t xml:space="preserve">. </w:t>
      </w:r>
      <w:r>
        <w:rPr>
          <w:rStyle w:val="Emphasis"/>
          <w:rFonts w:ascii="Arial" w:hAnsi="Arial" w:cs="Arial"/>
          <w:color w:val="000000"/>
          <w:sz w:val="20"/>
          <w:szCs w:val="20"/>
        </w:rPr>
        <w:t>Policing: Politics, Culture and Control</w:t>
      </w:r>
      <w:r>
        <w:rPr>
          <w:rFonts w:ascii="Arial" w:hAnsi="Arial" w:cs="Arial"/>
          <w:color w:val="000000"/>
          <w:sz w:val="20"/>
          <w:szCs w:val="20"/>
        </w:rPr>
        <w:t xml:space="preserve">. </w:t>
      </w:r>
      <w:r>
        <w:rPr>
          <w:rStyle w:val="Emphasis"/>
          <w:rFonts w:ascii="Arial" w:hAnsi="Arial" w:cs="Arial"/>
          <w:color w:val="000000"/>
          <w:sz w:val="20"/>
          <w:szCs w:val="20"/>
        </w:rPr>
        <w:t>Google Books</w:t>
      </w:r>
      <w:r>
        <w:rPr>
          <w:rFonts w:ascii="Arial" w:hAnsi="Arial" w:cs="Arial"/>
          <w:color w:val="000000"/>
          <w:sz w:val="20"/>
          <w:szCs w:val="20"/>
        </w:rPr>
        <w:t>, Bloomsbury Publishing, 22 June 2012, books.google.co.uk/books?hl=en&amp;lr=&amp;id=byzcBAAAQBAJ&amp;oi=fnd&amp;pg=PA219&amp;dq=Police+crime+commissioners+introduced&amp;ots=Y-jYsam5w4&amp;sig=qMTnECFHlWU8BXf4wpjtyf7an2E&amp;redir_esc=y#v=onepage&amp;q=Police%20crime%20commissioners%20introduced&amp;f=false. Accessed 27 Feb. 2024.</w:t>
      </w:r>
    </w:p>
    <w:p w14:paraId="06111F14" w14:textId="77777777" w:rsidR="00E15582" w:rsidRDefault="00E15582" w:rsidP="00E15582">
      <w:pPr>
        <w:rPr>
          <w:b/>
          <w:bCs/>
        </w:rPr>
      </w:pPr>
    </w:p>
    <w:p w14:paraId="59E1F5F7" w14:textId="77777777" w:rsidR="00E15582" w:rsidRDefault="00E15582" w:rsidP="00E15582">
      <w:pPr>
        <w:pStyle w:val="NormalWeb"/>
        <w:rPr>
          <w:rFonts w:ascii="Arial" w:hAnsi="Arial" w:cs="Arial"/>
          <w:color w:val="000000"/>
          <w:sz w:val="20"/>
          <w:szCs w:val="20"/>
        </w:rPr>
      </w:pPr>
      <w:r>
        <w:rPr>
          <w:rStyle w:val="Emphasis"/>
          <w:rFonts w:ascii="Arial" w:hAnsi="Arial" w:cs="Arial"/>
          <w:color w:val="000000"/>
          <w:sz w:val="20"/>
          <w:szCs w:val="20"/>
        </w:rPr>
        <w:t>IOPC Public Perceptions Tracker Summary Report, Waves 6.1 -6.3 MAY 2023 INDEPENDENT OFFICE for POLICE CONDUCT (IOPC)</w:t>
      </w:r>
      <w:r>
        <w:rPr>
          <w:rFonts w:ascii="Arial" w:hAnsi="Arial" w:cs="Arial"/>
          <w:color w:val="000000"/>
          <w:sz w:val="20"/>
          <w:szCs w:val="20"/>
        </w:rPr>
        <w:t>. 2023.</w:t>
      </w:r>
    </w:p>
    <w:bookmarkEnd w:id="0"/>
    <w:p w14:paraId="4CA5EB4F" w14:textId="77777777" w:rsidR="00E15582" w:rsidRPr="006E54CF" w:rsidRDefault="00E15582" w:rsidP="00E15582">
      <w:pPr>
        <w:rPr>
          <w:b/>
          <w:bCs/>
        </w:rPr>
      </w:pPr>
    </w:p>
    <w:p w14:paraId="1E49BFF1" w14:textId="77777777" w:rsidR="00E15582" w:rsidRDefault="00E15582" w:rsidP="00874E4D">
      <w:pPr>
        <w:pStyle w:val="PlainText"/>
      </w:pPr>
    </w:p>
    <w:p w14:paraId="5E848B61" w14:textId="77777777" w:rsidR="00874E4D" w:rsidRDefault="00874E4D" w:rsidP="00874E4D"/>
    <w:p w14:paraId="139BA171" w14:textId="77777777" w:rsidR="00EF57EF" w:rsidRDefault="00EF57EF"/>
    <w:sectPr w:rsidR="00EF57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1804F5"/>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16cid:durableId="1084960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5CD"/>
    <w:rsid w:val="006F7B4A"/>
    <w:rsid w:val="00874E4D"/>
    <w:rsid w:val="008B5676"/>
    <w:rsid w:val="008C45CD"/>
    <w:rsid w:val="00E15582"/>
    <w:rsid w:val="00EF037C"/>
    <w:rsid w:val="00EF57EF"/>
    <w:rsid w:val="00F96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6EF7B"/>
  <w15:chartTrackingRefBased/>
  <w15:docId w15:val="{8541798E-3D88-4F45-9254-FAD5A53F8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B4A"/>
    <w:rPr>
      <w:rFonts w:eastAsiaTheme="minorEastAsia"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7B4A"/>
    <w:rPr>
      <w:rFonts w:cs="Times New Roman"/>
      <w:color w:val="0563C1"/>
      <w:u w:val="single"/>
    </w:rPr>
  </w:style>
  <w:style w:type="paragraph" w:styleId="PlainText">
    <w:name w:val="Plain Text"/>
    <w:basedOn w:val="Normal"/>
    <w:link w:val="PlainTextChar"/>
    <w:uiPriority w:val="99"/>
    <w:unhideWhenUsed/>
    <w:rsid w:val="006F7B4A"/>
    <w:pPr>
      <w:spacing w:after="0" w:line="240" w:lineRule="auto"/>
    </w:pPr>
    <w:rPr>
      <w:rFonts w:ascii="Calibri" w:hAnsi="Calibri"/>
      <w:szCs w:val="21"/>
      <w:lang w:eastAsia="en-US"/>
    </w:rPr>
  </w:style>
  <w:style w:type="character" w:customStyle="1" w:styleId="PlainTextChar">
    <w:name w:val="Plain Text Char"/>
    <w:basedOn w:val="DefaultParagraphFont"/>
    <w:link w:val="PlainText"/>
    <w:uiPriority w:val="99"/>
    <w:rsid w:val="006F7B4A"/>
    <w:rPr>
      <w:rFonts w:ascii="Calibri" w:eastAsiaTheme="minorEastAsia" w:hAnsi="Calibri" w:cs="Times New Roman"/>
      <w:szCs w:val="21"/>
    </w:rPr>
  </w:style>
  <w:style w:type="paragraph" w:styleId="NormalWeb">
    <w:name w:val="Normal (Web)"/>
    <w:basedOn w:val="Normal"/>
    <w:uiPriority w:val="99"/>
    <w:semiHidden/>
    <w:unhideWhenUsed/>
    <w:rsid w:val="006F7B4A"/>
    <w:pPr>
      <w:spacing w:before="100" w:beforeAutospacing="1" w:after="100" w:afterAutospacing="1" w:line="240" w:lineRule="auto"/>
    </w:pPr>
    <w:rPr>
      <w:rFonts w:ascii="Times New Roman" w:eastAsia="Times New Roman" w:hAnsi="Times New Roman"/>
      <w:sz w:val="24"/>
      <w:szCs w:val="24"/>
    </w:rPr>
  </w:style>
  <w:style w:type="character" w:styleId="Emphasis">
    <w:name w:val="Emphasis"/>
    <w:basedOn w:val="DefaultParagraphFont"/>
    <w:uiPriority w:val="20"/>
    <w:qFormat/>
    <w:rsid w:val="006F7B4A"/>
    <w:rPr>
      <w:i/>
    </w:rPr>
  </w:style>
  <w:style w:type="paragraph" w:styleId="ListParagraph">
    <w:name w:val="List Paragraph"/>
    <w:basedOn w:val="Normal"/>
    <w:uiPriority w:val="34"/>
    <w:qFormat/>
    <w:rsid w:val="006F7B4A"/>
    <w:pPr>
      <w:ind w:left="720"/>
    </w:pPr>
  </w:style>
  <w:style w:type="paragraph" w:customStyle="1" w:styleId="Default">
    <w:name w:val="Default"/>
    <w:rsid w:val="00F9645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ocsci12110609" TargetMode="External"/><Relationship Id="rId13" Type="http://schemas.openxmlformats.org/officeDocument/2006/relationships/hyperlink" Target="https://doi.org/10.1177/14613557221145593" TargetMode="External"/><Relationship Id="rId18" Type="http://schemas.openxmlformats.org/officeDocument/2006/relationships/hyperlink" Target="https://doi.org/10.51325/ijbeg.v6i1.118" TargetMode="External"/><Relationship Id="rId26" Type="http://schemas.openxmlformats.org/officeDocument/2006/relationships/hyperlink" Target="https://doi.org/10.35502/jcswb.332" TargetMode="External"/><Relationship Id="rId3" Type="http://schemas.openxmlformats.org/officeDocument/2006/relationships/settings" Target="settings.xml"/><Relationship Id="rId21" Type="http://schemas.openxmlformats.org/officeDocument/2006/relationships/hyperlink" Target="http://www.journalcswb.ca" TargetMode="External"/><Relationship Id="rId34" Type="http://schemas.openxmlformats.org/officeDocument/2006/relationships/hyperlink" Target="https://gbr01.safelinks.protection.outlook.com/?url=https%3A%2F%2Fdoi.org%2F10.1080%2F10439463.2020.1838516&amp;data=05%7C02%7Cmatt.niles%40gwent.police.uk%7Cd27008b5a579461f495a08dc37959d0e%7Ce46c8472ef5d4b63bc744a60db42c371%7C0%7C1%7C638446362936787862%7CUnknown%7CTWFpbGZsb3d8eyJWIjoiMC4wLjAwMDAiLCJQIjoiV2luMzIiLCJBTiI6Ik1haWwiLCJXVCI6Mn0%3D%7C20000%7C%7C%7C&amp;sdata=ejedh0bRDtxVfcfE9arD3PJvfIhQ%2BgXtqTd18CaVDdY%3D&amp;reserved=0" TargetMode="External"/><Relationship Id="rId7" Type="http://schemas.openxmlformats.org/officeDocument/2006/relationships/hyperlink" Target="https://www.econstor.eu/bitstream/10419/167078/1/ifo-dice-report-v10-y2012-i2-p49-55.pdf" TargetMode="External"/><Relationship Id="rId12" Type="http://schemas.openxmlformats.org/officeDocument/2006/relationships/hyperlink" Target="https://doi.org/10.26577/jos.v89i2.1396" TargetMode="External"/><Relationship Id="rId17" Type="http://schemas.openxmlformats.org/officeDocument/2006/relationships/hyperlink" Target="https://www.gov.uk/guidance/police-and-criminal-evidence-act-1984-pace-codes-of-practice" TargetMode="External"/><Relationship Id="rId25" Type="http://schemas.openxmlformats.org/officeDocument/2006/relationships/hyperlink" Target="http://www.journalcswb.ca/index.php/cswb/article/view/332/1017" TargetMode="External"/><Relationship Id="rId33" Type="http://schemas.openxmlformats.org/officeDocument/2006/relationships/hyperlink" Target="https://gbr01.safelinks.protection.outlook.com/?url=http%3A%2F%2Fwww.policeconduct.gov.uk%2Fsites%2Fdefault%2Ffiles%2Fdocuments%2FSummary-of-IOPC-Conclusions-OpKaratash-OpMondego.pdf&amp;data=05%7C02%7Cmatt.niles%40gwent.police.uk%7Cd27008b5a579461f495a08dc37959d0e%7Ce46c8472ef5d4b63bc744a60db42c371%7C0%7C1%7C638446362936779424%7CUnknown%7CTWFpbGZsb3d8eyJWIjoiMC4wLjAwMDAiLCJQIjoiV2luMzIiLCJBTiI6Ik1haWwiLCJXVCI6Mn0%3D%7C20000%7C%7C%7C&amp;sdata=Qq0ffrE8lcHZc2YwFgMVVNP%2B44hYgADVK6vcr%2BS5sGw%3D&amp;reserved=0" TargetMode="External"/><Relationship Id="rId2" Type="http://schemas.openxmlformats.org/officeDocument/2006/relationships/styles" Target="styles.xml"/><Relationship Id="rId16" Type="http://schemas.openxmlformats.org/officeDocument/2006/relationships/hyperlink" Target="https://doi.org/10.3390/socsci10020070" TargetMode="External"/><Relationship Id="rId20" Type="http://schemas.openxmlformats.org/officeDocument/2006/relationships/hyperlink" Target="https://www.college.police.uk/app/major-investigation-and-public-protection/managing-sexual-offenders-and-violent-offenders/introduction-managing-sexual-offenders-and-violent-offenders" TargetMode="External"/><Relationship Id="rId29" Type="http://schemas.openxmlformats.org/officeDocument/2006/relationships/hyperlink" Target="https://gbr01.safelinks.protection.outlook.com/?url=https%3A%2F%2Fwww.aru.ac.uk%2Fpolicing-institute%2Fresearch%2Fnational-mappa-research&amp;data=05%7C02%7Cmatt.niles%40gwent.police.uk%7Cbd45039f88194cf960c008dc49d2a6d2%7Ce46c8472ef5d4b63bc744a60db42c371%7C0%7C0%7C638466416288741816%7CUnknown%7CTWFpbGZsb3d8eyJWIjoiMC4wLjAwMDAiLCJQIjoiV2luMzIiLCJBTiI6Ik1haWwiLCJXVCI6Mn0%3D%7C0%7C%7C%7C&amp;sdata=L4PeeN9erfNTjfwkReLT2RxXfeAfbPN6ZYUsAxs%2BOe4%3D&amp;reserved=0" TargetMode="External"/><Relationship Id="rId1" Type="http://schemas.openxmlformats.org/officeDocument/2006/relationships/numbering" Target="numbering.xml"/><Relationship Id="rId6" Type="http://schemas.openxmlformats.org/officeDocument/2006/relationships/hyperlink" Target="https://gbr01.safelinks.protection.outlook.com/?url=https%3A%2F%2Fbjs.ojp.gov%2Fcontent%2Fpub%2Fpdf%2Fecp.pdf&amp;data=05%7C02%7CMatt.Niles%40gwent.police.uk%7C80a1eb19ef6a49ec64c808dc477d4cb8%7Ce46c8472ef5d4b63bc744a60db42c371%7C0%7C1%7C638463850687505474%7CUnknown%7CTWFpbGZsb3d8eyJWIjoiMC4wLjAwMDAiLCJQIjoiV2luMzIiLCJBTiI6Ik1haWwiLCJXVCI6Mn0%3D%7C0%7C%7C%7C&amp;sdata=NKjn9LG6ra3VH9U5Cyvb3xR9n8IVv025CVIIIAmXa3o%3D&amp;reserved=0" TargetMode="External"/><Relationship Id="rId11" Type="http://schemas.openxmlformats.org/officeDocument/2006/relationships/hyperlink" Target="https://bulletin-orientalism.kaznu.kz/index.php/1-vostok/article/view/1396" TargetMode="External"/><Relationship Id="rId24" Type="http://schemas.openxmlformats.org/officeDocument/2006/relationships/hyperlink" Target="https://doi.org/10.1057/s41599-023-02033-x" TargetMode="External"/><Relationship Id="rId32" Type="http://schemas.openxmlformats.org/officeDocument/2006/relationships/hyperlink" Target="https://gbr01.safelinks.protection.outlook.com/?url=https%3A%2F%2Fdoi.org%2F10.1177%2F0952076716671033&amp;data=05%7C02%7Cmatt.niles%40gwent.police.uk%7Cd27008b5a579461f495a08dc37959d0e%7Ce46c8472ef5d4b63bc744a60db42c371%7C0%7C1%7C638446362936763640%7CUnknown%7CTWFpbGZsb3d8eyJWIjoiMC4wLjAwMDAiLCJQIjoiV2luMzIiLCJBTiI6Ik1haWwiLCJXVCI6Mn0%3D%7C20000%7C%7C%7C&amp;sdata=3Hpukq%2FdOS5TRx5OED%2Bh%2F%2FRj2vnAWADHEST0y8bi5xA%3D&amp;reserved=0" TargetMode="External"/><Relationship Id="rId5" Type="http://schemas.openxmlformats.org/officeDocument/2006/relationships/hyperlink" Target="https://doi.org/10.1080/10439463.2013.802787" TargetMode="External"/><Relationship Id="rId15" Type="http://schemas.openxmlformats.org/officeDocument/2006/relationships/hyperlink" Target="https://www.college.police.uk/ethics/code-of-ethics" TargetMode="External"/><Relationship Id="rId23" Type="http://schemas.openxmlformats.org/officeDocument/2006/relationships/hyperlink" Target="https://doi.org/10.1007/s11135-021-01172-0" TargetMode="External"/><Relationship Id="rId28" Type="http://schemas.openxmlformats.org/officeDocument/2006/relationships/hyperlink" Target="https://www.aru.ac.uk/policing-institute/research/national-mappa-research" TargetMode="External"/><Relationship Id="rId36" Type="http://schemas.openxmlformats.org/officeDocument/2006/relationships/theme" Target="theme/theme1.xml"/><Relationship Id="rId10" Type="http://schemas.openxmlformats.org/officeDocument/2006/relationships/hyperlink" Target="https://doi.org/10.1177/1473225419843353" TargetMode="External"/><Relationship Id="rId19" Type="http://schemas.openxmlformats.org/officeDocument/2006/relationships/hyperlink" Target="https://gbr01.safelinks.protection.outlook.com/?url=https%3A%2F%2Fdoi.org%2F10.51325%2Fijbeg.v6i1.118&amp;data=05%7C02%7Cmatt.niles%40gwent.police.uk%7Cf3e5100e5cb54cf05ae108dc36a4d796%7Ce46c8472ef5d4b63bc744a60db42c371%7C0%7C1%7C638445328833383295%7CUnknown%7CTWFpbGZsb3d8eyJWIjoiMC4wLjAwMDAiLCJQIjoiV2luMzIiLCJBTiI6Ik1haWwiLCJXVCI6Mn0%3D%7C20000%7C%7C%7C&amp;sdata=CYrVfXu45%2FZZqEd36G7BLGeH62LAu%2BXD2o3HpB3zuBI%3D&amp;reserved=0" TargetMode="External"/><Relationship Id="rId31" Type="http://schemas.openxmlformats.org/officeDocument/2006/relationships/hyperlink" Target="https://www.policeconduct.gov.uk/about-us/what-we-do" TargetMode="External"/><Relationship Id="rId4" Type="http://schemas.openxmlformats.org/officeDocument/2006/relationships/webSettings" Target="webSettings.xml"/><Relationship Id="rId9" Type="http://schemas.openxmlformats.org/officeDocument/2006/relationships/hyperlink" Target="https://www.pacesconnection.com/g/ace-juvenile-justice/fileSendAction/fcType/5/fcOid/450964185277680460/fodoid/450964185277680459/5-ACEs%20and%20Juvenile%20Offending%20Trajectories-Journal%20of%20Criminal%20Justice.pdf" TargetMode="External"/><Relationship Id="rId14" Type="http://schemas.openxmlformats.org/officeDocument/2006/relationships/hyperlink" Target="https://opo.iisj.net/index.php/osls/article/view/1181" TargetMode="External"/><Relationship Id="rId22" Type="http://schemas.openxmlformats.org/officeDocument/2006/relationships/hyperlink" Target="https://doi.org/10.35502/jcswb.332" TargetMode="External"/><Relationship Id="rId27" Type="http://schemas.openxmlformats.org/officeDocument/2006/relationships/hyperlink" Target="http://www.aru.ac.uk" TargetMode="External"/><Relationship Id="rId30" Type="http://schemas.openxmlformats.org/officeDocument/2006/relationships/hyperlink" Target="https://www.proquest.com/docview/2691998411?accountid=130472&amp;sourcetype=Scholarly%20Journal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6343</Words>
  <Characters>36159</Characters>
  <Application>Microsoft Office Word</Application>
  <DocSecurity>0</DocSecurity>
  <Lines>301</Lines>
  <Paragraphs>84</Paragraphs>
  <ScaleCrop>false</ScaleCrop>
  <Company>Gwent Police</Company>
  <LinksUpToDate>false</LinksUpToDate>
  <CharactersWithSpaces>42418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Niles, Matt</dc:creator>
  <cp:keywords/>
  <dc:description/>
  <cp:lastModifiedBy>Niles, Matt</cp:lastModifiedBy>
  <cp:revision>7</cp:revision>
  <dcterms:created xsi:type="dcterms:W3CDTF">2024-03-24T16:21:00Z</dcterms:created>
  <dcterms:modified xsi:type="dcterms:W3CDTF">2024-03-24T16:38:00Z</dcterms:modified>
</cp:coreProperties>
</file>