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56D139" w14:textId="77777777" w:rsidR="004A4698" w:rsidRPr="00185504" w:rsidRDefault="004A4698" w:rsidP="004A4698">
      <w:pPr>
        <w:spacing w:line="360" w:lineRule="auto"/>
        <w:jc w:val="center"/>
        <w:rPr>
          <w:rFonts w:ascii="Arial" w:hAnsi="Arial" w:cs="Arial"/>
          <w:sz w:val="22"/>
          <w:szCs w:val="22"/>
        </w:rPr>
      </w:pPr>
      <w:r w:rsidRPr="00185504">
        <w:rPr>
          <w:rFonts w:ascii="Arial" w:hAnsi="Arial" w:cs="Arial"/>
          <w:noProof/>
          <w:sz w:val="22"/>
          <w:szCs w:val="22"/>
        </w:rPr>
        <w:drawing>
          <wp:inline distT="0" distB="0" distL="0" distR="0" wp14:anchorId="7A194BA6" wp14:editId="37780D00">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3DA539F2" w14:textId="77777777" w:rsidR="004A4698" w:rsidRPr="00185504" w:rsidRDefault="004A4698" w:rsidP="004A4698">
      <w:pPr>
        <w:spacing w:line="360" w:lineRule="auto"/>
        <w:jc w:val="center"/>
        <w:rPr>
          <w:rFonts w:ascii="Georgia" w:eastAsia="Arial Nova" w:hAnsi="Georgia" w:cs="Arial"/>
          <w:b/>
          <w:bCs/>
          <w:sz w:val="32"/>
          <w:szCs w:val="32"/>
        </w:rPr>
      </w:pPr>
    </w:p>
    <w:p w14:paraId="06ACC246" w14:textId="77777777" w:rsidR="004A4698" w:rsidRPr="00185504" w:rsidRDefault="004A4698" w:rsidP="004A4698">
      <w:pPr>
        <w:spacing w:line="360" w:lineRule="auto"/>
        <w:jc w:val="center"/>
        <w:rPr>
          <w:rFonts w:ascii="Georgia" w:eastAsia="Arial Nova" w:hAnsi="Georgia" w:cs="Arial"/>
          <w:b/>
          <w:bCs/>
          <w:sz w:val="32"/>
          <w:szCs w:val="32"/>
        </w:rPr>
      </w:pPr>
    </w:p>
    <w:p w14:paraId="2CA5A43D" w14:textId="77777777" w:rsidR="004A4698" w:rsidRPr="00185504" w:rsidRDefault="004A4698" w:rsidP="004A4698">
      <w:pPr>
        <w:spacing w:line="360" w:lineRule="auto"/>
        <w:jc w:val="center"/>
        <w:rPr>
          <w:rFonts w:ascii="Georgia" w:eastAsia="Arial Nova" w:hAnsi="Georgia" w:cs="Arial"/>
          <w:b/>
          <w:bCs/>
          <w:sz w:val="32"/>
          <w:szCs w:val="32"/>
        </w:rPr>
      </w:pPr>
    </w:p>
    <w:p w14:paraId="699A8376" w14:textId="77777777" w:rsidR="004A4698" w:rsidRPr="00185504" w:rsidRDefault="004A4698" w:rsidP="004A4698">
      <w:pPr>
        <w:spacing w:line="360" w:lineRule="auto"/>
        <w:jc w:val="center"/>
        <w:rPr>
          <w:rFonts w:ascii="Georgia" w:eastAsia="Arial Nova" w:hAnsi="Georgia" w:cs="Arial"/>
          <w:b/>
          <w:bCs/>
          <w:sz w:val="32"/>
          <w:szCs w:val="32"/>
        </w:rPr>
      </w:pPr>
      <w:r w:rsidRPr="00185504">
        <w:rPr>
          <w:rFonts w:ascii="Georgia" w:eastAsia="Arial Nova" w:hAnsi="Georgia" w:cs="Arial"/>
          <w:b/>
          <w:bCs/>
          <w:sz w:val="32"/>
          <w:szCs w:val="32"/>
        </w:rPr>
        <w:t>Module: Changemakers: Creativity and Value Creation</w:t>
      </w:r>
    </w:p>
    <w:p w14:paraId="67B234C2" w14:textId="77777777" w:rsidR="004A4698" w:rsidRPr="00185504" w:rsidRDefault="004A4698" w:rsidP="004A4698">
      <w:pPr>
        <w:spacing w:line="360" w:lineRule="auto"/>
        <w:jc w:val="center"/>
        <w:rPr>
          <w:rFonts w:ascii="Georgia" w:eastAsia="Arial Nova" w:hAnsi="Georgia" w:cs="Arial"/>
          <w:b/>
          <w:bCs/>
          <w:sz w:val="32"/>
          <w:szCs w:val="32"/>
        </w:rPr>
      </w:pPr>
      <w:r w:rsidRPr="00185504">
        <w:rPr>
          <w:rFonts w:ascii="Georgia" w:eastAsia="Arial Nova" w:hAnsi="Georgia" w:cs="Arial"/>
          <w:b/>
          <w:bCs/>
          <w:sz w:val="32"/>
          <w:szCs w:val="32"/>
        </w:rPr>
        <w:t>Module code: BMHP5014</w:t>
      </w:r>
    </w:p>
    <w:p w14:paraId="3A9EF016" w14:textId="77777777" w:rsidR="004A4698" w:rsidRPr="00136266" w:rsidRDefault="004A4698" w:rsidP="004A4698">
      <w:pPr>
        <w:spacing w:line="360" w:lineRule="auto"/>
        <w:jc w:val="center"/>
        <w:rPr>
          <w:rFonts w:ascii="Arial" w:eastAsia="Arial Nova" w:hAnsi="Arial" w:cs="Arial"/>
        </w:rPr>
      </w:pPr>
      <w:r w:rsidRPr="00136266">
        <w:rPr>
          <w:rFonts w:ascii="Arial" w:eastAsia="Arial Nova" w:hAnsi="Arial" w:cs="Arial"/>
          <w:b/>
        </w:rPr>
        <w:t>Component 1: Online Portfolio of Set Exercises</w:t>
      </w:r>
    </w:p>
    <w:p w14:paraId="7E6D4E43" w14:textId="77777777" w:rsidR="004A4698" w:rsidRPr="00185504" w:rsidRDefault="004A4698" w:rsidP="004A4698">
      <w:pPr>
        <w:spacing w:line="360" w:lineRule="auto"/>
        <w:jc w:val="both"/>
        <w:rPr>
          <w:rFonts w:ascii="Arial" w:eastAsia="Arial Nova" w:hAnsi="Arial" w:cs="Arial"/>
          <w:b/>
          <w:bCs/>
          <w:sz w:val="28"/>
          <w:szCs w:val="28"/>
        </w:rPr>
      </w:pPr>
    </w:p>
    <w:p w14:paraId="42604B1D" w14:textId="77777777" w:rsidR="004A4698" w:rsidRPr="00185504" w:rsidRDefault="004A4698" w:rsidP="004A4698">
      <w:pPr>
        <w:spacing w:line="360" w:lineRule="auto"/>
        <w:jc w:val="both"/>
        <w:rPr>
          <w:rFonts w:ascii="Arial" w:eastAsia="Arial Nova" w:hAnsi="Arial" w:cs="Arial"/>
          <w:b/>
          <w:bCs/>
          <w:sz w:val="28"/>
          <w:szCs w:val="28"/>
        </w:rPr>
      </w:pPr>
    </w:p>
    <w:p w14:paraId="7495E2BD" w14:textId="77777777" w:rsidR="00E905CE" w:rsidRPr="00185504" w:rsidRDefault="00E905CE" w:rsidP="004A4698">
      <w:pPr>
        <w:spacing w:line="360" w:lineRule="auto"/>
        <w:jc w:val="both"/>
        <w:rPr>
          <w:rFonts w:ascii="Arial" w:eastAsia="Arial Nova" w:hAnsi="Arial" w:cs="Arial"/>
          <w:b/>
          <w:bCs/>
          <w:sz w:val="28"/>
          <w:szCs w:val="28"/>
        </w:rPr>
      </w:pPr>
    </w:p>
    <w:p w14:paraId="67B19868" w14:textId="77777777" w:rsidR="00226F04" w:rsidRDefault="00226F04" w:rsidP="004A4698">
      <w:pPr>
        <w:spacing w:line="360" w:lineRule="auto"/>
        <w:jc w:val="both"/>
        <w:rPr>
          <w:rFonts w:ascii="Arial" w:eastAsia="Arial Nova" w:hAnsi="Arial" w:cs="Arial"/>
          <w:b/>
          <w:bCs/>
          <w:sz w:val="28"/>
          <w:szCs w:val="28"/>
        </w:rPr>
      </w:pPr>
    </w:p>
    <w:p w14:paraId="21A3167F" w14:textId="77777777" w:rsidR="00226F04" w:rsidRDefault="00226F04" w:rsidP="004A4698">
      <w:pPr>
        <w:spacing w:line="360" w:lineRule="auto"/>
        <w:jc w:val="both"/>
        <w:rPr>
          <w:rFonts w:ascii="Arial" w:eastAsia="Arial Nova" w:hAnsi="Arial" w:cs="Arial"/>
          <w:b/>
          <w:bCs/>
          <w:sz w:val="28"/>
          <w:szCs w:val="28"/>
        </w:rPr>
      </w:pPr>
    </w:p>
    <w:p w14:paraId="6AAE148B" w14:textId="77777777" w:rsidR="00226F04" w:rsidRDefault="00226F04" w:rsidP="004A4698">
      <w:pPr>
        <w:spacing w:line="360" w:lineRule="auto"/>
        <w:jc w:val="both"/>
        <w:rPr>
          <w:rFonts w:ascii="Arial" w:eastAsia="Arial Nova" w:hAnsi="Arial" w:cs="Arial"/>
          <w:b/>
          <w:bCs/>
          <w:sz w:val="28"/>
          <w:szCs w:val="28"/>
        </w:rPr>
      </w:pPr>
    </w:p>
    <w:p w14:paraId="43118638" w14:textId="519EC3A0" w:rsidR="004A4698" w:rsidRPr="00185504" w:rsidRDefault="00226F04" w:rsidP="004A4698">
      <w:pPr>
        <w:spacing w:line="360" w:lineRule="auto"/>
        <w:jc w:val="both"/>
        <w:rPr>
          <w:rFonts w:ascii="Arial" w:eastAsia="Arial Nova" w:hAnsi="Arial" w:cs="Arial"/>
          <w:b/>
          <w:bCs/>
          <w:sz w:val="28"/>
          <w:szCs w:val="28"/>
        </w:rPr>
      </w:pPr>
      <w:r>
        <w:rPr>
          <w:rFonts w:ascii="Arial" w:eastAsia="Arial Nova" w:hAnsi="Arial" w:cs="Arial"/>
          <w:b/>
          <w:bCs/>
          <w:sz w:val="28"/>
          <w:szCs w:val="28"/>
        </w:rPr>
        <w:t xml:space="preserve">Student Name: </w:t>
      </w:r>
      <w:r w:rsidR="006812F0" w:rsidRPr="006812F0">
        <w:rPr>
          <w:rFonts w:ascii="Georgia" w:hAnsi="Georgia" w:cs="Arial"/>
          <w:b/>
          <w:bCs/>
          <w:sz w:val="32"/>
          <w:szCs w:val="32"/>
        </w:rPr>
        <w:t>Ejiro Princess Opiri Odi</w:t>
      </w:r>
    </w:p>
    <w:p w14:paraId="1256D8DB" w14:textId="45438839" w:rsidR="004A4698" w:rsidRPr="00185504" w:rsidRDefault="004A4698" w:rsidP="004A4698">
      <w:pPr>
        <w:spacing w:line="360" w:lineRule="auto"/>
        <w:jc w:val="both"/>
        <w:rPr>
          <w:rFonts w:ascii="Arial" w:eastAsia="Arial Nova" w:hAnsi="Arial" w:cs="Arial"/>
          <w:b/>
          <w:bCs/>
          <w:sz w:val="28"/>
          <w:szCs w:val="28"/>
        </w:rPr>
      </w:pPr>
      <w:r w:rsidRPr="00185504">
        <w:rPr>
          <w:rFonts w:ascii="Arial" w:eastAsia="Arial Nova" w:hAnsi="Arial" w:cs="Arial"/>
          <w:b/>
          <w:bCs/>
          <w:sz w:val="28"/>
          <w:szCs w:val="28"/>
        </w:rPr>
        <w:t xml:space="preserve">Student Number: </w:t>
      </w:r>
      <w:r w:rsidR="00226F04" w:rsidRPr="00336E99">
        <w:rPr>
          <w:rFonts w:ascii="Georgia" w:hAnsi="Georgia" w:cs="Arial"/>
          <w:b/>
          <w:bCs/>
          <w:sz w:val="32"/>
          <w:szCs w:val="32"/>
        </w:rPr>
        <w:t>2309592</w:t>
      </w:r>
    </w:p>
    <w:p w14:paraId="28C9FA1D" w14:textId="77777777" w:rsidR="004A4698" w:rsidRPr="00185504" w:rsidRDefault="004A4698" w:rsidP="004A4698">
      <w:pPr>
        <w:spacing w:line="360" w:lineRule="auto"/>
        <w:jc w:val="both"/>
        <w:rPr>
          <w:rFonts w:ascii="Arial" w:eastAsia="Arial Nova" w:hAnsi="Arial" w:cs="Arial"/>
          <w:sz w:val="22"/>
          <w:szCs w:val="22"/>
        </w:rPr>
      </w:pPr>
    </w:p>
    <w:p w14:paraId="2D29B2A8" w14:textId="77777777" w:rsidR="004A4698" w:rsidRDefault="004A4698" w:rsidP="004A4698">
      <w:pPr>
        <w:spacing w:line="360" w:lineRule="auto"/>
        <w:jc w:val="both"/>
        <w:rPr>
          <w:rFonts w:ascii="Arial" w:eastAsia="Arial Nova" w:hAnsi="Arial" w:cs="Arial"/>
          <w:sz w:val="22"/>
          <w:szCs w:val="22"/>
        </w:rPr>
      </w:pPr>
    </w:p>
    <w:p w14:paraId="23AE03B0" w14:textId="6429A544" w:rsidR="00D605BF" w:rsidRPr="00D605BF" w:rsidRDefault="00D605BF" w:rsidP="00D605BF">
      <w:pPr>
        <w:spacing w:after="0" w:line="360" w:lineRule="auto"/>
        <w:jc w:val="both"/>
        <w:rPr>
          <w:rFonts w:ascii="Arial" w:eastAsia="Arial Nova" w:hAnsi="Arial" w:cs="Arial"/>
          <w:b/>
          <w:bCs/>
          <w:sz w:val="22"/>
          <w:szCs w:val="22"/>
        </w:rPr>
      </w:pPr>
      <w:r w:rsidRPr="00D605BF">
        <w:rPr>
          <w:rFonts w:ascii="Arial" w:eastAsia="Arial Nova" w:hAnsi="Arial" w:cs="Arial"/>
          <w:b/>
          <w:bCs/>
          <w:sz w:val="22"/>
          <w:szCs w:val="22"/>
        </w:rPr>
        <w:lastRenderedPageBreak/>
        <w:t xml:space="preserve">Task 1 </w:t>
      </w:r>
      <w:r w:rsidR="00C058E8">
        <w:rPr>
          <w:rFonts w:ascii="Arial" w:eastAsia="Arial Nova" w:hAnsi="Arial" w:cs="Arial"/>
          <w:b/>
          <w:bCs/>
          <w:sz w:val="22"/>
          <w:szCs w:val="22"/>
        </w:rPr>
        <w:t>–</w:t>
      </w:r>
      <w:r w:rsidRPr="00D605BF">
        <w:rPr>
          <w:rFonts w:ascii="Arial" w:eastAsia="Arial Nova" w:hAnsi="Arial" w:cs="Arial"/>
          <w:b/>
          <w:bCs/>
          <w:sz w:val="22"/>
          <w:szCs w:val="22"/>
        </w:rPr>
        <w:t xml:space="preserve"> Conc</w:t>
      </w:r>
      <w:r w:rsidR="00C058E8">
        <w:rPr>
          <w:rFonts w:ascii="Arial" w:eastAsia="Arial Nova" w:hAnsi="Arial" w:cs="Arial"/>
          <w:b/>
          <w:bCs/>
          <w:sz w:val="22"/>
          <w:szCs w:val="22"/>
        </w:rPr>
        <w:t xml:space="preserve"> </w:t>
      </w:r>
      <w:r w:rsidRPr="00D605BF">
        <w:rPr>
          <w:rFonts w:ascii="Arial" w:eastAsia="Arial Nova" w:hAnsi="Arial" w:cs="Arial"/>
          <w:b/>
          <w:bCs/>
          <w:sz w:val="22"/>
          <w:szCs w:val="22"/>
        </w:rPr>
        <w:t>ept map: Explanation</w:t>
      </w:r>
    </w:p>
    <w:p w14:paraId="65D040E4" w14:textId="77777777" w:rsidR="00D605BF" w:rsidRPr="00D605BF" w:rsidRDefault="00D605BF" w:rsidP="00D605BF">
      <w:pPr>
        <w:spacing w:after="0" w:line="360" w:lineRule="auto"/>
        <w:jc w:val="both"/>
        <w:rPr>
          <w:rFonts w:ascii="Arial" w:eastAsia="Arial Nova" w:hAnsi="Arial" w:cs="Arial"/>
          <w:b/>
          <w:bCs/>
          <w:sz w:val="22"/>
          <w:szCs w:val="22"/>
        </w:rPr>
      </w:pPr>
      <w:r w:rsidRPr="00D605BF">
        <w:rPr>
          <w:rFonts w:ascii="Arial" w:eastAsia="Arial Nova" w:hAnsi="Arial" w:cs="Arial"/>
          <w:b/>
          <w:bCs/>
          <w:sz w:val="22"/>
          <w:szCs w:val="22"/>
        </w:rPr>
        <w:t>Relationship Between Creativity‚ Value Creation and Health &amp; Social Care Improvement</w:t>
      </w:r>
    </w:p>
    <w:p w14:paraId="01564F63" w14:textId="12AD35BC" w:rsidR="00D605BF" w:rsidRDefault="00D605BF" w:rsidP="00D605BF">
      <w:pPr>
        <w:spacing w:line="360" w:lineRule="auto"/>
        <w:jc w:val="both"/>
        <w:rPr>
          <w:rFonts w:ascii="MS Gothic" w:eastAsia="MS Gothic" w:hAnsi="MS Gothic" w:cs="MS Gothic"/>
          <w:sz w:val="22"/>
          <w:szCs w:val="22"/>
          <w:lang w:val="en-US"/>
        </w:rPr>
      </w:pPr>
      <w:r w:rsidRPr="00D605BF">
        <w:rPr>
          <w:rFonts w:ascii="Arial" w:eastAsia="Arial Nova" w:hAnsi="Arial" w:cs="Arial"/>
          <w:sz w:val="22"/>
          <w:szCs w:val="22"/>
        </w:rPr>
        <w:t>Improvement in health and social care (HSC) requires the interplay of the related processes of creativity‚ innovation and value creation</w:t>
      </w:r>
      <w:r w:rsidRPr="00D605BF">
        <w:rPr>
          <w:rFonts w:ascii="MS Gothic" w:eastAsia="MS Gothic" w:hAnsi="MS Gothic" w:cs="MS Gothic" w:hint="eastAsia"/>
          <w:sz w:val="22"/>
          <w:szCs w:val="22"/>
        </w:rPr>
        <w:t>․</w:t>
      </w:r>
      <w:r w:rsidRPr="00D605BF">
        <w:rPr>
          <w:rFonts w:ascii="Arial" w:eastAsia="Arial Nova" w:hAnsi="Arial" w:cs="Arial"/>
          <w:sz w:val="22"/>
          <w:szCs w:val="22"/>
        </w:rPr>
        <w:t xml:space="preserve"> Creativity is the generation of new and useful ideas</w:t>
      </w:r>
      <w:r w:rsidRPr="00D605BF">
        <w:rPr>
          <w:rFonts w:ascii="MS Gothic" w:eastAsia="MS Gothic" w:hAnsi="MS Gothic" w:cs="MS Gothic" w:hint="eastAsia"/>
          <w:sz w:val="22"/>
          <w:szCs w:val="22"/>
        </w:rPr>
        <w:t>․</w:t>
      </w:r>
      <w:r w:rsidRPr="00D605BF">
        <w:rPr>
          <w:rFonts w:ascii="Arial" w:eastAsia="Arial Nova" w:hAnsi="Arial" w:cs="Arial"/>
          <w:sz w:val="22"/>
          <w:szCs w:val="22"/>
        </w:rPr>
        <w:t xml:space="preserve"> Innovation is the development of these ideas through new or improved services‚ while value creation (the delivery of improved patient outcomes at a cost acceptable to the health system) is a common healthcare definition (Porter‚ 2010</w:t>
      </w:r>
      <w:r>
        <w:rPr>
          <w:rFonts w:ascii="Arial" w:eastAsia="Arial Nova" w:hAnsi="Arial" w:cs="Arial"/>
          <w:sz w:val="22"/>
          <w:szCs w:val="22"/>
        </w:rPr>
        <w:t>).</w:t>
      </w:r>
    </w:p>
    <w:p w14:paraId="4BB22C3F" w14:textId="5E64A414" w:rsidR="00D605BF" w:rsidRDefault="00D605BF" w:rsidP="00D605BF">
      <w:pPr>
        <w:spacing w:line="360" w:lineRule="auto"/>
        <w:jc w:val="both"/>
        <w:rPr>
          <w:rFonts w:ascii="Arial" w:eastAsia="Arial Nova" w:hAnsi="Arial" w:cs="Arial"/>
          <w:sz w:val="22"/>
          <w:szCs w:val="22"/>
          <w:lang w:val="en-US"/>
        </w:rPr>
      </w:pPr>
      <w:r>
        <w:rPr>
          <w:rFonts w:ascii="Arial" w:eastAsia="Arial Nova" w:hAnsi="Arial" w:cs="Arial"/>
          <w:noProof/>
          <w:sz w:val="22"/>
          <w:szCs w:val="22"/>
          <w:lang w:val="en-US"/>
        </w:rPr>
        <w:drawing>
          <wp:inline distT="0" distB="0" distL="0" distR="0" wp14:anchorId="001B5EA3" wp14:editId="74EBE039">
            <wp:extent cx="3329695" cy="4994542"/>
            <wp:effectExtent l="0" t="0" r="4445" b="0"/>
            <wp:docPr id="19677529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52092" cy="5028137"/>
                    </a:xfrm>
                    <a:prstGeom prst="rect">
                      <a:avLst/>
                    </a:prstGeom>
                    <a:noFill/>
                  </pic:spPr>
                </pic:pic>
              </a:graphicData>
            </a:graphic>
          </wp:inline>
        </w:drawing>
      </w:r>
    </w:p>
    <w:p w14:paraId="6DF96829" w14:textId="640EFFE9" w:rsidR="00D605BF" w:rsidRPr="00D605BF" w:rsidRDefault="00D605BF" w:rsidP="00D605BF">
      <w:pPr>
        <w:spacing w:line="360" w:lineRule="auto"/>
        <w:jc w:val="both"/>
        <w:rPr>
          <w:rFonts w:ascii="Arial" w:eastAsia="Arial Nova" w:hAnsi="Arial" w:cs="Arial"/>
          <w:b/>
          <w:bCs/>
          <w:sz w:val="22"/>
          <w:szCs w:val="22"/>
          <w:lang w:val="en-US"/>
        </w:rPr>
      </w:pPr>
      <w:r w:rsidRPr="00D605BF">
        <w:rPr>
          <w:rFonts w:ascii="Arial" w:eastAsia="Arial Nova" w:hAnsi="Arial" w:cs="Arial"/>
          <w:b/>
          <w:bCs/>
          <w:sz w:val="22"/>
          <w:szCs w:val="22"/>
          <w:lang w:val="en-US"/>
        </w:rPr>
        <w:t>Figure 1: Concept Map</w:t>
      </w:r>
    </w:p>
    <w:p w14:paraId="6730334C" w14:textId="393FCC82" w:rsidR="00D605BF" w:rsidRPr="00D605BF" w:rsidRDefault="00D605BF" w:rsidP="00D605BF">
      <w:pPr>
        <w:spacing w:line="360" w:lineRule="auto"/>
        <w:jc w:val="both"/>
        <w:rPr>
          <w:rFonts w:ascii="Arial" w:eastAsia="Arial Nova" w:hAnsi="Arial" w:cs="Arial"/>
          <w:sz w:val="22"/>
          <w:szCs w:val="22"/>
        </w:rPr>
      </w:pPr>
      <w:r w:rsidRPr="00D605BF">
        <w:rPr>
          <w:rFonts w:ascii="Arial" w:eastAsia="Arial Nova" w:hAnsi="Arial" w:cs="Arial"/>
          <w:sz w:val="22"/>
          <w:szCs w:val="22"/>
        </w:rPr>
        <w:t>Creativity in HSC systems is key to overcoming difficulties and challenges in the sector‚ such as workforce shortages‚ high demand and inefficiencies in service delivery (Care Quality Commission‚ 2021</w:t>
      </w:r>
      <w:r>
        <w:rPr>
          <w:rFonts w:ascii="Arial" w:eastAsia="Arial Nova" w:hAnsi="Arial" w:cs="Arial"/>
          <w:sz w:val="22"/>
          <w:szCs w:val="22"/>
        </w:rPr>
        <w:t>).</w:t>
      </w:r>
      <w:r w:rsidRPr="00D605BF">
        <w:rPr>
          <w:rFonts w:ascii="Arial" w:eastAsia="Arial Nova" w:hAnsi="Arial" w:cs="Arial"/>
          <w:sz w:val="22"/>
          <w:szCs w:val="22"/>
        </w:rPr>
        <w:t xml:space="preserve"> For </w:t>
      </w:r>
      <w:r w:rsidR="00611061" w:rsidRPr="00D605BF">
        <w:rPr>
          <w:rFonts w:ascii="Arial" w:eastAsia="Arial Nova" w:hAnsi="Arial" w:cs="Arial"/>
          <w:sz w:val="22"/>
          <w:szCs w:val="22"/>
        </w:rPr>
        <w:t>instance,</w:t>
      </w:r>
      <w:r w:rsidRPr="00D605BF">
        <w:rPr>
          <w:rFonts w:ascii="Arial" w:eastAsia="Arial Nova" w:hAnsi="Arial" w:cs="Arial"/>
          <w:sz w:val="22"/>
          <w:szCs w:val="22"/>
        </w:rPr>
        <w:t xml:space="preserve"> practitioners use creativity to reconceptualise care pathways away from reactive health system models towards preventative and community-based care </w:t>
      </w:r>
      <w:r w:rsidRPr="00D605BF">
        <w:rPr>
          <w:rFonts w:ascii="Arial" w:eastAsia="Arial Nova" w:hAnsi="Arial" w:cs="Arial"/>
          <w:sz w:val="22"/>
          <w:szCs w:val="22"/>
        </w:rPr>
        <w:lastRenderedPageBreak/>
        <w:t>models</w:t>
      </w:r>
      <w:r w:rsidRPr="00D605BF">
        <w:rPr>
          <w:rFonts w:ascii="MS Gothic" w:eastAsia="MS Gothic" w:hAnsi="MS Gothic" w:cs="MS Gothic" w:hint="eastAsia"/>
          <w:sz w:val="22"/>
          <w:szCs w:val="22"/>
        </w:rPr>
        <w:t>․</w:t>
      </w:r>
      <w:r w:rsidRPr="00D605BF">
        <w:rPr>
          <w:rFonts w:ascii="Arial" w:eastAsia="Arial Nova" w:hAnsi="Arial" w:cs="Arial"/>
          <w:sz w:val="22"/>
          <w:szCs w:val="22"/>
        </w:rPr>
        <w:t xml:space="preserve"> Creativity can be operationalised and translated into innovation but requires implementation strategies and active support‚ leadership‚ policy‚ and technology integration (Greenhalgh et al</w:t>
      </w:r>
      <w:r w:rsidRPr="00D605BF">
        <w:rPr>
          <w:rFonts w:ascii="MS Gothic" w:eastAsia="MS Gothic" w:hAnsi="MS Gothic" w:cs="MS Gothic" w:hint="eastAsia"/>
          <w:sz w:val="22"/>
          <w:szCs w:val="22"/>
        </w:rPr>
        <w:t>․</w:t>
      </w:r>
      <w:r w:rsidRPr="00D605BF">
        <w:rPr>
          <w:rFonts w:ascii="Arial" w:eastAsia="Arial Nova" w:hAnsi="Arial" w:cs="Arial"/>
          <w:sz w:val="22"/>
          <w:szCs w:val="22"/>
        </w:rPr>
        <w:t>‚ 2020</w:t>
      </w:r>
      <w:r>
        <w:rPr>
          <w:rFonts w:ascii="Arial" w:eastAsia="Arial Nova" w:hAnsi="Arial" w:cs="Arial"/>
          <w:sz w:val="22"/>
          <w:szCs w:val="22"/>
        </w:rPr>
        <w:t>).</w:t>
      </w:r>
    </w:p>
    <w:p w14:paraId="37140367" w14:textId="29339274" w:rsidR="00D605BF" w:rsidRPr="00D605BF" w:rsidRDefault="00D605BF" w:rsidP="00D605BF">
      <w:pPr>
        <w:spacing w:line="360" w:lineRule="auto"/>
        <w:jc w:val="both"/>
        <w:rPr>
          <w:rFonts w:ascii="Arial" w:eastAsia="Arial Nova" w:hAnsi="Arial" w:cs="Arial"/>
          <w:sz w:val="22"/>
          <w:szCs w:val="22"/>
        </w:rPr>
      </w:pPr>
      <w:r w:rsidRPr="00D605BF">
        <w:rPr>
          <w:rFonts w:ascii="Arial" w:eastAsia="Arial Nova" w:hAnsi="Arial" w:cs="Arial"/>
          <w:sz w:val="22"/>
          <w:szCs w:val="22"/>
        </w:rPr>
        <w:t>Creating value through innovation may take different forms: improving patient experience‚ improving clinical outcomes‚ or optimising system efficiency</w:t>
      </w:r>
      <w:r w:rsidRPr="00D605BF">
        <w:rPr>
          <w:rFonts w:ascii="MS Gothic" w:eastAsia="MS Gothic" w:hAnsi="MS Gothic" w:cs="MS Gothic" w:hint="eastAsia"/>
          <w:sz w:val="22"/>
          <w:szCs w:val="22"/>
        </w:rPr>
        <w:t>․</w:t>
      </w:r>
      <w:r w:rsidRPr="00D605BF">
        <w:rPr>
          <w:rFonts w:ascii="Arial" w:eastAsia="Arial Nova" w:hAnsi="Arial" w:cs="Arial"/>
          <w:sz w:val="22"/>
          <w:szCs w:val="22"/>
        </w:rPr>
        <w:t xml:space="preserve"> Digital health technologies (e</w:t>
      </w:r>
      <w:r w:rsidRPr="00D605BF">
        <w:rPr>
          <w:rFonts w:ascii="MS Gothic" w:eastAsia="MS Gothic" w:hAnsi="MS Gothic" w:cs="MS Gothic" w:hint="eastAsia"/>
          <w:sz w:val="22"/>
          <w:szCs w:val="22"/>
        </w:rPr>
        <w:t>․</w:t>
      </w:r>
      <w:r w:rsidRPr="00D605BF">
        <w:rPr>
          <w:rFonts w:ascii="Arial" w:eastAsia="Arial Nova" w:hAnsi="Arial" w:cs="Arial"/>
          <w:sz w:val="22"/>
          <w:szCs w:val="22"/>
        </w:rPr>
        <w:t>g</w:t>
      </w:r>
      <w:r w:rsidRPr="00D605BF">
        <w:rPr>
          <w:rFonts w:ascii="MS Gothic" w:eastAsia="MS Gothic" w:hAnsi="MS Gothic" w:cs="MS Gothic" w:hint="eastAsia"/>
          <w:sz w:val="22"/>
          <w:szCs w:val="22"/>
        </w:rPr>
        <w:t>․</w:t>
      </w:r>
      <w:r w:rsidRPr="00D605BF">
        <w:rPr>
          <w:rFonts w:ascii="Arial" w:eastAsia="Arial Nova" w:hAnsi="Arial" w:cs="Arial"/>
          <w:sz w:val="22"/>
          <w:szCs w:val="22"/>
        </w:rPr>
        <w:t>‚ telemedicine) exemplify how innovation can expand access and reduce costs (Davenport and Kalakota‚ 2019</w:t>
      </w:r>
      <w:r>
        <w:rPr>
          <w:rFonts w:ascii="Arial" w:eastAsia="Arial Nova" w:hAnsi="Arial" w:cs="Arial"/>
          <w:sz w:val="22"/>
          <w:szCs w:val="22"/>
        </w:rPr>
        <w:t>).</w:t>
      </w:r>
      <w:r w:rsidRPr="00D605BF">
        <w:rPr>
          <w:rFonts w:ascii="Arial" w:eastAsia="Arial Nova" w:hAnsi="Arial" w:cs="Arial"/>
          <w:sz w:val="22"/>
          <w:szCs w:val="22"/>
        </w:rPr>
        <w:t xml:space="preserve"> </w:t>
      </w:r>
      <w:r w:rsidR="00611061" w:rsidRPr="00D605BF">
        <w:rPr>
          <w:rFonts w:ascii="Arial" w:eastAsia="Arial Nova" w:hAnsi="Arial" w:cs="Arial"/>
          <w:sz w:val="22"/>
          <w:szCs w:val="22"/>
        </w:rPr>
        <w:t>However,</w:t>
      </w:r>
      <w:r w:rsidRPr="00D605BF">
        <w:rPr>
          <w:rFonts w:ascii="Arial" w:eastAsia="Arial Nova" w:hAnsi="Arial" w:cs="Arial"/>
          <w:sz w:val="22"/>
          <w:szCs w:val="22"/>
        </w:rPr>
        <w:t xml:space="preserve"> financial limitations‚ organisational inertia‚ and digital exclusion can impede creative practices from leading to the desired outcomes (Bate and Robert‚ 2007</w:t>
      </w:r>
      <w:r>
        <w:rPr>
          <w:rFonts w:ascii="Arial" w:eastAsia="Arial Nova" w:hAnsi="Arial" w:cs="Arial"/>
          <w:sz w:val="22"/>
          <w:szCs w:val="22"/>
        </w:rPr>
        <w:t>)</w:t>
      </w:r>
      <w:r w:rsidR="00611061">
        <w:rPr>
          <w:rFonts w:ascii="Arial" w:eastAsia="Arial Nova" w:hAnsi="Arial" w:cs="Arial"/>
          <w:sz w:val="22"/>
          <w:szCs w:val="22"/>
        </w:rPr>
        <w:t xml:space="preserve">. </w:t>
      </w:r>
      <w:r w:rsidRPr="00D605BF">
        <w:rPr>
          <w:rFonts w:ascii="Arial" w:eastAsia="Arial Nova" w:hAnsi="Arial" w:cs="Arial"/>
          <w:sz w:val="22"/>
          <w:szCs w:val="22"/>
        </w:rPr>
        <w:t>This</w:t>
      </w:r>
      <w:r w:rsidR="00611061">
        <w:rPr>
          <w:rFonts w:ascii="Arial" w:eastAsia="Arial Nova" w:hAnsi="Arial" w:cs="Arial"/>
          <w:sz w:val="22"/>
          <w:szCs w:val="22"/>
        </w:rPr>
        <w:t xml:space="preserve"> </w:t>
      </w:r>
      <w:r w:rsidRPr="00D605BF">
        <w:rPr>
          <w:rFonts w:ascii="Arial" w:eastAsia="Arial Nova" w:hAnsi="Arial" w:cs="Arial"/>
          <w:sz w:val="22"/>
          <w:szCs w:val="22"/>
        </w:rPr>
        <w:t>shows that HSC innovation is a dynamic interplay of creativity‚ implementation‚ evaluation‚ and sustainability</w:t>
      </w:r>
      <w:r w:rsidRPr="00D605BF">
        <w:rPr>
          <w:rFonts w:ascii="MS Gothic" w:eastAsia="MS Gothic" w:hAnsi="MS Gothic" w:cs="MS Gothic" w:hint="eastAsia"/>
          <w:sz w:val="22"/>
          <w:szCs w:val="22"/>
        </w:rPr>
        <w:t>․</w:t>
      </w:r>
      <w:r w:rsidRPr="00D605BF">
        <w:rPr>
          <w:rFonts w:ascii="Arial" w:eastAsia="Arial Nova" w:hAnsi="Arial" w:cs="Arial"/>
          <w:sz w:val="22"/>
          <w:szCs w:val="22"/>
        </w:rPr>
        <w:t xml:space="preserve"> Continuous adaptation between these factors is required to create sustainable value from HSC innovation‚ allowing for equitable and meaningful improvements in the healthcare experience</w:t>
      </w:r>
      <w:r w:rsidRPr="00D605BF">
        <w:rPr>
          <w:rFonts w:ascii="MS Gothic" w:eastAsia="MS Gothic" w:hAnsi="MS Gothic" w:cs="MS Gothic" w:hint="eastAsia"/>
          <w:sz w:val="22"/>
          <w:szCs w:val="22"/>
        </w:rPr>
        <w:t>․</w:t>
      </w:r>
    </w:p>
    <w:p w14:paraId="15D34549" w14:textId="77777777" w:rsidR="00D605BF" w:rsidRDefault="00D605BF" w:rsidP="00D605BF">
      <w:pPr>
        <w:spacing w:line="360" w:lineRule="auto"/>
        <w:jc w:val="both"/>
        <w:rPr>
          <w:rFonts w:ascii="Arial" w:eastAsia="Arial Nova" w:hAnsi="Arial" w:cs="Arial"/>
          <w:sz w:val="22"/>
          <w:szCs w:val="22"/>
        </w:rPr>
      </w:pPr>
    </w:p>
    <w:p w14:paraId="47ED7142" w14:textId="77777777" w:rsidR="00611061" w:rsidRDefault="00611061" w:rsidP="00D605BF">
      <w:pPr>
        <w:spacing w:line="360" w:lineRule="auto"/>
        <w:jc w:val="both"/>
        <w:rPr>
          <w:rFonts w:ascii="Arial" w:eastAsia="Arial Nova" w:hAnsi="Arial" w:cs="Arial"/>
          <w:sz w:val="22"/>
          <w:szCs w:val="22"/>
        </w:rPr>
      </w:pPr>
    </w:p>
    <w:p w14:paraId="677A040B" w14:textId="77777777" w:rsidR="00611061" w:rsidRDefault="00611061" w:rsidP="00D605BF">
      <w:pPr>
        <w:spacing w:line="360" w:lineRule="auto"/>
        <w:jc w:val="both"/>
        <w:rPr>
          <w:rFonts w:ascii="Arial" w:eastAsia="Arial Nova" w:hAnsi="Arial" w:cs="Arial"/>
          <w:sz w:val="22"/>
          <w:szCs w:val="22"/>
        </w:rPr>
      </w:pPr>
    </w:p>
    <w:p w14:paraId="6A16FBDB" w14:textId="77777777" w:rsidR="00611061" w:rsidRDefault="00611061" w:rsidP="00D605BF">
      <w:pPr>
        <w:spacing w:line="360" w:lineRule="auto"/>
        <w:jc w:val="both"/>
        <w:rPr>
          <w:rFonts w:ascii="Arial" w:eastAsia="Arial Nova" w:hAnsi="Arial" w:cs="Arial"/>
          <w:sz w:val="22"/>
          <w:szCs w:val="22"/>
        </w:rPr>
      </w:pPr>
    </w:p>
    <w:p w14:paraId="4C40F7C6" w14:textId="77777777" w:rsidR="00611061" w:rsidRDefault="00611061" w:rsidP="00D605BF">
      <w:pPr>
        <w:spacing w:line="360" w:lineRule="auto"/>
        <w:jc w:val="both"/>
        <w:rPr>
          <w:rFonts w:ascii="Arial" w:eastAsia="Arial Nova" w:hAnsi="Arial" w:cs="Arial"/>
          <w:sz w:val="22"/>
          <w:szCs w:val="22"/>
        </w:rPr>
      </w:pPr>
    </w:p>
    <w:p w14:paraId="6B15F070" w14:textId="77777777" w:rsidR="00611061" w:rsidRDefault="00611061" w:rsidP="00D605BF">
      <w:pPr>
        <w:spacing w:line="360" w:lineRule="auto"/>
        <w:jc w:val="both"/>
        <w:rPr>
          <w:rFonts w:ascii="Arial" w:eastAsia="Arial Nova" w:hAnsi="Arial" w:cs="Arial"/>
          <w:sz w:val="22"/>
          <w:szCs w:val="22"/>
        </w:rPr>
      </w:pPr>
    </w:p>
    <w:p w14:paraId="35C12418" w14:textId="77777777" w:rsidR="00611061" w:rsidRDefault="00611061" w:rsidP="00D605BF">
      <w:pPr>
        <w:spacing w:line="360" w:lineRule="auto"/>
        <w:jc w:val="both"/>
        <w:rPr>
          <w:rFonts w:ascii="Arial" w:eastAsia="Arial Nova" w:hAnsi="Arial" w:cs="Arial"/>
          <w:sz w:val="22"/>
          <w:szCs w:val="22"/>
        </w:rPr>
      </w:pPr>
    </w:p>
    <w:p w14:paraId="099A099E" w14:textId="77777777" w:rsidR="00611061" w:rsidRDefault="00611061" w:rsidP="00D605BF">
      <w:pPr>
        <w:spacing w:line="360" w:lineRule="auto"/>
        <w:jc w:val="both"/>
        <w:rPr>
          <w:rFonts w:ascii="Arial" w:eastAsia="Arial Nova" w:hAnsi="Arial" w:cs="Arial"/>
          <w:sz w:val="22"/>
          <w:szCs w:val="22"/>
        </w:rPr>
      </w:pPr>
    </w:p>
    <w:p w14:paraId="55444AAE" w14:textId="77777777" w:rsidR="00611061" w:rsidRDefault="00611061" w:rsidP="00D605BF">
      <w:pPr>
        <w:spacing w:line="360" w:lineRule="auto"/>
        <w:jc w:val="both"/>
        <w:rPr>
          <w:rFonts w:ascii="Arial" w:eastAsia="Arial Nova" w:hAnsi="Arial" w:cs="Arial"/>
          <w:sz w:val="22"/>
          <w:szCs w:val="22"/>
        </w:rPr>
      </w:pPr>
    </w:p>
    <w:p w14:paraId="516A855C" w14:textId="77777777" w:rsidR="00611061" w:rsidRDefault="00611061" w:rsidP="00D605BF">
      <w:pPr>
        <w:spacing w:line="360" w:lineRule="auto"/>
        <w:jc w:val="both"/>
        <w:rPr>
          <w:rFonts w:ascii="Arial" w:eastAsia="Arial Nova" w:hAnsi="Arial" w:cs="Arial"/>
          <w:sz w:val="22"/>
          <w:szCs w:val="22"/>
        </w:rPr>
      </w:pPr>
    </w:p>
    <w:p w14:paraId="372D98F5" w14:textId="77777777" w:rsidR="00611061" w:rsidRDefault="00611061" w:rsidP="00D605BF">
      <w:pPr>
        <w:spacing w:line="360" w:lineRule="auto"/>
        <w:jc w:val="both"/>
        <w:rPr>
          <w:rFonts w:ascii="Arial" w:eastAsia="Arial Nova" w:hAnsi="Arial" w:cs="Arial"/>
          <w:sz w:val="22"/>
          <w:szCs w:val="22"/>
        </w:rPr>
      </w:pPr>
    </w:p>
    <w:p w14:paraId="38F7F625" w14:textId="77777777" w:rsidR="00611061" w:rsidRDefault="00611061" w:rsidP="00D605BF">
      <w:pPr>
        <w:spacing w:line="360" w:lineRule="auto"/>
        <w:jc w:val="both"/>
        <w:rPr>
          <w:rFonts w:ascii="Arial" w:eastAsia="Arial Nova" w:hAnsi="Arial" w:cs="Arial"/>
          <w:sz w:val="22"/>
          <w:szCs w:val="22"/>
        </w:rPr>
      </w:pPr>
    </w:p>
    <w:p w14:paraId="0093F886" w14:textId="77777777" w:rsidR="00611061" w:rsidRDefault="00611061" w:rsidP="00D605BF">
      <w:pPr>
        <w:spacing w:line="360" w:lineRule="auto"/>
        <w:jc w:val="both"/>
        <w:rPr>
          <w:rFonts w:ascii="Arial" w:eastAsia="Arial Nova" w:hAnsi="Arial" w:cs="Arial"/>
          <w:sz w:val="22"/>
          <w:szCs w:val="22"/>
        </w:rPr>
      </w:pPr>
    </w:p>
    <w:p w14:paraId="0C4D8317" w14:textId="77777777" w:rsidR="00611061" w:rsidRDefault="00611061" w:rsidP="00D605BF">
      <w:pPr>
        <w:spacing w:line="360" w:lineRule="auto"/>
        <w:jc w:val="both"/>
        <w:rPr>
          <w:rFonts w:ascii="Arial" w:eastAsia="Arial Nova" w:hAnsi="Arial" w:cs="Arial"/>
          <w:sz w:val="22"/>
          <w:szCs w:val="22"/>
        </w:rPr>
      </w:pPr>
    </w:p>
    <w:p w14:paraId="74EFEAFD" w14:textId="77777777" w:rsidR="00611061" w:rsidRPr="00D605BF" w:rsidRDefault="00611061" w:rsidP="00D605BF">
      <w:pPr>
        <w:spacing w:line="360" w:lineRule="auto"/>
        <w:jc w:val="both"/>
        <w:rPr>
          <w:rFonts w:ascii="Arial" w:eastAsia="Arial Nova" w:hAnsi="Arial" w:cs="Arial"/>
          <w:sz w:val="22"/>
          <w:szCs w:val="22"/>
        </w:rPr>
      </w:pPr>
    </w:p>
    <w:p w14:paraId="6515C434" w14:textId="77777777" w:rsidR="00D605BF" w:rsidRPr="00611061" w:rsidRDefault="00D605BF" w:rsidP="00611061">
      <w:pPr>
        <w:spacing w:after="0" w:line="360" w:lineRule="auto"/>
        <w:jc w:val="both"/>
        <w:rPr>
          <w:rFonts w:ascii="Arial" w:eastAsia="Arial Nova" w:hAnsi="Arial" w:cs="Arial"/>
          <w:b/>
          <w:bCs/>
          <w:sz w:val="22"/>
          <w:szCs w:val="22"/>
        </w:rPr>
      </w:pPr>
      <w:r w:rsidRPr="00611061">
        <w:rPr>
          <w:rFonts w:ascii="Arial" w:eastAsia="Arial Nova" w:hAnsi="Arial" w:cs="Arial"/>
          <w:b/>
          <w:bCs/>
          <w:sz w:val="22"/>
          <w:szCs w:val="22"/>
        </w:rPr>
        <w:lastRenderedPageBreak/>
        <w:t>Task 2 - Reflect on Paperclip Activity</w:t>
      </w:r>
    </w:p>
    <w:p w14:paraId="0F14F20F" w14:textId="77777777" w:rsidR="00D605BF" w:rsidRPr="00611061" w:rsidRDefault="00D605BF" w:rsidP="00611061">
      <w:pPr>
        <w:spacing w:after="0" w:line="360" w:lineRule="auto"/>
        <w:jc w:val="both"/>
        <w:rPr>
          <w:rFonts w:ascii="Arial" w:eastAsia="Arial Nova" w:hAnsi="Arial" w:cs="Arial"/>
          <w:b/>
          <w:bCs/>
          <w:sz w:val="22"/>
          <w:szCs w:val="22"/>
        </w:rPr>
      </w:pPr>
      <w:r w:rsidRPr="00611061">
        <w:rPr>
          <w:rFonts w:ascii="Arial" w:eastAsia="Arial Nova" w:hAnsi="Arial" w:cs="Arial"/>
          <w:b/>
          <w:bCs/>
          <w:sz w:val="22"/>
          <w:szCs w:val="22"/>
        </w:rPr>
        <w:t>Using Gibbs Reflective Cycle</w:t>
      </w:r>
    </w:p>
    <w:p w14:paraId="04B195BF" w14:textId="4B0EF394" w:rsidR="00D605BF" w:rsidRPr="00D605BF" w:rsidRDefault="00D605BF" w:rsidP="00D605BF">
      <w:pPr>
        <w:spacing w:line="360" w:lineRule="auto"/>
        <w:jc w:val="both"/>
        <w:rPr>
          <w:rFonts w:ascii="Arial" w:eastAsia="Arial Nova" w:hAnsi="Arial" w:cs="Arial"/>
          <w:sz w:val="22"/>
          <w:szCs w:val="22"/>
        </w:rPr>
      </w:pPr>
      <w:r w:rsidRPr="00D605BF">
        <w:rPr>
          <w:rFonts w:ascii="Arial" w:eastAsia="Arial Nova" w:hAnsi="Arial" w:cs="Arial"/>
          <w:sz w:val="22"/>
          <w:szCs w:val="22"/>
        </w:rPr>
        <w:t>The paperclip task‚ in which participants had to come up with uses for a paperclip and judge their effectiveness‚ was not difficult‚ and indeed was rather enjoyable‚ as it involved a lot of free association and no tight constraints</w:t>
      </w:r>
      <w:r w:rsidRPr="00D605BF">
        <w:rPr>
          <w:rFonts w:ascii="MS Gothic" w:eastAsia="MS Gothic" w:hAnsi="MS Gothic" w:cs="MS Gothic" w:hint="eastAsia"/>
          <w:sz w:val="22"/>
          <w:szCs w:val="22"/>
        </w:rPr>
        <w:t>․</w:t>
      </w:r>
      <w:r w:rsidRPr="00D605BF">
        <w:rPr>
          <w:rFonts w:ascii="Arial" w:eastAsia="Arial Nova" w:hAnsi="Arial" w:cs="Arial"/>
          <w:sz w:val="22"/>
          <w:szCs w:val="22"/>
        </w:rPr>
        <w:t xml:space="preserve"> Eventually‚ I realised that while ideation was the easy part‚ critically assessing and quantifying ideas for practicality and value was the challenge</w:t>
      </w:r>
      <w:r w:rsidR="00611061">
        <w:rPr>
          <w:rFonts w:ascii="MS Gothic" w:eastAsia="MS Gothic" w:hAnsi="MS Gothic" w:cs="MS Gothic"/>
          <w:sz w:val="22"/>
          <w:szCs w:val="22"/>
          <w:lang w:val="en-US"/>
        </w:rPr>
        <w:t xml:space="preserve">. </w:t>
      </w:r>
      <w:r w:rsidRPr="00D605BF">
        <w:rPr>
          <w:rFonts w:ascii="Arial" w:eastAsia="Arial Nova" w:hAnsi="Arial" w:cs="Arial"/>
          <w:sz w:val="22"/>
          <w:szCs w:val="22"/>
        </w:rPr>
        <w:t>The example also illustrates Gibbs' (1988) experiential learning cycle‚ which involves divergent thinking‚ where a range of creative ideas are generated‚ and convergent thinking‚ where the range of ideas are carefully considered and analysed before coming to a conclusion about which is the best solution (Guilford‚ 1967</w:t>
      </w:r>
      <w:r>
        <w:rPr>
          <w:rFonts w:ascii="Arial" w:eastAsia="Arial Nova" w:hAnsi="Arial" w:cs="Arial"/>
          <w:sz w:val="22"/>
          <w:szCs w:val="22"/>
        </w:rPr>
        <w:t>).</w:t>
      </w:r>
      <w:r w:rsidRPr="00D605BF">
        <w:rPr>
          <w:rFonts w:ascii="Arial" w:eastAsia="Arial Nova" w:hAnsi="Arial" w:cs="Arial"/>
          <w:sz w:val="22"/>
          <w:szCs w:val="22"/>
        </w:rPr>
        <w:t xml:space="preserve"> In this exercise‚ I came up with a lot of divergent ideas</w:t>
      </w:r>
      <w:r w:rsidRPr="00D605BF">
        <w:rPr>
          <w:rFonts w:ascii="MS Gothic" w:eastAsia="MS Gothic" w:hAnsi="MS Gothic" w:cs="MS Gothic" w:hint="eastAsia"/>
          <w:sz w:val="22"/>
          <w:szCs w:val="22"/>
        </w:rPr>
        <w:t>․</w:t>
      </w:r>
      <w:r w:rsidRPr="00D605BF">
        <w:rPr>
          <w:rFonts w:ascii="Arial" w:eastAsia="Arial Nova" w:hAnsi="Arial" w:cs="Arial"/>
          <w:sz w:val="22"/>
          <w:szCs w:val="22"/>
        </w:rPr>
        <w:t xml:space="preserve"> Conversely‚ convergent thinking‚ which demands that one assess feasibility‚ applicability‚ and effectiveness‚ was more challenging</w:t>
      </w:r>
      <w:r w:rsidRPr="00D605BF">
        <w:rPr>
          <w:rFonts w:ascii="MS Gothic" w:eastAsia="MS Gothic" w:hAnsi="MS Gothic" w:cs="MS Gothic" w:hint="eastAsia"/>
          <w:sz w:val="22"/>
          <w:szCs w:val="22"/>
        </w:rPr>
        <w:t>․</w:t>
      </w:r>
    </w:p>
    <w:p w14:paraId="03F04482" w14:textId="554881B0" w:rsidR="00D605BF" w:rsidRPr="00D605BF" w:rsidRDefault="00D605BF" w:rsidP="00D605BF">
      <w:pPr>
        <w:spacing w:line="360" w:lineRule="auto"/>
        <w:jc w:val="both"/>
        <w:rPr>
          <w:rFonts w:ascii="Arial" w:eastAsia="Arial Nova" w:hAnsi="Arial" w:cs="Arial"/>
          <w:sz w:val="22"/>
          <w:szCs w:val="22"/>
        </w:rPr>
      </w:pPr>
      <w:r w:rsidRPr="00D605BF">
        <w:rPr>
          <w:rFonts w:ascii="Arial" w:eastAsia="Arial Nova" w:hAnsi="Arial" w:cs="Arial"/>
          <w:sz w:val="22"/>
          <w:szCs w:val="22"/>
        </w:rPr>
        <w:t>This distinction is of particular value in the context of the health and social care professions‚ where practitioners are often expected to be able to develop creative or innovative solutions to complex problems facing service users‚ such as patient care or service provision‚ as well as critically evaluating and implementing appropriate solutions (West et al</w:t>
      </w:r>
      <w:r w:rsidRPr="00D605BF">
        <w:rPr>
          <w:rFonts w:ascii="MS Gothic" w:eastAsia="MS Gothic" w:hAnsi="MS Gothic" w:cs="MS Gothic" w:hint="eastAsia"/>
          <w:sz w:val="22"/>
          <w:szCs w:val="22"/>
        </w:rPr>
        <w:t>․</w:t>
      </w:r>
      <w:r w:rsidRPr="00D605BF">
        <w:rPr>
          <w:rFonts w:ascii="Arial" w:eastAsia="Arial Nova" w:hAnsi="Arial" w:cs="Arial"/>
          <w:sz w:val="22"/>
          <w:szCs w:val="22"/>
        </w:rPr>
        <w:t>‚ 2022</w:t>
      </w:r>
      <w:r>
        <w:rPr>
          <w:rFonts w:ascii="Arial" w:eastAsia="Arial Nova" w:hAnsi="Arial" w:cs="Arial"/>
          <w:sz w:val="22"/>
          <w:szCs w:val="22"/>
        </w:rPr>
        <w:t>)</w:t>
      </w:r>
      <w:r w:rsidR="00611061">
        <w:rPr>
          <w:rFonts w:ascii="Arial" w:eastAsia="Arial Nova" w:hAnsi="Arial" w:cs="Arial"/>
          <w:sz w:val="22"/>
          <w:szCs w:val="22"/>
        </w:rPr>
        <w:t xml:space="preserve">. </w:t>
      </w:r>
      <w:r w:rsidRPr="00D605BF">
        <w:rPr>
          <w:rFonts w:ascii="Arial" w:eastAsia="Arial Nova" w:hAnsi="Arial" w:cs="Arial"/>
          <w:sz w:val="22"/>
          <w:szCs w:val="22"/>
        </w:rPr>
        <w:t>The importance of this exercise was to stress the complementary roles of divergent and convergent thought in the problem-solving techniques; that too much of one type of thought could lead to impractical or no new ideas</w:t>
      </w:r>
      <w:r w:rsidR="00611061">
        <w:rPr>
          <w:rFonts w:ascii="MS Gothic" w:eastAsia="MS Gothic" w:hAnsi="MS Gothic" w:cs="MS Gothic"/>
          <w:sz w:val="22"/>
          <w:szCs w:val="22"/>
          <w:lang w:val="en-US"/>
        </w:rPr>
        <w:t xml:space="preserve">. </w:t>
      </w:r>
      <w:r w:rsidRPr="00D605BF">
        <w:rPr>
          <w:rFonts w:ascii="Arial" w:eastAsia="Arial Nova" w:hAnsi="Arial" w:cs="Arial"/>
          <w:sz w:val="22"/>
          <w:szCs w:val="22"/>
        </w:rPr>
        <w:t>In future practice I will seek to further improve both my reflection and evidence-based practice in order to contribute to both innovative and practical solutions when working within health and social care</w:t>
      </w:r>
      <w:r w:rsidRPr="00D605BF">
        <w:rPr>
          <w:rFonts w:ascii="MS Gothic" w:eastAsia="MS Gothic" w:hAnsi="MS Gothic" w:cs="MS Gothic" w:hint="eastAsia"/>
          <w:sz w:val="22"/>
          <w:szCs w:val="22"/>
        </w:rPr>
        <w:t>․</w:t>
      </w:r>
    </w:p>
    <w:p w14:paraId="3380D6B7" w14:textId="77777777" w:rsidR="00D605BF" w:rsidRDefault="00D605BF" w:rsidP="00D605BF">
      <w:pPr>
        <w:spacing w:line="360" w:lineRule="auto"/>
        <w:jc w:val="both"/>
        <w:rPr>
          <w:rFonts w:ascii="Arial" w:eastAsia="Arial Nova" w:hAnsi="Arial" w:cs="Arial"/>
          <w:sz w:val="22"/>
          <w:szCs w:val="22"/>
        </w:rPr>
      </w:pPr>
    </w:p>
    <w:p w14:paraId="0AE4959C" w14:textId="77777777" w:rsidR="00611061" w:rsidRDefault="00611061" w:rsidP="00D605BF">
      <w:pPr>
        <w:spacing w:line="360" w:lineRule="auto"/>
        <w:jc w:val="both"/>
        <w:rPr>
          <w:rFonts w:ascii="Arial" w:eastAsia="Arial Nova" w:hAnsi="Arial" w:cs="Arial"/>
          <w:sz w:val="22"/>
          <w:szCs w:val="22"/>
        </w:rPr>
      </w:pPr>
    </w:p>
    <w:p w14:paraId="4D719B09" w14:textId="77777777" w:rsidR="00611061" w:rsidRDefault="00611061" w:rsidP="00D605BF">
      <w:pPr>
        <w:spacing w:line="360" w:lineRule="auto"/>
        <w:jc w:val="both"/>
        <w:rPr>
          <w:rFonts w:ascii="Arial" w:eastAsia="Arial Nova" w:hAnsi="Arial" w:cs="Arial"/>
          <w:sz w:val="22"/>
          <w:szCs w:val="22"/>
        </w:rPr>
      </w:pPr>
    </w:p>
    <w:p w14:paraId="5E47B403" w14:textId="77777777" w:rsidR="00611061" w:rsidRDefault="00611061" w:rsidP="00D605BF">
      <w:pPr>
        <w:spacing w:line="360" w:lineRule="auto"/>
        <w:jc w:val="both"/>
        <w:rPr>
          <w:rFonts w:ascii="Arial" w:eastAsia="Arial Nova" w:hAnsi="Arial" w:cs="Arial"/>
          <w:sz w:val="22"/>
          <w:szCs w:val="22"/>
        </w:rPr>
      </w:pPr>
    </w:p>
    <w:p w14:paraId="2F3A758F" w14:textId="77777777" w:rsidR="00611061" w:rsidRDefault="00611061" w:rsidP="00D605BF">
      <w:pPr>
        <w:spacing w:line="360" w:lineRule="auto"/>
        <w:jc w:val="both"/>
        <w:rPr>
          <w:rFonts w:ascii="Arial" w:eastAsia="Arial Nova" w:hAnsi="Arial" w:cs="Arial"/>
          <w:sz w:val="22"/>
          <w:szCs w:val="22"/>
        </w:rPr>
      </w:pPr>
    </w:p>
    <w:p w14:paraId="1375D5D2" w14:textId="77777777" w:rsidR="00611061" w:rsidRDefault="00611061" w:rsidP="00D605BF">
      <w:pPr>
        <w:spacing w:line="360" w:lineRule="auto"/>
        <w:jc w:val="both"/>
        <w:rPr>
          <w:rFonts w:ascii="Arial" w:eastAsia="Arial Nova" w:hAnsi="Arial" w:cs="Arial"/>
          <w:sz w:val="22"/>
          <w:szCs w:val="22"/>
        </w:rPr>
      </w:pPr>
    </w:p>
    <w:p w14:paraId="38C7939A" w14:textId="77777777" w:rsidR="00611061" w:rsidRDefault="00611061" w:rsidP="00D605BF">
      <w:pPr>
        <w:spacing w:line="360" w:lineRule="auto"/>
        <w:jc w:val="both"/>
        <w:rPr>
          <w:rFonts w:ascii="Arial" w:eastAsia="Arial Nova" w:hAnsi="Arial" w:cs="Arial"/>
          <w:sz w:val="22"/>
          <w:szCs w:val="22"/>
        </w:rPr>
      </w:pPr>
    </w:p>
    <w:p w14:paraId="632CD0E2" w14:textId="77777777" w:rsidR="00611061" w:rsidRPr="00D605BF" w:rsidRDefault="00611061" w:rsidP="00D605BF">
      <w:pPr>
        <w:spacing w:line="360" w:lineRule="auto"/>
        <w:jc w:val="both"/>
        <w:rPr>
          <w:rFonts w:ascii="Arial" w:eastAsia="Arial Nova" w:hAnsi="Arial" w:cs="Arial"/>
          <w:sz w:val="22"/>
          <w:szCs w:val="22"/>
        </w:rPr>
      </w:pPr>
    </w:p>
    <w:p w14:paraId="70B9F9C1" w14:textId="77777777" w:rsidR="00D605BF" w:rsidRPr="00611061" w:rsidRDefault="00D605BF" w:rsidP="00611061">
      <w:pPr>
        <w:spacing w:after="0" w:line="360" w:lineRule="auto"/>
        <w:jc w:val="both"/>
        <w:rPr>
          <w:rFonts w:ascii="Arial" w:eastAsia="Arial Nova" w:hAnsi="Arial" w:cs="Arial"/>
          <w:b/>
          <w:bCs/>
          <w:sz w:val="22"/>
          <w:szCs w:val="22"/>
        </w:rPr>
      </w:pPr>
      <w:r w:rsidRPr="00611061">
        <w:rPr>
          <w:rFonts w:ascii="Arial" w:eastAsia="Arial Nova" w:hAnsi="Arial" w:cs="Arial"/>
          <w:b/>
          <w:bCs/>
          <w:sz w:val="22"/>
          <w:szCs w:val="22"/>
        </w:rPr>
        <w:lastRenderedPageBreak/>
        <w:t>Task 3 - A Case Study of a UK Innovation</w:t>
      </w:r>
    </w:p>
    <w:p w14:paraId="29AF41B3" w14:textId="77777777" w:rsidR="00D605BF" w:rsidRPr="00611061" w:rsidRDefault="00D605BF" w:rsidP="00611061">
      <w:pPr>
        <w:spacing w:after="0" w:line="360" w:lineRule="auto"/>
        <w:jc w:val="both"/>
        <w:rPr>
          <w:rFonts w:ascii="Arial" w:eastAsia="Arial Nova" w:hAnsi="Arial" w:cs="Arial"/>
          <w:b/>
          <w:bCs/>
          <w:sz w:val="22"/>
          <w:szCs w:val="22"/>
        </w:rPr>
      </w:pPr>
      <w:r w:rsidRPr="00611061">
        <w:rPr>
          <w:rFonts w:ascii="Arial" w:eastAsia="Arial Nova" w:hAnsi="Arial" w:cs="Arial"/>
          <w:b/>
          <w:bCs/>
          <w:sz w:val="22"/>
          <w:szCs w:val="22"/>
        </w:rPr>
        <w:t>Case Study: NHS at Home (Remote Monitoring Innovation)</w:t>
      </w:r>
    </w:p>
    <w:p w14:paraId="73C0147B" w14:textId="3BD47ACC" w:rsidR="00D605BF" w:rsidRPr="00D605BF" w:rsidRDefault="00D605BF" w:rsidP="00D605BF">
      <w:pPr>
        <w:spacing w:line="360" w:lineRule="auto"/>
        <w:jc w:val="both"/>
        <w:rPr>
          <w:rFonts w:ascii="Arial" w:eastAsia="Arial Nova" w:hAnsi="Arial" w:cs="Arial"/>
          <w:sz w:val="22"/>
          <w:szCs w:val="22"/>
        </w:rPr>
      </w:pPr>
      <w:r w:rsidRPr="00D605BF">
        <w:rPr>
          <w:rFonts w:ascii="Arial" w:eastAsia="Arial Nova" w:hAnsi="Arial" w:cs="Arial"/>
          <w:sz w:val="22"/>
          <w:szCs w:val="22"/>
        </w:rPr>
        <w:t>The NHS at Home program is a key element of NHS health and social care innovation in the United Kingdom towards delivering care at home through digital monitoring technologies‚ as part of a broader NHS strategy moving away from hospital-centric models of healthcare towards community and preventative models of care (NHS England‚ 2023</w:t>
      </w:r>
      <w:r>
        <w:rPr>
          <w:rFonts w:ascii="Arial" w:eastAsia="Arial Nova" w:hAnsi="Arial" w:cs="Arial"/>
          <w:sz w:val="22"/>
          <w:szCs w:val="22"/>
        </w:rPr>
        <w:t>).</w:t>
      </w:r>
      <w:r w:rsidR="00611061">
        <w:rPr>
          <w:rFonts w:ascii="Arial" w:eastAsia="Arial Nova" w:hAnsi="Arial" w:cs="Arial"/>
          <w:sz w:val="22"/>
          <w:szCs w:val="22"/>
        </w:rPr>
        <w:t xml:space="preserve"> </w:t>
      </w:r>
      <w:r w:rsidRPr="00D605BF">
        <w:rPr>
          <w:rFonts w:ascii="Arial" w:eastAsia="Arial Nova" w:hAnsi="Arial" w:cs="Arial"/>
          <w:sz w:val="22"/>
          <w:szCs w:val="22"/>
        </w:rPr>
        <w:t>Innovation was an important aspect of NHS at Home‚ as the conventional model of care involved a patient visiting a healthcare location to receive care</w:t>
      </w:r>
      <w:r w:rsidRPr="00D605BF">
        <w:rPr>
          <w:rFonts w:ascii="MS Gothic" w:eastAsia="MS Gothic" w:hAnsi="MS Gothic" w:cs="MS Gothic" w:hint="eastAsia"/>
          <w:sz w:val="22"/>
          <w:szCs w:val="22"/>
        </w:rPr>
        <w:t>․</w:t>
      </w:r>
      <w:r w:rsidRPr="00D605BF">
        <w:rPr>
          <w:rFonts w:ascii="Arial" w:eastAsia="Arial Nova" w:hAnsi="Arial" w:cs="Arial"/>
          <w:sz w:val="22"/>
          <w:szCs w:val="22"/>
        </w:rPr>
        <w:t xml:space="preserve"> NHS at Home used home monitoring to check a person's vital signs‚ such as oxygen levels and heart rate‚ to allow clinicians to intervene before a person's health deteriorated</w:t>
      </w:r>
      <w:r w:rsidRPr="00D605BF">
        <w:rPr>
          <w:rFonts w:ascii="MS Gothic" w:eastAsia="MS Gothic" w:hAnsi="MS Gothic" w:cs="MS Gothic" w:hint="eastAsia"/>
          <w:sz w:val="22"/>
          <w:szCs w:val="22"/>
        </w:rPr>
        <w:t>․</w:t>
      </w:r>
      <w:r w:rsidRPr="00D605BF">
        <w:rPr>
          <w:rFonts w:ascii="Arial" w:eastAsia="Arial Nova" w:hAnsi="Arial" w:cs="Arial"/>
          <w:sz w:val="22"/>
          <w:szCs w:val="22"/>
        </w:rPr>
        <w:t xml:space="preserve"> It is‚ therefore‚ a creative re-configuration of pathways of care which challenges the notion that effective care must occur within hospital settings (Greenhalgh et al</w:t>
      </w:r>
      <w:r w:rsidRPr="00D605BF">
        <w:rPr>
          <w:rFonts w:ascii="MS Gothic" w:eastAsia="MS Gothic" w:hAnsi="MS Gothic" w:cs="MS Gothic" w:hint="eastAsia"/>
          <w:sz w:val="22"/>
          <w:szCs w:val="22"/>
        </w:rPr>
        <w:t>․</w:t>
      </w:r>
      <w:r w:rsidRPr="00D605BF">
        <w:rPr>
          <w:rFonts w:ascii="Arial" w:eastAsia="Arial Nova" w:hAnsi="Arial" w:cs="Arial"/>
          <w:sz w:val="22"/>
          <w:szCs w:val="22"/>
        </w:rPr>
        <w:t>‚ 2020</w:t>
      </w:r>
      <w:r>
        <w:rPr>
          <w:rFonts w:ascii="Arial" w:eastAsia="Arial Nova" w:hAnsi="Arial" w:cs="Arial"/>
          <w:sz w:val="22"/>
          <w:szCs w:val="22"/>
        </w:rPr>
        <w:t>).</w:t>
      </w:r>
    </w:p>
    <w:p w14:paraId="3973A364" w14:textId="2434CF15" w:rsidR="00D605BF" w:rsidRPr="00D605BF" w:rsidRDefault="00D605BF" w:rsidP="00D605BF">
      <w:pPr>
        <w:spacing w:line="360" w:lineRule="auto"/>
        <w:jc w:val="both"/>
        <w:rPr>
          <w:rFonts w:ascii="Arial" w:eastAsia="Arial Nova" w:hAnsi="Arial" w:cs="Arial"/>
          <w:sz w:val="22"/>
          <w:szCs w:val="22"/>
        </w:rPr>
      </w:pPr>
      <w:r w:rsidRPr="00D605BF">
        <w:rPr>
          <w:rFonts w:ascii="Arial" w:eastAsia="Arial Nova" w:hAnsi="Arial" w:cs="Arial"/>
          <w:sz w:val="22"/>
          <w:szCs w:val="22"/>
        </w:rPr>
        <w:t>For the patient‚ the innovation improves autonomy‚ comfort‚ and convenience of care from home‚ and lowers the risk of HCAIs</w:t>
      </w:r>
      <w:r w:rsidRPr="00D605BF">
        <w:rPr>
          <w:rFonts w:ascii="MS Gothic" w:eastAsia="MS Gothic" w:hAnsi="MS Gothic" w:cs="MS Gothic" w:hint="eastAsia"/>
          <w:sz w:val="22"/>
          <w:szCs w:val="22"/>
        </w:rPr>
        <w:t>․</w:t>
      </w:r>
      <w:r w:rsidRPr="00D605BF">
        <w:rPr>
          <w:rFonts w:ascii="Arial" w:eastAsia="Arial Nova" w:hAnsi="Arial" w:cs="Arial"/>
          <w:sz w:val="22"/>
          <w:szCs w:val="22"/>
        </w:rPr>
        <w:t xml:space="preserve"> From a system perspective‚ this innovation reduces hospitalisation‚ the burden on health services‚ and improves efficiency (Davenport and Kalakota 2019</w:t>
      </w:r>
      <w:r>
        <w:rPr>
          <w:rFonts w:ascii="Arial" w:eastAsia="Arial Nova" w:hAnsi="Arial" w:cs="Arial"/>
          <w:sz w:val="22"/>
          <w:szCs w:val="22"/>
        </w:rPr>
        <w:t>)</w:t>
      </w:r>
      <w:r w:rsidR="00611061">
        <w:rPr>
          <w:rFonts w:ascii="Arial" w:eastAsia="Arial Nova" w:hAnsi="Arial" w:cs="Arial"/>
          <w:sz w:val="22"/>
          <w:szCs w:val="22"/>
        </w:rPr>
        <w:t xml:space="preserve">. </w:t>
      </w:r>
      <w:r w:rsidRPr="00D605BF">
        <w:rPr>
          <w:rFonts w:ascii="Arial" w:eastAsia="Arial Nova" w:hAnsi="Arial" w:cs="Arial"/>
          <w:sz w:val="22"/>
          <w:szCs w:val="22"/>
        </w:rPr>
        <w:t>The digital divide is a disadvantage in that not all patients may have access to the technology or possess the requisite digital literacy skills (Saeed and Masters‚ 2021</w:t>
      </w:r>
      <w:r>
        <w:rPr>
          <w:rFonts w:ascii="Arial" w:eastAsia="Arial Nova" w:hAnsi="Arial" w:cs="Arial"/>
          <w:sz w:val="22"/>
          <w:szCs w:val="22"/>
        </w:rPr>
        <w:t>).</w:t>
      </w:r>
      <w:r w:rsidRPr="00D605BF">
        <w:rPr>
          <w:rFonts w:ascii="Arial" w:eastAsia="Arial Nova" w:hAnsi="Arial" w:cs="Arial"/>
          <w:sz w:val="22"/>
          <w:szCs w:val="22"/>
        </w:rPr>
        <w:t xml:space="preserve"> As an example of health inequities‚ older people and marginalised communities may be less likely to use or have access to these solutions‚ which can affect their health outcomes</w:t>
      </w:r>
      <w:r w:rsidRPr="00D605BF">
        <w:rPr>
          <w:rFonts w:ascii="MS Gothic" w:eastAsia="MS Gothic" w:hAnsi="MS Gothic" w:cs="MS Gothic" w:hint="eastAsia"/>
          <w:sz w:val="22"/>
          <w:szCs w:val="22"/>
        </w:rPr>
        <w:t>․</w:t>
      </w:r>
      <w:r w:rsidRPr="00D605BF">
        <w:rPr>
          <w:rFonts w:ascii="Arial" w:eastAsia="Arial Nova" w:hAnsi="Arial" w:cs="Arial"/>
          <w:sz w:val="22"/>
          <w:szCs w:val="22"/>
        </w:rPr>
        <w:t xml:space="preserve"> There are also concerns regarding data privacy and cyber threats (Keshta and Odeh‚ 2021</w:t>
      </w:r>
      <w:r>
        <w:rPr>
          <w:rFonts w:ascii="Arial" w:eastAsia="Arial Nova" w:hAnsi="Arial" w:cs="Arial"/>
          <w:sz w:val="22"/>
          <w:szCs w:val="22"/>
        </w:rPr>
        <w:t>).</w:t>
      </w:r>
    </w:p>
    <w:p w14:paraId="2A9244C6" w14:textId="158F4F52" w:rsidR="00D605BF" w:rsidRPr="00D605BF" w:rsidRDefault="00D605BF" w:rsidP="00D605BF">
      <w:pPr>
        <w:spacing w:line="360" w:lineRule="auto"/>
        <w:jc w:val="both"/>
        <w:rPr>
          <w:rFonts w:ascii="Arial" w:eastAsia="Arial Nova" w:hAnsi="Arial" w:cs="Arial"/>
          <w:sz w:val="22"/>
          <w:szCs w:val="22"/>
        </w:rPr>
      </w:pPr>
      <w:r w:rsidRPr="00D605BF">
        <w:rPr>
          <w:rFonts w:ascii="Arial" w:eastAsia="Arial Nova" w:hAnsi="Arial" w:cs="Arial"/>
          <w:sz w:val="22"/>
          <w:szCs w:val="22"/>
        </w:rPr>
        <w:t>Although NHS at Home has strong potential for value generation‚ the innovation must meet criteria of ensuring equitable access‚ training and IT infrastructure otherwise it risks securing inequalities rather than reducing them</w:t>
      </w:r>
      <w:r w:rsidR="00611061">
        <w:rPr>
          <w:rFonts w:ascii="MS Gothic" w:eastAsia="MS Gothic" w:hAnsi="MS Gothic" w:cs="MS Gothic"/>
          <w:sz w:val="22"/>
          <w:szCs w:val="22"/>
          <w:lang w:val="en-US"/>
        </w:rPr>
        <w:t xml:space="preserve">. </w:t>
      </w:r>
      <w:r w:rsidRPr="00D605BF">
        <w:rPr>
          <w:rFonts w:ascii="Arial" w:eastAsia="Arial Nova" w:hAnsi="Arial" w:cs="Arial"/>
          <w:sz w:val="22"/>
          <w:szCs w:val="22"/>
        </w:rPr>
        <w:t>Overall‚ the NHS at Home program shows how creativity can be used to drive innovation and value in health and social care‚ and it highlights the importance of continuous evaluation and adaptation to ensure success over the long term</w:t>
      </w:r>
      <w:r w:rsidRPr="00D605BF">
        <w:rPr>
          <w:rFonts w:ascii="MS Gothic" w:eastAsia="MS Gothic" w:hAnsi="MS Gothic" w:cs="MS Gothic" w:hint="eastAsia"/>
          <w:sz w:val="22"/>
          <w:szCs w:val="22"/>
        </w:rPr>
        <w:t>․</w:t>
      </w:r>
    </w:p>
    <w:p w14:paraId="48652ADC" w14:textId="77777777" w:rsidR="00D605BF" w:rsidRPr="00D605BF" w:rsidRDefault="00D605BF" w:rsidP="00D605BF">
      <w:pPr>
        <w:spacing w:line="360" w:lineRule="auto"/>
        <w:jc w:val="both"/>
        <w:rPr>
          <w:rFonts w:ascii="Arial" w:eastAsia="Arial Nova" w:hAnsi="Arial" w:cs="Arial"/>
          <w:sz w:val="22"/>
          <w:szCs w:val="22"/>
        </w:rPr>
      </w:pPr>
    </w:p>
    <w:p w14:paraId="5490F260" w14:textId="77777777" w:rsidR="00611061" w:rsidRDefault="00611061" w:rsidP="00D605BF">
      <w:pPr>
        <w:spacing w:line="360" w:lineRule="auto"/>
        <w:jc w:val="both"/>
        <w:rPr>
          <w:rFonts w:ascii="Arial" w:eastAsia="Arial Nova" w:hAnsi="Arial" w:cs="Arial"/>
          <w:sz w:val="22"/>
          <w:szCs w:val="22"/>
        </w:rPr>
      </w:pPr>
    </w:p>
    <w:p w14:paraId="755BCCED" w14:textId="77777777" w:rsidR="00611061" w:rsidRDefault="00611061" w:rsidP="00D605BF">
      <w:pPr>
        <w:spacing w:line="360" w:lineRule="auto"/>
        <w:jc w:val="both"/>
        <w:rPr>
          <w:rFonts w:ascii="Arial" w:eastAsia="Arial Nova" w:hAnsi="Arial" w:cs="Arial"/>
          <w:sz w:val="22"/>
          <w:szCs w:val="22"/>
        </w:rPr>
      </w:pPr>
    </w:p>
    <w:p w14:paraId="4BE31408" w14:textId="77777777" w:rsidR="00611061" w:rsidRDefault="00611061" w:rsidP="00D605BF">
      <w:pPr>
        <w:spacing w:line="360" w:lineRule="auto"/>
        <w:jc w:val="both"/>
        <w:rPr>
          <w:rFonts w:ascii="Arial" w:eastAsia="Arial Nova" w:hAnsi="Arial" w:cs="Arial"/>
          <w:sz w:val="22"/>
          <w:szCs w:val="22"/>
        </w:rPr>
      </w:pPr>
    </w:p>
    <w:p w14:paraId="2E3408E0" w14:textId="77777777" w:rsidR="00611061" w:rsidRDefault="00611061" w:rsidP="00D605BF">
      <w:pPr>
        <w:spacing w:line="360" w:lineRule="auto"/>
        <w:jc w:val="both"/>
        <w:rPr>
          <w:rFonts w:ascii="Arial" w:eastAsia="Arial Nova" w:hAnsi="Arial" w:cs="Arial"/>
          <w:sz w:val="22"/>
          <w:szCs w:val="22"/>
        </w:rPr>
      </w:pPr>
    </w:p>
    <w:p w14:paraId="07039D40" w14:textId="77777777" w:rsidR="00611061" w:rsidRDefault="00611061" w:rsidP="00D605BF">
      <w:pPr>
        <w:spacing w:line="360" w:lineRule="auto"/>
        <w:jc w:val="both"/>
        <w:rPr>
          <w:rFonts w:ascii="Arial" w:eastAsia="Arial Nova" w:hAnsi="Arial" w:cs="Arial"/>
          <w:sz w:val="22"/>
          <w:szCs w:val="22"/>
        </w:rPr>
      </w:pPr>
    </w:p>
    <w:p w14:paraId="6C2A05F9" w14:textId="1D454F65" w:rsidR="00D605BF" w:rsidRPr="00611061" w:rsidRDefault="00D605BF" w:rsidP="00611061">
      <w:pPr>
        <w:spacing w:after="0" w:line="360" w:lineRule="auto"/>
        <w:jc w:val="both"/>
        <w:rPr>
          <w:rFonts w:ascii="Arial" w:eastAsia="Arial Nova" w:hAnsi="Arial" w:cs="Arial"/>
          <w:b/>
          <w:bCs/>
          <w:sz w:val="22"/>
          <w:szCs w:val="22"/>
        </w:rPr>
      </w:pPr>
      <w:r w:rsidRPr="00611061">
        <w:rPr>
          <w:rFonts w:ascii="Arial" w:eastAsia="Arial Nova" w:hAnsi="Arial" w:cs="Arial"/>
          <w:b/>
          <w:bCs/>
          <w:sz w:val="22"/>
          <w:szCs w:val="22"/>
        </w:rPr>
        <w:lastRenderedPageBreak/>
        <w:t>Task 4 - Research Task</w:t>
      </w:r>
    </w:p>
    <w:p w14:paraId="2334094F" w14:textId="77777777" w:rsidR="00D605BF" w:rsidRPr="00611061" w:rsidRDefault="00D605BF" w:rsidP="00611061">
      <w:pPr>
        <w:spacing w:after="0" w:line="360" w:lineRule="auto"/>
        <w:jc w:val="both"/>
        <w:rPr>
          <w:rFonts w:ascii="Arial" w:eastAsia="Arial Nova" w:hAnsi="Arial" w:cs="Arial"/>
          <w:b/>
          <w:bCs/>
          <w:sz w:val="22"/>
          <w:szCs w:val="22"/>
        </w:rPr>
      </w:pPr>
      <w:r w:rsidRPr="00611061">
        <w:rPr>
          <w:rFonts w:ascii="Arial" w:eastAsia="Arial Nova" w:hAnsi="Arial" w:cs="Arial"/>
          <w:b/>
          <w:bCs/>
          <w:sz w:val="22"/>
          <w:szCs w:val="22"/>
        </w:rPr>
        <w:t>Root Causes of Health Inequity Related to Health Care Access</w:t>
      </w:r>
    </w:p>
    <w:p w14:paraId="615510D7" w14:textId="236CEE03" w:rsidR="00D605BF" w:rsidRPr="00D605BF" w:rsidRDefault="00D605BF" w:rsidP="00D605BF">
      <w:pPr>
        <w:spacing w:line="360" w:lineRule="auto"/>
        <w:jc w:val="both"/>
        <w:rPr>
          <w:rFonts w:ascii="Arial" w:eastAsia="Arial Nova" w:hAnsi="Arial" w:cs="Arial"/>
          <w:sz w:val="22"/>
          <w:szCs w:val="22"/>
        </w:rPr>
      </w:pPr>
      <w:r w:rsidRPr="00D605BF">
        <w:rPr>
          <w:rFonts w:ascii="Arial" w:eastAsia="Arial Nova" w:hAnsi="Arial" w:cs="Arial"/>
          <w:sz w:val="22"/>
          <w:szCs w:val="22"/>
        </w:rPr>
        <w:t>Health inequalities are consistently found in health and social care and in the uptake of health and social care services by vulnerable groups‚ which may be driven by socio-economic and structural factors</w:t>
      </w:r>
      <w:r w:rsidR="00611061">
        <w:rPr>
          <w:rFonts w:ascii="MS Gothic" w:eastAsia="MS Gothic" w:hAnsi="MS Gothic" w:cs="MS Gothic"/>
          <w:sz w:val="22"/>
          <w:szCs w:val="22"/>
          <w:lang w:val="en-US"/>
        </w:rPr>
        <w:t xml:space="preserve">. </w:t>
      </w:r>
      <w:r w:rsidRPr="00D605BF">
        <w:rPr>
          <w:rFonts w:ascii="Arial" w:eastAsia="Arial Nova" w:hAnsi="Arial" w:cs="Arial"/>
          <w:sz w:val="22"/>
          <w:szCs w:val="22"/>
        </w:rPr>
        <w:t>According to Marmot et al</w:t>
      </w:r>
      <w:r w:rsidRPr="00D605BF">
        <w:rPr>
          <w:rFonts w:ascii="MS Gothic" w:eastAsia="MS Gothic" w:hAnsi="MS Gothic" w:cs="MS Gothic" w:hint="eastAsia"/>
          <w:sz w:val="22"/>
          <w:szCs w:val="22"/>
        </w:rPr>
        <w:t>․</w:t>
      </w:r>
      <w:r w:rsidRPr="00D605BF">
        <w:rPr>
          <w:rFonts w:ascii="Arial" w:eastAsia="Arial Nova" w:hAnsi="Arial" w:cs="Arial"/>
          <w:sz w:val="22"/>
          <w:szCs w:val="22"/>
        </w:rPr>
        <w:t xml:space="preserve"> (2020)‚ socio-economic status is a key driver of health outcome and health care access</w:t>
      </w:r>
      <w:r w:rsidRPr="00D605BF">
        <w:rPr>
          <w:rFonts w:ascii="MS Gothic" w:eastAsia="MS Gothic" w:hAnsi="MS Gothic" w:cs="MS Gothic" w:hint="eastAsia"/>
          <w:sz w:val="22"/>
          <w:szCs w:val="22"/>
        </w:rPr>
        <w:t>․</w:t>
      </w:r>
      <w:r w:rsidRPr="00D605BF">
        <w:rPr>
          <w:rFonts w:ascii="Arial" w:eastAsia="Arial Nova" w:hAnsi="Arial" w:cs="Arial"/>
          <w:sz w:val="22"/>
          <w:szCs w:val="22"/>
        </w:rPr>
        <w:t xml:space="preserve"> Those of lower socio-economic status are at risk of financial hardship‚ facing difficulties accessing medical facilities‚ and poorer housing conditions</w:t>
      </w:r>
      <w:r w:rsidRPr="00D605BF">
        <w:rPr>
          <w:rFonts w:ascii="MS Gothic" w:eastAsia="MS Gothic" w:hAnsi="MS Gothic" w:cs="MS Gothic" w:hint="eastAsia"/>
          <w:sz w:val="22"/>
          <w:szCs w:val="22"/>
        </w:rPr>
        <w:t>․</w:t>
      </w:r>
      <w:r w:rsidRPr="00D605BF">
        <w:rPr>
          <w:rFonts w:ascii="Arial" w:eastAsia="Arial Nova" w:hAnsi="Arial" w:cs="Arial"/>
          <w:sz w:val="22"/>
          <w:szCs w:val="22"/>
        </w:rPr>
        <w:t xml:space="preserve"> All of these result in delays in seeking treatment‚ higher rates of disease‚ and higher mortality</w:t>
      </w:r>
      <w:r w:rsidRPr="00D605BF">
        <w:rPr>
          <w:rFonts w:ascii="MS Gothic" w:eastAsia="MS Gothic" w:hAnsi="MS Gothic" w:cs="MS Gothic" w:hint="eastAsia"/>
          <w:sz w:val="22"/>
          <w:szCs w:val="22"/>
        </w:rPr>
        <w:t>․</w:t>
      </w:r>
      <w:r w:rsidRPr="00D605BF">
        <w:rPr>
          <w:rFonts w:ascii="Arial" w:eastAsia="Arial Nova" w:hAnsi="Arial" w:cs="Arial"/>
          <w:sz w:val="22"/>
          <w:szCs w:val="22"/>
        </w:rPr>
        <w:t xml:space="preserve"> The authors state that social determinants of inequality include education‚ employment‚ and housing</w:t>
      </w:r>
      <w:r w:rsidRPr="00D605BF">
        <w:rPr>
          <w:rFonts w:ascii="MS Gothic" w:eastAsia="MS Gothic" w:hAnsi="MS Gothic" w:cs="MS Gothic" w:hint="eastAsia"/>
          <w:sz w:val="22"/>
          <w:szCs w:val="22"/>
        </w:rPr>
        <w:t>․</w:t>
      </w:r>
    </w:p>
    <w:p w14:paraId="1773EDC9" w14:textId="05A2CE27" w:rsidR="00D605BF" w:rsidRPr="00D605BF" w:rsidRDefault="00D605BF" w:rsidP="00D605BF">
      <w:pPr>
        <w:spacing w:line="360" w:lineRule="auto"/>
        <w:jc w:val="both"/>
        <w:rPr>
          <w:rFonts w:ascii="Arial" w:eastAsia="Arial Nova" w:hAnsi="Arial" w:cs="Arial"/>
          <w:sz w:val="22"/>
          <w:szCs w:val="22"/>
        </w:rPr>
      </w:pPr>
      <w:r w:rsidRPr="00D605BF">
        <w:rPr>
          <w:rFonts w:ascii="Arial" w:eastAsia="Arial Nova" w:hAnsi="Arial" w:cs="Arial"/>
          <w:sz w:val="22"/>
          <w:szCs w:val="22"/>
        </w:rPr>
        <w:t>Bambra et al</w:t>
      </w:r>
      <w:r w:rsidRPr="00D605BF">
        <w:rPr>
          <w:rFonts w:ascii="MS Gothic" w:eastAsia="MS Gothic" w:hAnsi="MS Gothic" w:cs="MS Gothic" w:hint="eastAsia"/>
          <w:sz w:val="22"/>
          <w:szCs w:val="22"/>
        </w:rPr>
        <w:t>․</w:t>
      </w:r>
      <w:r w:rsidRPr="00D605BF">
        <w:rPr>
          <w:rFonts w:ascii="Arial" w:eastAsia="Arial Nova" w:hAnsi="Arial" w:cs="Arial"/>
          <w:sz w:val="22"/>
          <w:szCs w:val="22"/>
        </w:rPr>
        <w:t xml:space="preserve"> (2021) have also argued structural inequalities are present in healthcare systems</w:t>
      </w:r>
      <w:r w:rsidR="00611061">
        <w:rPr>
          <w:rFonts w:ascii="MS Gothic" w:eastAsia="MS Gothic" w:hAnsi="MS Gothic" w:cs="MS Gothic"/>
          <w:sz w:val="22"/>
          <w:szCs w:val="22"/>
          <w:lang w:val="en-US"/>
        </w:rPr>
        <w:t xml:space="preserve">. </w:t>
      </w:r>
      <w:r w:rsidRPr="00D605BF">
        <w:rPr>
          <w:rFonts w:ascii="Arial" w:eastAsia="Arial Nova" w:hAnsi="Arial" w:cs="Arial"/>
          <w:sz w:val="22"/>
          <w:szCs w:val="22"/>
        </w:rPr>
        <w:t xml:space="preserve">For </w:t>
      </w:r>
      <w:r w:rsidR="00611061" w:rsidRPr="00D605BF">
        <w:rPr>
          <w:rFonts w:ascii="Arial" w:eastAsia="Arial Nova" w:hAnsi="Arial" w:cs="Arial"/>
          <w:sz w:val="22"/>
          <w:szCs w:val="22"/>
        </w:rPr>
        <w:t>example,</w:t>
      </w:r>
      <w:r w:rsidRPr="00D605BF">
        <w:rPr>
          <w:rFonts w:ascii="Arial" w:eastAsia="Arial Nova" w:hAnsi="Arial" w:cs="Arial"/>
          <w:sz w:val="22"/>
          <w:szCs w:val="22"/>
        </w:rPr>
        <w:t xml:space="preserve"> people from ethnic minorities and people who live in deprived areas may encounter barriers to healthcare‚ discrimination‚ lack of culturally appropriate healthcare services‚ and inequalities in the allocation of healthcare resources and services‚ which all contribute to inequalities in access‚ experience‚ and outcomes in healthcare</w:t>
      </w:r>
      <w:r w:rsidRPr="00D605BF">
        <w:rPr>
          <w:rFonts w:ascii="MS Gothic" w:eastAsia="MS Gothic" w:hAnsi="MS Gothic" w:cs="MS Gothic" w:hint="eastAsia"/>
          <w:sz w:val="22"/>
          <w:szCs w:val="22"/>
        </w:rPr>
        <w:t>․</w:t>
      </w:r>
    </w:p>
    <w:p w14:paraId="2B53BF9E" w14:textId="599590B1" w:rsidR="004233F6" w:rsidRPr="00611061" w:rsidRDefault="00D605BF" w:rsidP="00D605BF">
      <w:pPr>
        <w:spacing w:line="360" w:lineRule="auto"/>
        <w:jc w:val="both"/>
        <w:rPr>
          <w:rFonts w:ascii="Arial" w:eastAsia="Arial Nova" w:hAnsi="Arial" w:cs="Arial"/>
          <w:sz w:val="22"/>
          <w:szCs w:val="22"/>
        </w:rPr>
      </w:pPr>
      <w:r w:rsidRPr="00D605BF">
        <w:rPr>
          <w:rFonts w:ascii="Arial" w:eastAsia="Arial Nova" w:hAnsi="Arial" w:cs="Arial"/>
          <w:sz w:val="22"/>
          <w:szCs w:val="22"/>
        </w:rPr>
        <w:t>While both studies highlighted the role of socio-economic factors‚ Bambra et al</w:t>
      </w:r>
      <w:r w:rsidRPr="00D605BF">
        <w:rPr>
          <w:rFonts w:ascii="MS Gothic" w:eastAsia="MS Gothic" w:hAnsi="MS Gothic" w:cs="MS Gothic" w:hint="eastAsia"/>
          <w:sz w:val="22"/>
          <w:szCs w:val="22"/>
        </w:rPr>
        <w:t>․</w:t>
      </w:r>
      <w:r w:rsidRPr="00D605BF">
        <w:rPr>
          <w:rFonts w:ascii="Arial" w:eastAsia="Arial Nova" w:hAnsi="Arial" w:cs="Arial"/>
          <w:sz w:val="22"/>
          <w:szCs w:val="22"/>
        </w:rPr>
        <w:t xml:space="preserve"> (2021) give more emphasis to institutional and structural forms of disadvantage while Marmot et al</w:t>
      </w:r>
      <w:r w:rsidRPr="00D605BF">
        <w:rPr>
          <w:rFonts w:ascii="MS Gothic" w:eastAsia="MS Gothic" w:hAnsi="MS Gothic" w:cs="MS Gothic" w:hint="eastAsia"/>
          <w:sz w:val="22"/>
          <w:szCs w:val="22"/>
        </w:rPr>
        <w:t>․</w:t>
      </w:r>
      <w:r w:rsidRPr="00D605BF">
        <w:rPr>
          <w:rFonts w:ascii="Arial" w:eastAsia="Arial Nova" w:hAnsi="Arial" w:cs="Arial"/>
          <w:sz w:val="22"/>
          <w:szCs w:val="22"/>
        </w:rPr>
        <w:t xml:space="preserve"> (2020) cover a wider range of social determinants</w:t>
      </w:r>
      <w:r w:rsidRPr="00D605BF">
        <w:rPr>
          <w:rFonts w:ascii="MS Gothic" w:eastAsia="MS Gothic" w:hAnsi="MS Gothic" w:cs="MS Gothic" w:hint="eastAsia"/>
          <w:sz w:val="22"/>
          <w:szCs w:val="22"/>
        </w:rPr>
        <w:t>․</w:t>
      </w:r>
      <w:r w:rsidRPr="00D605BF">
        <w:rPr>
          <w:rFonts w:ascii="Arial" w:eastAsia="Arial Nova" w:hAnsi="Arial" w:cs="Arial"/>
          <w:sz w:val="22"/>
          <w:szCs w:val="22"/>
        </w:rPr>
        <w:t xml:space="preserve"> A multi-faceted approach to addressing health inequality‚ including both individual and structural factors‚ is required</w:t>
      </w:r>
      <w:r w:rsidR="00611061">
        <w:rPr>
          <w:rFonts w:ascii="MS Gothic" w:eastAsia="MS Gothic" w:hAnsi="MS Gothic" w:cs="MS Gothic"/>
          <w:sz w:val="22"/>
          <w:szCs w:val="22"/>
          <w:lang w:val="en-US"/>
        </w:rPr>
        <w:t xml:space="preserve">. </w:t>
      </w:r>
      <w:r w:rsidRPr="00D605BF">
        <w:rPr>
          <w:rFonts w:ascii="Arial" w:eastAsia="Arial Nova" w:hAnsi="Arial" w:cs="Arial"/>
          <w:sz w:val="22"/>
          <w:szCs w:val="22"/>
        </w:rPr>
        <w:t>Such evidence highlights the need for health and social care interventions that take a thorough approach to health inequalities‚ addressing not only the consequences but also the social determinants that underlie them</w:t>
      </w:r>
      <w:r w:rsidRPr="00D605BF">
        <w:rPr>
          <w:rFonts w:ascii="MS Gothic" w:eastAsia="MS Gothic" w:hAnsi="MS Gothic" w:cs="MS Gothic" w:hint="eastAsia"/>
          <w:sz w:val="22"/>
          <w:szCs w:val="22"/>
        </w:rPr>
        <w:t>․</w:t>
      </w:r>
      <w:r w:rsidRPr="00D605BF">
        <w:rPr>
          <w:rFonts w:ascii="Arial" w:eastAsia="Arial Nova" w:hAnsi="Arial" w:cs="Arial"/>
          <w:sz w:val="22"/>
          <w:szCs w:val="22"/>
        </w:rPr>
        <w:t xml:space="preserve"> This requires integrated approaches that engage with social policy considerations‚ focused actions‚ and service redesign to ensure equitable access to care (WHO‚ 2023</w:t>
      </w:r>
      <w:r>
        <w:rPr>
          <w:rFonts w:ascii="Arial" w:eastAsia="Arial Nova" w:hAnsi="Arial" w:cs="Arial"/>
          <w:sz w:val="22"/>
          <w:szCs w:val="22"/>
        </w:rPr>
        <w:t>).</w:t>
      </w:r>
    </w:p>
    <w:p w14:paraId="645D0F91" w14:textId="77777777" w:rsidR="00D605BF" w:rsidRPr="00D605BF" w:rsidRDefault="00D605BF" w:rsidP="00D605BF">
      <w:pPr>
        <w:spacing w:line="360" w:lineRule="auto"/>
        <w:jc w:val="both"/>
        <w:rPr>
          <w:rFonts w:ascii="Arial" w:eastAsia="Arial Nova" w:hAnsi="Arial" w:cs="Arial"/>
          <w:sz w:val="22"/>
          <w:szCs w:val="22"/>
          <w:lang w:val="en-US"/>
        </w:rPr>
      </w:pPr>
    </w:p>
    <w:p w14:paraId="028944D0" w14:textId="77777777" w:rsidR="00611061" w:rsidRDefault="00611061" w:rsidP="004233F6">
      <w:pPr>
        <w:spacing w:line="360" w:lineRule="auto"/>
        <w:jc w:val="both"/>
        <w:rPr>
          <w:rFonts w:ascii="Arial" w:eastAsia="Arial Nova" w:hAnsi="Arial" w:cs="Arial"/>
          <w:b/>
          <w:bCs/>
          <w:sz w:val="22"/>
          <w:szCs w:val="22"/>
        </w:rPr>
      </w:pPr>
    </w:p>
    <w:p w14:paraId="103D7F5A" w14:textId="77777777" w:rsidR="00611061" w:rsidRDefault="00611061" w:rsidP="004233F6">
      <w:pPr>
        <w:spacing w:line="360" w:lineRule="auto"/>
        <w:jc w:val="both"/>
        <w:rPr>
          <w:rFonts w:ascii="Arial" w:eastAsia="Arial Nova" w:hAnsi="Arial" w:cs="Arial"/>
          <w:b/>
          <w:bCs/>
          <w:sz w:val="22"/>
          <w:szCs w:val="22"/>
        </w:rPr>
      </w:pPr>
    </w:p>
    <w:p w14:paraId="3DEDDA3A" w14:textId="77777777" w:rsidR="00611061" w:rsidRDefault="00611061" w:rsidP="004233F6">
      <w:pPr>
        <w:spacing w:line="360" w:lineRule="auto"/>
        <w:jc w:val="both"/>
        <w:rPr>
          <w:rFonts w:ascii="Arial" w:eastAsia="Arial Nova" w:hAnsi="Arial" w:cs="Arial"/>
          <w:b/>
          <w:bCs/>
          <w:sz w:val="22"/>
          <w:szCs w:val="22"/>
        </w:rPr>
      </w:pPr>
    </w:p>
    <w:p w14:paraId="03D50C75" w14:textId="77777777" w:rsidR="00611061" w:rsidRDefault="00611061" w:rsidP="004233F6">
      <w:pPr>
        <w:spacing w:line="360" w:lineRule="auto"/>
        <w:jc w:val="both"/>
        <w:rPr>
          <w:rFonts w:ascii="Arial" w:eastAsia="Arial Nova" w:hAnsi="Arial" w:cs="Arial"/>
          <w:b/>
          <w:bCs/>
          <w:sz w:val="22"/>
          <w:szCs w:val="22"/>
        </w:rPr>
      </w:pPr>
    </w:p>
    <w:p w14:paraId="3484EDAA" w14:textId="77777777" w:rsidR="00611061" w:rsidRDefault="00611061" w:rsidP="004233F6">
      <w:pPr>
        <w:spacing w:line="360" w:lineRule="auto"/>
        <w:jc w:val="both"/>
        <w:rPr>
          <w:rFonts w:ascii="Arial" w:eastAsia="Arial Nova" w:hAnsi="Arial" w:cs="Arial"/>
          <w:b/>
          <w:bCs/>
          <w:sz w:val="22"/>
          <w:szCs w:val="22"/>
        </w:rPr>
      </w:pPr>
    </w:p>
    <w:p w14:paraId="20DCEA07" w14:textId="1F4BA851" w:rsidR="004233F6" w:rsidRPr="004233F6" w:rsidRDefault="004233F6" w:rsidP="004233F6">
      <w:pPr>
        <w:spacing w:line="360" w:lineRule="auto"/>
        <w:jc w:val="both"/>
        <w:rPr>
          <w:rFonts w:ascii="Arial" w:eastAsia="Arial Nova" w:hAnsi="Arial" w:cs="Arial"/>
          <w:b/>
          <w:bCs/>
          <w:sz w:val="22"/>
          <w:szCs w:val="22"/>
        </w:rPr>
      </w:pPr>
      <w:r w:rsidRPr="004233F6">
        <w:rPr>
          <w:rFonts w:ascii="Arial" w:eastAsia="Arial Nova" w:hAnsi="Arial" w:cs="Arial"/>
          <w:b/>
          <w:bCs/>
          <w:sz w:val="22"/>
          <w:szCs w:val="22"/>
        </w:rPr>
        <w:lastRenderedPageBreak/>
        <w:t xml:space="preserve">Task 5 – Podcast Script </w:t>
      </w:r>
    </w:p>
    <w:p w14:paraId="40550A1E" w14:textId="66022BE4" w:rsidR="004233F6" w:rsidRDefault="00C058E8" w:rsidP="004233F6">
      <w:pPr>
        <w:spacing w:line="360" w:lineRule="auto"/>
        <w:jc w:val="both"/>
        <w:rPr>
          <w:rFonts w:ascii="Arial" w:eastAsia="Arial Nova" w:hAnsi="Arial" w:cs="Arial"/>
          <w:sz w:val="22"/>
          <w:szCs w:val="22"/>
        </w:rPr>
      </w:pPr>
      <w:r>
        <w:rPr>
          <w:rFonts w:ascii="Arial" w:eastAsia="Arial Nova" w:hAnsi="Arial" w:cs="Arial"/>
          <w:sz w:val="22"/>
          <w:szCs w:val="22"/>
        </w:rPr>
        <w:object w:dxaOrig="1508" w:dyaOrig="984" w14:anchorId="64348FE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pt" o:ole="">
            <v:imagedata r:id="rId9" o:title=""/>
          </v:shape>
          <o:OLEObject Type="Embed" ProgID="Package" ShapeID="_x0000_i1025" DrawAspect="Icon" ObjectID="_1835942934" r:id="rId10"/>
        </w:object>
      </w:r>
    </w:p>
    <w:p w14:paraId="584097B4" w14:textId="77777777" w:rsidR="00611061" w:rsidRDefault="00611061" w:rsidP="00D605BF">
      <w:pPr>
        <w:spacing w:line="360" w:lineRule="auto"/>
        <w:jc w:val="both"/>
        <w:rPr>
          <w:rFonts w:ascii="Arial" w:eastAsia="Arial Nova" w:hAnsi="Arial" w:cs="Arial"/>
          <w:sz w:val="22"/>
          <w:szCs w:val="22"/>
        </w:rPr>
      </w:pPr>
    </w:p>
    <w:p w14:paraId="08A2F5FC" w14:textId="77777777" w:rsidR="00611061" w:rsidRDefault="00611061" w:rsidP="00D605BF">
      <w:pPr>
        <w:spacing w:line="360" w:lineRule="auto"/>
        <w:jc w:val="both"/>
        <w:rPr>
          <w:rFonts w:ascii="Arial" w:eastAsia="Arial Nova" w:hAnsi="Arial" w:cs="Arial"/>
          <w:sz w:val="22"/>
          <w:szCs w:val="22"/>
        </w:rPr>
      </w:pPr>
    </w:p>
    <w:p w14:paraId="5AE35B3B" w14:textId="77777777" w:rsidR="00611061" w:rsidRDefault="00611061" w:rsidP="00D605BF">
      <w:pPr>
        <w:spacing w:line="360" w:lineRule="auto"/>
        <w:jc w:val="both"/>
        <w:rPr>
          <w:rFonts w:ascii="Arial" w:eastAsia="Arial Nova" w:hAnsi="Arial" w:cs="Arial"/>
          <w:sz w:val="22"/>
          <w:szCs w:val="22"/>
        </w:rPr>
      </w:pPr>
    </w:p>
    <w:p w14:paraId="487F719D" w14:textId="77777777" w:rsidR="00611061" w:rsidRDefault="00611061" w:rsidP="00D605BF">
      <w:pPr>
        <w:spacing w:line="360" w:lineRule="auto"/>
        <w:jc w:val="both"/>
        <w:rPr>
          <w:rFonts w:ascii="Arial" w:eastAsia="Arial Nova" w:hAnsi="Arial" w:cs="Arial"/>
          <w:sz w:val="22"/>
          <w:szCs w:val="22"/>
        </w:rPr>
      </w:pPr>
    </w:p>
    <w:p w14:paraId="1661CEA7" w14:textId="5F2FD15B" w:rsidR="00D605BF" w:rsidRPr="00226F04" w:rsidRDefault="00D605BF" w:rsidP="00226F04">
      <w:pPr>
        <w:spacing w:after="0" w:line="360" w:lineRule="auto"/>
        <w:jc w:val="both"/>
        <w:rPr>
          <w:rFonts w:ascii="Arial" w:eastAsia="Arial Nova" w:hAnsi="Arial" w:cs="Arial"/>
          <w:b/>
          <w:bCs/>
          <w:sz w:val="22"/>
          <w:szCs w:val="22"/>
        </w:rPr>
      </w:pPr>
      <w:r w:rsidRPr="00226F04">
        <w:rPr>
          <w:rFonts w:ascii="Arial" w:eastAsia="Arial Nova" w:hAnsi="Arial" w:cs="Arial"/>
          <w:b/>
          <w:bCs/>
          <w:sz w:val="22"/>
          <w:szCs w:val="22"/>
        </w:rPr>
        <w:t>Task 6 - Reviewing the NHS leadership framework</w:t>
      </w:r>
      <w:r w:rsidRPr="00226F04">
        <w:rPr>
          <w:rFonts w:ascii="MS Gothic" w:eastAsia="MS Gothic" w:hAnsi="MS Gothic" w:cs="MS Gothic" w:hint="eastAsia"/>
          <w:b/>
          <w:bCs/>
          <w:sz w:val="22"/>
          <w:szCs w:val="22"/>
        </w:rPr>
        <w:t>․</w:t>
      </w:r>
    </w:p>
    <w:p w14:paraId="414187C1" w14:textId="0BA38306" w:rsidR="00D605BF" w:rsidRPr="00D605BF" w:rsidRDefault="00D605BF" w:rsidP="00D605BF">
      <w:pPr>
        <w:spacing w:line="360" w:lineRule="auto"/>
        <w:jc w:val="both"/>
        <w:rPr>
          <w:rFonts w:ascii="Arial" w:eastAsia="Arial Nova" w:hAnsi="Arial" w:cs="Arial"/>
          <w:sz w:val="22"/>
          <w:szCs w:val="22"/>
        </w:rPr>
      </w:pPr>
      <w:r w:rsidRPr="00D605BF">
        <w:rPr>
          <w:rFonts w:ascii="Arial" w:eastAsia="Arial Nova" w:hAnsi="Arial" w:cs="Arial"/>
          <w:sz w:val="22"/>
          <w:szCs w:val="22"/>
        </w:rPr>
        <w:t>The NHS Leadership Framework defines the behaviour and competencies required to provide effective healthcare leadership</w:t>
      </w:r>
      <w:r w:rsidRPr="00D605BF">
        <w:rPr>
          <w:rFonts w:ascii="MS Gothic" w:eastAsia="MS Gothic" w:hAnsi="MS Gothic" w:cs="MS Gothic" w:hint="eastAsia"/>
          <w:sz w:val="22"/>
          <w:szCs w:val="22"/>
        </w:rPr>
        <w:t>․</w:t>
      </w:r>
      <w:r w:rsidRPr="00D605BF">
        <w:rPr>
          <w:rFonts w:ascii="Arial" w:eastAsia="Arial Nova" w:hAnsi="Arial" w:cs="Arial"/>
          <w:sz w:val="22"/>
          <w:szCs w:val="22"/>
        </w:rPr>
        <w:t xml:space="preserve"> In order to deliver high quality care‚ effective leadership is required at all levels of the healthcare system‚ and is both distributed and collective in nature‚ in both formal and informal settings (NHS Leadership Academy‚ 2013</w:t>
      </w:r>
      <w:r>
        <w:rPr>
          <w:rFonts w:ascii="Arial" w:eastAsia="Arial Nova" w:hAnsi="Arial" w:cs="Arial"/>
          <w:sz w:val="22"/>
          <w:szCs w:val="22"/>
        </w:rPr>
        <w:t>).</w:t>
      </w:r>
      <w:r w:rsidRPr="00D605BF">
        <w:rPr>
          <w:rFonts w:ascii="Arial" w:eastAsia="Arial Nova" w:hAnsi="Arial" w:cs="Arial"/>
          <w:sz w:val="22"/>
          <w:szCs w:val="22"/>
        </w:rPr>
        <w:t xml:space="preserve"> There are four domains‚ each with a number of key capabilities: Leading self‚ Leading others‚ Leading services‚ and Improving services</w:t>
      </w:r>
      <w:r w:rsidRPr="00D605BF">
        <w:rPr>
          <w:rFonts w:ascii="MS Gothic" w:eastAsia="MS Gothic" w:hAnsi="MS Gothic" w:cs="MS Gothic" w:hint="eastAsia"/>
          <w:sz w:val="22"/>
          <w:szCs w:val="22"/>
        </w:rPr>
        <w:t>․</w:t>
      </w:r>
      <w:r w:rsidRPr="00D605BF">
        <w:rPr>
          <w:rFonts w:ascii="Arial" w:eastAsia="Arial Nova" w:hAnsi="Arial" w:cs="Arial"/>
          <w:sz w:val="22"/>
          <w:szCs w:val="22"/>
        </w:rPr>
        <w:t xml:space="preserve"> "Leading self" covers self-awareness‚ personal responsibility and continuous professional development which prepares participants to lead themselves in complex healthcare environments</w:t>
      </w:r>
      <w:r w:rsidRPr="00D605BF">
        <w:rPr>
          <w:rFonts w:ascii="MS Gothic" w:eastAsia="MS Gothic" w:hAnsi="MS Gothic" w:cs="MS Gothic" w:hint="eastAsia"/>
          <w:sz w:val="22"/>
          <w:szCs w:val="22"/>
        </w:rPr>
        <w:t>․</w:t>
      </w:r>
      <w:r w:rsidRPr="00D605BF">
        <w:rPr>
          <w:rFonts w:ascii="Arial" w:eastAsia="Arial Nova" w:hAnsi="Arial" w:cs="Arial"/>
          <w:sz w:val="22"/>
          <w:szCs w:val="22"/>
        </w:rPr>
        <w:t xml:space="preserve"> "Leading others" stresses communication‚ collaboration‚ and emotional intelligence in multidisciplinary contexts (West et al</w:t>
      </w:r>
      <w:r w:rsidRPr="00D605BF">
        <w:rPr>
          <w:rFonts w:ascii="MS Gothic" w:eastAsia="MS Gothic" w:hAnsi="MS Gothic" w:cs="MS Gothic" w:hint="eastAsia"/>
          <w:sz w:val="22"/>
          <w:szCs w:val="22"/>
        </w:rPr>
        <w:t>․</w:t>
      </w:r>
      <w:r w:rsidRPr="00D605BF">
        <w:rPr>
          <w:rFonts w:ascii="Arial" w:eastAsia="Arial Nova" w:hAnsi="Arial" w:cs="Arial"/>
          <w:sz w:val="22"/>
          <w:szCs w:val="22"/>
        </w:rPr>
        <w:t>‚ 2022</w:t>
      </w:r>
      <w:r>
        <w:rPr>
          <w:rFonts w:ascii="Arial" w:eastAsia="Arial Nova" w:hAnsi="Arial" w:cs="Arial"/>
          <w:sz w:val="22"/>
          <w:szCs w:val="22"/>
        </w:rPr>
        <w:t>).</w:t>
      </w:r>
    </w:p>
    <w:p w14:paraId="0A01BB9A" w14:textId="0D8BFBB2" w:rsidR="00D605BF" w:rsidRPr="00D605BF" w:rsidRDefault="00D605BF" w:rsidP="00D605BF">
      <w:pPr>
        <w:spacing w:line="360" w:lineRule="auto"/>
        <w:jc w:val="both"/>
        <w:rPr>
          <w:rFonts w:ascii="Arial" w:eastAsia="Arial Nova" w:hAnsi="Arial" w:cs="Arial"/>
          <w:sz w:val="22"/>
          <w:szCs w:val="22"/>
        </w:rPr>
      </w:pPr>
      <w:r w:rsidRPr="00D605BF">
        <w:rPr>
          <w:rFonts w:ascii="Arial" w:eastAsia="Arial Nova" w:hAnsi="Arial" w:cs="Arial"/>
          <w:sz w:val="22"/>
          <w:szCs w:val="22"/>
        </w:rPr>
        <w:t>In this model‚ 'leadership of services' involves management of resources‚ quality‚ and safety to provide safe and effective care</w:t>
      </w:r>
      <w:r w:rsidRPr="00D605BF">
        <w:rPr>
          <w:rFonts w:ascii="MS Gothic" w:eastAsia="MS Gothic" w:hAnsi="MS Gothic" w:cs="MS Gothic" w:hint="eastAsia"/>
          <w:sz w:val="22"/>
          <w:szCs w:val="22"/>
        </w:rPr>
        <w:t>․</w:t>
      </w:r>
      <w:r w:rsidRPr="00D605BF">
        <w:rPr>
          <w:rFonts w:ascii="Arial" w:eastAsia="Arial Nova" w:hAnsi="Arial" w:cs="Arial"/>
          <w:sz w:val="22"/>
          <w:szCs w:val="22"/>
        </w:rPr>
        <w:t xml:space="preserve"> 'Improving services' includes aspects such as innovating‚ adapting‚ and quality improvement</w:t>
      </w:r>
      <w:r w:rsidRPr="00D605BF">
        <w:rPr>
          <w:rFonts w:ascii="MS Gothic" w:eastAsia="MS Gothic" w:hAnsi="MS Gothic" w:cs="MS Gothic" w:hint="eastAsia"/>
          <w:sz w:val="22"/>
          <w:szCs w:val="22"/>
        </w:rPr>
        <w:t>․</w:t>
      </w:r>
      <w:r w:rsidRPr="00D605BF">
        <w:rPr>
          <w:rFonts w:ascii="Arial" w:eastAsia="Arial Nova" w:hAnsi="Arial" w:cs="Arial"/>
          <w:sz w:val="22"/>
          <w:szCs w:val="22"/>
        </w:rPr>
        <w:t xml:space="preserve"> This aspect has been identified as particularly relevant within the current NHS environment of workforce shortages‚ increased demand and limited finances (The King's Fund‚ 2020</w:t>
      </w:r>
      <w:r>
        <w:rPr>
          <w:rFonts w:ascii="Arial" w:eastAsia="Arial Nova" w:hAnsi="Arial" w:cs="Arial"/>
          <w:sz w:val="22"/>
          <w:szCs w:val="22"/>
        </w:rPr>
        <w:t>).</w:t>
      </w:r>
      <w:r w:rsidRPr="00D605BF">
        <w:rPr>
          <w:rFonts w:ascii="Arial" w:eastAsia="Arial Nova" w:hAnsi="Arial" w:cs="Arial"/>
          <w:sz w:val="22"/>
          <w:szCs w:val="22"/>
        </w:rPr>
        <w:t xml:space="preserve"> The model has been described as offering a reasonable synthesis of the technical and relational dimensions of leadership‚ in that a leader must manage both sets of skills competently to effectively motivate and guide their staff‚ although the application of the model may be moderated by constraints and restrictions within an organization</w:t>
      </w:r>
      <w:r w:rsidRPr="00D605BF">
        <w:rPr>
          <w:rFonts w:ascii="MS Gothic" w:eastAsia="MS Gothic" w:hAnsi="MS Gothic" w:cs="MS Gothic" w:hint="eastAsia"/>
          <w:sz w:val="22"/>
          <w:szCs w:val="22"/>
        </w:rPr>
        <w:t>․</w:t>
      </w:r>
    </w:p>
    <w:p w14:paraId="7F86B72B" w14:textId="11F97CB1" w:rsidR="00D605BF" w:rsidRPr="00D605BF" w:rsidRDefault="00D605BF" w:rsidP="00D605BF">
      <w:pPr>
        <w:spacing w:line="360" w:lineRule="auto"/>
        <w:jc w:val="both"/>
        <w:rPr>
          <w:rFonts w:ascii="Arial" w:eastAsia="Arial Nova" w:hAnsi="Arial" w:cs="Arial"/>
          <w:sz w:val="22"/>
          <w:szCs w:val="22"/>
        </w:rPr>
      </w:pPr>
      <w:r w:rsidRPr="00D605BF">
        <w:rPr>
          <w:rFonts w:ascii="Arial" w:eastAsia="Arial Nova" w:hAnsi="Arial" w:cs="Arial"/>
          <w:sz w:val="22"/>
          <w:szCs w:val="22"/>
        </w:rPr>
        <w:t>Transformational leadership is widely seen as a way to foster creativity and innovation among staff in organisations‚ including health and social care</w:t>
      </w:r>
      <w:r w:rsidRPr="00D605BF">
        <w:rPr>
          <w:rFonts w:ascii="MS Gothic" w:eastAsia="MS Gothic" w:hAnsi="MS Gothic" w:cs="MS Gothic" w:hint="eastAsia"/>
          <w:sz w:val="22"/>
          <w:szCs w:val="22"/>
        </w:rPr>
        <w:t>․</w:t>
      </w:r>
      <w:r w:rsidRPr="00D605BF">
        <w:rPr>
          <w:rFonts w:ascii="Arial" w:eastAsia="Arial Nova" w:hAnsi="Arial" w:cs="Arial"/>
          <w:sz w:val="22"/>
          <w:szCs w:val="22"/>
        </w:rPr>
        <w:t xml:space="preserve"> Transformational leaders inspire and motivate staff‚ generate new ideas and develop a vision for major changes</w:t>
      </w:r>
      <w:r w:rsidRPr="00D605BF">
        <w:rPr>
          <w:rFonts w:ascii="MS Gothic" w:eastAsia="MS Gothic" w:hAnsi="MS Gothic" w:cs="MS Gothic" w:hint="eastAsia"/>
          <w:sz w:val="22"/>
          <w:szCs w:val="22"/>
        </w:rPr>
        <w:t>․</w:t>
      </w:r>
      <w:r w:rsidRPr="00D605BF">
        <w:rPr>
          <w:rFonts w:ascii="Arial" w:eastAsia="Arial Nova" w:hAnsi="Arial" w:cs="Arial"/>
          <w:sz w:val="22"/>
          <w:szCs w:val="22"/>
        </w:rPr>
        <w:t xml:space="preserve"> (Bass and Avolio </w:t>
      </w:r>
      <w:r w:rsidRPr="00D605BF">
        <w:rPr>
          <w:rFonts w:ascii="Arial" w:eastAsia="Arial Nova" w:hAnsi="Arial" w:cs="Arial"/>
          <w:sz w:val="22"/>
          <w:szCs w:val="22"/>
        </w:rPr>
        <w:lastRenderedPageBreak/>
        <w:t>1996) In practice‚ a transformational leader in the NHS might encourage the workforce to identify and implement innovative solutions to issues such as reducing waiting times or improving patient experience</w:t>
      </w:r>
      <w:r w:rsidRPr="00D605BF">
        <w:rPr>
          <w:rFonts w:ascii="MS Gothic" w:eastAsia="MS Gothic" w:hAnsi="MS Gothic" w:cs="MS Gothic" w:hint="eastAsia"/>
          <w:sz w:val="22"/>
          <w:szCs w:val="22"/>
        </w:rPr>
        <w:t>․</w:t>
      </w:r>
      <w:r w:rsidRPr="00D605BF">
        <w:rPr>
          <w:rFonts w:ascii="Arial" w:eastAsia="Arial Nova" w:hAnsi="Arial" w:cs="Arial"/>
          <w:sz w:val="22"/>
          <w:szCs w:val="22"/>
        </w:rPr>
        <w:t xml:space="preserve"> Transformational leaders can create supportive and open organisational cultures that encourage staff to contribute their ideas and become involved in problem solving (West et al</w:t>
      </w:r>
      <w:r w:rsidRPr="00D605BF">
        <w:rPr>
          <w:rFonts w:ascii="MS Gothic" w:eastAsia="MS Gothic" w:hAnsi="MS Gothic" w:cs="MS Gothic" w:hint="eastAsia"/>
          <w:sz w:val="22"/>
          <w:szCs w:val="22"/>
        </w:rPr>
        <w:t>․</w:t>
      </w:r>
      <w:r w:rsidRPr="00D605BF">
        <w:rPr>
          <w:rFonts w:ascii="Arial" w:eastAsia="Arial Nova" w:hAnsi="Arial" w:cs="Arial"/>
          <w:sz w:val="22"/>
          <w:szCs w:val="22"/>
        </w:rPr>
        <w:t>‚ 2022</w:t>
      </w:r>
      <w:r>
        <w:rPr>
          <w:rFonts w:ascii="Arial" w:eastAsia="Arial Nova" w:hAnsi="Arial" w:cs="Arial"/>
          <w:sz w:val="22"/>
          <w:szCs w:val="22"/>
        </w:rPr>
        <w:t>).</w:t>
      </w:r>
    </w:p>
    <w:p w14:paraId="709BA693" w14:textId="7813F9B5" w:rsidR="00D605BF" w:rsidRPr="00D605BF" w:rsidRDefault="00D605BF" w:rsidP="00D605BF">
      <w:pPr>
        <w:spacing w:line="360" w:lineRule="auto"/>
        <w:jc w:val="both"/>
        <w:rPr>
          <w:rFonts w:ascii="Arial" w:eastAsia="Arial Nova" w:hAnsi="Arial" w:cs="Arial"/>
          <w:sz w:val="22"/>
          <w:szCs w:val="22"/>
        </w:rPr>
      </w:pPr>
      <w:r w:rsidRPr="00D605BF">
        <w:rPr>
          <w:rFonts w:ascii="Arial" w:eastAsia="Arial Nova" w:hAnsi="Arial" w:cs="Arial"/>
          <w:sz w:val="22"/>
          <w:szCs w:val="22"/>
        </w:rPr>
        <w:t>Workload‚ resistant organisational cultures‚ and a fear of risk can all get in the way of innovation‚ which is why leaders need to provide not just motivation‚ but also the systems‚ resources‚ time‚ and training to make it happen (The King's Fund‚ 2020</w:t>
      </w:r>
      <w:r>
        <w:rPr>
          <w:rFonts w:ascii="Arial" w:eastAsia="Arial Nova" w:hAnsi="Arial" w:cs="Arial"/>
          <w:sz w:val="22"/>
          <w:szCs w:val="22"/>
        </w:rPr>
        <w:t>).</w:t>
      </w:r>
      <w:r w:rsidRPr="00D605BF">
        <w:rPr>
          <w:rFonts w:ascii="Arial" w:eastAsia="Arial Nova" w:hAnsi="Arial" w:cs="Arial"/>
          <w:sz w:val="22"/>
          <w:szCs w:val="22"/>
        </w:rPr>
        <w:t xml:space="preserve"> Ultimately successful leadership is essential in easing and enabling the creativity‚ innovation and application of ideas necessary to improve the service we offer to our patients</w:t>
      </w:r>
      <w:r w:rsidRPr="00D605BF">
        <w:rPr>
          <w:rFonts w:ascii="MS Gothic" w:eastAsia="MS Gothic" w:hAnsi="MS Gothic" w:cs="MS Gothic" w:hint="eastAsia"/>
          <w:sz w:val="22"/>
          <w:szCs w:val="22"/>
        </w:rPr>
        <w:t>․</w:t>
      </w:r>
    </w:p>
    <w:p w14:paraId="1E524DD1" w14:textId="77777777" w:rsidR="00D605BF" w:rsidRPr="00226F04" w:rsidRDefault="00D605BF" w:rsidP="00226F04">
      <w:pPr>
        <w:spacing w:after="0" w:line="360" w:lineRule="auto"/>
        <w:jc w:val="both"/>
        <w:rPr>
          <w:rFonts w:ascii="Arial" w:eastAsia="Arial Nova" w:hAnsi="Arial" w:cs="Arial"/>
          <w:b/>
          <w:bCs/>
          <w:sz w:val="22"/>
          <w:szCs w:val="22"/>
        </w:rPr>
      </w:pPr>
      <w:r w:rsidRPr="00226F04">
        <w:rPr>
          <w:rFonts w:ascii="Arial" w:eastAsia="Arial Nova" w:hAnsi="Arial" w:cs="Arial"/>
          <w:b/>
          <w:bCs/>
          <w:sz w:val="22"/>
          <w:szCs w:val="22"/>
        </w:rPr>
        <w:t>Task 7 - Reflective Journal Entry</w:t>
      </w:r>
    </w:p>
    <w:p w14:paraId="567FFA81" w14:textId="77777777" w:rsidR="00D605BF" w:rsidRPr="00226F04" w:rsidRDefault="00D605BF" w:rsidP="00226F04">
      <w:pPr>
        <w:spacing w:after="0" w:line="360" w:lineRule="auto"/>
        <w:jc w:val="both"/>
        <w:rPr>
          <w:rFonts w:ascii="Arial" w:eastAsia="Arial Nova" w:hAnsi="Arial" w:cs="Arial"/>
          <w:b/>
          <w:bCs/>
          <w:sz w:val="22"/>
          <w:szCs w:val="22"/>
        </w:rPr>
      </w:pPr>
      <w:r w:rsidRPr="00226F04">
        <w:rPr>
          <w:rFonts w:ascii="Arial" w:eastAsia="Arial Nova" w:hAnsi="Arial" w:cs="Arial"/>
          <w:b/>
          <w:bCs/>
          <w:sz w:val="22"/>
          <w:szCs w:val="22"/>
        </w:rPr>
        <w:t>Reflection on Learning</w:t>
      </w:r>
    </w:p>
    <w:p w14:paraId="2AB0D46F" w14:textId="01BF09B7" w:rsidR="00D605BF" w:rsidRPr="00D605BF" w:rsidRDefault="00D605BF" w:rsidP="00D605BF">
      <w:pPr>
        <w:spacing w:line="360" w:lineRule="auto"/>
        <w:jc w:val="both"/>
        <w:rPr>
          <w:rFonts w:ascii="Arial" w:eastAsia="Arial Nova" w:hAnsi="Arial" w:cs="Arial"/>
          <w:sz w:val="22"/>
          <w:szCs w:val="22"/>
        </w:rPr>
      </w:pPr>
      <w:r w:rsidRPr="00D605BF">
        <w:rPr>
          <w:rFonts w:ascii="Arial" w:eastAsia="Arial Nova" w:hAnsi="Arial" w:cs="Arial"/>
          <w:sz w:val="22"/>
          <w:szCs w:val="22"/>
        </w:rPr>
        <w:t xml:space="preserve">It has improved my understanding of creativity‚ innovation and value creation in health and social care‚ as I previously regarded creativity as purely an artistic </w:t>
      </w:r>
      <w:r w:rsidR="00226F04" w:rsidRPr="00D605BF">
        <w:rPr>
          <w:rFonts w:ascii="Arial" w:eastAsia="Arial Nova" w:hAnsi="Arial" w:cs="Arial"/>
          <w:sz w:val="22"/>
          <w:szCs w:val="22"/>
        </w:rPr>
        <w:t>endeavour</w:t>
      </w:r>
      <w:r w:rsidR="00226F04">
        <w:rPr>
          <w:rFonts w:ascii="MS Gothic" w:eastAsia="MS Gothic" w:hAnsi="MS Gothic" w:cs="MS Gothic"/>
          <w:sz w:val="22"/>
          <w:szCs w:val="22"/>
          <w:lang w:val="en-US"/>
        </w:rPr>
        <w:t xml:space="preserve">. </w:t>
      </w:r>
      <w:r w:rsidR="00226F04" w:rsidRPr="00D605BF">
        <w:rPr>
          <w:rFonts w:ascii="Arial" w:eastAsia="Arial Nova" w:hAnsi="Arial" w:cs="Arial"/>
          <w:sz w:val="22"/>
          <w:szCs w:val="22"/>
        </w:rPr>
        <w:t>However,</w:t>
      </w:r>
      <w:r w:rsidRPr="00D605BF">
        <w:rPr>
          <w:rFonts w:ascii="Arial" w:eastAsia="Arial Nova" w:hAnsi="Arial" w:cs="Arial"/>
          <w:sz w:val="22"/>
          <w:szCs w:val="22"/>
        </w:rPr>
        <w:t xml:space="preserve"> through engagement with the module‚ I now appreciate creativity is a vital tool for improving services and solving problems within healthcare systems (Amabile et al</w:t>
      </w:r>
      <w:r w:rsidRPr="00D605BF">
        <w:rPr>
          <w:rFonts w:ascii="MS Gothic" w:eastAsia="MS Gothic" w:hAnsi="MS Gothic" w:cs="MS Gothic" w:hint="eastAsia"/>
          <w:sz w:val="22"/>
          <w:szCs w:val="22"/>
        </w:rPr>
        <w:t>․</w:t>
      </w:r>
      <w:r w:rsidRPr="00D605BF">
        <w:rPr>
          <w:rFonts w:ascii="Arial" w:eastAsia="Arial Nova" w:hAnsi="Arial" w:cs="Arial"/>
          <w:sz w:val="22"/>
          <w:szCs w:val="22"/>
        </w:rPr>
        <w:t>‚ 2005</w:t>
      </w:r>
      <w:r>
        <w:rPr>
          <w:rFonts w:ascii="Arial" w:eastAsia="Arial Nova" w:hAnsi="Arial" w:cs="Arial"/>
          <w:sz w:val="22"/>
          <w:szCs w:val="22"/>
        </w:rPr>
        <w:t>).</w:t>
      </w:r>
      <w:r w:rsidR="00226F04">
        <w:rPr>
          <w:rFonts w:ascii="Arial" w:eastAsia="Arial Nova" w:hAnsi="Arial" w:cs="Arial"/>
          <w:sz w:val="22"/>
          <w:szCs w:val="22"/>
        </w:rPr>
        <w:t xml:space="preserve"> </w:t>
      </w:r>
      <w:r w:rsidRPr="00D605BF">
        <w:rPr>
          <w:rFonts w:ascii="Arial" w:eastAsia="Arial Nova" w:hAnsi="Arial" w:cs="Arial"/>
          <w:sz w:val="22"/>
          <w:szCs w:val="22"/>
        </w:rPr>
        <w:t>A major learning from this project is the difference between creativity and innovation‚ where creativity is the generation of new ideas‚ and innovation is the implementation of these ideas to deliver new or improved processes and products (Greenhalgh et al</w:t>
      </w:r>
      <w:r w:rsidRPr="00D605BF">
        <w:rPr>
          <w:rFonts w:ascii="MS Gothic" w:eastAsia="MS Gothic" w:hAnsi="MS Gothic" w:cs="MS Gothic" w:hint="eastAsia"/>
          <w:sz w:val="22"/>
          <w:szCs w:val="22"/>
        </w:rPr>
        <w:t>․</w:t>
      </w:r>
      <w:r w:rsidRPr="00D605BF">
        <w:rPr>
          <w:rFonts w:ascii="Arial" w:eastAsia="Arial Nova" w:hAnsi="Arial" w:cs="Arial"/>
          <w:sz w:val="22"/>
          <w:szCs w:val="22"/>
        </w:rPr>
        <w:t>‚ 2020</w:t>
      </w:r>
      <w:r w:rsidR="00226F04">
        <w:rPr>
          <w:rFonts w:ascii="Arial" w:eastAsia="Arial Nova" w:hAnsi="Arial" w:cs="Arial"/>
          <w:sz w:val="22"/>
          <w:szCs w:val="22"/>
        </w:rPr>
        <w:t>),</w:t>
      </w:r>
      <w:r w:rsidRPr="00D605BF">
        <w:rPr>
          <w:rFonts w:ascii="Arial" w:eastAsia="Arial Nova" w:hAnsi="Arial" w:cs="Arial"/>
          <w:sz w:val="22"/>
          <w:szCs w:val="22"/>
        </w:rPr>
        <w:t xml:space="preserve"> and improving healthcare is a combination of both</w:t>
      </w:r>
      <w:r w:rsidRPr="00D605BF">
        <w:rPr>
          <w:rFonts w:ascii="MS Gothic" w:eastAsia="MS Gothic" w:hAnsi="MS Gothic" w:cs="MS Gothic" w:hint="eastAsia"/>
          <w:sz w:val="22"/>
          <w:szCs w:val="22"/>
        </w:rPr>
        <w:t>․</w:t>
      </w:r>
    </w:p>
    <w:p w14:paraId="26516802" w14:textId="52C7DB1D" w:rsidR="004233F6" w:rsidRPr="00226F04" w:rsidRDefault="00D605BF" w:rsidP="00D605BF">
      <w:pPr>
        <w:spacing w:line="360" w:lineRule="auto"/>
        <w:jc w:val="both"/>
        <w:rPr>
          <w:rFonts w:ascii="Arial" w:eastAsia="Arial Nova" w:hAnsi="Arial" w:cs="Arial"/>
          <w:sz w:val="22"/>
          <w:szCs w:val="22"/>
        </w:rPr>
      </w:pPr>
      <w:r w:rsidRPr="00D605BF">
        <w:rPr>
          <w:rFonts w:ascii="Arial" w:eastAsia="Arial Nova" w:hAnsi="Arial" w:cs="Arial"/>
          <w:sz w:val="22"/>
          <w:szCs w:val="22"/>
        </w:rPr>
        <w:t>An appreciation of value-based healthcare helped understanding the need to maximise patient outcomes‚ while controlling or minimising the costs‚ in an environment of rising demand and constrained resources in health and social care services (Porter‚ 2010</w:t>
      </w:r>
      <w:r>
        <w:rPr>
          <w:rFonts w:ascii="Arial" w:eastAsia="Arial Nova" w:hAnsi="Arial" w:cs="Arial"/>
          <w:sz w:val="22"/>
          <w:szCs w:val="22"/>
        </w:rPr>
        <w:t>).</w:t>
      </w:r>
      <w:r w:rsidR="00226F04">
        <w:rPr>
          <w:rFonts w:ascii="Arial" w:eastAsia="Arial Nova" w:hAnsi="Arial" w:cs="Arial"/>
          <w:sz w:val="22"/>
          <w:szCs w:val="22"/>
        </w:rPr>
        <w:t xml:space="preserve"> </w:t>
      </w:r>
      <w:r w:rsidRPr="00D605BF">
        <w:rPr>
          <w:rFonts w:ascii="Arial" w:eastAsia="Arial Nova" w:hAnsi="Arial" w:cs="Arial"/>
          <w:sz w:val="22"/>
          <w:szCs w:val="22"/>
        </w:rPr>
        <w:t>The focus of the module has also impacted my approach to work‚ as I have come to realise the importance of adopting an innovative and proactive mindset in addressing issues of health inequality and service inefficiency‚ as well as the role of leadership in fostering a culture of creativity and continuous improvement</w:t>
      </w:r>
      <w:r w:rsidRPr="00D605BF">
        <w:rPr>
          <w:rFonts w:ascii="MS Gothic" w:eastAsia="MS Gothic" w:hAnsi="MS Gothic" w:cs="MS Gothic" w:hint="eastAsia"/>
          <w:sz w:val="22"/>
          <w:szCs w:val="22"/>
        </w:rPr>
        <w:t>․</w:t>
      </w:r>
      <w:r w:rsidR="00226F04">
        <w:rPr>
          <w:rFonts w:ascii="Arial" w:eastAsia="Arial Nova" w:hAnsi="Arial" w:cs="Arial"/>
          <w:sz w:val="22"/>
          <w:szCs w:val="22"/>
        </w:rPr>
        <w:t xml:space="preserve"> </w:t>
      </w:r>
      <w:r w:rsidRPr="00D605BF">
        <w:rPr>
          <w:rFonts w:ascii="Arial" w:eastAsia="Arial Nova" w:hAnsi="Arial" w:cs="Arial"/>
          <w:sz w:val="22"/>
          <w:szCs w:val="22"/>
        </w:rPr>
        <w:t xml:space="preserve">In </w:t>
      </w:r>
      <w:r w:rsidR="00226F04" w:rsidRPr="00D605BF">
        <w:rPr>
          <w:rFonts w:ascii="Arial" w:eastAsia="Arial Nova" w:hAnsi="Arial" w:cs="Arial"/>
          <w:sz w:val="22"/>
          <w:szCs w:val="22"/>
        </w:rPr>
        <w:t>general,</w:t>
      </w:r>
      <w:r w:rsidRPr="00D605BF">
        <w:rPr>
          <w:rFonts w:ascii="Arial" w:eastAsia="Arial Nova" w:hAnsi="Arial" w:cs="Arial"/>
          <w:sz w:val="22"/>
          <w:szCs w:val="22"/>
        </w:rPr>
        <w:t xml:space="preserve"> this experience has been very important in teaching me how to think critically‚ reflect on my practice and apply theory</w:t>
      </w:r>
      <w:r w:rsidRPr="00D605BF">
        <w:rPr>
          <w:rFonts w:ascii="MS Gothic" w:eastAsia="MS Gothic" w:hAnsi="MS Gothic" w:cs="MS Gothic" w:hint="eastAsia"/>
          <w:sz w:val="22"/>
          <w:szCs w:val="22"/>
        </w:rPr>
        <w:t>․</w:t>
      </w:r>
    </w:p>
    <w:p w14:paraId="6542B4DA" w14:textId="77777777" w:rsidR="00D605BF" w:rsidRDefault="00D605BF" w:rsidP="00D605BF">
      <w:pPr>
        <w:spacing w:line="360" w:lineRule="auto"/>
        <w:jc w:val="both"/>
        <w:rPr>
          <w:rFonts w:ascii="Arial" w:eastAsia="Arial Nova" w:hAnsi="Arial" w:cs="Arial"/>
          <w:sz w:val="22"/>
          <w:szCs w:val="22"/>
          <w:lang w:val="en-US"/>
        </w:rPr>
      </w:pPr>
    </w:p>
    <w:p w14:paraId="7117F23F" w14:textId="77777777" w:rsidR="00226F04" w:rsidRDefault="00226F04" w:rsidP="00D605BF">
      <w:pPr>
        <w:spacing w:line="360" w:lineRule="auto"/>
        <w:jc w:val="both"/>
        <w:rPr>
          <w:rFonts w:ascii="Arial" w:eastAsia="Arial Nova" w:hAnsi="Arial" w:cs="Arial"/>
          <w:sz w:val="22"/>
          <w:szCs w:val="22"/>
          <w:lang w:val="en-US"/>
        </w:rPr>
      </w:pPr>
    </w:p>
    <w:p w14:paraId="4E68D39E" w14:textId="77777777" w:rsidR="00226F04" w:rsidRDefault="00226F04" w:rsidP="00D605BF">
      <w:pPr>
        <w:spacing w:line="360" w:lineRule="auto"/>
        <w:jc w:val="both"/>
        <w:rPr>
          <w:rFonts w:ascii="Arial" w:eastAsia="Arial Nova" w:hAnsi="Arial" w:cs="Arial"/>
          <w:sz w:val="22"/>
          <w:szCs w:val="22"/>
          <w:lang w:val="en-US"/>
        </w:rPr>
      </w:pPr>
    </w:p>
    <w:p w14:paraId="47EC2421" w14:textId="77777777" w:rsidR="00226F04" w:rsidRDefault="00226F04" w:rsidP="00D605BF">
      <w:pPr>
        <w:spacing w:line="360" w:lineRule="auto"/>
        <w:jc w:val="both"/>
        <w:rPr>
          <w:rFonts w:ascii="Arial" w:eastAsia="Arial Nova" w:hAnsi="Arial" w:cs="Arial"/>
          <w:sz w:val="22"/>
          <w:szCs w:val="22"/>
          <w:lang w:val="en-US"/>
        </w:rPr>
      </w:pPr>
    </w:p>
    <w:p w14:paraId="3FCFF90B" w14:textId="77777777" w:rsidR="00226F04" w:rsidRDefault="00226F04" w:rsidP="00D605BF">
      <w:pPr>
        <w:spacing w:line="360" w:lineRule="auto"/>
        <w:jc w:val="both"/>
        <w:rPr>
          <w:rFonts w:ascii="Arial" w:eastAsia="Arial Nova" w:hAnsi="Arial" w:cs="Arial"/>
          <w:sz w:val="22"/>
          <w:szCs w:val="22"/>
          <w:lang w:val="en-US"/>
        </w:rPr>
      </w:pPr>
    </w:p>
    <w:p w14:paraId="7F42CBC0" w14:textId="77777777" w:rsidR="00226F04" w:rsidRDefault="00226F04" w:rsidP="00D605BF">
      <w:pPr>
        <w:spacing w:line="360" w:lineRule="auto"/>
        <w:jc w:val="both"/>
        <w:rPr>
          <w:rFonts w:ascii="Arial" w:eastAsia="Arial Nova" w:hAnsi="Arial" w:cs="Arial"/>
          <w:sz w:val="22"/>
          <w:szCs w:val="22"/>
          <w:lang w:val="en-US"/>
        </w:rPr>
      </w:pPr>
    </w:p>
    <w:p w14:paraId="5DEC2ACD" w14:textId="77777777" w:rsidR="00226F04" w:rsidRDefault="00226F04" w:rsidP="00D605BF">
      <w:pPr>
        <w:spacing w:line="360" w:lineRule="auto"/>
        <w:jc w:val="both"/>
        <w:rPr>
          <w:rFonts w:ascii="Arial" w:eastAsia="Arial Nova" w:hAnsi="Arial" w:cs="Arial"/>
          <w:sz w:val="22"/>
          <w:szCs w:val="22"/>
          <w:lang w:val="en-US"/>
        </w:rPr>
      </w:pPr>
    </w:p>
    <w:p w14:paraId="637D5669" w14:textId="77777777" w:rsidR="00226F04" w:rsidRDefault="00226F04" w:rsidP="00D605BF">
      <w:pPr>
        <w:spacing w:line="360" w:lineRule="auto"/>
        <w:jc w:val="both"/>
        <w:rPr>
          <w:rFonts w:ascii="Arial" w:eastAsia="Arial Nova" w:hAnsi="Arial" w:cs="Arial"/>
          <w:sz w:val="22"/>
          <w:szCs w:val="22"/>
          <w:lang w:val="en-US"/>
        </w:rPr>
      </w:pPr>
    </w:p>
    <w:p w14:paraId="05427D93" w14:textId="77777777" w:rsidR="00226F04" w:rsidRDefault="00226F04" w:rsidP="00D605BF">
      <w:pPr>
        <w:spacing w:line="360" w:lineRule="auto"/>
        <w:jc w:val="both"/>
        <w:rPr>
          <w:rFonts w:ascii="Arial" w:eastAsia="Arial Nova" w:hAnsi="Arial" w:cs="Arial"/>
          <w:sz w:val="22"/>
          <w:szCs w:val="22"/>
          <w:lang w:val="en-US"/>
        </w:rPr>
      </w:pPr>
    </w:p>
    <w:p w14:paraId="16307F95" w14:textId="77777777" w:rsidR="00226F04" w:rsidRPr="00D605BF" w:rsidRDefault="00226F04" w:rsidP="00D605BF">
      <w:pPr>
        <w:spacing w:line="360" w:lineRule="auto"/>
        <w:jc w:val="both"/>
        <w:rPr>
          <w:rFonts w:ascii="Arial" w:eastAsia="Arial Nova" w:hAnsi="Arial" w:cs="Arial"/>
          <w:sz w:val="22"/>
          <w:szCs w:val="22"/>
          <w:lang w:val="en-US"/>
        </w:rPr>
      </w:pPr>
    </w:p>
    <w:p w14:paraId="05AEF44E" w14:textId="1C9401E7" w:rsidR="004233F6" w:rsidRPr="004233F6" w:rsidRDefault="004233F6" w:rsidP="004233F6">
      <w:pPr>
        <w:spacing w:line="360" w:lineRule="auto"/>
        <w:jc w:val="both"/>
        <w:rPr>
          <w:rFonts w:ascii="Arial" w:eastAsia="Arial Nova" w:hAnsi="Arial" w:cs="Arial"/>
          <w:b/>
          <w:bCs/>
          <w:sz w:val="22"/>
          <w:szCs w:val="22"/>
        </w:rPr>
      </w:pPr>
      <w:r w:rsidRPr="004233F6">
        <w:rPr>
          <w:rFonts w:ascii="Arial" w:eastAsia="Arial Nova" w:hAnsi="Arial" w:cs="Arial"/>
          <w:b/>
          <w:bCs/>
          <w:sz w:val="22"/>
          <w:szCs w:val="22"/>
        </w:rPr>
        <w:t>Reference</w:t>
      </w:r>
      <w:r>
        <w:rPr>
          <w:rFonts w:ascii="Arial" w:eastAsia="Arial Nova" w:hAnsi="Arial" w:cs="Arial"/>
          <w:b/>
          <w:bCs/>
          <w:sz w:val="22"/>
          <w:szCs w:val="22"/>
        </w:rPr>
        <w:t>s</w:t>
      </w:r>
    </w:p>
    <w:p w14:paraId="23DF0A83" w14:textId="77777777" w:rsidR="004233F6" w:rsidRPr="004233F6" w:rsidRDefault="004233F6" w:rsidP="004233F6">
      <w:pPr>
        <w:spacing w:line="360" w:lineRule="auto"/>
        <w:jc w:val="both"/>
        <w:rPr>
          <w:rFonts w:ascii="Arial" w:eastAsia="Arial Nova" w:hAnsi="Arial" w:cs="Arial"/>
          <w:sz w:val="22"/>
          <w:szCs w:val="22"/>
        </w:rPr>
      </w:pPr>
      <w:r w:rsidRPr="004233F6">
        <w:rPr>
          <w:rFonts w:ascii="Arial" w:eastAsia="Arial Nova" w:hAnsi="Arial" w:cs="Arial"/>
          <w:sz w:val="22"/>
          <w:szCs w:val="22"/>
        </w:rPr>
        <w:t xml:space="preserve">Amabile, T.M., Barsade, S.G., Mueller, J.S. and Staw, B.M. (2005) ‘Affect and creativity at work’, </w:t>
      </w:r>
      <w:r w:rsidRPr="004233F6">
        <w:rPr>
          <w:rFonts w:ascii="Arial" w:eastAsia="Arial Nova" w:hAnsi="Arial" w:cs="Arial"/>
          <w:i/>
          <w:iCs/>
          <w:sz w:val="22"/>
          <w:szCs w:val="22"/>
        </w:rPr>
        <w:t>Administrative Science Quarterly</w:t>
      </w:r>
      <w:r w:rsidRPr="004233F6">
        <w:rPr>
          <w:rFonts w:ascii="Arial" w:eastAsia="Arial Nova" w:hAnsi="Arial" w:cs="Arial"/>
          <w:sz w:val="22"/>
          <w:szCs w:val="22"/>
        </w:rPr>
        <w:t>, 50(3), pp. 367–403.</w:t>
      </w:r>
    </w:p>
    <w:p w14:paraId="3EA30394" w14:textId="77777777" w:rsidR="004233F6" w:rsidRPr="004233F6" w:rsidRDefault="004233F6" w:rsidP="004233F6">
      <w:pPr>
        <w:spacing w:line="360" w:lineRule="auto"/>
        <w:jc w:val="both"/>
        <w:rPr>
          <w:rFonts w:ascii="Arial" w:eastAsia="Arial Nova" w:hAnsi="Arial" w:cs="Arial"/>
          <w:sz w:val="22"/>
          <w:szCs w:val="22"/>
        </w:rPr>
      </w:pPr>
      <w:r w:rsidRPr="004233F6">
        <w:rPr>
          <w:rFonts w:ascii="Arial" w:eastAsia="Arial Nova" w:hAnsi="Arial" w:cs="Arial"/>
          <w:sz w:val="22"/>
          <w:szCs w:val="22"/>
        </w:rPr>
        <w:t xml:space="preserve">Bambra, C., Riordan, R., Ford, J. and Matthews, F. (2021) ‘The COVID-19 pandemic and health inequalities’, </w:t>
      </w:r>
      <w:r w:rsidRPr="004233F6">
        <w:rPr>
          <w:rFonts w:ascii="Arial" w:eastAsia="Arial Nova" w:hAnsi="Arial" w:cs="Arial"/>
          <w:i/>
          <w:iCs/>
          <w:sz w:val="22"/>
          <w:szCs w:val="22"/>
        </w:rPr>
        <w:t>Journal of Epidemiology and Community Health</w:t>
      </w:r>
      <w:r w:rsidRPr="004233F6">
        <w:rPr>
          <w:rFonts w:ascii="Arial" w:eastAsia="Arial Nova" w:hAnsi="Arial" w:cs="Arial"/>
          <w:sz w:val="22"/>
          <w:szCs w:val="22"/>
        </w:rPr>
        <w:t>, 75(11), pp. 964–968.</w:t>
      </w:r>
    </w:p>
    <w:p w14:paraId="0ECD2341" w14:textId="77777777" w:rsidR="004233F6" w:rsidRPr="004233F6" w:rsidRDefault="004233F6" w:rsidP="004233F6">
      <w:pPr>
        <w:spacing w:line="360" w:lineRule="auto"/>
        <w:jc w:val="both"/>
        <w:rPr>
          <w:rFonts w:ascii="Arial" w:eastAsia="Arial Nova" w:hAnsi="Arial" w:cs="Arial"/>
          <w:sz w:val="22"/>
          <w:szCs w:val="22"/>
        </w:rPr>
      </w:pPr>
      <w:r w:rsidRPr="004233F6">
        <w:rPr>
          <w:rFonts w:ascii="Arial" w:eastAsia="Arial Nova" w:hAnsi="Arial" w:cs="Arial"/>
          <w:sz w:val="22"/>
          <w:szCs w:val="22"/>
        </w:rPr>
        <w:t xml:space="preserve">Bass, B.M. and Avolio, B.J. (1996) </w:t>
      </w:r>
      <w:r w:rsidRPr="004233F6">
        <w:rPr>
          <w:rFonts w:ascii="Arial" w:eastAsia="Arial Nova" w:hAnsi="Arial" w:cs="Arial"/>
          <w:i/>
          <w:iCs/>
          <w:sz w:val="22"/>
          <w:szCs w:val="22"/>
        </w:rPr>
        <w:t>Transformational Leadership</w:t>
      </w:r>
      <w:r w:rsidRPr="004233F6">
        <w:rPr>
          <w:rFonts w:ascii="Arial" w:eastAsia="Arial Nova" w:hAnsi="Arial" w:cs="Arial"/>
          <w:sz w:val="22"/>
          <w:szCs w:val="22"/>
        </w:rPr>
        <w:t>. Mahwah, NJ: Lawrence Erlbaum Associates.</w:t>
      </w:r>
    </w:p>
    <w:p w14:paraId="6ECE29F6" w14:textId="77777777" w:rsidR="004233F6" w:rsidRPr="004233F6" w:rsidRDefault="004233F6" w:rsidP="004233F6">
      <w:pPr>
        <w:spacing w:line="360" w:lineRule="auto"/>
        <w:jc w:val="both"/>
        <w:rPr>
          <w:rFonts w:ascii="Arial" w:eastAsia="Arial Nova" w:hAnsi="Arial" w:cs="Arial"/>
          <w:sz w:val="22"/>
          <w:szCs w:val="22"/>
        </w:rPr>
      </w:pPr>
      <w:r w:rsidRPr="004233F6">
        <w:rPr>
          <w:rFonts w:ascii="Arial" w:eastAsia="Arial Nova" w:hAnsi="Arial" w:cs="Arial"/>
          <w:sz w:val="22"/>
          <w:szCs w:val="22"/>
        </w:rPr>
        <w:t xml:space="preserve">Bate, P. and Robert, G. (2007) </w:t>
      </w:r>
      <w:r w:rsidRPr="004233F6">
        <w:rPr>
          <w:rFonts w:ascii="Arial" w:eastAsia="Arial Nova" w:hAnsi="Arial" w:cs="Arial"/>
          <w:i/>
          <w:iCs/>
          <w:sz w:val="22"/>
          <w:szCs w:val="22"/>
        </w:rPr>
        <w:t>Bringing User Experience to Healthcare Improvement</w:t>
      </w:r>
      <w:r w:rsidRPr="004233F6">
        <w:rPr>
          <w:rFonts w:ascii="Arial" w:eastAsia="Arial Nova" w:hAnsi="Arial" w:cs="Arial"/>
          <w:sz w:val="22"/>
          <w:szCs w:val="22"/>
        </w:rPr>
        <w:t>. Oxford: Radcliffe Publishing.</w:t>
      </w:r>
    </w:p>
    <w:p w14:paraId="762CA8CB" w14:textId="77777777" w:rsidR="004233F6" w:rsidRPr="004233F6" w:rsidRDefault="004233F6" w:rsidP="004233F6">
      <w:pPr>
        <w:spacing w:line="360" w:lineRule="auto"/>
        <w:jc w:val="both"/>
        <w:rPr>
          <w:rFonts w:ascii="Arial" w:eastAsia="Arial Nova" w:hAnsi="Arial" w:cs="Arial"/>
          <w:sz w:val="22"/>
          <w:szCs w:val="22"/>
        </w:rPr>
      </w:pPr>
      <w:r w:rsidRPr="004233F6">
        <w:rPr>
          <w:rFonts w:ascii="Arial" w:eastAsia="Arial Nova" w:hAnsi="Arial" w:cs="Arial"/>
          <w:sz w:val="22"/>
          <w:szCs w:val="22"/>
        </w:rPr>
        <w:t xml:space="preserve">Care Quality Commission (2021) </w:t>
      </w:r>
      <w:r w:rsidRPr="004233F6">
        <w:rPr>
          <w:rFonts w:ascii="Arial" w:eastAsia="Arial Nova" w:hAnsi="Arial" w:cs="Arial"/>
          <w:i/>
          <w:iCs/>
          <w:sz w:val="22"/>
          <w:szCs w:val="22"/>
        </w:rPr>
        <w:t>Innovation in Health and Social Care</w:t>
      </w:r>
      <w:r w:rsidRPr="004233F6">
        <w:rPr>
          <w:rFonts w:ascii="Arial" w:eastAsia="Arial Nova" w:hAnsi="Arial" w:cs="Arial"/>
          <w:sz w:val="22"/>
          <w:szCs w:val="22"/>
        </w:rPr>
        <w:t>. London: CQC.</w:t>
      </w:r>
    </w:p>
    <w:p w14:paraId="2A545947" w14:textId="77777777" w:rsidR="004233F6" w:rsidRPr="004233F6" w:rsidRDefault="004233F6" w:rsidP="004233F6">
      <w:pPr>
        <w:spacing w:line="360" w:lineRule="auto"/>
        <w:jc w:val="both"/>
        <w:rPr>
          <w:rFonts w:ascii="Arial" w:eastAsia="Arial Nova" w:hAnsi="Arial" w:cs="Arial"/>
          <w:sz w:val="22"/>
          <w:szCs w:val="22"/>
        </w:rPr>
      </w:pPr>
      <w:r w:rsidRPr="004233F6">
        <w:rPr>
          <w:rFonts w:ascii="Arial" w:eastAsia="Arial Nova" w:hAnsi="Arial" w:cs="Arial"/>
          <w:sz w:val="22"/>
          <w:szCs w:val="22"/>
        </w:rPr>
        <w:t xml:space="preserve">Davenport, T. and Kalakota, R. (2019) ‘The potential for artificial intelligence in healthcare’, </w:t>
      </w:r>
      <w:r w:rsidRPr="004233F6">
        <w:rPr>
          <w:rFonts w:ascii="Arial" w:eastAsia="Arial Nova" w:hAnsi="Arial" w:cs="Arial"/>
          <w:i/>
          <w:iCs/>
          <w:sz w:val="22"/>
          <w:szCs w:val="22"/>
        </w:rPr>
        <w:t>Future Healthcare Journal</w:t>
      </w:r>
      <w:r w:rsidRPr="004233F6">
        <w:rPr>
          <w:rFonts w:ascii="Arial" w:eastAsia="Arial Nova" w:hAnsi="Arial" w:cs="Arial"/>
          <w:sz w:val="22"/>
          <w:szCs w:val="22"/>
        </w:rPr>
        <w:t>, 6(2), pp. 94–98.</w:t>
      </w:r>
    </w:p>
    <w:p w14:paraId="00F1B111" w14:textId="77777777" w:rsidR="004233F6" w:rsidRPr="004233F6" w:rsidRDefault="004233F6" w:rsidP="004233F6">
      <w:pPr>
        <w:spacing w:line="360" w:lineRule="auto"/>
        <w:jc w:val="both"/>
        <w:rPr>
          <w:rFonts w:ascii="Arial" w:eastAsia="Arial Nova" w:hAnsi="Arial" w:cs="Arial"/>
          <w:sz w:val="22"/>
          <w:szCs w:val="22"/>
        </w:rPr>
      </w:pPr>
      <w:r w:rsidRPr="004233F6">
        <w:rPr>
          <w:rFonts w:ascii="Arial" w:eastAsia="Arial Nova" w:hAnsi="Arial" w:cs="Arial"/>
          <w:sz w:val="22"/>
          <w:szCs w:val="22"/>
        </w:rPr>
        <w:t xml:space="preserve">Gibbs, G. (1988) </w:t>
      </w:r>
      <w:r w:rsidRPr="004233F6">
        <w:rPr>
          <w:rFonts w:ascii="Arial" w:eastAsia="Arial Nova" w:hAnsi="Arial" w:cs="Arial"/>
          <w:i/>
          <w:iCs/>
          <w:sz w:val="22"/>
          <w:szCs w:val="22"/>
        </w:rPr>
        <w:t>Learning by Doing: A Guide to Teaching and Learning Methods</w:t>
      </w:r>
      <w:r w:rsidRPr="004233F6">
        <w:rPr>
          <w:rFonts w:ascii="Arial" w:eastAsia="Arial Nova" w:hAnsi="Arial" w:cs="Arial"/>
          <w:sz w:val="22"/>
          <w:szCs w:val="22"/>
        </w:rPr>
        <w:t>. Oxford: Oxford Polytechnic.</w:t>
      </w:r>
    </w:p>
    <w:p w14:paraId="53229C76" w14:textId="77777777" w:rsidR="004233F6" w:rsidRPr="004233F6" w:rsidRDefault="004233F6" w:rsidP="004233F6">
      <w:pPr>
        <w:spacing w:line="360" w:lineRule="auto"/>
        <w:jc w:val="both"/>
        <w:rPr>
          <w:rFonts w:ascii="Arial" w:eastAsia="Arial Nova" w:hAnsi="Arial" w:cs="Arial"/>
          <w:sz w:val="22"/>
          <w:szCs w:val="22"/>
        </w:rPr>
      </w:pPr>
      <w:r w:rsidRPr="004233F6">
        <w:rPr>
          <w:rFonts w:ascii="Arial" w:eastAsia="Arial Nova" w:hAnsi="Arial" w:cs="Arial"/>
          <w:sz w:val="22"/>
          <w:szCs w:val="22"/>
        </w:rPr>
        <w:t xml:space="preserve">Greenhalgh, T., Wherton, J., Papoutsi, C., Lynch, J., Hughes, G., A’Court, C., Hinder, S., Fahy, N., Procter, R. and Shaw, S. (2020) ‘Beyond adoption: a new framework for theorizing and evaluating nonadoption, abandonment, scale-up, spread, and sustainability of health technologies’, </w:t>
      </w:r>
      <w:r w:rsidRPr="004233F6">
        <w:rPr>
          <w:rFonts w:ascii="Arial" w:eastAsia="Arial Nova" w:hAnsi="Arial" w:cs="Arial"/>
          <w:i/>
          <w:iCs/>
          <w:sz w:val="22"/>
          <w:szCs w:val="22"/>
        </w:rPr>
        <w:t>Journal of Medical Internet Research</w:t>
      </w:r>
      <w:r w:rsidRPr="004233F6">
        <w:rPr>
          <w:rFonts w:ascii="Arial" w:eastAsia="Arial Nova" w:hAnsi="Arial" w:cs="Arial"/>
          <w:sz w:val="22"/>
          <w:szCs w:val="22"/>
        </w:rPr>
        <w:t>, 22(11), e8775.</w:t>
      </w:r>
    </w:p>
    <w:p w14:paraId="71D9390D" w14:textId="77777777" w:rsidR="004233F6" w:rsidRPr="004233F6" w:rsidRDefault="004233F6" w:rsidP="004233F6">
      <w:pPr>
        <w:spacing w:line="360" w:lineRule="auto"/>
        <w:jc w:val="both"/>
        <w:rPr>
          <w:rFonts w:ascii="Arial" w:eastAsia="Arial Nova" w:hAnsi="Arial" w:cs="Arial"/>
          <w:sz w:val="22"/>
          <w:szCs w:val="22"/>
        </w:rPr>
      </w:pPr>
      <w:r w:rsidRPr="004233F6">
        <w:rPr>
          <w:rFonts w:ascii="Arial" w:eastAsia="Arial Nova" w:hAnsi="Arial" w:cs="Arial"/>
          <w:sz w:val="22"/>
          <w:szCs w:val="22"/>
        </w:rPr>
        <w:t xml:space="preserve">Guilford, J.P. (1967) </w:t>
      </w:r>
      <w:r w:rsidRPr="004233F6">
        <w:rPr>
          <w:rFonts w:ascii="Arial" w:eastAsia="Arial Nova" w:hAnsi="Arial" w:cs="Arial"/>
          <w:i/>
          <w:iCs/>
          <w:sz w:val="22"/>
          <w:szCs w:val="22"/>
        </w:rPr>
        <w:t>The Nature of Human Intelligence</w:t>
      </w:r>
      <w:r w:rsidRPr="004233F6">
        <w:rPr>
          <w:rFonts w:ascii="Arial" w:eastAsia="Arial Nova" w:hAnsi="Arial" w:cs="Arial"/>
          <w:sz w:val="22"/>
          <w:szCs w:val="22"/>
        </w:rPr>
        <w:t>. New York: McGraw-Hill.</w:t>
      </w:r>
    </w:p>
    <w:p w14:paraId="356E9964" w14:textId="77777777" w:rsidR="004233F6" w:rsidRPr="004233F6" w:rsidRDefault="004233F6" w:rsidP="004233F6">
      <w:pPr>
        <w:spacing w:line="360" w:lineRule="auto"/>
        <w:jc w:val="both"/>
        <w:rPr>
          <w:rFonts w:ascii="Arial" w:eastAsia="Arial Nova" w:hAnsi="Arial" w:cs="Arial"/>
          <w:sz w:val="22"/>
          <w:szCs w:val="22"/>
        </w:rPr>
      </w:pPr>
      <w:r w:rsidRPr="004233F6">
        <w:rPr>
          <w:rFonts w:ascii="Arial" w:eastAsia="Arial Nova" w:hAnsi="Arial" w:cs="Arial"/>
          <w:sz w:val="22"/>
          <w:szCs w:val="22"/>
        </w:rPr>
        <w:lastRenderedPageBreak/>
        <w:t xml:space="preserve">Keshta, I. and Odeh, A. (2021) ‘Security and privacy of electronic health records’, </w:t>
      </w:r>
      <w:r w:rsidRPr="004233F6">
        <w:rPr>
          <w:rFonts w:ascii="Arial" w:eastAsia="Arial Nova" w:hAnsi="Arial" w:cs="Arial"/>
          <w:i/>
          <w:iCs/>
          <w:sz w:val="22"/>
          <w:szCs w:val="22"/>
        </w:rPr>
        <w:t>International Journal of Advanced Computer Science</w:t>
      </w:r>
      <w:r w:rsidRPr="004233F6">
        <w:rPr>
          <w:rFonts w:ascii="Arial" w:eastAsia="Arial Nova" w:hAnsi="Arial" w:cs="Arial"/>
          <w:sz w:val="22"/>
          <w:szCs w:val="22"/>
        </w:rPr>
        <w:t>, 12(1), pp. 1–10.</w:t>
      </w:r>
    </w:p>
    <w:p w14:paraId="6EFF59EE" w14:textId="77777777" w:rsidR="004233F6" w:rsidRPr="004233F6" w:rsidRDefault="004233F6" w:rsidP="004233F6">
      <w:pPr>
        <w:spacing w:line="360" w:lineRule="auto"/>
        <w:jc w:val="both"/>
        <w:rPr>
          <w:rFonts w:ascii="Arial" w:eastAsia="Arial Nova" w:hAnsi="Arial" w:cs="Arial"/>
          <w:sz w:val="22"/>
          <w:szCs w:val="22"/>
        </w:rPr>
      </w:pPr>
      <w:r w:rsidRPr="004233F6">
        <w:rPr>
          <w:rFonts w:ascii="Arial" w:eastAsia="Arial Nova" w:hAnsi="Arial" w:cs="Arial"/>
          <w:sz w:val="22"/>
          <w:szCs w:val="22"/>
        </w:rPr>
        <w:t xml:space="preserve">Marmot, M., Allen, J., Boyce, T., Goldblatt, P. and Morrison, J. (2020) </w:t>
      </w:r>
      <w:r w:rsidRPr="004233F6">
        <w:rPr>
          <w:rFonts w:ascii="Arial" w:eastAsia="Arial Nova" w:hAnsi="Arial" w:cs="Arial"/>
          <w:i/>
          <w:iCs/>
          <w:sz w:val="22"/>
          <w:szCs w:val="22"/>
        </w:rPr>
        <w:t>Health Equity in England: The Marmot Review 10 Years On</w:t>
      </w:r>
      <w:r w:rsidRPr="004233F6">
        <w:rPr>
          <w:rFonts w:ascii="Arial" w:eastAsia="Arial Nova" w:hAnsi="Arial" w:cs="Arial"/>
          <w:sz w:val="22"/>
          <w:szCs w:val="22"/>
        </w:rPr>
        <w:t>. London: Institute of Health Equity.</w:t>
      </w:r>
    </w:p>
    <w:p w14:paraId="552A0009" w14:textId="77777777" w:rsidR="004233F6" w:rsidRPr="004233F6" w:rsidRDefault="004233F6" w:rsidP="004233F6">
      <w:pPr>
        <w:spacing w:line="360" w:lineRule="auto"/>
        <w:jc w:val="both"/>
        <w:rPr>
          <w:rFonts w:ascii="Arial" w:eastAsia="Arial Nova" w:hAnsi="Arial" w:cs="Arial"/>
          <w:sz w:val="22"/>
          <w:szCs w:val="22"/>
        </w:rPr>
      </w:pPr>
      <w:r w:rsidRPr="004233F6">
        <w:rPr>
          <w:rFonts w:ascii="Arial" w:eastAsia="Arial Nova" w:hAnsi="Arial" w:cs="Arial"/>
          <w:sz w:val="22"/>
          <w:szCs w:val="22"/>
        </w:rPr>
        <w:t xml:space="preserve">NHS England (2023) </w:t>
      </w:r>
      <w:r w:rsidRPr="004233F6">
        <w:rPr>
          <w:rFonts w:ascii="Arial" w:eastAsia="Arial Nova" w:hAnsi="Arial" w:cs="Arial"/>
          <w:i/>
          <w:iCs/>
          <w:sz w:val="22"/>
          <w:szCs w:val="22"/>
        </w:rPr>
        <w:t>The NHS Long Term Plan</w:t>
      </w:r>
      <w:r w:rsidRPr="004233F6">
        <w:rPr>
          <w:rFonts w:ascii="Arial" w:eastAsia="Arial Nova" w:hAnsi="Arial" w:cs="Arial"/>
          <w:sz w:val="22"/>
          <w:szCs w:val="22"/>
        </w:rPr>
        <w:t>. London: NHS England.</w:t>
      </w:r>
    </w:p>
    <w:p w14:paraId="47504DC8" w14:textId="77777777" w:rsidR="004233F6" w:rsidRPr="004233F6" w:rsidRDefault="004233F6" w:rsidP="004233F6">
      <w:pPr>
        <w:spacing w:line="360" w:lineRule="auto"/>
        <w:jc w:val="both"/>
        <w:rPr>
          <w:rFonts w:ascii="Arial" w:eastAsia="Arial Nova" w:hAnsi="Arial" w:cs="Arial"/>
          <w:sz w:val="22"/>
          <w:szCs w:val="22"/>
        </w:rPr>
      </w:pPr>
      <w:r w:rsidRPr="004233F6">
        <w:rPr>
          <w:rFonts w:ascii="Arial" w:eastAsia="Arial Nova" w:hAnsi="Arial" w:cs="Arial"/>
          <w:sz w:val="22"/>
          <w:szCs w:val="22"/>
        </w:rPr>
        <w:t xml:space="preserve">NHS Leadership Academy (2013) </w:t>
      </w:r>
      <w:r w:rsidRPr="004233F6">
        <w:rPr>
          <w:rFonts w:ascii="Arial" w:eastAsia="Arial Nova" w:hAnsi="Arial" w:cs="Arial"/>
          <w:i/>
          <w:iCs/>
          <w:sz w:val="22"/>
          <w:szCs w:val="22"/>
        </w:rPr>
        <w:t>Healthcare Leadership Model</w:t>
      </w:r>
      <w:r w:rsidRPr="004233F6">
        <w:rPr>
          <w:rFonts w:ascii="Arial" w:eastAsia="Arial Nova" w:hAnsi="Arial" w:cs="Arial"/>
          <w:sz w:val="22"/>
          <w:szCs w:val="22"/>
        </w:rPr>
        <w:t>. London: NHS.</w:t>
      </w:r>
    </w:p>
    <w:p w14:paraId="6EC4DCCD" w14:textId="77777777" w:rsidR="004233F6" w:rsidRPr="004233F6" w:rsidRDefault="004233F6" w:rsidP="004233F6">
      <w:pPr>
        <w:spacing w:line="360" w:lineRule="auto"/>
        <w:jc w:val="both"/>
        <w:rPr>
          <w:rFonts w:ascii="Arial" w:eastAsia="Arial Nova" w:hAnsi="Arial" w:cs="Arial"/>
          <w:sz w:val="22"/>
          <w:szCs w:val="22"/>
        </w:rPr>
      </w:pPr>
      <w:r w:rsidRPr="004233F6">
        <w:rPr>
          <w:rFonts w:ascii="Arial" w:eastAsia="Arial Nova" w:hAnsi="Arial" w:cs="Arial"/>
          <w:sz w:val="22"/>
          <w:szCs w:val="22"/>
        </w:rPr>
        <w:t xml:space="preserve">Porter, M.E. (2010) ‘What is value in health care?’, </w:t>
      </w:r>
      <w:r w:rsidRPr="004233F6">
        <w:rPr>
          <w:rFonts w:ascii="Arial" w:eastAsia="Arial Nova" w:hAnsi="Arial" w:cs="Arial"/>
          <w:i/>
          <w:iCs/>
          <w:sz w:val="22"/>
          <w:szCs w:val="22"/>
        </w:rPr>
        <w:t>New England Journal of Medicine</w:t>
      </w:r>
      <w:r w:rsidRPr="004233F6">
        <w:rPr>
          <w:rFonts w:ascii="Arial" w:eastAsia="Arial Nova" w:hAnsi="Arial" w:cs="Arial"/>
          <w:sz w:val="22"/>
          <w:szCs w:val="22"/>
        </w:rPr>
        <w:t>, 363(26), pp. 2477–2481.</w:t>
      </w:r>
    </w:p>
    <w:p w14:paraId="11579AF0" w14:textId="77777777" w:rsidR="004233F6" w:rsidRPr="004233F6" w:rsidRDefault="004233F6" w:rsidP="004233F6">
      <w:pPr>
        <w:spacing w:line="360" w:lineRule="auto"/>
        <w:jc w:val="both"/>
        <w:rPr>
          <w:rFonts w:ascii="Arial" w:eastAsia="Arial Nova" w:hAnsi="Arial" w:cs="Arial"/>
          <w:sz w:val="22"/>
          <w:szCs w:val="22"/>
        </w:rPr>
      </w:pPr>
      <w:r w:rsidRPr="004233F6">
        <w:rPr>
          <w:rFonts w:ascii="Arial" w:eastAsia="Arial Nova" w:hAnsi="Arial" w:cs="Arial"/>
          <w:sz w:val="22"/>
          <w:szCs w:val="22"/>
        </w:rPr>
        <w:t xml:space="preserve">Saeed, S.A. and Masters, R.M. (2021) ‘Disparities in healthcare access’, </w:t>
      </w:r>
      <w:r w:rsidRPr="004233F6">
        <w:rPr>
          <w:rFonts w:ascii="Arial" w:eastAsia="Arial Nova" w:hAnsi="Arial" w:cs="Arial"/>
          <w:i/>
          <w:iCs/>
          <w:sz w:val="22"/>
          <w:szCs w:val="22"/>
        </w:rPr>
        <w:t>Healthcare</w:t>
      </w:r>
      <w:r w:rsidRPr="004233F6">
        <w:rPr>
          <w:rFonts w:ascii="Arial" w:eastAsia="Arial Nova" w:hAnsi="Arial" w:cs="Arial"/>
          <w:sz w:val="22"/>
          <w:szCs w:val="22"/>
        </w:rPr>
        <w:t>, 9(9), p. 1200.</w:t>
      </w:r>
    </w:p>
    <w:p w14:paraId="68DFA368" w14:textId="77777777" w:rsidR="004233F6" w:rsidRPr="004233F6" w:rsidRDefault="004233F6" w:rsidP="004233F6">
      <w:pPr>
        <w:spacing w:line="360" w:lineRule="auto"/>
        <w:jc w:val="both"/>
        <w:rPr>
          <w:rFonts w:ascii="Arial" w:eastAsia="Arial Nova" w:hAnsi="Arial" w:cs="Arial"/>
          <w:sz w:val="22"/>
          <w:szCs w:val="22"/>
        </w:rPr>
      </w:pPr>
      <w:r w:rsidRPr="004233F6">
        <w:rPr>
          <w:rFonts w:ascii="Arial" w:eastAsia="Arial Nova" w:hAnsi="Arial" w:cs="Arial"/>
          <w:sz w:val="22"/>
          <w:szCs w:val="22"/>
        </w:rPr>
        <w:t xml:space="preserve">The King’s Fund (2020) </w:t>
      </w:r>
      <w:r w:rsidRPr="004233F6">
        <w:rPr>
          <w:rFonts w:ascii="Arial" w:eastAsia="Arial Nova" w:hAnsi="Arial" w:cs="Arial"/>
          <w:i/>
          <w:iCs/>
          <w:sz w:val="22"/>
          <w:szCs w:val="22"/>
        </w:rPr>
        <w:t>Leadership and Leadership Development in Health Care</w:t>
      </w:r>
      <w:r w:rsidRPr="004233F6">
        <w:rPr>
          <w:rFonts w:ascii="Arial" w:eastAsia="Arial Nova" w:hAnsi="Arial" w:cs="Arial"/>
          <w:sz w:val="22"/>
          <w:szCs w:val="22"/>
        </w:rPr>
        <w:t>. London: The King’s Fund.</w:t>
      </w:r>
    </w:p>
    <w:p w14:paraId="668CABCA" w14:textId="77777777" w:rsidR="004233F6" w:rsidRPr="004233F6" w:rsidRDefault="004233F6" w:rsidP="004233F6">
      <w:pPr>
        <w:spacing w:line="360" w:lineRule="auto"/>
        <w:jc w:val="both"/>
        <w:rPr>
          <w:rFonts w:ascii="Arial" w:eastAsia="Arial Nova" w:hAnsi="Arial" w:cs="Arial"/>
          <w:sz w:val="22"/>
          <w:szCs w:val="22"/>
        </w:rPr>
      </w:pPr>
      <w:r w:rsidRPr="004233F6">
        <w:rPr>
          <w:rFonts w:ascii="Arial" w:eastAsia="Arial Nova" w:hAnsi="Arial" w:cs="Arial"/>
          <w:sz w:val="22"/>
          <w:szCs w:val="22"/>
        </w:rPr>
        <w:t xml:space="preserve">West, M., Eckert, R., Collins, B. and Chowla, R. (2022) </w:t>
      </w:r>
      <w:r w:rsidRPr="004233F6">
        <w:rPr>
          <w:rFonts w:ascii="Arial" w:eastAsia="Arial Nova" w:hAnsi="Arial" w:cs="Arial"/>
          <w:i/>
          <w:iCs/>
          <w:sz w:val="22"/>
          <w:szCs w:val="22"/>
        </w:rPr>
        <w:t>Caring to Change: How Compassionate Leadership Can Stimulate Innovation in Health Care</w:t>
      </w:r>
      <w:r w:rsidRPr="004233F6">
        <w:rPr>
          <w:rFonts w:ascii="Arial" w:eastAsia="Arial Nova" w:hAnsi="Arial" w:cs="Arial"/>
          <w:sz w:val="22"/>
          <w:szCs w:val="22"/>
        </w:rPr>
        <w:t>. London: The King’s Fund.</w:t>
      </w:r>
    </w:p>
    <w:p w14:paraId="3DA74A83" w14:textId="77777777" w:rsidR="004233F6" w:rsidRPr="004233F6" w:rsidRDefault="004233F6" w:rsidP="004233F6">
      <w:pPr>
        <w:spacing w:line="360" w:lineRule="auto"/>
        <w:jc w:val="both"/>
        <w:rPr>
          <w:rFonts w:ascii="Arial" w:eastAsia="Arial Nova" w:hAnsi="Arial" w:cs="Arial"/>
          <w:sz w:val="22"/>
          <w:szCs w:val="22"/>
        </w:rPr>
      </w:pPr>
      <w:r w:rsidRPr="004233F6">
        <w:rPr>
          <w:rFonts w:ascii="Arial" w:eastAsia="Arial Nova" w:hAnsi="Arial" w:cs="Arial"/>
          <w:sz w:val="22"/>
          <w:szCs w:val="22"/>
        </w:rPr>
        <w:t xml:space="preserve">World Health Organization (2023) </w:t>
      </w:r>
      <w:r w:rsidRPr="004233F6">
        <w:rPr>
          <w:rFonts w:ascii="Arial" w:eastAsia="Arial Nova" w:hAnsi="Arial" w:cs="Arial"/>
          <w:i/>
          <w:iCs/>
          <w:sz w:val="22"/>
          <w:szCs w:val="22"/>
        </w:rPr>
        <w:t>Global Health Observatory Data Repository</w:t>
      </w:r>
      <w:r w:rsidRPr="004233F6">
        <w:rPr>
          <w:rFonts w:ascii="Arial" w:eastAsia="Arial Nova" w:hAnsi="Arial" w:cs="Arial"/>
          <w:sz w:val="22"/>
          <w:szCs w:val="22"/>
        </w:rPr>
        <w:t>. Geneva: WHO.</w:t>
      </w:r>
    </w:p>
    <w:sectPr w:rsidR="004233F6" w:rsidRPr="004233F6" w:rsidSect="004A469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8BE8BD" w14:textId="77777777" w:rsidR="00385070" w:rsidRDefault="00385070">
      <w:pPr>
        <w:spacing w:after="0" w:line="240" w:lineRule="auto"/>
      </w:pPr>
      <w:r>
        <w:separator/>
      </w:r>
    </w:p>
  </w:endnote>
  <w:endnote w:type="continuationSeparator" w:id="0">
    <w:p w14:paraId="00107B84" w14:textId="77777777" w:rsidR="00385070" w:rsidRDefault="003850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Nova">
    <w:altName w:val="Arial"/>
    <w:charset w:val="00"/>
    <w:family w:val="swiss"/>
    <w:pitch w:val="variable"/>
    <w:sig w:usb0="0000028F" w:usb1="00000002"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FA7E88" w14:textId="77777777" w:rsidR="00385070" w:rsidRDefault="00385070">
      <w:pPr>
        <w:spacing w:after="0" w:line="240" w:lineRule="auto"/>
      </w:pPr>
      <w:r>
        <w:separator/>
      </w:r>
    </w:p>
  </w:footnote>
  <w:footnote w:type="continuationSeparator" w:id="0">
    <w:p w14:paraId="1402E913" w14:textId="77777777" w:rsidR="00385070" w:rsidRDefault="003850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203836"/>
    <w:multiLevelType w:val="multilevel"/>
    <w:tmpl w:val="49D86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9F3FBA"/>
    <w:multiLevelType w:val="multilevel"/>
    <w:tmpl w:val="0AB07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1711293">
    <w:abstractNumId w:val="0"/>
  </w:num>
  <w:num w:numId="2" w16cid:durableId="21235743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698"/>
    <w:rsid w:val="00051F12"/>
    <w:rsid w:val="001A5529"/>
    <w:rsid w:val="00226F04"/>
    <w:rsid w:val="00233328"/>
    <w:rsid w:val="00331CB3"/>
    <w:rsid w:val="00385070"/>
    <w:rsid w:val="004233F6"/>
    <w:rsid w:val="004A4698"/>
    <w:rsid w:val="004C789C"/>
    <w:rsid w:val="004E7710"/>
    <w:rsid w:val="00611061"/>
    <w:rsid w:val="00623423"/>
    <w:rsid w:val="006812F0"/>
    <w:rsid w:val="00730FAE"/>
    <w:rsid w:val="0074105D"/>
    <w:rsid w:val="00C058E8"/>
    <w:rsid w:val="00C50B11"/>
    <w:rsid w:val="00CC2A4B"/>
    <w:rsid w:val="00D605BF"/>
    <w:rsid w:val="00DC1E02"/>
    <w:rsid w:val="00E51ABF"/>
    <w:rsid w:val="00E7050A"/>
    <w:rsid w:val="00E905CE"/>
    <w:rsid w:val="00F838C7"/>
  </w:rsids>
  <m:mathPr>
    <m:mathFont m:val="Cambria Math"/>
    <m:brkBin m:val="before"/>
    <m:brkBinSub m:val="--"/>
    <m:smallFrac m:val="0"/>
    <m:dispDef/>
    <m:lMargin m:val="0"/>
    <m:rMargin m:val="0"/>
    <m:defJc m:val="centerGroup"/>
    <m:wrapIndent m:val="1440"/>
    <m:intLim m:val="subSup"/>
    <m:naryLim m:val="undOvr"/>
  </m:mathPr>
  <w:themeFontLang w:val="en-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EE590"/>
  <w15:chartTrackingRefBased/>
  <w15:docId w15:val="{DA542B73-7927-445B-B414-11367447F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4698"/>
    <w:pPr>
      <w:spacing w:line="279" w:lineRule="auto"/>
    </w:pPr>
    <w:rPr>
      <w:rFonts w:eastAsiaTheme="minorEastAsia"/>
      <w:lang w:eastAsia="ja-JP"/>
      <w14:ligatures w14:val="none"/>
    </w:rPr>
  </w:style>
  <w:style w:type="paragraph" w:styleId="Heading1">
    <w:name w:val="heading 1"/>
    <w:basedOn w:val="Normal"/>
    <w:next w:val="Normal"/>
    <w:link w:val="Heading1Char"/>
    <w:uiPriority w:val="9"/>
    <w:qFormat/>
    <w:rsid w:val="004A469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A469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A469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A469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A469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A46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46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46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46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469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A469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A469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A469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A469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A46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46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46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4698"/>
    <w:rPr>
      <w:rFonts w:eastAsiaTheme="majorEastAsia" w:cstheme="majorBidi"/>
      <w:color w:val="272727" w:themeColor="text1" w:themeTint="D8"/>
    </w:rPr>
  </w:style>
  <w:style w:type="paragraph" w:styleId="Title">
    <w:name w:val="Title"/>
    <w:basedOn w:val="Normal"/>
    <w:next w:val="Normal"/>
    <w:link w:val="TitleChar"/>
    <w:uiPriority w:val="10"/>
    <w:qFormat/>
    <w:rsid w:val="004A46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46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46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46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4698"/>
    <w:pPr>
      <w:spacing w:before="160"/>
      <w:jc w:val="center"/>
    </w:pPr>
    <w:rPr>
      <w:i/>
      <w:iCs/>
      <w:color w:val="404040" w:themeColor="text1" w:themeTint="BF"/>
    </w:rPr>
  </w:style>
  <w:style w:type="character" w:customStyle="1" w:styleId="QuoteChar">
    <w:name w:val="Quote Char"/>
    <w:basedOn w:val="DefaultParagraphFont"/>
    <w:link w:val="Quote"/>
    <w:uiPriority w:val="29"/>
    <w:rsid w:val="004A4698"/>
    <w:rPr>
      <w:i/>
      <w:iCs/>
      <w:color w:val="404040" w:themeColor="text1" w:themeTint="BF"/>
    </w:rPr>
  </w:style>
  <w:style w:type="paragraph" w:styleId="ListParagraph">
    <w:name w:val="List Paragraph"/>
    <w:basedOn w:val="Normal"/>
    <w:uiPriority w:val="34"/>
    <w:qFormat/>
    <w:rsid w:val="004A4698"/>
    <w:pPr>
      <w:ind w:left="720"/>
      <w:contextualSpacing/>
    </w:pPr>
  </w:style>
  <w:style w:type="character" w:styleId="IntenseEmphasis">
    <w:name w:val="Intense Emphasis"/>
    <w:basedOn w:val="DefaultParagraphFont"/>
    <w:uiPriority w:val="21"/>
    <w:qFormat/>
    <w:rsid w:val="004A4698"/>
    <w:rPr>
      <w:i/>
      <w:iCs/>
      <w:color w:val="2F5496" w:themeColor="accent1" w:themeShade="BF"/>
    </w:rPr>
  </w:style>
  <w:style w:type="paragraph" w:styleId="IntenseQuote">
    <w:name w:val="Intense Quote"/>
    <w:basedOn w:val="Normal"/>
    <w:next w:val="Normal"/>
    <w:link w:val="IntenseQuoteChar"/>
    <w:uiPriority w:val="30"/>
    <w:qFormat/>
    <w:rsid w:val="004A469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A4698"/>
    <w:rPr>
      <w:i/>
      <w:iCs/>
      <w:color w:val="2F5496" w:themeColor="accent1" w:themeShade="BF"/>
    </w:rPr>
  </w:style>
  <w:style w:type="character" w:styleId="IntenseReference">
    <w:name w:val="Intense Reference"/>
    <w:basedOn w:val="DefaultParagraphFont"/>
    <w:uiPriority w:val="32"/>
    <w:qFormat/>
    <w:rsid w:val="004A4698"/>
    <w:rPr>
      <w:b/>
      <w:bCs/>
      <w:smallCaps/>
      <w:color w:val="2F5496" w:themeColor="accent1" w:themeShade="BF"/>
      <w:spacing w:val="5"/>
    </w:rPr>
  </w:style>
  <w:style w:type="character" w:styleId="Hyperlink">
    <w:name w:val="Hyperlink"/>
    <w:basedOn w:val="DefaultParagraphFont"/>
    <w:uiPriority w:val="99"/>
    <w:unhideWhenUsed/>
    <w:rsid w:val="004A4698"/>
    <w:rPr>
      <w:color w:val="0563C1" w:themeColor="hyperlink"/>
      <w:u w:val="single"/>
    </w:rPr>
  </w:style>
  <w:style w:type="paragraph" w:styleId="TOCHeading">
    <w:name w:val="TOC Heading"/>
    <w:basedOn w:val="Heading1"/>
    <w:next w:val="Normal"/>
    <w:uiPriority w:val="39"/>
    <w:unhideWhenUsed/>
    <w:qFormat/>
    <w:rsid w:val="004A4698"/>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4A4698"/>
    <w:pPr>
      <w:spacing w:after="100"/>
    </w:pPr>
  </w:style>
  <w:style w:type="character" w:styleId="UnresolvedMention">
    <w:name w:val="Unresolved Mention"/>
    <w:basedOn w:val="DefaultParagraphFont"/>
    <w:uiPriority w:val="99"/>
    <w:semiHidden/>
    <w:unhideWhenUsed/>
    <w:rsid w:val="004233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oleObject" Target="embeddings/oleObject1.bin"/><Relationship Id="rId4" Type="http://schemas.openxmlformats.org/officeDocument/2006/relationships/webSettings" Target="webSettings.xml"/><Relationship Id="rId9"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TotalTime>
  <Pages>10</Pages>
  <Words>2164</Words>
  <Characters>12338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4</cp:revision>
  <dcterms:created xsi:type="dcterms:W3CDTF">2026-03-24T09:53:00Z</dcterms:created>
  <dcterms:modified xsi:type="dcterms:W3CDTF">2026-03-25T10:22:00Z</dcterms:modified>
</cp:coreProperties>
</file>