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5AB3F6" w14:textId="69DD6803" w:rsidR="2AA6FD42" w:rsidRPr="00837B03" w:rsidRDefault="08758A9A" w:rsidP="4876A215">
      <w:pPr>
        <w:spacing w:line="480" w:lineRule="auto"/>
        <w:jc w:val="both"/>
        <w:rPr>
          <w:rFonts w:ascii="Times New Roman" w:eastAsia="Times New Roman" w:hAnsi="Times New Roman" w:cs="Times New Roman"/>
          <w:sz w:val="24"/>
          <w:szCs w:val="24"/>
          <w:u w:val="single"/>
        </w:rPr>
      </w:pPr>
      <w:r w:rsidRPr="00837B03">
        <w:rPr>
          <w:rFonts w:ascii="Times New Roman" w:eastAsia="Times New Roman" w:hAnsi="Times New Roman" w:cs="Times New Roman"/>
          <w:sz w:val="24"/>
          <w:szCs w:val="24"/>
          <w:u w:val="single"/>
        </w:rPr>
        <w:t>Voigt, M. M. (2007) ‘The Splendour of Women: Late Neolithic Images from Central Anatolia’, in Morley, I. and Renfrew</w:t>
      </w:r>
      <w:r w:rsidR="613B54C1" w:rsidRPr="00837B03">
        <w:rPr>
          <w:rFonts w:ascii="Times New Roman" w:eastAsia="Times New Roman" w:hAnsi="Times New Roman" w:cs="Times New Roman"/>
          <w:sz w:val="24"/>
          <w:szCs w:val="24"/>
          <w:u w:val="single"/>
        </w:rPr>
        <w:t>, C</w:t>
      </w:r>
      <w:r w:rsidRPr="00837B03">
        <w:rPr>
          <w:rFonts w:ascii="Times New Roman" w:eastAsia="Times New Roman" w:hAnsi="Times New Roman" w:cs="Times New Roman"/>
          <w:sz w:val="24"/>
          <w:szCs w:val="24"/>
          <w:u w:val="single"/>
        </w:rPr>
        <w:t>.</w:t>
      </w:r>
      <w:r w:rsidR="4156403E" w:rsidRPr="00837B03">
        <w:rPr>
          <w:rFonts w:ascii="Times New Roman" w:eastAsia="Times New Roman" w:hAnsi="Times New Roman" w:cs="Times New Roman"/>
          <w:sz w:val="24"/>
          <w:szCs w:val="24"/>
          <w:u w:val="single"/>
        </w:rPr>
        <w:t xml:space="preserve"> (ed.).</w:t>
      </w:r>
      <w:r w:rsidRPr="00837B03">
        <w:rPr>
          <w:rFonts w:ascii="Times New Roman" w:eastAsia="Times New Roman" w:hAnsi="Times New Roman" w:cs="Times New Roman"/>
          <w:sz w:val="24"/>
          <w:szCs w:val="24"/>
          <w:u w:val="single"/>
        </w:rPr>
        <w:t xml:space="preserve"> </w:t>
      </w:r>
      <w:r w:rsidRPr="00837B03">
        <w:rPr>
          <w:rFonts w:ascii="Times New Roman" w:eastAsia="Times New Roman" w:hAnsi="Times New Roman" w:cs="Times New Roman"/>
          <w:i/>
          <w:iCs/>
          <w:sz w:val="24"/>
          <w:szCs w:val="24"/>
          <w:u w:val="single"/>
        </w:rPr>
        <w:t xml:space="preserve">Image </w:t>
      </w:r>
      <w:r w:rsidR="5ACA0BBF" w:rsidRPr="00837B03">
        <w:rPr>
          <w:rFonts w:ascii="Times New Roman" w:eastAsia="Times New Roman" w:hAnsi="Times New Roman" w:cs="Times New Roman"/>
          <w:i/>
          <w:iCs/>
          <w:sz w:val="24"/>
          <w:szCs w:val="24"/>
          <w:u w:val="single"/>
        </w:rPr>
        <w:t>&amp; Imagination: A Global History of Figurative Representation.</w:t>
      </w:r>
      <w:r w:rsidR="5ACA0BBF" w:rsidRPr="00837B03">
        <w:rPr>
          <w:rFonts w:ascii="Times New Roman" w:eastAsia="Times New Roman" w:hAnsi="Times New Roman" w:cs="Times New Roman"/>
          <w:sz w:val="24"/>
          <w:szCs w:val="24"/>
          <w:u w:val="single"/>
        </w:rPr>
        <w:t xml:space="preserve"> Cambridge: McDonald Institute for Archaeological Research.</w:t>
      </w:r>
    </w:p>
    <w:p w14:paraId="29FBC4FE" w14:textId="77777777" w:rsidR="005F6AAD" w:rsidRPr="00837B03" w:rsidRDefault="005F6AAD" w:rsidP="4876A215">
      <w:pPr>
        <w:spacing w:line="480" w:lineRule="auto"/>
        <w:jc w:val="both"/>
        <w:rPr>
          <w:rFonts w:ascii="Times New Roman" w:eastAsia="Times New Roman" w:hAnsi="Times New Roman" w:cs="Times New Roman"/>
          <w:sz w:val="24"/>
          <w:szCs w:val="24"/>
          <w:u w:val="single"/>
        </w:rPr>
      </w:pPr>
    </w:p>
    <w:p w14:paraId="3641F0BB" w14:textId="7ECB55EA" w:rsidR="00E33684" w:rsidRPr="00837B03" w:rsidRDefault="00FE3230"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This chapter, </w:t>
      </w:r>
      <w:r w:rsidRPr="00837B03">
        <w:rPr>
          <w:rFonts w:ascii="Times New Roman" w:eastAsia="Times New Roman" w:hAnsi="Times New Roman" w:cs="Times New Roman"/>
          <w:i/>
          <w:sz w:val="24"/>
          <w:szCs w:val="24"/>
        </w:rPr>
        <w:t>The Splendour of Women: Late Neolithic Images from Central Anatolia</w:t>
      </w:r>
      <w:r w:rsidRPr="00837B03">
        <w:rPr>
          <w:rFonts w:ascii="Times New Roman" w:eastAsia="Times New Roman" w:hAnsi="Times New Roman" w:cs="Times New Roman"/>
          <w:sz w:val="24"/>
          <w:szCs w:val="24"/>
        </w:rPr>
        <w:t xml:space="preserve">, by Voigt looks at the many figurines that came from the Hacilar site excavation, specifically </w:t>
      </w:r>
      <w:r w:rsidR="003F2936" w:rsidRPr="00837B03">
        <w:rPr>
          <w:rFonts w:ascii="Times New Roman" w:eastAsia="Times New Roman" w:hAnsi="Times New Roman" w:cs="Times New Roman"/>
          <w:sz w:val="24"/>
          <w:szCs w:val="24"/>
        </w:rPr>
        <w:t>Level</w:t>
      </w:r>
      <w:r w:rsidRPr="00837B03">
        <w:rPr>
          <w:rFonts w:ascii="Times New Roman" w:eastAsia="Times New Roman" w:hAnsi="Times New Roman" w:cs="Times New Roman"/>
          <w:sz w:val="24"/>
          <w:szCs w:val="24"/>
        </w:rPr>
        <w:t xml:space="preserve"> VI</w:t>
      </w:r>
      <w:r w:rsidR="003E69C9" w:rsidRPr="00837B03">
        <w:rPr>
          <w:rFonts w:ascii="Times New Roman" w:eastAsia="Times New Roman" w:hAnsi="Times New Roman" w:cs="Times New Roman"/>
          <w:sz w:val="24"/>
          <w:szCs w:val="24"/>
        </w:rPr>
        <w:t xml:space="preserve"> of Houses P.1, P.2, and P.3,</w:t>
      </w:r>
      <w:r w:rsidR="003E69C9" w:rsidRPr="00837B03">
        <w:rPr>
          <w:rStyle w:val="FootnoteReference"/>
          <w:rFonts w:ascii="Times New Roman" w:eastAsia="Times New Roman" w:hAnsi="Times New Roman" w:cs="Times New Roman"/>
          <w:sz w:val="24"/>
          <w:szCs w:val="24"/>
        </w:rPr>
        <w:footnoteReference w:id="1"/>
      </w:r>
      <w:r w:rsidR="003E69C9" w:rsidRPr="00837B03">
        <w:rPr>
          <w:rFonts w:ascii="Times New Roman" w:eastAsia="Times New Roman" w:hAnsi="Times New Roman" w:cs="Times New Roman"/>
          <w:sz w:val="24"/>
          <w:szCs w:val="24"/>
        </w:rPr>
        <w:t xml:space="preserve"> as well as Houses Q.2, Q.3, Q.4, Q.5, and Q.6</w:t>
      </w:r>
      <w:r w:rsidRPr="00837B03">
        <w:rPr>
          <w:rFonts w:ascii="Times New Roman" w:eastAsia="Times New Roman" w:hAnsi="Times New Roman" w:cs="Times New Roman"/>
          <w:sz w:val="24"/>
          <w:szCs w:val="24"/>
        </w:rPr>
        <w:t>.</w:t>
      </w:r>
      <w:r w:rsidRPr="00837B03">
        <w:rPr>
          <w:rStyle w:val="FootnoteReference"/>
          <w:rFonts w:ascii="Times New Roman" w:eastAsia="Times New Roman" w:hAnsi="Times New Roman" w:cs="Times New Roman"/>
          <w:sz w:val="24"/>
          <w:szCs w:val="24"/>
        </w:rPr>
        <w:footnoteReference w:id="2"/>
      </w:r>
      <w:r w:rsidR="00E33684" w:rsidRPr="00837B03">
        <w:rPr>
          <w:rFonts w:ascii="Times New Roman" w:eastAsia="Times New Roman" w:hAnsi="Times New Roman" w:cs="Times New Roman"/>
          <w:sz w:val="24"/>
          <w:szCs w:val="24"/>
        </w:rPr>
        <w:t xml:space="preserve"> </w:t>
      </w:r>
      <w:r w:rsidR="00A74B13" w:rsidRPr="00837B03">
        <w:rPr>
          <w:rFonts w:ascii="Times New Roman" w:eastAsia="Times New Roman" w:hAnsi="Times New Roman" w:cs="Times New Roman"/>
          <w:sz w:val="24"/>
          <w:szCs w:val="24"/>
        </w:rPr>
        <w:t xml:space="preserve">Voigt has </w:t>
      </w:r>
      <w:r w:rsidR="00ED709C" w:rsidRPr="00837B03">
        <w:rPr>
          <w:rFonts w:ascii="Times New Roman" w:eastAsia="Times New Roman" w:hAnsi="Times New Roman" w:cs="Times New Roman"/>
          <w:sz w:val="24"/>
          <w:szCs w:val="24"/>
        </w:rPr>
        <w:t>written</w:t>
      </w:r>
      <w:r w:rsidR="00A901B6" w:rsidRPr="00837B03">
        <w:rPr>
          <w:rFonts w:ascii="Times New Roman" w:eastAsia="Times New Roman" w:hAnsi="Times New Roman" w:cs="Times New Roman"/>
          <w:sz w:val="24"/>
          <w:szCs w:val="24"/>
        </w:rPr>
        <w:t xml:space="preserve"> plenty on</w:t>
      </w:r>
      <w:r w:rsidR="00A74B13" w:rsidRPr="00837B03">
        <w:rPr>
          <w:rFonts w:ascii="Times New Roman" w:eastAsia="Times New Roman" w:hAnsi="Times New Roman" w:cs="Times New Roman"/>
          <w:sz w:val="24"/>
          <w:szCs w:val="24"/>
        </w:rPr>
        <w:t xml:space="preserve"> the Neolithic and Anatolia, including</w:t>
      </w:r>
      <w:r w:rsidR="00A901B6" w:rsidRPr="00837B03">
        <w:rPr>
          <w:rFonts w:ascii="Times New Roman" w:eastAsia="Times New Roman" w:hAnsi="Times New Roman" w:cs="Times New Roman"/>
          <w:sz w:val="24"/>
          <w:szCs w:val="24"/>
        </w:rPr>
        <w:t xml:space="preserve"> on</w:t>
      </w:r>
      <w:r w:rsidR="00A74B13" w:rsidRPr="00837B03">
        <w:rPr>
          <w:rFonts w:ascii="Times New Roman" w:eastAsia="Times New Roman" w:hAnsi="Times New Roman" w:cs="Times New Roman"/>
          <w:sz w:val="24"/>
          <w:szCs w:val="24"/>
        </w:rPr>
        <w:t xml:space="preserve"> animal sacrifice,</w:t>
      </w:r>
      <w:r w:rsidR="00A74B13" w:rsidRPr="00837B03">
        <w:rPr>
          <w:rStyle w:val="FootnoteReference"/>
          <w:rFonts w:ascii="Times New Roman" w:eastAsia="Times New Roman" w:hAnsi="Times New Roman" w:cs="Times New Roman"/>
          <w:sz w:val="24"/>
          <w:szCs w:val="24"/>
        </w:rPr>
        <w:footnoteReference w:id="3"/>
      </w:r>
      <w:r w:rsidR="00A74B13" w:rsidRPr="00837B03">
        <w:rPr>
          <w:rFonts w:ascii="Times New Roman" w:eastAsia="Times New Roman" w:hAnsi="Times New Roman" w:cs="Times New Roman"/>
          <w:sz w:val="24"/>
          <w:szCs w:val="24"/>
        </w:rPr>
        <w:t xml:space="preserve"> ritual context at Catalhoyuk,</w:t>
      </w:r>
      <w:r w:rsidR="00A74B13" w:rsidRPr="00837B03">
        <w:rPr>
          <w:rStyle w:val="FootnoteReference"/>
          <w:rFonts w:ascii="Times New Roman" w:eastAsia="Times New Roman" w:hAnsi="Times New Roman" w:cs="Times New Roman"/>
          <w:sz w:val="24"/>
          <w:szCs w:val="24"/>
        </w:rPr>
        <w:footnoteReference w:id="4"/>
      </w:r>
      <w:r w:rsidR="00A74B13" w:rsidRPr="00837B03">
        <w:rPr>
          <w:rFonts w:ascii="Times New Roman" w:eastAsia="Times New Roman" w:hAnsi="Times New Roman" w:cs="Times New Roman"/>
          <w:sz w:val="24"/>
          <w:szCs w:val="24"/>
        </w:rPr>
        <w:t xml:space="preserve"> and the economies of the Neolithic.</w:t>
      </w:r>
      <w:r w:rsidR="00A74B13" w:rsidRPr="00837B03">
        <w:rPr>
          <w:rStyle w:val="FootnoteReference"/>
          <w:rFonts w:ascii="Times New Roman" w:eastAsia="Times New Roman" w:hAnsi="Times New Roman" w:cs="Times New Roman"/>
          <w:sz w:val="24"/>
          <w:szCs w:val="24"/>
        </w:rPr>
        <w:footnoteReference w:id="5"/>
      </w:r>
    </w:p>
    <w:p w14:paraId="02580E04" w14:textId="77777777" w:rsidR="00B236F1" w:rsidRPr="00837B03" w:rsidRDefault="00B236F1" w:rsidP="4876A215">
      <w:pPr>
        <w:spacing w:line="480" w:lineRule="auto"/>
        <w:jc w:val="both"/>
        <w:rPr>
          <w:rFonts w:ascii="Times New Roman" w:eastAsia="Times New Roman" w:hAnsi="Times New Roman" w:cs="Times New Roman"/>
          <w:sz w:val="24"/>
          <w:szCs w:val="24"/>
        </w:rPr>
      </w:pPr>
    </w:p>
    <w:p w14:paraId="1273FD6C" w14:textId="1AC91D31" w:rsidR="6E7B09B6" w:rsidRPr="00837B03" w:rsidRDefault="6E7B09B6"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Voigt wrote this chapter </w:t>
      </w:r>
      <w:r w:rsidR="11A68251" w:rsidRPr="00837B03">
        <w:rPr>
          <w:rFonts w:ascii="Times New Roman" w:eastAsia="Times New Roman" w:hAnsi="Times New Roman" w:cs="Times New Roman"/>
          <w:sz w:val="24"/>
          <w:szCs w:val="24"/>
        </w:rPr>
        <w:t>for the</w:t>
      </w:r>
      <w:r w:rsidR="00F9218A" w:rsidRPr="00837B03">
        <w:rPr>
          <w:rFonts w:ascii="Times New Roman" w:eastAsia="Times New Roman" w:hAnsi="Times New Roman" w:cs="Times New Roman"/>
          <w:sz w:val="24"/>
          <w:szCs w:val="24"/>
        </w:rPr>
        <w:t xml:space="preserve"> </w:t>
      </w:r>
      <w:bookmarkStart w:id="0" w:name="_GoBack"/>
      <w:bookmarkEnd w:id="0"/>
      <w:r w:rsidR="00F9218A" w:rsidRPr="00837B03">
        <w:rPr>
          <w:rFonts w:ascii="Times New Roman" w:eastAsia="Times New Roman" w:hAnsi="Times New Roman" w:cs="Times New Roman"/>
          <w:sz w:val="24"/>
          <w:szCs w:val="24"/>
        </w:rPr>
        <w:t>2007</w:t>
      </w:r>
      <w:r w:rsidR="11A68251" w:rsidRPr="00837B03">
        <w:rPr>
          <w:rFonts w:ascii="Times New Roman" w:eastAsia="Times New Roman" w:hAnsi="Times New Roman" w:cs="Times New Roman"/>
          <w:sz w:val="24"/>
          <w:szCs w:val="24"/>
        </w:rPr>
        <w:t xml:space="preserve"> book</w:t>
      </w:r>
      <w:r w:rsidR="0078578D" w:rsidRPr="00837B03">
        <w:rPr>
          <w:rFonts w:ascii="Times New Roman" w:eastAsia="Times New Roman" w:hAnsi="Times New Roman" w:cs="Times New Roman"/>
          <w:sz w:val="24"/>
          <w:szCs w:val="24"/>
        </w:rPr>
        <w:t>,</w:t>
      </w:r>
      <w:r w:rsidR="11A68251" w:rsidRPr="00837B03">
        <w:rPr>
          <w:rFonts w:ascii="Times New Roman" w:eastAsia="Times New Roman" w:hAnsi="Times New Roman" w:cs="Times New Roman"/>
          <w:sz w:val="24"/>
          <w:szCs w:val="24"/>
        </w:rPr>
        <w:t xml:space="preserve"> </w:t>
      </w:r>
      <w:r w:rsidR="11A68251" w:rsidRPr="00837B03">
        <w:rPr>
          <w:rFonts w:ascii="Times New Roman" w:eastAsia="Times New Roman" w:hAnsi="Times New Roman" w:cs="Times New Roman"/>
          <w:i/>
          <w:iCs/>
          <w:sz w:val="24"/>
          <w:szCs w:val="24"/>
        </w:rPr>
        <w:t>Image &amp; Imagination: A Global History of Figurative Representation,</w:t>
      </w:r>
      <w:r w:rsidR="11A68251" w:rsidRPr="00837B03">
        <w:rPr>
          <w:rFonts w:ascii="Times New Roman" w:eastAsia="Times New Roman" w:hAnsi="Times New Roman" w:cs="Times New Roman"/>
          <w:sz w:val="24"/>
          <w:szCs w:val="24"/>
        </w:rPr>
        <w:t xml:space="preserve"> where the</w:t>
      </w:r>
      <w:r w:rsidR="5D7E4AAE" w:rsidRPr="00837B03">
        <w:rPr>
          <w:rFonts w:ascii="Times New Roman" w:eastAsia="Times New Roman" w:hAnsi="Times New Roman" w:cs="Times New Roman"/>
          <w:sz w:val="24"/>
          <w:szCs w:val="24"/>
        </w:rPr>
        <w:t xml:space="preserve"> many authors look into figuration </w:t>
      </w:r>
      <w:r w:rsidR="000F0C68" w:rsidRPr="00837B03">
        <w:rPr>
          <w:rFonts w:ascii="Times New Roman" w:eastAsia="Times New Roman" w:hAnsi="Times New Roman" w:cs="Times New Roman"/>
          <w:sz w:val="24"/>
          <w:szCs w:val="24"/>
        </w:rPr>
        <w:t xml:space="preserve">– </w:t>
      </w:r>
      <w:r w:rsidR="5D7E4AAE" w:rsidRPr="00837B03">
        <w:rPr>
          <w:rFonts w:ascii="Times New Roman" w:eastAsia="Times New Roman" w:hAnsi="Times New Roman" w:cs="Times New Roman"/>
          <w:sz w:val="24"/>
          <w:szCs w:val="24"/>
        </w:rPr>
        <w:t>‘the earliest symbolic behaviour for whi</w:t>
      </w:r>
      <w:r w:rsidR="6C1C6C62" w:rsidRPr="00837B03">
        <w:rPr>
          <w:rFonts w:ascii="Times New Roman" w:eastAsia="Times New Roman" w:hAnsi="Times New Roman" w:cs="Times New Roman"/>
          <w:sz w:val="24"/>
          <w:szCs w:val="24"/>
        </w:rPr>
        <w:t>ch there is extensive evidence</w:t>
      </w:r>
      <w:r w:rsidR="7056C514" w:rsidRPr="00837B03">
        <w:rPr>
          <w:rFonts w:ascii="Times New Roman" w:eastAsia="Times New Roman" w:hAnsi="Times New Roman" w:cs="Times New Roman"/>
          <w:sz w:val="24"/>
          <w:szCs w:val="24"/>
        </w:rPr>
        <w:t>’</w:t>
      </w:r>
      <w:r w:rsidR="6C1C6C62" w:rsidRPr="00837B03">
        <w:rPr>
          <w:rFonts w:ascii="Times New Roman" w:eastAsia="Times New Roman" w:hAnsi="Times New Roman" w:cs="Times New Roman"/>
          <w:sz w:val="24"/>
          <w:szCs w:val="24"/>
        </w:rPr>
        <w:t xml:space="preserve"> – and they look into developing the ways in which </w:t>
      </w:r>
      <w:r w:rsidR="427EC248" w:rsidRPr="00837B03">
        <w:rPr>
          <w:rFonts w:ascii="Times New Roman" w:eastAsia="Times New Roman" w:hAnsi="Times New Roman" w:cs="Times New Roman"/>
          <w:sz w:val="24"/>
          <w:szCs w:val="24"/>
        </w:rPr>
        <w:t>‘elements of past visual and sensual culture’ is and can be understood.</w:t>
      </w:r>
      <w:r w:rsidR="000F0C68" w:rsidRPr="00837B03">
        <w:rPr>
          <w:rStyle w:val="FootnoteReference"/>
          <w:rFonts w:ascii="Times New Roman" w:eastAsia="Times New Roman" w:hAnsi="Times New Roman" w:cs="Times New Roman"/>
          <w:sz w:val="24"/>
          <w:szCs w:val="24"/>
        </w:rPr>
        <w:footnoteReference w:id="6"/>
      </w:r>
      <w:r w:rsidR="32388C7B" w:rsidRPr="00837B03">
        <w:rPr>
          <w:rFonts w:ascii="Times New Roman" w:eastAsia="Times New Roman" w:hAnsi="Times New Roman" w:cs="Times New Roman"/>
          <w:sz w:val="24"/>
          <w:szCs w:val="24"/>
        </w:rPr>
        <w:t xml:space="preserve"> </w:t>
      </w:r>
      <w:r w:rsidR="00B774CE" w:rsidRPr="00837B03">
        <w:rPr>
          <w:rFonts w:ascii="Times New Roman" w:eastAsia="Times New Roman" w:hAnsi="Times New Roman" w:cs="Times New Roman"/>
          <w:sz w:val="24"/>
          <w:szCs w:val="24"/>
        </w:rPr>
        <w:t xml:space="preserve">Her chapter has been cited by </w:t>
      </w:r>
      <w:r w:rsidR="00227AED" w:rsidRPr="00837B03">
        <w:rPr>
          <w:rFonts w:ascii="Times New Roman" w:eastAsia="Times New Roman" w:hAnsi="Times New Roman" w:cs="Times New Roman"/>
          <w:sz w:val="24"/>
          <w:szCs w:val="24"/>
        </w:rPr>
        <w:t>authors who have also looked</w:t>
      </w:r>
      <w:r w:rsidR="00B774CE" w:rsidRPr="00837B03">
        <w:rPr>
          <w:rFonts w:ascii="Times New Roman" w:eastAsia="Times New Roman" w:hAnsi="Times New Roman" w:cs="Times New Roman"/>
          <w:sz w:val="24"/>
          <w:szCs w:val="24"/>
        </w:rPr>
        <w:t xml:space="preserve"> into the Neolithic period, and at Catalhoyuk</w:t>
      </w:r>
      <w:r w:rsidR="002956BE" w:rsidRPr="00837B03">
        <w:rPr>
          <w:rFonts w:ascii="Times New Roman" w:eastAsia="Times New Roman" w:hAnsi="Times New Roman" w:cs="Times New Roman"/>
          <w:sz w:val="24"/>
          <w:szCs w:val="24"/>
        </w:rPr>
        <w:t xml:space="preserve"> and Anatolia, showing </w:t>
      </w:r>
      <w:r w:rsidR="002153FB" w:rsidRPr="00837B03">
        <w:rPr>
          <w:rFonts w:ascii="Times New Roman" w:eastAsia="Times New Roman" w:hAnsi="Times New Roman" w:cs="Times New Roman"/>
          <w:sz w:val="24"/>
          <w:szCs w:val="24"/>
        </w:rPr>
        <w:t xml:space="preserve">her </w:t>
      </w:r>
      <w:r w:rsidR="00227AED" w:rsidRPr="00837B03">
        <w:rPr>
          <w:rFonts w:ascii="Times New Roman" w:eastAsia="Times New Roman" w:hAnsi="Times New Roman" w:cs="Times New Roman"/>
          <w:sz w:val="24"/>
          <w:szCs w:val="24"/>
        </w:rPr>
        <w:t>research has contributed significantly to the wider</w:t>
      </w:r>
      <w:r w:rsidR="002956BE" w:rsidRPr="00837B03">
        <w:rPr>
          <w:rFonts w:ascii="Times New Roman" w:eastAsia="Times New Roman" w:hAnsi="Times New Roman" w:cs="Times New Roman"/>
          <w:sz w:val="24"/>
          <w:szCs w:val="24"/>
        </w:rPr>
        <w:t xml:space="preserve"> scholarship</w:t>
      </w:r>
      <w:r w:rsidR="00227AED" w:rsidRPr="00837B03">
        <w:rPr>
          <w:rFonts w:ascii="Times New Roman" w:eastAsia="Times New Roman" w:hAnsi="Times New Roman" w:cs="Times New Roman"/>
          <w:sz w:val="24"/>
          <w:szCs w:val="24"/>
        </w:rPr>
        <w:t xml:space="preserve"> in this region</w:t>
      </w:r>
      <w:r w:rsidR="00474E36" w:rsidRPr="00837B03">
        <w:rPr>
          <w:rFonts w:ascii="Times New Roman" w:eastAsia="Times New Roman" w:hAnsi="Times New Roman" w:cs="Times New Roman"/>
          <w:sz w:val="24"/>
          <w:szCs w:val="24"/>
        </w:rPr>
        <w:t xml:space="preserve">. Nakamura and </w:t>
      </w:r>
      <w:proofErr w:type="spellStart"/>
      <w:r w:rsidR="00474E36" w:rsidRPr="00837B03">
        <w:rPr>
          <w:rFonts w:ascii="Times New Roman" w:eastAsia="Times New Roman" w:hAnsi="Times New Roman" w:cs="Times New Roman"/>
          <w:sz w:val="24"/>
          <w:szCs w:val="24"/>
        </w:rPr>
        <w:t>Meskell’s</w:t>
      </w:r>
      <w:proofErr w:type="spellEnd"/>
      <w:r w:rsidR="00474E36" w:rsidRPr="00837B03">
        <w:rPr>
          <w:rFonts w:ascii="Times New Roman" w:eastAsia="Times New Roman" w:hAnsi="Times New Roman" w:cs="Times New Roman"/>
          <w:sz w:val="24"/>
          <w:szCs w:val="24"/>
        </w:rPr>
        <w:t xml:space="preserve"> article uses Voigt’s interpretations to look at the figures and the forms of the figures at Catalhoyuk,</w:t>
      </w:r>
      <w:r w:rsidR="00474E36" w:rsidRPr="00837B03">
        <w:rPr>
          <w:rStyle w:val="FootnoteReference"/>
          <w:rFonts w:ascii="Times New Roman" w:eastAsia="Times New Roman" w:hAnsi="Times New Roman" w:cs="Times New Roman"/>
          <w:sz w:val="24"/>
          <w:szCs w:val="24"/>
        </w:rPr>
        <w:footnoteReference w:id="7"/>
      </w:r>
      <w:r w:rsidR="00474E36" w:rsidRPr="00837B03">
        <w:rPr>
          <w:rFonts w:ascii="Times New Roman" w:eastAsia="Times New Roman" w:hAnsi="Times New Roman" w:cs="Times New Roman"/>
          <w:sz w:val="24"/>
          <w:szCs w:val="24"/>
        </w:rPr>
        <w:t xml:space="preserve"> and </w:t>
      </w:r>
      <w:proofErr w:type="spellStart"/>
      <w:r w:rsidR="00474E36" w:rsidRPr="00837B03">
        <w:rPr>
          <w:rFonts w:ascii="Times New Roman" w:eastAsia="Times New Roman" w:hAnsi="Times New Roman" w:cs="Times New Roman"/>
          <w:sz w:val="24"/>
          <w:szCs w:val="24"/>
        </w:rPr>
        <w:t>Lesure’s</w:t>
      </w:r>
      <w:proofErr w:type="spellEnd"/>
      <w:r w:rsidR="00474E36" w:rsidRPr="00837B03">
        <w:rPr>
          <w:rFonts w:ascii="Times New Roman" w:eastAsia="Times New Roman" w:hAnsi="Times New Roman" w:cs="Times New Roman"/>
          <w:sz w:val="24"/>
          <w:szCs w:val="24"/>
        </w:rPr>
        <w:t xml:space="preserve"> book refers to the ‘Voigt-</w:t>
      </w:r>
      <w:proofErr w:type="spellStart"/>
      <w:r w:rsidR="00474E36" w:rsidRPr="00837B03">
        <w:rPr>
          <w:rFonts w:ascii="Times New Roman" w:eastAsia="Times New Roman" w:hAnsi="Times New Roman" w:cs="Times New Roman"/>
          <w:sz w:val="24"/>
          <w:szCs w:val="24"/>
        </w:rPr>
        <w:t>Ucko</w:t>
      </w:r>
      <w:proofErr w:type="spellEnd"/>
      <w:r w:rsidR="00474E36" w:rsidRPr="00837B03">
        <w:rPr>
          <w:rFonts w:ascii="Times New Roman" w:eastAsia="Times New Roman" w:hAnsi="Times New Roman" w:cs="Times New Roman"/>
          <w:sz w:val="24"/>
          <w:szCs w:val="24"/>
        </w:rPr>
        <w:t xml:space="preserve"> framework’ to discuss the use of the figurines within a burial context.</w:t>
      </w:r>
      <w:r w:rsidR="00474E36" w:rsidRPr="00837B03">
        <w:rPr>
          <w:rStyle w:val="FootnoteReference"/>
          <w:rFonts w:ascii="Times New Roman" w:eastAsia="Times New Roman" w:hAnsi="Times New Roman" w:cs="Times New Roman"/>
          <w:sz w:val="24"/>
          <w:szCs w:val="24"/>
        </w:rPr>
        <w:footnoteReference w:id="8"/>
      </w:r>
    </w:p>
    <w:p w14:paraId="7C239B84" w14:textId="77777777" w:rsidR="00AD0132" w:rsidRPr="00837B03" w:rsidRDefault="00AD0132" w:rsidP="00D9135B">
      <w:pPr>
        <w:spacing w:line="480" w:lineRule="auto"/>
        <w:jc w:val="both"/>
        <w:rPr>
          <w:rFonts w:ascii="Times New Roman" w:eastAsia="Times New Roman" w:hAnsi="Times New Roman" w:cs="Times New Roman"/>
          <w:sz w:val="24"/>
          <w:szCs w:val="24"/>
        </w:rPr>
      </w:pPr>
    </w:p>
    <w:p w14:paraId="75E78C87" w14:textId="453EDE28" w:rsidR="00D9135B" w:rsidRPr="00837B03" w:rsidRDefault="00260F38" w:rsidP="00D9135B">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Voigt’s</w:t>
      </w:r>
      <w:r w:rsidR="00D9135B" w:rsidRPr="00837B03">
        <w:rPr>
          <w:rFonts w:ascii="Times New Roman" w:eastAsia="Times New Roman" w:hAnsi="Times New Roman" w:cs="Times New Roman"/>
          <w:sz w:val="24"/>
          <w:szCs w:val="24"/>
        </w:rPr>
        <w:t xml:space="preserve"> work </w:t>
      </w:r>
      <w:r w:rsidRPr="00837B03">
        <w:rPr>
          <w:rFonts w:ascii="Times New Roman" w:eastAsia="Times New Roman" w:hAnsi="Times New Roman" w:cs="Times New Roman"/>
          <w:sz w:val="24"/>
          <w:szCs w:val="24"/>
        </w:rPr>
        <w:t xml:space="preserve">looks at Late Neolithic Hacilar figurines and statuettes – including how they were categorised and grouped during their initial discovery, and what </w:t>
      </w:r>
      <w:r w:rsidR="00227AED" w:rsidRPr="00837B03">
        <w:rPr>
          <w:rFonts w:ascii="Times New Roman" w:eastAsia="Times New Roman" w:hAnsi="Times New Roman" w:cs="Times New Roman"/>
          <w:sz w:val="24"/>
          <w:szCs w:val="24"/>
        </w:rPr>
        <w:t xml:space="preserve">can be inferred from </w:t>
      </w:r>
      <w:r w:rsidRPr="00837B03">
        <w:rPr>
          <w:rFonts w:ascii="Times New Roman" w:eastAsia="Times New Roman" w:hAnsi="Times New Roman" w:cs="Times New Roman"/>
          <w:sz w:val="24"/>
          <w:szCs w:val="24"/>
        </w:rPr>
        <w:t>their form</w:t>
      </w:r>
      <w:r w:rsidR="00227AED" w:rsidRPr="00837B03">
        <w:rPr>
          <w:rFonts w:ascii="Times New Roman" w:eastAsia="Times New Roman" w:hAnsi="Times New Roman" w:cs="Times New Roman"/>
          <w:sz w:val="24"/>
          <w:szCs w:val="24"/>
        </w:rPr>
        <w:t>s</w:t>
      </w:r>
      <w:r w:rsidRPr="00837B03">
        <w:rPr>
          <w:rFonts w:ascii="Times New Roman" w:eastAsia="Times New Roman" w:hAnsi="Times New Roman" w:cs="Times New Roman"/>
          <w:sz w:val="24"/>
          <w:szCs w:val="24"/>
        </w:rPr>
        <w:t xml:space="preserve"> and posture</w:t>
      </w:r>
      <w:r w:rsidR="00227AED" w:rsidRPr="00837B03">
        <w:rPr>
          <w:rFonts w:ascii="Times New Roman" w:eastAsia="Times New Roman" w:hAnsi="Times New Roman" w:cs="Times New Roman"/>
          <w:sz w:val="24"/>
          <w:szCs w:val="24"/>
        </w:rPr>
        <w:t>s</w:t>
      </w:r>
      <w:r w:rsidRPr="00837B03">
        <w:rPr>
          <w:rFonts w:ascii="Times New Roman" w:eastAsia="Times New Roman" w:hAnsi="Times New Roman" w:cs="Times New Roman"/>
          <w:sz w:val="24"/>
          <w:szCs w:val="24"/>
        </w:rPr>
        <w:t xml:space="preserve"> about the lives of women during this time period</w:t>
      </w:r>
      <w:r w:rsidR="00227AED" w:rsidRPr="00837B03">
        <w:rPr>
          <w:rFonts w:ascii="Times New Roman" w:eastAsia="Times New Roman" w:hAnsi="Times New Roman" w:cs="Times New Roman"/>
          <w:sz w:val="24"/>
          <w:szCs w:val="24"/>
        </w:rPr>
        <w:t xml:space="preserve">. Voigt’s analysis allows for </w:t>
      </w:r>
      <w:r w:rsidR="00D9135B" w:rsidRPr="00837B03">
        <w:rPr>
          <w:rFonts w:ascii="Times New Roman" w:eastAsia="Times New Roman" w:hAnsi="Times New Roman" w:cs="Times New Roman"/>
          <w:sz w:val="24"/>
          <w:szCs w:val="24"/>
        </w:rPr>
        <w:t xml:space="preserve">an alternate interpretation of other clay images from </w:t>
      </w:r>
      <w:r w:rsidRPr="00837B03">
        <w:rPr>
          <w:rFonts w:ascii="Times New Roman" w:eastAsia="Times New Roman" w:hAnsi="Times New Roman" w:cs="Times New Roman"/>
          <w:sz w:val="24"/>
          <w:szCs w:val="24"/>
        </w:rPr>
        <w:t xml:space="preserve">the </w:t>
      </w:r>
      <w:r w:rsidR="00D9135B" w:rsidRPr="00837B03">
        <w:rPr>
          <w:rFonts w:ascii="Times New Roman" w:eastAsia="Times New Roman" w:hAnsi="Times New Roman" w:cs="Times New Roman"/>
          <w:sz w:val="24"/>
          <w:szCs w:val="24"/>
        </w:rPr>
        <w:t>Catalhoyuk</w:t>
      </w:r>
      <w:r w:rsidRPr="00837B03">
        <w:rPr>
          <w:rFonts w:ascii="Times New Roman" w:eastAsia="Times New Roman" w:hAnsi="Times New Roman" w:cs="Times New Roman"/>
          <w:sz w:val="24"/>
          <w:szCs w:val="24"/>
        </w:rPr>
        <w:t xml:space="preserve"> site</w:t>
      </w:r>
      <w:r w:rsidR="0020537F" w:rsidRPr="00837B03">
        <w:rPr>
          <w:rFonts w:ascii="Times New Roman" w:eastAsia="Times New Roman" w:hAnsi="Times New Roman" w:cs="Times New Roman"/>
          <w:sz w:val="24"/>
          <w:szCs w:val="24"/>
        </w:rPr>
        <w:t>.</w:t>
      </w:r>
      <w:r w:rsidR="00D9135B" w:rsidRPr="00837B03">
        <w:rPr>
          <w:rStyle w:val="FootnoteReference"/>
          <w:rFonts w:ascii="Times New Roman" w:eastAsia="Times New Roman" w:hAnsi="Times New Roman" w:cs="Times New Roman"/>
          <w:sz w:val="24"/>
          <w:szCs w:val="24"/>
        </w:rPr>
        <w:footnoteReference w:id="9"/>
      </w:r>
      <w:r w:rsidR="002F575D" w:rsidRPr="00837B03">
        <w:rPr>
          <w:rFonts w:ascii="Times New Roman" w:eastAsia="Times New Roman" w:hAnsi="Times New Roman" w:cs="Times New Roman"/>
          <w:sz w:val="24"/>
          <w:szCs w:val="24"/>
        </w:rPr>
        <w:t xml:space="preserve"> </w:t>
      </w:r>
    </w:p>
    <w:p w14:paraId="5125D8D1" w14:textId="77777777" w:rsidR="002F575D" w:rsidRPr="00837B03" w:rsidRDefault="002F575D" w:rsidP="00D9135B">
      <w:pPr>
        <w:spacing w:line="480" w:lineRule="auto"/>
        <w:jc w:val="both"/>
        <w:rPr>
          <w:rFonts w:ascii="Times New Roman" w:eastAsia="Times New Roman" w:hAnsi="Times New Roman" w:cs="Times New Roman"/>
          <w:sz w:val="24"/>
          <w:szCs w:val="24"/>
        </w:rPr>
      </w:pPr>
    </w:p>
    <w:p w14:paraId="43DA24F2" w14:textId="1BAB776E" w:rsidR="00081128" w:rsidRPr="00837B03" w:rsidRDefault="00227AED" w:rsidP="00D9135B">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Voigt works specifically on the analysis of individual figurines, and is able to, as a result, address more general and broad conclusions for the </w:t>
      </w:r>
      <w:r w:rsidR="002F575D" w:rsidRPr="00837B03">
        <w:rPr>
          <w:rFonts w:ascii="Times New Roman" w:eastAsia="Times New Roman" w:hAnsi="Times New Roman" w:cs="Times New Roman"/>
          <w:sz w:val="24"/>
          <w:szCs w:val="24"/>
        </w:rPr>
        <w:t xml:space="preserve">Catalhoyuk figurines. </w:t>
      </w:r>
      <w:r w:rsidR="00A30205" w:rsidRPr="00837B03">
        <w:rPr>
          <w:rFonts w:ascii="Times New Roman" w:eastAsia="Times New Roman" w:hAnsi="Times New Roman" w:cs="Times New Roman"/>
          <w:sz w:val="24"/>
          <w:szCs w:val="24"/>
        </w:rPr>
        <w:t xml:space="preserve">She uses a large </w:t>
      </w:r>
      <w:r w:rsidR="00765C9E" w:rsidRPr="00837B03">
        <w:rPr>
          <w:rFonts w:ascii="Times New Roman" w:eastAsia="Times New Roman" w:hAnsi="Times New Roman" w:cs="Times New Roman"/>
          <w:sz w:val="24"/>
          <w:szCs w:val="24"/>
        </w:rPr>
        <w:t>number</w:t>
      </w:r>
      <w:r w:rsidR="00A30205" w:rsidRPr="00837B03">
        <w:rPr>
          <w:rFonts w:ascii="Times New Roman" w:eastAsia="Times New Roman" w:hAnsi="Times New Roman" w:cs="Times New Roman"/>
          <w:sz w:val="24"/>
          <w:szCs w:val="24"/>
        </w:rPr>
        <w:t xml:space="preserve"> of primary sources for this, and with them </w:t>
      </w:r>
      <w:r w:rsidR="00A30205" w:rsidRPr="00837B03">
        <w:rPr>
          <w:rFonts w:ascii="Times New Roman" w:eastAsia="Times New Roman" w:hAnsi="Times New Roman" w:cs="Times New Roman"/>
          <w:sz w:val="24"/>
          <w:szCs w:val="24"/>
        </w:rPr>
        <w:t>she was able to achieve a general yet detailed interpretation of the Hacilar figurines that she could then apply to those at Catalhoyuk</w:t>
      </w:r>
      <w:r w:rsidR="00A30205" w:rsidRPr="00837B03">
        <w:rPr>
          <w:rFonts w:ascii="Times New Roman" w:eastAsia="Times New Roman" w:hAnsi="Times New Roman" w:cs="Times New Roman"/>
          <w:sz w:val="24"/>
          <w:szCs w:val="24"/>
        </w:rPr>
        <w:t xml:space="preserve">. </w:t>
      </w:r>
      <w:r w:rsidR="002F575D" w:rsidRPr="00837B03">
        <w:rPr>
          <w:rFonts w:ascii="Times New Roman" w:eastAsia="Times New Roman" w:hAnsi="Times New Roman" w:cs="Times New Roman"/>
          <w:sz w:val="24"/>
          <w:szCs w:val="24"/>
        </w:rPr>
        <w:t xml:space="preserve">A </w:t>
      </w:r>
      <w:r w:rsidRPr="00837B03">
        <w:rPr>
          <w:rFonts w:ascii="Times New Roman" w:eastAsia="Times New Roman" w:hAnsi="Times New Roman" w:cs="Times New Roman"/>
          <w:sz w:val="24"/>
          <w:szCs w:val="24"/>
        </w:rPr>
        <w:t xml:space="preserve">form of </w:t>
      </w:r>
      <w:r w:rsidR="002F575D" w:rsidRPr="00837B03">
        <w:rPr>
          <w:rFonts w:ascii="Times New Roman" w:eastAsia="Times New Roman" w:hAnsi="Times New Roman" w:cs="Times New Roman"/>
          <w:sz w:val="24"/>
          <w:szCs w:val="24"/>
        </w:rPr>
        <w:t>materialities approach is used</w:t>
      </w:r>
      <w:r w:rsidR="00A30205" w:rsidRPr="00837B03">
        <w:rPr>
          <w:rFonts w:ascii="Times New Roman" w:eastAsia="Times New Roman" w:hAnsi="Times New Roman" w:cs="Times New Roman"/>
          <w:sz w:val="24"/>
          <w:szCs w:val="24"/>
        </w:rPr>
        <w:t xml:space="preserve"> alongside the figurines</w:t>
      </w:r>
      <w:r w:rsidR="002F575D" w:rsidRPr="00837B03">
        <w:rPr>
          <w:rFonts w:ascii="Times New Roman" w:eastAsia="Times New Roman" w:hAnsi="Times New Roman" w:cs="Times New Roman"/>
          <w:sz w:val="24"/>
          <w:szCs w:val="24"/>
        </w:rPr>
        <w:t xml:space="preserve">, with the author focusing on the </w:t>
      </w:r>
      <w:r w:rsidR="00AC0BE1" w:rsidRPr="00837B03">
        <w:rPr>
          <w:rFonts w:ascii="Times New Roman" w:eastAsia="Times New Roman" w:hAnsi="Times New Roman" w:cs="Times New Roman"/>
          <w:sz w:val="24"/>
          <w:szCs w:val="24"/>
        </w:rPr>
        <w:t>‘location/disposition, breakage and wear’ of figurines</w:t>
      </w:r>
      <w:r w:rsidRPr="00837B03">
        <w:rPr>
          <w:rFonts w:ascii="Times New Roman" w:eastAsia="Times New Roman" w:hAnsi="Times New Roman" w:cs="Times New Roman"/>
          <w:sz w:val="24"/>
          <w:szCs w:val="24"/>
        </w:rPr>
        <w:t>.</w:t>
      </w:r>
      <w:r w:rsidR="00ED709C" w:rsidRPr="00837B03">
        <w:rPr>
          <w:rStyle w:val="FootnoteReference"/>
          <w:rFonts w:ascii="Times New Roman" w:eastAsia="Times New Roman" w:hAnsi="Times New Roman" w:cs="Times New Roman"/>
          <w:sz w:val="24"/>
          <w:szCs w:val="24"/>
        </w:rPr>
        <w:footnoteReference w:id="10"/>
      </w:r>
      <w:r w:rsidR="00AC0BE1" w:rsidRPr="00837B03">
        <w:rPr>
          <w:rFonts w:ascii="Times New Roman" w:eastAsia="Times New Roman" w:hAnsi="Times New Roman" w:cs="Times New Roman"/>
          <w:sz w:val="24"/>
          <w:szCs w:val="24"/>
        </w:rPr>
        <w:t xml:space="preserve"> </w:t>
      </w:r>
      <w:r w:rsidRPr="00837B03">
        <w:rPr>
          <w:rFonts w:ascii="Times New Roman" w:eastAsia="Times New Roman" w:hAnsi="Times New Roman" w:cs="Times New Roman"/>
          <w:sz w:val="24"/>
          <w:szCs w:val="24"/>
        </w:rPr>
        <w:t xml:space="preserve">Her methodology is </w:t>
      </w:r>
      <w:r w:rsidR="00AC0BE1" w:rsidRPr="00837B03">
        <w:rPr>
          <w:rFonts w:ascii="Times New Roman" w:eastAsia="Times New Roman" w:hAnsi="Times New Roman" w:cs="Times New Roman"/>
          <w:sz w:val="24"/>
          <w:szCs w:val="24"/>
        </w:rPr>
        <w:t xml:space="preserve">based on her previous work where she analysed and interpreted the figurines from </w:t>
      </w:r>
      <w:r w:rsidRPr="00837B03">
        <w:rPr>
          <w:rFonts w:ascii="Times New Roman" w:eastAsia="Times New Roman" w:hAnsi="Times New Roman" w:cs="Times New Roman"/>
          <w:sz w:val="24"/>
          <w:szCs w:val="24"/>
        </w:rPr>
        <w:t xml:space="preserve">early Neolithic </w:t>
      </w:r>
      <w:r w:rsidR="00AC0BE1" w:rsidRPr="00837B03">
        <w:rPr>
          <w:rFonts w:ascii="Times New Roman" w:eastAsia="Times New Roman" w:hAnsi="Times New Roman" w:cs="Times New Roman"/>
          <w:sz w:val="24"/>
          <w:szCs w:val="24"/>
        </w:rPr>
        <w:t>Catalhoyuk.</w:t>
      </w:r>
      <w:r w:rsidRPr="00837B03">
        <w:rPr>
          <w:rStyle w:val="FootnoteReference"/>
          <w:rFonts w:ascii="Times New Roman" w:eastAsia="Times New Roman" w:hAnsi="Times New Roman" w:cs="Times New Roman"/>
          <w:sz w:val="24"/>
          <w:szCs w:val="24"/>
        </w:rPr>
        <w:footnoteReference w:id="11"/>
      </w:r>
    </w:p>
    <w:p w14:paraId="64256D5B" w14:textId="77777777" w:rsidR="00AC0BE1" w:rsidRPr="00837B03" w:rsidRDefault="00AC0BE1" w:rsidP="00D9135B">
      <w:pPr>
        <w:spacing w:line="480" w:lineRule="auto"/>
        <w:jc w:val="both"/>
        <w:rPr>
          <w:rFonts w:ascii="Times New Roman" w:eastAsia="Times New Roman" w:hAnsi="Times New Roman" w:cs="Times New Roman"/>
          <w:sz w:val="24"/>
          <w:szCs w:val="24"/>
        </w:rPr>
      </w:pPr>
    </w:p>
    <w:p w14:paraId="58C91C3C" w14:textId="6692C386" w:rsidR="002F575D" w:rsidRPr="00837B03" w:rsidRDefault="002F575D" w:rsidP="00D9135B">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Voigt </w:t>
      </w:r>
      <w:r w:rsidR="00227AED" w:rsidRPr="00837B03">
        <w:rPr>
          <w:rFonts w:ascii="Times New Roman" w:eastAsia="Times New Roman" w:hAnsi="Times New Roman" w:cs="Times New Roman"/>
          <w:sz w:val="24"/>
          <w:szCs w:val="24"/>
        </w:rPr>
        <w:t>writes</w:t>
      </w:r>
      <w:r w:rsidRPr="00837B03">
        <w:rPr>
          <w:rFonts w:ascii="Times New Roman" w:eastAsia="Times New Roman" w:hAnsi="Times New Roman" w:cs="Times New Roman"/>
          <w:sz w:val="24"/>
          <w:szCs w:val="24"/>
        </w:rPr>
        <w:t xml:space="preserve"> this piece with the intention of</w:t>
      </w:r>
      <w:r w:rsidR="00B00D9C" w:rsidRPr="00837B03">
        <w:rPr>
          <w:rFonts w:ascii="Times New Roman" w:eastAsia="Times New Roman" w:hAnsi="Times New Roman" w:cs="Times New Roman"/>
          <w:sz w:val="24"/>
          <w:szCs w:val="24"/>
        </w:rPr>
        <w:t xml:space="preserve"> discovering new possible interpretations of the Catalhoyuk figurines</w:t>
      </w:r>
      <w:r w:rsidR="006154DC" w:rsidRPr="00837B03">
        <w:rPr>
          <w:rFonts w:ascii="Times New Roman" w:eastAsia="Times New Roman" w:hAnsi="Times New Roman" w:cs="Times New Roman"/>
          <w:sz w:val="24"/>
          <w:szCs w:val="24"/>
        </w:rPr>
        <w:t xml:space="preserve">, based off her findings from the Hacilar site. She does not propose </w:t>
      </w:r>
      <w:r w:rsidR="005C744B" w:rsidRPr="00837B03">
        <w:rPr>
          <w:rFonts w:ascii="Times New Roman" w:eastAsia="Times New Roman" w:hAnsi="Times New Roman" w:cs="Times New Roman"/>
          <w:sz w:val="24"/>
          <w:szCs w:val="24"/>
        </w:rPr>
        <w:t xml:space="preserve">what </w:t>
      </w:r>
      <w:r w:rsidR="006154DC" w:rsidRPr="00837B03">
        <w:rPr>
          <w:rFonts w:ascii="Times New Roman" w:eastAsia="Times New Roman" w:hAnsi="Times New Roman" w:cs="Times New Roman"/>
          <w:sz w:val="24"/>
          <w:szCs w:val="24"/>
        </w:rPr>
        <w:t>her findings</w:t>
      </w:r>
      <w:r w:rsidR="005C744B" w:rsidRPr="00837B03">
        <w:rPr>
          <w:rFonts w:ascii="Times New Roman" w:eastAsia="Times New Roman" w:hAnsi="Times New Roman" w:cs="Times New Roman"/>
          <w:sz w:val="24"/>
          <w:szCs w:val="24"/>
        </w:rPr>
        <w:t xml:space="preserve"> might be with a thesis statement</w:t>
      </w:r>
      <w:r w:rsidR="0077734C" w:rsidRPr="00837B03">
        <w:rPr>
          <w:rFonts w:ascii="Times New Roman" w:eastAsia="Times New Roman" w:hAnsi="Times New Roman" w:cs="Times New Roman"/>
          <w:sz w:val="24"/>
          <w:szCs w:val="24"/>
        </w:rPr>
        <w:t xml:space="preserve"> but discusses the </w:t>
      </w:r>
      <w:r w:rsidR="00227AED" w:rsidRPr="00837B03">
        <w:rPr>
          <w:rFonts w:ascii="Times New Roman" w:eastAsia="Times New Roman" w:hAnsi="Times New Roman" w:cs="Times New Roman"/>
          <w:sz w:val="24"/>
          <w:szCs w:val="24"/>
        </w:rPr>
        <w:t>topic</w:t>
      </w:r>
      <w:r w:rsidR="0077734C" w:rsidRPr="00837B03">
        <w:rPr>
          <w:rFonts w:ascii="Times New Roman" w:eastAsia="Times New Roman" w:hAnsi="Times New Roman" w:cs="Times New Roman"/>
          <w:sz w:val="24"/>
          <w:szCs w:val="24"/>
        </w:rPr>
        <w:t xml:space="preserve"> fully with her conclusion detailing her findings thoroughly.</w:t>
      </w:r>
    </w:p>
    <w:p w14:paraId="50CEFC2B" w14:textId="77777777" w:rsidR="0077734C" w:rsidRPr="00837B03" w:rsidRDefault="0077734C" w:rsidP="00EB3948">
      <w:pPr>
        <w:spacing w:line="480" w:lineRule="auto"/>
        <w:jc w:val="both"/>
        <w:rPr>
          <w:rFonts w:ascii="Times New Roman" w:hAnsi="Times New Roman" w:cs="Times New Roman"/>
          <w:sz w:val="24"/>
          <w:szCs w:val="24"/>
        </w:rPr>
      </w:pPr>
    </w:p>
    <w:p w14:paraId="326C48A3" w14:textId="77777777" w:rsidR="00A30205" w:rsidRPr="00837B03" w:rsidRDefault="00A30205" w:rsidP="00A30205">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lastRenderedPageBreak/>
        <w:t>The detailed contextualisation of the figurines is a strength of the research, and of great value to anyone who is just starting to research this time period and the Hacilar site.</w:t>
      </w:r>
      <w:r w:rsidRPr="00837B03">
        <w:rPr>
          <w:rStyle w:val="FootnoteReference"/>
          <w:rFonts w:ascii="Times New Roman" w:hAnsi="Times New Roman" w:cs="Times New Roman"/>
          <w:sz w:val="24"/>
          <w:szCs w:val="24"/>
        </w:rPr>
        <w:footnoteReference w:id="12"/>
      </w:r>
      <w:r w:rsidRPr="00837B03">
        <w:rPr>
          <w:rFonts w:ascii="Times New Roman" w:hAnsi="Times New Roman" w:cs="Times New Roman"/>
          <w:sz w:val="24"/>
          <w:szCs w:val="24"/>
        </w:rPr>
        <w:t xml:space="preserve"> It is a clear and absorbing read, with plenty of lovely drawings of the figurines and the buildings in which they were found to accompany the text and help give the reader a visual reference. The images also aid in showing the wide variety of the forms the figurines come in,</w:t>
      </w:r>
      <w:r w:rsidRPr="00837B03">
        <w:rPr>
          <w:rStyle w:val="FootnoteReference"/>
          <w:rFonts w:ascii="Times New Roman" w:hAnsi="Times New Roman" w:cs="Times New Roman"/>
          <w:sz w:val="24"/>
          <w:szCs w:val="24"/>
        </w:rPr>
        <w:footnoteReference w:id="13"/>
      </w:r>
      <w:r w:rsidRPr="00837B03">
        <w:rPr>
          <w:rFonts w:ascii="Times New Roman" w:hAnsi="Times New Roman" w:cs="Times New Roman"/>
          <w:sz w:val="24"/>
          <w:szCs w:val="24"/>
        </w:rPr>
        <w:t xml:space="preserve"> yet another reason why the chapter is an excellent starting point when looking at the figurines and Late Neolithic Hacilar. </w:t>
      </w:r>
    </w:p>
    <w:p w14:paraId="327AF741" w14:textId="334B6B66" w:rsidR="00A30205" w:rsidRPr="00837B03" w:rsidRDefault="00A30205" w:rsidP="00EB3948">
      <w:pPr>
        <w:spacing w:line="480" w:lineRule="auto"/>
        <w:jc w:val="both"/>
        <w:rPr>
          <w:rFonts w:ascii="Times New Roman" w:hAnsi="Times New Roman" w:cs="Times New Roman"/>
          <w:sz w:val="24"/>
          <w:szCs w:val="24"/>
        </w:rPr>
      </w:pPr>
    </w:p>
    <w:p w14:paraId="6F842A2A" w14:textId="02C0BB08" w:rsidR="00316B0F" w:rsidRPr="00837B03" w:rsidRDefault="00316B0F" w:rsidP="00316B0F">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 xml:space="preserve">The chapter starts by describing and discussing the findings in </w:t>
      </w:r>
      <w:proofErr w:type="spellStart"/>
      <w:r w:rsidRPr="00837B03">
        <w:rPr>
          <w:rFonts w:ascii="Times New Roman" w:hAnsi="Times New Roman" w:cs="Times New Roman"/>
          <w:sz w:val="24"/>
          <w:szCs w:val="24"/>
        </w:rPr>
        <w:t>Mellaart’s</w:t>
      </w:r>
      <w:proofErr w:type="spellEnd"/>
      <w:r w:rsidRPr="00837B03">
        <w:rPr>
          <w:rFonts w:ascii="Times New Roman" w:hAnsi="Times New Roman" w:cs="Times New Roman"/>
          <w:sz w:val="24"/>
          <w:szCs w:val="24"/>
        </w:rPr>
        <w:t xml:space="preserve"> 1970 report on the excavation at Hacilar. The ways in which the figurines are categorised is explained, based on their posture and, within these groups, the different morphologies and how they were manufactured. Voigt then looks into the context of these figurines, and the processes behind their deposition. After going into this in detail, Voigt uses all of this information to start her own interpretation into the Neolithic sites, which takes up the majority of the chapter. From this section onwards, plenty of drawings of figurines and buildings from the Hacilar site accompany the interpretations and findings, then ending the chapter with her conclusions on the topic.</w:t>
      </w:r>
    </w:p>
    <w:p w14:paraId="649627DD" w14:textId="77777777" w:rsidR="00316B0F" w:rsidRPr="00837B03" w:rsidRDefault="00316B0F" w:rsidP="00EB3948">
      <w:pPr>
        <w:spacing w:line="480" w:lineRule="auto"/>
        <w:jc w:val="both"/>
        <w:rPr>
          <w:rFonts w:ascii="Times New Roman" w:hAnsi="Times New Roman" w:cs="Times New Roman"/>
          <w:sz w:val="24"/>
          <w:szCs w:val="24"/>
        </w:rPr>
      </w:pPr>
    </w:p>
    <w:p w14:paraId="76E1F41C" w14:textId="6771DA6A" w:rsidR="0016039B" w:rsidRPr="00837B03" w:rsidRDefault="003C6624" w:rsidP="00EB3948">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 xml:space="preserve">By the end of her investigation, Voigt shares that </w:t>
      </w:r>
      <w:r w:rsidR="006027F3" w:rsidRPr="00837B03">
        <w:rPr>
          <w:rFonts w:ascii="Times New Roman" w:hAnsi="Times New Roman" w:cs="Times New Roman"/>
          <w:sz w:val="24"/>
          <w:szCs w:val="24"/>
        </w:rPr>
        <w:t>there are three</w:t>
      </w:r>
      <w:r w:rsidR="001D6D97" w:rsidRPr="00837B03">
        <w:rPr>
          <w:rFonts w:ascii="Times New Roman" w:hAnsi="Times New Roman" w:cs="Times New Roman"/>
          <w:sz w:val="24"/>
          <w:szCs w:val="24"/>
        </w:rPr>
        <w:t xml:space="preserve"> categories of images from </w:t>
      </w:r>
      <w:r w:rsidR="003E31F0" w:rsidRPr="00837B03">
        <w:rPr>
          <w:rFonts w:ascii="Times New Roman" w:hAnsi="Times New Roman" w:cs="Times New Roman"/>
          <w:sz w:val="24"/>
          <w:szCs w:val="24"/>
        </w:rPr>
        <w:t>Late Neolithic Hacilar</w:t>
      </w:r>
      <w:r w:rsidR="003432FF" w:rsidRPr="00837B03">
        <w:rPr>
          <w:rFonts w:ascii="Times New Roman" w:hAnsi="Times New Roman" w:cs="Times New Roman"/>
          <w:sz w:val="24"/>
          <w:szCs w:val="24"/>
        </w:rPr>
        <w:t>, t</w:t>
      </w:r>
      <w:r w:rsidR="003D57DE" w:rsidRPr="00837B03">
        <w:rPr>
          <w:rFonts w:ascii="Times New Roman" w:hAnsi="Times New Roman" w:cs="Times New Roman"/>
          <w:sz w:val="24"/>
          <w:szCs w:val="24"/>
        </w:rPr>
        <w:t>he first being slabs of clay and stone that were ‘vehicles of magic and that are specifically associated with dwellings or houses’.</w:t>
      </w:r>
      <w:r w:rsidR="003D57DE" w:rsidRPr="00837B03">
        <w:rPr>
          <w:rStyle w:val="FootnoteReference"/>
          <w:rFonts w:ascii="Times New Roman" w:hAnsi="Times New Roman" w:cs="Times New Roman"/>
          <w:sz w:val="24"/>
          <w:szCs w:val="24"/>
        </w:rPr>
        <w:footnoteReference w:id="14"/>
      </w:r>
      <w:r w:rsidR="003D57DE" w:rsidRPr="00837B03">
        <w:rPr>
          <w:rFonts w:ascii="Times New Roman" w:hAnsi="Times New Roman" w:cs="Times New Roman"/>
          <w:sz w:val="24"/>
          <w:szCs w:val="24"/>
        </w:rPr>
        <w:t xml:space="preserve"> The second </w:t>
      </w:r>
      <w:r w:rsidR="00227AED" w:rsidRPr="00837B03">
        <w:rPr>
          <w:rFonts w:ascii="Times New Roman" w:hAnsi="Times New Roman" w:cs="Times New Roman"/>
          <w:sz w:val="24"/>
          <w:szCs w:val="24"/>
        </w:rPr>
        <w:t>are</w:t>
      </w:r>
      <w:r w:rsidR="003432FF" w:rsidRPr="00837B03">
        <w:rPr>
          <w:rFonts w:ascii="Times New Roman" w:hAnsi="Times New Roman" w:cs="Times New Roman"/>
          <w:sz w:val="24"/>
          <w:szCs w:val="24"/>
        </w:rPr>
        <w:t xml:space="preserve"> </w:t>
      </w:r>
      <w:r w:rsidR="003D57DE" w:rsidRPr="00837B03">
        <w:rPr>
          <w:rFonts w:ascii="Times New Roman" w:hAnsi="Times New Roman" w:cs="Times New Roman"/>
          <w:sz w:val="24"/>
          <w:szCs w:val="24"/>
        </w:rPr>
        <w:t xml:space="preserve">small images made of clay that were similar in being magical objects, but instead of protecting households, they </w:t>
      </w:r>
      <w:r w:rsidR="003D57DE" w:rsidRPr="00837B03">
        <w:rPr>
          <w:rFonts w:ascii="Times New Roman" w:hAnsi="Times New Roman" w:cs="Times New Roman"/>
          <w:sz w:val="24"/>
          <w:szCs w:val="24"/>
        </w:rPr>
        <w:lastRenderedPageBreak/>
        <w:t>protected the individuals</w:t>
      </w:r>
      <w:r w:rsidR="00227AED" w:rsidRPr="00837B03">
        <w:rPr>
          <w:rFonts w:ascii="Times New Roman" w:hAnsi="Times New Roman" w:cs="Times New Roman"/>
          <w:sz w:val="24"/>
          <w:szCs w:val="24"/>
        </w:rPr>
        <w:t>.</w:t>
      </w:r>
      <w:r w:rsidR="003432FF" w:rsidRPr="00837B03">
        <w:rPr>
          <w:rStyle w:val="FootnoteReference"/>
          <w:rFonts w:ascii="Times New Roman" w:hAnsi="Times New Roman" w:cs="Times New Roman"/>
          <w:sz w:val="24"/>
          <w:szCs w:val="24"/>
        </w:rPr>
        <w:footnoteReference w:id="15"/>
      </w:r>
      <w:r w:rsidR="00227AED" w:rsidRPr="00837B03">
        <w:rPr>
          <w:rFonts w:ascii="Times New Roman" w:hAnsi="Times New Roman" w:cs="Times New Roman"/>
          <w:sz w:val="24"/>
          <w:szCs w:val="24"/>
        </w:rPr>
        <w:t xml:space="preserve"> T</w:t>
      </w:r>
      <w:r w:rsidR="003D57DE" w:rsidRPr="00837B03">
        <w:rPr>
          <w:rFonts w:ascii="Times New Roman" w:hAnsi="Times New Roman" w:cs="Times New Roman"/>
          <w:sz w:val="24"/>
          <w:szCs w:val="24"/>
        </w:rPr>
        <w:t xml:space="preserve">he third </w:t>
      </w:r>
      <w:r w:rsidR="00227AED" w:rsidRPr="00837B03">
        <w:rPr>
          <w:rFonts w:ascii="Times New Roman" w:hAnsi="Times New Roman" w:cs="Times New Roman"/>
          <w:sz w:val="24"/>
          <w:szCs w:val="24"/>
        </w:rPr>
        <w:t>are</w:t>
      </w:r>
      <w:r w:rsidR="003D57DE" w:rsidRPr="00837B03">
        <w:rPr>
          <w:rFonts w:ascii="Times New Roman" w:hAnsi="Times New Roman" w:cs="Times New Roman"/>
          <w:sz w:val="24"/>
          <w:szCs w:val="24"/>
        </w:rPr>
        <w:t xml:space="preserve"> </w:t>
      </w:r>
      <w:r w:rsidR="003432FF" w:rsidRPr="00837B03">
        <w:rPr>
          <w:rFonts w:ascii="Times New Roman" w:hAnsi="Times New Roman" w:cs="Times New Roman"/>
          <w:sz w:val="24"/>
          <w:szCs w:val="24"/>
        </w:rPr>
        <w:t xml:space="preserve">clay </w:t>
      </w:r>
      <w:r w:rsidR="003D57DE" w:rsidRPr="00837B03">
        <w:rPr>
          <w:rFonts w:ascii="Times New Roman" w:hAnsi="Times New Roman" w:cs="Times New Roman"/>
          <w:sz w:val="24"/>
          <w:szCs w:val="24"/>
        </w:rPr>
        <w:t>i</w:t>
      </w:r>
      <w:r w:rsidR="003432FF" w:rsidRPr="00837B03">
        <w:rPr>
          <w:rFonts w:ascii="Times New Roman" w:hAnsi="Times New Roman" w:cs="Times New Roman"/>
          <w:sz w:val="24"/>
          <w:szCs w:val="24"/>
        </w:rPr>
        <w:t>nitiation images that had an association with women – these were more decorated and ornate than the other two categories.</w:t>
      </w:r>
      <w:r w:rsidR="003432FF" w:rsidRPr="00837B03">
        <w:rPr>
          <w:rStyle w:val="FootnoteReference"/>
          <w:rFonts w:ascii="Times New Roman" w:hAnsi="Times New Roman" w:cs="Times New Roman"/>
          <w:sz w:val="24"/>
          <w:szCs w:val="24"/>
        </w:rPr>
        <w:footnoteReference w:id="16"/>
      </w:r>
    </w:p>
    <w:p w14:paraId="555EDC98" w14:textId="77777777" w:rsidR="0016039B" w:rsidRPr="00837B03" w:rsidRDefault="0016039B" w:rsidP="00EB3948">
      <w:pPr>
        <w:spacing w:line="480" w:lineRule="auto"/>
        <w:jc w:val="both"/>
        <w:rPr>
          <w:rFonts w:ascii="Times New Roman" w:hAnsi="Times New Roman" w:cs="Times New Roman"/>
          <w:sz w:val="24"/>
          <w:szCs w:val="24"/>
        </w:rPr>
      </w:pPr>
    </w:p>
    <w:p w14:paraId="490B7C92" w14:textId="15D50C2C" w:rsidR="002374E0" w:rsidRPr="00837B03" w:rsidRDefault="002B5307" w:rsidP="00EB3948">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Voigt shows that these three categories do have overlap and that this is natural in the ‘real world’,</w:t>
      </w:r>
      <w:r w:rsidRPr="00837B03">
        <w:rPr>
          <w:rStyle w:val="FootnoteReference"/>
          <w:rFonts w:ascii="Times New Roman" w:hAnsi="Times New Roman" w:cs="Times New Roman"/>
          <w:sz w:val="24"/>
          <w:szCs w:val="24"/>
        </w:rPr>
        <w:footnoteReference w:id="17"/>
      </w:r>
      <w:r w:rsidRPr="00837B03">
        <w:rPr>
          <w:rFonts w:ascii="Times New Roman" w:hAnsi="Times New Roman" w:cs="Times New Roman"/>
          <w:sz w:val="24"/>
          <w:szCs w:val="24"/>
        </w:rPr>
        <w:t xml:space="preserve"> and that ‘interpretations based on established patterns of human behaviour are far better than assertions rooted in modern (or even ancient) ideologies’.</w:t>
      </w:r>
      <w:r w:rsidRPr="00837B03">
        <w:rPr>
          <w:rStyle w:val="FootnoteReference"/>
          <w:rFonts w:ascii="Times New Roman" w:hAnsi="Times New Roman" w:cs="Times New Roman"/>
          <w:sz w:val="24"/>
          <w:szCs w:val="24"/>
        </w:rPr>
        <w:footnoteReference w:id="18"/>
      </w:r>
      <w:r w:rsidR="007110DE" w:rsidRPr="00837B03">
        <w:rPr>
          <w:rFonts w:ascii="Times New Roman" w:hAnsi="Times New Roman" w:cs="Times New Roman"/>
          <w:sz w:val="24"/>
          <w:szCs w:val="24"/>
        </w:rPr>
        <w:t xml:space="preserve"> This then leads to </w:t>
      </w:r>
      <w:r w:rsidR="00A400BE" w:rsidRPr="00837B03">
        <w:rPr>
          <w:rFonts w:ascii="Times New Roman" w:hAnsi="Times New Roman" w:cs="Times New Roman"/>
          <w:sz w:val="24"/>
          <w:szCs w:val="24"/>
        </w:rPr>
        <w:t xml:space="preserve">using the information discovered about the Hacilar figurines and statuettes on those found at Catalhoyuk, with the conclusion that these </w:t>
      </w:r>
      <w:r w:rsidR="00227AED" w:rsidRPr="00837B03">
        <w:rPr>
          <w:rFonts w:ascii="Times New Roman" w:hAnsi="Times New Roman" w:cs="Times New Roman"/>
          <w:sz w:val="24"/>
          <w:szCs w:val="24"/>
        </w:rPr>
        <w:t xml:space="preserve">Catalhoyuk </w:t>
      </w:r>
      <w:r w:rsidR="00A400BE" w:rsidRPr="00837B03">
        <w:rPr>
          <w:rFonts w:ascii="Times New Roman" w:hAnsi="Times New Roman" w:cs="Times New Roman"/>
          <w:sz w:val="24"/>
          <w:szCs w:val="24"/>
        </w:rPr>
        <w:t>figures were ones of initi</w:t>
      </w:r>
      <w:r w:rsidR="00EB3685" w:rsidRPr="00837B03">
        <w:rPr>
          <w:rFonts w:ascii="Times New Roman" w:hAnsi="Times New Roman" w:cs="Times New Roman"/>
          <w:sz w:val="24"/>
          <w:szCs w:val="24"/>
        </w:rPr>
        <w:t>a</w:t>
      </w:r>
      <w:r w:rsidR="00A400BE" w:rsidRPr="00837B03">
        <w:rPr>
          <w:rFonts w:ascii="Times New Roman" w:hAnsi="Times New Roman" w:cs="Times New Roman"/>
          <w:sz w:val="24"/>
          <w:szCs w:val="24"/>
        </w:rPr>
        <w:t>tion</w:t>
      </w:r>
      <w:r w:rsidR="00CD0734" w:rsidRPr="00837B03">
        <w:rPr>
          <w:rFonts w:ascii="Times New Roman" w:hAnsi="Times New Roman" w:cs="Times New Roman"/>
          <w:sz w:val="24"/>
          <w:szCs w:val="24"/>
        </w:rPr>
        <w:t>, and that these figurines represent rituals for girls and wom</w:t>
      </w:r>
      <w:r w:rsidR="00C818D4" w:rsidRPr="00837B03">
        <w:rPr>
          <w:rFonts w:ascii="Times New Roman" w:hAnsi="Times New Roman" w:cs="Times New Roman"/>
          <w:sz w:val="24"/>
          <w:szCs w:val="24"/>
        </w:rPr>
        <w:t xml:space="preserve">en. A key point in her conclusion is that in Late Neolithic </w:t>
      </w:r>
      <w:r w:rsidR="0013569E" w:rsidRPr="00837B03">
        <w:rPr>
          <w:rFonts w:ascii="Times New Roman" w:hAnsi="Times New Roman" w:cs="Times New Roman"/>
          <w:sz w:val="24"/>
          <w:szCs w:val="24"/>
        </w:rPr>
        <w:t xml:space="preserve">Anatolia, there is a clear differentiation in the way males and females are depicted, and that these differences should be used alongside archaeological data to </w:t>
      </w:r>
      <w:r w:rsidR="00290468" w:rsidRPr="00837B03">
        <w:rPr>
          <w:rFonts w:ascii="Times New Roman" w:hAnsi="Times New Roman" w:cs="Times New Roman"/>
          <w:sz w:val="24"/>
          <w:szCs w:val="24"/>
        </w:rPr>
        <w:t>come to possible interpretations of the differences in the daily lives of men and women at Hacilar.</w:t>
      </w:r>
      <w:r w:rsidR="00290468" w:rsidRPr="00837B03">
        <w:rPr>
          <w:rStyle w:val="FootnoteReference"/>
          <w:rFonts w:ascii="Times New Roman" w:hAnsi="Times New Roman" w:cs="Times New Roman"/>
          <w:sz w:val="24"/>
          <w:szCs w:val="24"/>
        </w:rPr>
        <w:footnoteReference w:id="19"/>
      </w:r>
    </w:p>
    <w:p w14:paraId="3E754532" w14:textId="3321D093" w:rsidR="009A646F" w:rsidRPr="00837B03" w:rsidRDefault="009A646F" w:rsidP="00AD0132">
      <w:pPr>
        <w:spacing w:line="480" w:lineRule="auto"/>
        <w:jc w:val="both"/>
        <w:rPr>
          <w:rFonts w:ascii="Times New Roman" w:hAnsi="Times New Roman" w:cs="Times New Roman"/>
          <w:sz w:val="24"/>
          <w:szCs w:val="24"/>
        </w:rPr>
      </w:pPr>
    </w:p>
    <w:p w14:paraId="034BBEB6" w14:textId="77777777" w:rsidR="00EF0D6F" w:rsidRPr="00837B03" w:rsidRDefault="00EF0D6F" w:rsidP="00EF0D6F">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 xml:space="preserve">To start her interpretation of the figurines, Voigt reflects on her previous work on figurines at Hajji </w:t>
      </w:r>
      <w:proofErr w:type="spellStart"/>
      <w:r w:rsidRPr="00837B03">
        <w:rPr>
          <w:rFonts w:ascii="Times New Roman" w:hAnsi="Times New Roman" w:cs="Times New Roman"/>
          <w:sz w:val="24"/>
          <w:szCs w:val="24"/>
        </w:rPr>
        <w:t>Firuz</w:t>
      </w:r>
      <w:proofErr w:type="spellEnd"/>
      <w:r w:rsidRPr="00837B03">
        <w:rPr>
          <w:rFonts w:ascii="Times New Roman" w:hAnsi="Times New Roman" w:cs="Times New Roman"/>
          <w:sz w:val="24"/>
          <w:szCs w:val="24"/>
        </w:rPr>
        <w:t xml:space="preserve"> </w:t>
      </w:r>
      <w:proofErr w:type="spellStart"/>
      <w:r w:rsidRPr="00837B03">
        <w:rPr>
          <w:rFonts w:ascii="Times New Roman" w:hAnsi="Times New Roman" w:cs="Times New Roman"/>
          <w:sz w:val="24"/>
          <w:szCs w:val="24"/>
        </w:rPr>
        <w:t>Tepe</w:t>
      </w:r>
      <w:proofErr w:type="spellEnd"/>
      <w:r w:rsidRPr="00837B03">
        <w:rPr>
          <w:rFonts w:ascii="Times New Roman" w:hAnsi="Times New Roman" w:cs="Times New Roman"/>
          <w:sz w:val="24"/>
          <w:szCs w:val="24"/>
        </w:rPr>
        <w:t xml:space="preserve"> in Iran, where she used </w:t>
      </w:r>
      <w:proofErr w:type="spellStart"/>
      <w:r w:rsidRPr="00837B03">
        <w:rPr>
          <w:rFonts w:ascii="Times New Roman" w:hAnsi="Times New Roman" w:cs="Times New Roman"/>
          <w:sz w:val="24"/>
          <w:szCs w:val="24"/>
        </w:rPr>
        <w:t>Ucko’s</w:t>
      </w:r>
      <w:proofErr w:type="spellEnd"/>
      <w:r w:rsidRPr="00837B03">
        <w:rPr>
          <w:rFonts w:ascii="Times New Roman" w:hAnsi="Times New Roman" w:cs="Times New Roman"/>
          <w:sz w:val="24"/>
          <w:szCs w:val="24"/>
        </w:rPr>
        <w:t xml:space="preserve"> definition of the types of images, which all have a link to religion, but she also takes breakage and wear, and disposition patterns into consideration.</w:t>
      </w:r>
      <w:r w:rsidRPr="00837B03">
        <w:rPr>
          <w:rStyle w:val="FootnoteReference"/>
          <w:rFonts w:ascii="Times New Roman" w:hAnsi="Times New Roman" w:cs="Times New Roman"/>
          <w:sz w:val="24"/>
          <w:szCs w:val="24"/>
        </w:rPr>
        <w:footnoteReference w:id="20"/>
      </w:r>
      <w:r w:rsidRPr="00837B03">
        <w:rPr>
          <w:rFonts w:ascii="Times New Roman" w:hAnsi="Times New Roman" w:cs="Times New Roman"/>
          <w:sz w:val="24"/>
          <w:szCs w:val="24"/>
        </w:rPr>
        <w:t xml:space="preserve"> She mentions that she took these extra factors from ‘other sources’, but only references her 1983 piece, so it is unclear what and who these other sources are.</w:t>
      </w:r>
      <w:r w:rsidRPr="00837B03">
        <w:rPr>
          <w:rStyle w:val="FootnoteReference"/>
          <w:rFonts w:ascii="Times New Roman" w:hAnsi="Times New Roman" w:cs="Times New Roman"/>
          <w:sz w:val="24"/>
          <w:szCs w:val="24"/>
        </w:rPr>
        <w:footnoteReference w:id="21"/>
      </w:r>
      <w:r w:rsidRPr="00837B03">
        <w:rPr>
          <w:rFonts w:ascii="Times New Roman" w:hAnsi="Times New Roman" w:cs="Times New Roman"/>
          <w:sz w:val="24"/>
          <w:szCs w:val="24"/>
        </w:rPr>
        <w:t xml:space="preserve"> </w:t>
      </w:r>
    </w:p>
    <w:p w14:paraId="0BDFF089" w14:textId="77777777" w:rsidR="00EF0D6F" w:rsidRPr="00837B03" w:rsidRDefault="00EF0D6F" w:rsidP="00EF0D6F">
      <w:pPr>
        <w:spacing w:line="480" w:lineRule="auto"/>
        <w:jc w:val="both"/>
        <w:rPr>
          <w:rFonts w:ascii="Times New Roman" w:hAnsi="Times New Roman" w:cs="Times New Roman"/>
          <w:sz w:val="24"/>
          <w:szCs w:val="24"/>
        </w:rPr>
      </w:pPr>
    </w:p>
    <w:p w14:paraId="291B75E4" w14:textId="36D3C9B2" w:rsidR="00EF0D6F" w:rsidRPr="00837B03" w:rsidRDefault="00EF0D6F" w:rsidP="00EF0D6F">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lastRenderedPageBreak/>
        <w:t xml:space="preserve">Voigt argues against </w:t>
      </w:r>
      <w:proofErr w:type="spellStart"/>
      <w:r w:rsidRPr="00837B03">
        <w:rPr>
          <w:rFonts w:ascii="Times New Roman" w:hAnsi="Times New Roman" w:cs="Times New Roman"/>
          <w:sz w:val="24"/>
          <w:szCs w:val="24"/>
        </w:rPr>
        <w:t>Ucko’s</w:t>
      </w:r>
      <w:proofErr w:type="spellEnd"/>
      <w:r w:rsidRPr="00837B03">
        <w:rPr>
          <w:rFonts w:ascii="Times New Roman" w:hAnsi="Times New Roman" w:cs="Times New Roman"/>
          <w:sz w:val="24"/>
          <w:szCs w:val="24"/>
        </w:rPr>
        <w:t xml:space="preserve"> distinction between magic and cult, by showing the difference between ‘the symbolic value of images and the way that they were used’.</w:t>
      </w:r>
      <w:r w:rsidRPr="00837B03">
        <w:rPr>
          <w:rStyle w:val="FootnoteReference"/>
          <w:rFonts w:ascii="Times New Roman" w:hAnsi="Times New Roman" w:cs="Times New Roman"/>
          <w:sz w:val="24"/>
          <w:szCs w:val="24"/>
        </w:rPr>
        <w:footnoteReference w:id="22"/>
      </w:r>
      <w:r w:rsidRPr="00837B03">
        <w:rPr>
          <w:rFonts w:ascii="Times New Roman" w:hAnsi="Times New Roman" w:cs="Times New Roman"/>
          <w:sz w:val="24"/>
          <w:szCs w:val="24"/>
        </w:rPr>
        <w:t xml:space="preserve"> This change to include the context of the images makes the interpretation more specific, and, very likely, more accurate. She explains succinctly:</w:t>
      </w:r>
    </w:p>
    <w:p w14:paraId="1D866631" w14:textId="77777777" w:rsidR="00EF0D6F" w:rsidRPr="00837B03" w:rsidRDefault="00EF0D6F" w:rsidP="00EF0D6F">
      <w:pPr>
        <w:spacing w:line="480" w:lineRule="auto"/>
        <w:jc w:val="both"/>
        <w:rPr>
          <w:rFonts w:ascii="Times New Roman" w:hAnsi="Times New Roman" w:cs="Times New Roman"/>
          <w:sz w:val="24"/>
          <w:szCs w:val="24"/>
        </w:rPr>
      </w:pPr>
    </w:p>
    <w:p w14:paraId="480B1D23" w14:textId="77777777" w:rsidR="00EF0D6F" w:rsidRPr="00837B03" w:rsidRDefault="00EF0D6F" w:rsidP="00EF0D6F">
      <w:pPr>
        <w:spacing w:line="480" w:lineRule="auto"/>
        <w:ind w:left="1440" w:right="1440"/>
        <w:jc w:val="both"/>
        <w:rPr>
          <w:rFonts w:ascii="Times New Roman" w:hAnsi="Times New Roman" w:cs="Times New Roman"/>
          <w:sz w:val="24"/>
          <w:szCs w:val="24"/>
        </w:rPr>
      </w:pPr>
      <w:r w:rsidRPr="00837B03">
        <w:rPr>
          <w:rFonts w:ascii="Times New Roman" w:hAnsi="Times New Roman" w:cs="Times New Roman"/>
          <w:sz w:val="24"/>
          <w:szCs w:val="24"/>
        </w:rPr>
        <w:t>‘the larger and more elaborate cult images are more likely to have been used by a group of people in a public context, while the small and usually schematic vehicles of magic could be used by individuals in attempts to manage the well-being on themselves and their families’</w:t>
      </w:r>
      <w:r w:rsidRPr="00837B03">
        <w:rPr>
          <w:rStyle w:val="FootnoteReference"/>
          <w:rFonts w:ascii="Times New Roman" w:hAnsi="Times New Roman" w:cs="Times New Roman"/>
          <w:sz w:val="24"/>
          <w:szCs w:val="24"/>
        </w:rPr>
        <w:footnoteReference w:id="23"/>
      </w:r>
    </w:p>
    <w:p w14:paraId="6D6993CD" w14:textId="77777777" w:rsidR="00EF0D6F" w:rsidRPr="00837B03" w:rsidRDefault="00EF0D6F" w:rsidP="00EF0D6F">
      <w:pPr>
        <w:spacing w:line="480" w:lineRule="auto"/>
        <w:jc w:val="both"/>
        <w:rPr>
          <w:rFonts w:ascii="Times New Roman" w:hAnsi="Times New Roman" w:cs="Times New Roman"/>
          <w:sz w:val="24"/>
          <w:szCs w:val="24"/>
        </w:rPr>
      </w:pPr>
    </w:p>
    <w:p w14:paraId="06581DF5" w14:textId="5FCDB093" w:rsidR="00EF0D6F" w:rsidRPr="00837B03" w:rsidRDefault="00EF0D6F" w:rsidP="00EF0D6F">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 xml:space="preserve">This explanation is clear, and helps the reader </w:t>
      </w:r>
      <w:r w:rsidR="00765C9E">
        <w:rPr>
          <w:rFonts w:ascii="Times New Roman" w:hAnsi="Times New Roman" w:cs="Times New Roman"/>
          <w:sz w:val="24"/>
          <w:szCs w:val="24"/>
        </w:rPr>
        <w:t>understand</w:t>
      </w:r>
      <w:r w:rsidRPr="00837B03">
        <w:rPr>
          <w:rFonts w:ascii="Times New Roman" w:hAnsi="Times New Roman" w:cs="Times New Roman"/>
          <w:sz w:val="24"/>
          <w:szCs w:val="24"/>
        </w:rPr>
        <w:t xml:space="preserve"> her explanation. Voigt consistently makes sure her audience can understand her work, no matter where they sit as a reader (in academia or just interested in the </w:t>
      </w:r>
      <w:r w:rsidR="00765C9E">
        <w:rPr>
          <w:rFonts w:ascii="Times New Roman" w:hAnsi="Times New Roman" w:cs="Times New Roman"/>
          <w:sz w:val="24"/>
          <w:szCs w:val="24"/>
        </w:rPr>
        <w:t>topic</w:t>
      </w:r>
      <w:r w:rsidRPr="00837B03">
        <w:rPr>
          <w:rFonts w:ascii="Times New Roman" w:hAnsi="Times New Roman" w:cs="Times New Roman"/>
          <w:sz w:val="24"/>
          <w:szCs w:val="24"/>
        </w:rPr>
        <w:t>).</w:t>
      </w:r>
    </w:p>
    <w:p w14:paraId="7D81E47E" w14:textId="77777777" w:rsidR="00EF0D6F" w:rsidRPr="00837B03" w:rsidRDefault="00EF0D6F" w:rsidP="00EF0D6F">
      <w:pPr>
        <w:spacing w:line="480" w:lineRule="auto"/>
        <w:jc w:val="both"/>
        <w:rPr>
          <w:rFonts w:ascii="Times New Roman" w:hAnsi="Times New Roman" w:cs="Times New Roman"/>
          <w:sz w:val="24"/>
          <w:szCs w:val="24"/>
        </w:rPr>
      </w:pPr>
    </w:p>
    <w:p w14:paraId="448BF257" w14:textId="42F3E881" w:rsidR="00EF0D6F" w:rsidRPr="00837B03" w:rsidRDefault="00EF0D6F" w:rsidP="00EF0D6F">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Voigt keeps the initiation and religious context in mind through her analysis, and with this her conclusion involves the three types of images having a link to magic and initiation for cults.</w:t>
      </w:r>
      <w:r w:rsidRPr="00837B03">
        <w:rPr>
          <w:rStyle w:val="FootnoteReference"/>
          <w:rFonts w:ascii="Times New Roman" w:hAnsi="Times New Roman" w:cs="Times New Roman"/>
          <w:sz w:val="24"/>
          <w:szCs w:val="24"/>
        </w:rPr>
        <w:footnoteReference w:id="24"/>
      </w:r>
      <w:r w:rsidRPr="00837B03">
        <w:rPr>
          <w:rFonts w:ascii="Times New Roman" w:hAnsi="Times New Roman" w:cs="Times New Roman"/>
          <w:sz w:val="24"/>
          <w:szCs w:val="24"/>
        </w:rPr>
        <w:t xml:space="preserve"> Personally, </w:t>
      </w:r>
      <w:r w:rsidRPr="00837B03">
        <w:rPr>
          <w:rFonts w:ascii="Times New Roman" w:hAnsi="Times New Roman" w:cs="Times New Roman"/>
          <w:sz w:val="24"/>
          <w:szCs w:val="24"/>
        </w:rPr>
        <w:t>I am not convinced of this link.</w:t>
      </w:r>
    </w:p>
    <w:p w14:paraId="4529CDF7" w14:textId="36609ADD" w:rsidR="00453DCF" w:rsidRPr="00837B03" w:rsidRDefault="00453DCF" w:rsidP="00AD0132">
      <w:pPr>
        <w:spacing w:line="480" w:lineRule="auto"/>
        <w:jc w:val="both"/>
        <w:rPr>
          <w:rFonts w:ascii="Times New Roman" w:hAnsi="Times New Roman" w:cs="Times New Roman"/>
          <w:sz w:val="24"/>
          <w:szCs w:val="24"/>
        </w:rPr>
      </w:pPr>
    </w:p>
    <w:p w14:paraId="2673AB00" w14:textId="77777777" w:rsidR="00BA13AE" w:rsidRPr="00837B03" w:rsidRDefault="00227AED" w:rsidP="00AD0132">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lastRenderedPageBreak/>
        <w:t>Voigt makes a number of claims regarding the interpretations of the figurines, and perhaps these might be better framed as speculative claims. She bases her assumptions on the value of ‘interpretations based on established patterns of human behaviour’,</w:t>
      </w:r>
      <w:r w:rsidR="00453DCF" w:rsidRPr="00837B03">
        <w:rPr>
          <w:rStyle w:val="FootnoteReference"/>
          <w:rFonts w:ascii="Times New Roman" w:hAnsi="Times New Roman" w:cs="Times New Roman"/>
          <w:sz w:val="24"/>
          <w:szCs w:val="24"/>
        </w:rPr>
        <w:footnoteReference w:id="25"/>
      </w:r>
      <w:r w:rsidR="00453DCF" w:rsidRPr="00837B03">
        <w:rPr>
          <w:rFonts w:ascii="Times New Roman" w:hAnsi="Times New Roman" w:cs="Times New Roman"/>
          <w:sz w:val="24"/>
          <w:szCs w:val="24"/>
        </w:rPr>
        <w:t xml:space="preserve"> however it seems archaeologists may too easily accept an interpretation of ritual and religious significance and the “established patterns” may refer to the archaeologists’ assumptions rather than be rooted in the empirical evidence. </w:t>
      </w:r>
    </w:p>
    <w:p w14:paraId="65D81A16" w14:textId="2F0D902B" w:rsidR="00316B0F" w:rsidRPr="00837B03" w:rsidRDefault="00316B0F" w:rsidP="00AD0132">
      <w:pPr>
        <w:spacing w:line="480" w:lineRule="auto"/>
        <w:jc w:val="both"/>
        <w:rPr>
          <w:rFonts w:ascii="Times New Roman" w:eastAsia="Times New Roman" w:hAnsi="Times New Roman" w:cs="Times New Roman"/>
          <w:sz w:val="24"/>
          <w:szCs w:val="24"/>
        </w:rPr>
      </w:pPr>
    </w:p>
    <w:p w14:paraId="406BD543" w14:textId="15F0E7E3" w:rsidR="00316B0F" w:rsidRPr="00837B03" w:rsidRDefault="00BF4524" w:rsidP="00AD0132">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With </w:t>
      </w:r>
      <w:r w:rsidR="000F48D9" w:rsidRPr="00837B03">
        <w:rPr>
          <w:rFonts w:ascii="Times New Roman" w:eastAsia="Times New Roman" w:hAnsi="Times New Roman" w:cs="Times New Roman"/>
          <w:sz w:val="24"/>
          <w:szCs w:val="24"/>
        </w:rPr>
        <w:t>so much research resulting in the use of ritual and religious use, it is</w:t>
      </w:r>
      <w:r w:rsidR="0086662E" w:rsidRPr="00837B03">
        <w:rPr>
          <w:rFonts w:ascii="Times New Roman" w:eastAsia="Times New Roman" w:hAnsi="Times New Roman" w:cs="Times New Roman"/>
          <w:sz w:val="24"/>
          <w:szCs w:val="24"/>
        </w:rPr>
        <w:t xml:space="preserve"> important to second-guess what is being said</w:t>
      </w:r>
      <w:r w:rsidR="00BA13AE" w:rsidRPr="00837B03">
        <w:rPr>
          <w:rFonts w:ascii="Times New Roman" w:eastAsia="Times New Roman" w:hAnsi="Times New Roman" w:cs="Times New Roman"/>
          <w:sz w:val="24"/>
          <w:szCs w:val="24"/>
        </w:rPr>
        <w:t>, especially when it is not from a confirmed religious context. A lot of early excavations assigned figurines and statuettes of women as forms of “goddesses” and – more commonly recognised – the “Mother Goddess”,</w:t>
      </w:r>
      <w:r w:rsidR="0024040D">
        <w:rPr>
          <w:rStyle w:val="FootnoteReference"/>
          <w:rFonts w:ascii="Times New Roman" w:eastAsia="Times New Roman" w:hAnsi="Times New Roman" w:cs="Times New Roman"/>
          <w:sz w:val="24"/>
          <w:szCs w:val="24"/>
        </w:rPr>
        <w:footnoteReference w:id="26"/>
      </w:r>
      <w:r w:rsidR="00BA13AE" w:rsidRPr="00837B03">
        <w:rPr>
          <w:rFonts w:ascii="Times New Roman" w:eastAsia="Times New Roman" w:hAnsi="Times New Roman" w:cs="Times New Roman"/>
          <w:sz w:val="24"/>
          <w:szCs w:val="24"/>
        </w:rPr>
        <w:t xml:space="preserve"> </w:t>
      </w:r>
      <w:r w:rsidR="0086662E" w:rsidRPr="00837B03">
        <w:rPr>
          <w:rFonts w:ascii="Times New Roman" w:eastAsia="Times New Roman" w:hAnsi="Times New Roman" w:cs="Times New Roman"/>
          <w:sz w:val="24"/>
          <w:szCs w:val="24"/>
        </w:rPr>
        <w:t>and little research has been done to look at what the other options are.</w:t>
      </w:r>
    </w:p>
    <w:p w14:paraId="74AEE14D" w14:textId="77777777" w:rsidR="00316B0F" w:rsidRPr="00837B03" w:rsidRDefault="00316B0F" w:rsidP="00AD0132">
      <w:pPr>
        <w:spacing w:line="480" w:lineRule="auto"/>
        <w:jc w:val="both"/>
        <w:rPr>
          <w:rFonts w:ascii="Times New Roman" w:eastAsia="Times New Roman" w:hAnsi="Times New Roman" w:cs="Times New Roman"/>
          <w:sz w:val="24"/>
          <w:szCs w:val="24"/>
        </w:rPr>
      </w:pPr>
    </w:p>
    <w:p w14:paraId="0CA2DB4E" w14:textId="02DBD3FF" w:rsidR="008B4976" w:rsidRPr="00837B03" w:rsidRDefault="00B66D9B" w:rsidP="005302F9">
      <w:pPr>
        <w:spacing w:line="480" w:lineRule="auto"/>
        <w:jc w:val="both"/>
        <w:rPr>
          <w:rFonts w:ascii="Times New Roman" w:hAnsi="Times New Roman" w:cs="Times New Roman"/>
          <w:b/>
          <w:sz w:val="24"/>
          <w:szCs w:val="24"/>
        </w:rPr>
      </w:pPr>
      <w:r>
        <w:rPr>
          <w:rFonts w:ascii="Times New Roman" w:hAnsi="Times New Roman" w:cs="Times New Roman"/>
          <w:sz w:val="24"/>
          <w:szCs w:val="24"/>
        </w:rPr>
        <w:t>This view has been</w:t>
      </w:r>
      <w:r w:rsidR="00453DCF" w:rsidRPr="00837B03">
        <w:rPr>
          <w:rFonts w:ascii="Times New Roman" w:hAnsi="Times New Roman" w:cs="Times New Roman"/>
          <w:sz w:val="24"/>
          <w:szCs w:val="24"/>
        </w:rPr>
        <w:t xml:space="preserve"> </w:t>
      </w:r>
      <w:r>
        <w:rPr>
          <w:rFonts w:ascii="Times New Roman" w:hAnsi="Times New Roman" w:cs="Times New Roman"/>
          <w:sz w:val="24"/>
          <w:szCs w:val="24"/>
        </w:rPr>
        <w:t>argued by</w:t>
      </w:r>
      <w:r w:rsidR="00453DCF" w:rsidRPr="00837B03">
        <w:rPr>
          <w:rFonts w:ascii="Times New Roman" w:hAnsi="Times New Roman" w:cs="Times New Roman"/>
          <w:sz w:val="24"/>
          <w:szCs w:val="24"/>
        </w:rPr>
        <w:t xml:space="preserve"> </w:t>
      </w:r>
      <w:r w:rsidR="00137D2B" w:rsidRPr="00837B03">
        <w:rPr>
          <w:rFonts w:ascii="Times New Roman" w:hAnsi="Times New Roman" w:cs="Times New Roman"/>
          <w:sz w:val="24"/>
          <w:szCs w:val="24"/>
        </w:rPr>
        <w:t>Fleming</w:t>
      </w:r>
      <w:r>
        <w:rPr>
          <w:rFonts w:ascii="Times New Roman" w:hAnsi="Times New Roman" w:cs="Times New Roman"/>
          <w:sz w:val="24"/>
          <w:szCs w:val="24"/>
        </w:rPr>
        <w:t>;</w:t>
      </w:r>
      <w:r w:rsidR="000A40F1" w:rsidRPr="00837B03">
        <w:rPr>
          <w:rFonts w:ascii="Times New Roman" w:hAnsi="Times New Roman" w:cs="Times New Roman"/>
          <w:sz w:val="24"/>
          <w:szCs w:val="24"/>
        </w:rPr>
        <w:t xml:space="preserve"> he explains how the concept of the Mother Goddess has been around for too long, and that it has held scholarship back</w:t>
      </w:r>
      <w:r w:rsidR="00861236" w:rsidRPr="00837B03">
        <w:rPr>
          <w:rFonts w:ascii="Times New Roman" w:hAnsi="Times New Roman" w:cs="Times New Roman"/>
          <w:sz w:val="24"/>
          <w:szCs w:val="24"/>
        </w:rPr>
        <w:t xml:space="preserve"> in research</w:t>
      </w:r>
      <w:r w:rsidR="000A40F1" w:rsidRPr="00837B03">
        <w:rPr>
          <w:rFonts w:ascii="Times New Roman" w:hAnsi="Times New Roman" w:cs="Times New Roman"/>
          <w:sz w:val="24"/>
          <w:szCs w:val="24"/>
        </w:rPr>
        <w:t>: ‘The mother-goddess has detained us for too long; let us disengage ourselves from her embrace’.</w:t>
      </w:r>
      <w:r w:rsidR="00137D2B" w:rsidRPr="00837B03">
        <w:rPr>
          <w:rStyle w:val="FootnoteReference"/>
          <w:rFonts w:ascii="Times New Roman" w:hAnsi="Times New Roman" w:cs="Times New Roman"/>
          <w:sz w:val="24"/>
          <w:szCs w:val="24"/>
        </w:rPr>
        <w:footnoteReference w:id="27"/>
      </w:r>
    </w:p>
    <w:p w14:paraId="1D7510AD" w14:textId="77777777" w:rsidR="008B4976" w:rsidRPr="00837B03" w:rsidRDefault="008B4976" w:rsidP="005302F9">
      <w:pPr>
        <w:spacing w:line="480" w:lineRule="auto"/>
        <w:jc w:val="both"/>
        <w:rPr>
          <w:rFonts w:ascii="Times New Roman" w:hAnsi="Times New Roman" w:cs="Times New Roman"/>
          <w:b/>
          <w:sz w:val="24"/>
          <w:szCs w:val="24"/>
        </w:rPr>
      </w:pPr>
    </w:p>
    <w:p w14:paraId="680099E4" w14:textId="46608280" w:rsidR="00EF0D6F" w:rsidRPr="00837B03" w:rsidRDefault="00E37ED3" w:rsidP="005302F9">
      <w:pPr>
        <w:spacing w:line="480" w:lineRule="auto"/>
        <w:jc w:val="both"/>
        <w:rPr>
          <w:rFonts w:ascii="Times New Roman" w:hAnsi="Times New Roman" w:cs="Times New Roman"/>
          <w:b/>
          <w:sz w:val="24"/>
          <w:szCs w:val="24"/>
        </w:rPr>
      </w:pPr>
      <w:r w:rsidRPr="00837B03">
        <w:rPr>
          <w:rFonts w:ascii="Times New Roman" w:hAnsi="Times New Roman" w:cs="Times New Roman"/>
          <w:sz w:val="24"/>
          <w:szCs w:val="24"/>
        </w:rPr>
        <w:t xml:space="preserve">Voigt focuses on the initiation and magic purposes of the figurines, despite suggesting </w:t>
      </w:r>
      <w:r w:rsidR="004E08EC" w:rsidRPr="00837B03">
        <w:rPr>
          <w:rFonts w:ascii="Times New Roman" w:hAnsi="Times New Roman" w:cs="Times New Roman"/>
          <w:sz w:val="24"/>
          <w:szCs w:val="24"/>
        </w:rPr>
        <w:t>their possible use as teaching devices</w:t>
      </w:r>
      <w:r w:rsidR="00453DCF" w:rsidRPr="00837B03">
        <w:rPr>
          <w:rFonts w:ascii="Times New Roman" w:hAnsi="Times New Roman" w:cs="Times New Roman"/>
          <w:sz w:val="24"/>
          <w:szCs w:val="24"/>
        </w:rPr>
        <w:t>.</w:t>
      </w:r>
      <w:r w:rsidR="004E08EC" w:rsidRPr="00837B03">
        <w:rPr>
          <w:rStyle w:val="FootnoteReference"/>
          <w:rFonts w:ascii="Times New Roman" w:hAnsi="Times New Roman" w:cs="Times New Roman"/>
          <w:sz w:val="24"/>
          <w:szCs w:val="24"/>
        </w:rPr>
        <w:footnoteReference w:id="28"/>
      </w:r>
      <w:r w:rsidR="00453DCF" w:rsidRPr="00837B03">
        <w:rPr>
          <w:rFonts w:ascii="Times New Roman" w:hAnsi="Times New Roman" w:cs="Times New Roman"/>
          <w:sz w:val="24"/>
          <w:szCs w:val="24"/>
        </w:rPr>
        <w:t xml:space="preserve"> This didactic </w:t>
      </w:r>
      <w:r w:rsidR="004E08EC" w:rsidRPr="00837B03">
        <w:rPr>
          <w:rFonts w:ascii="Times New Roman" w:hAnsi="Times New Roman" w:cs="Times New Roman"/>
          <w:sz w:val="24"/>
          <w:szCs w:val="24"/>
        </w:rPr>
        <w:t xml:space="preserve">interpretation </w:t>
      </w:r>
      <w:r w:rsidR="00453DCF" w:rsidRPr="00837B03">
        <w:rPr>
          <w:rFonts w:ascii="Times New Roman" w:hAnsi="Times New Roman" w:cs="Times New Roman"/>
          <w:sz w:val="24"/>
          <w:szCs w:val="24"/>
        </w:rPr>
        <w:t>may well offer new and interesting ways of understanding figurines and could open new avenues of research.</w:t>
      </w:r>
      <w:r w:rsidR="00453DCF" w:rsidRPr="00837B03">
        <w:rPr>
          <w:rFonts w:ascii="Times New Roman" w:hAnsi="Times New Roman" w:cs="Times New Roman"/>
          <w:b/>
          <w:color w:val="FF0000"/>
          <w:sz w:val="24"/>
          <w:szCs w:val="24"/>
        </w:rPr>
        <w:t xml:space="preserve"> </w:t>
      </w:r>
      <w:r w:rsidR="00992AA2" w:rsidRPr="00837B03">
        <w:rPr>
          <w:rFonts w:ascii="Times New Roman" w:hAnsi="Times New Roman" w:cs="Times New Roman"/>
          <w:sz w:val="24"/>
          <w:szCs w:val="24"/>
        </w:rPr>
        <w:t xml:space="preserve">In Bolger’s research on the </w:t>
      </w:r>
      <w:r w:rsidR="00AF3FCE" w:rsidRPr="00837B03">
        <w:rPr>
          <w:rFonts w:ascii="Times New Roman" w:hAnsi="Times New Roman" w:cs="Times New Roman"/>
          <w:sz w:val="24"/>
          <w:szCs w:val="24"/>
        </w:rPr>
        <w:t xml:space="preserve">Chalcolithic Cypriot </w:t>
      </w:r>
      <w:r w:rsidR="00992AA2" w:rsidRPr="00837B03">
        <w:rPr>
          <w:rFonts w:ascii="Times New Roman" w:hAnsi="Times New Roman" w:cs="Times New Roman"/>
          <w:sz w:val="24"/>
          <w:szCs w:val="24"/>
        </w:rPr>
        <w:t>birthing figurines</w:t>
      </w:r>
      <w:r w:rsidR="00156EED" w:rsidRPr="00837B03">
        <w:rPr>
          <w:rFonts w:ascii="Times New Roman" w:hAnsi="Times New Roman" w:cs="Times New Roman"/>
          <w:sz w:val="24"/>
          <w:szCs w:val="24"/>
        </w:rPr>
        <w:t xml:space="preserve">, she reports on Goring’s </w:t>
      </w:r>
      <w:r w:rsidR="00156EED" w:rsidRPr="00837B03">
        <w:rPr>
          <w:rFonts w:ascii="Times New Roman" w:hAnsi="Times New Roman" w:cs="Times New Roman"/>
          <w:sz w:val="24"/>
          <w:szCs w:val="24"/>
        </w:rPr>
        <w:lastRenderedPageBreak/>
        <w:t>interpretation of them, calling them ‘didactic models’</w:t>
      </w:r>
      <w:r w:rsidR="005302F9" w:rsidRPr="00837B03">
        <w:rPr>
          <w:rFonts w:ascii="Times New Roman" w:hAnsi="Times New Roman" w:cs="Times New Roman"/>
          <w:sz w:val="24"/>
          <w:szCs w:val="24"/>
        </w:rPr>
        <w:t>.</w:t>
      </w:r>
      <w:r w:rsidR="005302F9" w:rsidRPr="00837B03">
        <w:rPr>
          <w:rStyle w:val="FootnoteReference"/>
          <w:rFonts w:ascii="Times New Roman" w:hAnsi="Times New Roman" w:cs="Times New Roman"/>
          <w:sz w:val="24"/>
          <w:szCs w:val="24"/>
        </w:rPr>
        <w:footnoteReference w:id="29"/>
      </w:r>
      <w:r w:rsidR="00156EED" w:rsidRPr="00837B03">
        <w:rPr>
          <w:rFonts w:ascii="Times New Roman" w:hAnsi="Times New Roman" w:cs="Times New Roman"/>
          <w:sz w:val="24"/>
          <w:szCs w:val="24"/>
        </w:rPr>
        <w:t xml:space="preserve"> </w:t>
      </w:r>
      <w:r w:rsidR="005302F9" w:rsidRPr="00837B03">
        <w:rPr>
          <w:rFonts w:ascii="Times New Roman" w:hAnsi="Times New Roman" w:cs="Times New Roman"/>
          <w:sz w:val="24"/>
          <w:szCs w:val="24"/>
        </w:rPr>
        <w:t>Their varied forms and postures ‘from various stages of gestation, and ends with the successful birth of the child’</w:t>
      </w:r>
      <w:r w:rsidR="00B66D9B">
        <w:rPr>
          <w:rFonts w:ascii="Times New Roman" w:hAnsi="Times New Roman" w:cs="Times New Roman"/>
          <w:sz w:val="24"/>
          <w:szCs w:val="24"/>
        </w:rPr>
        <w:t>, which</w:t>
      </w:r>
      <w:r w:rsidR="005302F9" w:rsidRPr="00837B03">
        <w:rPr>
          <w:rFonts w:ascii="Times New Roman" w:hAnsi="Times New Roman" w:cs="Times New Roman"/>
          <w:sz w:val="24"/>
          <w:szCs w:val="24"/>
        </w:rPr>
        <w:t xml:space="preserve"> could have been used to guide women through their pregnancy journey</w:t>
      </w:r>
      <w:r w:rsidR="00156EED" w:rsidRPr="00837B03">
        <w:rPr>
          <w:rFonts w:ascii="Times New Roman" w:hAnsi="Times New Roman" w:cs="Times New Roman"/>
          <w:sz w:val="24"/>
          <w:szCs w:val="24"/>
        </w:rPr>
        <w:t>.</w:t>
      </w:r>
      <w:r w:rsidR="000509C6" w:rsidRPr="00837B03">
        <w:rPr>
          <w:rStyle w:val="FootnoteReference"/>
          <w:rFonts w:ascii="Times New Roman" w:hAnsi="Times New Roman" w:cs="Times New Roman"/>
          <w:sz w:val="24"/>
          <w:szCs w:val="24"/>
        </w:rPr>
        <w:footnoteReference w:id="30"/>
      </w:r>
    </w:p>
    <w:p w14:paraId="1CE1B40B" w14:textId="77777777" w:rsidR="008B4976" w:rsidRPr="00837B03" w:rsidRDefault="008B4976" w:rsidP="008B4976">
      <w:pPr>
        <w:spacing w:line="480" w:lineRule="auto"/>
        <w:jc w:val="both"/>
        <w:rPr>
          <w:rFonts w:ascii="Times New Roman" w:hAnsi="Times New Roman" w:cs="Times New Roman"/>
          <w:sz w:val="24"/>
          <w:szCs w:val="24"/>
        </w:rPr>
      </w:pPr>
    </w:p>
    <w:p w14:paraId="635D607C" w14:textId="17099BC1" w:rsidR="0078326E" w:rsidRPr="00837B03" w:rsidRDefault="00B10C3A" w:rsidP="008B4976">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Voigt discusses the evidence of wear on the figurines, starting with the quadrilateral and </w:t>
      </w:r>
      <w:r w:rsidR="00C46C8C">
        <w:rPr>
          <w:rFonts w:ascii="Times New Roman" w:eastAsia="Times New Roman" w:hAnsi="Times New Roman" w:cs="Times New Roman"/>
          <w:sz w:val="24"/>
          <w:szCs w:val="24"/>
        </w:rPr>
        <w:t>stub-armed figures, where none features</w:t>
      </w:r>
      <w:r w:rsidRPr="00837B03">
        <w:rPr>
          <w:rFonts w:ascii="Times New Roman" w:eastAsia="Times New Roman" w:hAnsi="Times New Roman" w:cs="Times New Roman"/>
          <w:sz w:val="24"/>
          <w:szCs w:val="24"/>
        </w:rPr>
        <w:t>.</w:t>
      </w:r>
      <w:r w:rsidR="00460BDB" w:rsidRPr="00837B03">
        <w:rPr>
          <w:rStyle w:val="FootnoteReference"/>
          <w:rFonts w:ascii="Times New Roman" w:eastAsia="Times New Roman" w:hAnsi="Times New Roman" w:cs="Times New Roman"/>
          <w:sz w:val="24"/>
          <w:szCs w:val="24"/>
        </w:rPr>
        <w:footnoteReference w:id="31"/>
      </w:r>
      <w:r w:rsidRPr="00837B03">
        <w:rPr>
          <w:rFonts w:ascii="Times New Roman" w:eastAsia="Times New Roman" w:hAnsi="Times New Roman" w:cs="Times New Roman"/>
          <w:sz w:val="24"/>
          <w:szCs w:val="24"/>
        </w:rPr>
        <w:t xml:space="preserve"> </w:t>
      </w:r>
      <w:r w:rsidR="00300893" w:rsidRPr="00837B03">
        <w:rPr>
          <w:rFonts w:ascii="Times New Roman" w:eastAsia="Times New Roman" w:hAnsi="Times New Roman" w:cs="Times New Roman"/>
          <w:sz w:val="24"/>
          <w:szCs w:val="24"/>
        </w:rPr>
        <w:t xml:space="preserve">With this, fragmentation is brought up, which there is only evidence for </w:t>
      </w:r>
      <w:r w:rsidR="0078326E" w:rsidRPr="00837B03">
        <w:rPr>
          <w:rFonts w:ascii="Times New Roman" w:eastAsia="Times New Roman" w:hAnsi="Times New Roman" w:cs="Times New Roman"/>
          <w:sz w:val="24"/>
          <w:szCs w:val="24"/>
        </w:rPr>
        <w:t xml:space="preserve">on </w:t>
      </w:r>
      <w:r w:rsidR="00300893" w:rsidRPr="00837B03">
        <w:rPr>
          <w:rFonts w:ascii="Times New Roman" w:eastAsia="Times New Roman" w:hAnsi="Times New Roman" w:cs="Times New Roman"/>
          <w:sz w:val="24"/>
          <w:szCs w:val="24"/>
        </w:rPr>
        <w:t>some of the stub-armed figuri</w:t>
      </w:r>
      <w:r w:rsidR="0078326E" w:rsidRPr="00837B03">
        <w:rPr>
          <w:rFonts w:ascii="Times New Roman" w:eastAsia="Times New Roman" w:hAnsi="Times New Roman" w:cs="Times New Roman"/>
          <w:sz w:val="24"/>
          <w:szCs w:val="24"/>
        </w:rPr>
        <w:t xml:space="preserve">nes. Her evidence for this </w:t>
      </w:r>
      <w:r w:rsidR="00EF6EA3">
        <w:rPr>
          <w:rFonts w:ascii="Times New Roman" w:eastAsia="Times New Roman" w:hAnsi="Times New Roman" w:cs="Times New Roman"/>
          <w:sz w:val="24"/>
          <w:szCs w:val="24"/>
        </w:rPr>
        <w:t xml:space="preserve">is </w:t>
      </w:r>
      <w:r w:rsidR="00E36449" w:rsidRPr="00837B03">
        <w:rPr>
          <w:rFonts w:ascii="Times New Roman" w:eastAsia="Times New Roman" w:hAnsi="Times New Roman" w:cs="Times New Roman"/>
          <w:sz w:val="24"/>
          <w:szCs w:val="24"/>
        </w:rPr>
        <w:t>how the severe</w:t>
      </w:r>
      <w:r w:rsidR="0078326E" w:rsidRPr="00837B03">
        <w:rPr>
          <w:rFonts w:ascii="Times New Roman" w:eastAsia="Times New Roman" w:hAnsi="Times New Roman" w:cs="Times New Roman"/>
          <w:sz w:val="24"/>
          <w:szCs w:val="24"/>
        </w:rPr>
        <w:t xml:space="preserve"> damage ‘does not seem to occur at points of structural weakness’.</w:t>
      </w:r>
      <w:r w:rsidR="0078326E" w:rsidRPr="00837B03">
        <w:rPr>
          <w:rStyle w:val="FootnoteReference"/>
          <w:rFonts w:ascii="Times New Roman" w:eastAsia="Times New Roman" w:hAnsi="Times New Roman" w:cs="Times New Roman"/>
          <w:sz w:val="24"/>
          <w:szCs w:val="24"/>
        </w:rPr>
        <w:footnoteReference w:id="32"/>
      </w:r>
      <w:r w:rsidR="0078326E" w:rsidRPr="00837B03">
        <w:rPr>
          <w:rFonts w:ascii="Times New Roman" w:eastAsia="Times New Roman" w:hAnsi="Times New Roman" w:cs="Times New Roman"/>
          <w:sz w:val="24"/>
          <w:szCs w:val="24"/>
        </w:rPr>
        <w:t xml:space="preserve"> Voigt </w:t>
      </w:r>
      <w:r w:rsidR="00E36449" w:rsidRPr="00837B03">
        <w:rPr>
          <w:rFonts w:ascii="Times New Roman" w:eastAsia="Times New Roman" w:hAnsi="Times New Roman" w:cs="Times New Roman"/>
          <w:sz w:val="24"/>
          <w:szCs w:val="24"/>
        </w:rPr>
        <w:t>then suggests</w:t>
      </w:r>
      <w:r w:rsidR="0078326E" w:rsidRPr="00837B03">
        <w:rPr>
          <w:rFonts w:ascii="Times New Roman" w:eastAsia="Times New Roman" w:hAnsi="Times New Roman" w:cs="Times New Roman"/>
          <w:sz w:val="24"/>
          <w:szCs w:val="24"/>
        </w:rPr>
        <w:t xml:space="preserve"> how these figurines could have had a different use an</w:t>
      </w:r>
      <w:r w:rsidR="00E36449" w:rsidRPr="00837B03">
        <w:rPr>
          <w:rFonts w:ascii="Times New Roman" w:eastAsia="Times New Roman" w:hAnsi="Times New Roman" w:cs="Times New Roman"/>
          <w:sz w:val="24"/>
          <w:szCs w:val="24"/>
        </w:rPr>
        <w:t>d meaning than</w:t>
      </w:r>
      <w:r w:rsidR="0078326E" w:rsidRPr="00837B03">
        <w:rPr>
          <w:rFonts w:ascii="Times New Roman" w:eastAsia="Times New Roman" w:hAnsi="Times New Roman" w:cs="Times New Roman"/>
          <w:sz w:val="24"/>
          <w:szCs w:val="24"/>
        </w:rPr>
        <w:t xml:space="preserve"> the quadrilateral figurines they were found with. Her investigation into </w:t>
      </w:r>
      <w:r w:rsidR="002D75BD" w:rsidRPr="00837B03">
        <w:rPr>
          <w:rFonts w:ascii="Times New Roman" w:eastAsia="Times New Roman" w:hAnsi="Times New Roman" w:cs="Times New Roman"/>
          <w:sz w:val="24"/>
          <w:szCs w:val="24"/>
        </w:rPr>
        <w:t xml:space="preserve">the breakage and wearing of the figures is </w:t>
      </w:r>
      <w:r w:rsidR="00435012" w:rsidRPr="00837B03">
        <w:rPr>
          <w:rFonts w:ascii="Times New Roman" w:eastAsia="Times New Roman" w:hAnsi="Times New Roman" w:cs="Times New Roman"/>
          <w:sz w:val="24"/>
          <w:szCs w:val="24"/>
        </w:rPr>
        <w:t xml:space="preserve">thorough with her discussion of each </w:t>
      </w:r>
      <w:r w:rsidR="00EF6EA3">
        <w:rPr>
          <w:rFonts w:ascii="Times New Roman" w:eastAsia="Times New Roman" w:hAnsi="Times New Roman" w:cs="Times New Roman"/>
          <w:sz w:val="24"/>
          <w:szCs w:val="24"/>
        </w:rPr>
        <w:t>statuette</w:t>
      </w:r>
      <w:r w:rsidR="00E36449" w:rsidRPr="00837B03">
        <w:rPr>
          <w:rFonts w:ascii="Times New Roman" w:eastAsia="Times New Roman" w:hAnsi="Times New Roman" w:cs="Times New Roman"/>
          <w:sz w:val="24"/>
          <w:szCs w:val="24"/>
        </w:rPr>
        <w:t>, ensuring she would not have missed anything</w:t>
      </w:r>
      <w:r w:rsidR="002D75BD" w:rsidRPr="00837B03">
        <w:rPr>
          <w:rFonts w:ascii="Times New Roman" w:eastAsia="Times New Roman" w:hAnsi="Times New Roman" w:cs="Times New Roman"/>
          <w:sz w:val="24"/>
          <w:szCs w:val="24"/>
        </w:rPr>
        <w:t>.</w:t>
      </w:r>
    </w:p>
    <w:p w14:paraId="1FB2027F" w14:textId="77777777" w:rsidR="008B4976" w:rsidRPr="00837B03" w:rsidRDefault="008B4976" w:rsidP="00B10C3A">
      <w:pPr>
        <w:spacing w:line="480" w:lineRule="auto"/>
        <w:jc w:val="both"/>
        <w:rPr>
          <w:rFonts w:ascii="Times New Roman" w:eastAsia="Times New Roman" w:hAnsi="Times New Roman" w:cs="Times New Roman"/>
          <w:sz w:val="24"/>
          <w:szCs w:val="24"/>
        </w:rPr>
      </w:pPr>
    </w:p>
    <w:p w14:paraId="0C8763B4" w14:textId="3565853C" w:rsidR="00460BDB" w:rsidRPr="00837B03" w:rsidRDefault="00EF6EA3" w:rsidP="00B10C3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Voigt makes the</w:t>
      </w:r>
      <w:r w:rsidR="00E30231" w:rsidRPr="00837B03">
        <w:rPr>
          <w:rFonts w:ascii="Times New Roman" w:eastAsia="Times New Roman" w:hAnsi="Times New Roman" w:cs="Times New Roman"/>
          <w:sz w:val="24"/>
          <w:szCs w:val="24"/>
        </w:rPr>
        <w:t xml:space="preserve"> important point that looking at wear and disposition is key when loo</w:t>
      </w:r>
      <w:r w:rsidR="00220C5E" w:rsidRPr="00837B03">
        <w:rPr>
          <w:rFonts w:ascii="Times New Roman" w:eastAsia="Times New Roman" w:hAnsi="Times New Roman" w:cs="Times New Roman"/>
          <w:sz w:val="24"/>
          <w:szCs w:val="24"/>
        </w:rPr>
        <w:t>king at figurines and their use,</w:t>
      </w:r>
      <w:r w:rsidR="00701F9A" w:rsidRPr="00837B03">
        <w:rPr>
          <w:rStyle w:val="FootnoteReference"/>
          <w:rFonts w:ascii="Times New Roman" w:eastAsia="Times New Roman" w:hAnsi="Times New Roman" w:cs="Times New Roman"/>
          <w:sz w:val="24"/>
          <w:szCs w:val="24"/>
        </w:rPr>
        <w:footnoteReference w:id="33"/>
      </w:r>
      <w:r w:rsidR="00220C5E" w:rsidRPr="00837B03">
        <w:rPr>
          <w:rFonts w:ascii="Times New Roman" w:eastAsia="Times New Roman" w:hAnsi="Times New Roman" w:cs="Times New Roman"/>
          <w:sz w:val="24"/>
          <w:szCs w:val="24"/>
        </w:rPr>
        <w:t xml:space="preserve"> </w:t>
      </w:r>
      <w:r w:rsidR="00701F9A" w:rsidRPr="00837B03">
        <w:rPr>
          <w:rFonts w:ascii="Times New Roman" w:eastAsia="Times New Roman" w:hAnsi="Times New Roman" w:cs="Times New Roman"/>
          <w:sz w:val="24"/>
          <w:szCs w:val="24"/>
        </w:rPr>
        <w:t>and in other examples outside Voigt’s region and time period</w:t>
      </w:r>
      <w:r>
        <w:rPr>
          <w:rFonts w:ascii="Times New Roman" w:eastAsia="Times New Roman" w:hAnsi="Times New Roman" w:cs="Times New Roman"/>
          <w:sz w:val="24"/>
          <w:szCs w:val="24"/>
        </w:rPr>
        <w:t>,</w:t>
      </w:r>
      <w:r w:rsidR="00701F9A" w:rsidRPr="00837B03">
        <w:rPr>
          <w:rFonts w:ascii="Times New Roman" w:eastAsia="Times New Roman" w:hAnsi="Times New Roman" w:cs="Times New Roman"/>
          <w:sz w:val="24"/>
          <w:szCs w:val="24"/>
        </w:rPr>
        <w:t xml:space="preserve"> it shows. Bolger suggests that the wearing down on the birthing figurines </w:t>
      </w:r>
      <w:r w:rsidR="008B4976" w:rsidRPr="00837B03">
        <w:rPr>
          <w:rFonts w:ascii="Times New Roman" w:eastAsia="Times New Roman" w:hAnsi="Times New Roman" w:cs="Times New Roman"/>
          <w:sz w:val="24"/>
          <w:szCs w:val="24"/>
        </w:rPr>
        <w:t>was caused by them being held by women through childbirth.</w:t>
      </w:r>
      <w:r w:rsidR="008B4976" w:rsidRPr="00837B03">
        <w:rPr>
          <w:rStyle w:val="FootnoteReference"/>
          <w:rFonts w:ascii="Times New Roman" w:eastAsia="Times New Roman" w:hAnsi="Times New Roman" w:cs="Times New Roman"/>
          <w:sz w:val="24"/>
          <w:szCs w:val="24"/>
        </w:rPr>
        <w:footnoteReference w:id="34"/>
      </w:r>
    </w:p>
    <w:p w14:paraId="7802D4FE" w14:textId="77777777" w:rsidR="008B4976" w:rsidRPr="00837B03" w:rsidRDefault="008B4976" w:rsidP="009833E7">
      <w:pPr>
        <w:spacing w:line="480" w:lineRule="auto"/>
        <w:jc w:val="both"/>
        <w:rPr>
          <w:rFonts w:ascii="Times New Roman" w:hAnsi="Times New Roman" w:cs="Times New Roman"/>
          <w:sz w:val="24"/>
          <w:szCs w:val="24"/>
        </w:rPr>
      </w:pPr>
    </w:p>
    <w:p w14:paraId="255BB5A0" w14:textId="304BF099" w:rsidR="009833E7" w:rsidRPr="00837B03" w:rsidRDefault="00EE6BA6" w:rsidP="009833E7">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After doing her own measurements of the many figurines – and taking into account </w:t>
      </w:r>
      <w:r w:rsidR="00FF0B10" w:rsidRPr="00837B03">
        <w:rPr>
          <w:rFonts w:ascii="Times New Roman" w:eastAsia="Times New Roman" w:hAnsi="Times New Roman" w:cs="Times New Roman"/>
          <w:sz w:val="24"/>
          <w:szCs w:val="24"/>
        </w:rPr>
        <w:t>the size of the breasts</w:t>
      </w:r>
      <w:r w:rsidR="00316B0F" w:rsidRPr="00837B03">
        <w:rPr>
          <w:rFonts w:ascii="Times New Roman" w:eastAsia="Times New Roman" w:hAnsi="Times New Roman" w:cs="Times New Roman"/>
          <w:sz w:val="24"/>
          <w:szCs w:val="24"/>
        </w:rPr>
        <w:t>,</w:t>
      </w:r>
      <w:r w:rsidR="00FF0B10" w:rsidRPr="00837B03">
        <w:rPr>
          <w:rFonts w:ascii="Times New Roman" w:eastAsia="Times New Roman" w:hAnsi="Times New Roman" w:cs="Times New Roman"/>
          <w:sz w:val="24"/>
          <w:szCs w:val="24"/>
        </w:rPr>
        <w:t xml:space="preserve"> buttocks</w:t>
      </w:r>
      <w:r w:rsidR="00316B0F" w:rsidRPr="00837B03">
        <w:rPr>
          <w:rFonts w:ascii="Times New Roman" w:eastAsia="Times New Roman" w:hAnsi="Times New Roman" w:cs="Times New Roman"/>
          <w:sz w:val="24"/>
          <w:szCs w:val="24"/>
        </w:rPr>
        <w:t>, and hips</w:t>
      </w:r>
      <w:r w:rsidR="00FF0B10" w:rsidRPr="00837B03">
        <w:rPr>
          <w:rFonts w:ascii="Times New Roman" w:eastAsia="Times New Roman" w:hAnsi="Times New Roman" w:cs="Times New Roman"/>
          <w:sz w:val="24"/>
          <w:szCs w:val="24"/>
        </w:rPr>
        <w:t xml:space="preserve"> – Voigt came to realise that how </w:t>
      </w:r>
      <w:proofErr w:type="spellStart"/>
      <w:r w:rsidR="00FF0B10" w:rsidRPr="00837B03">
        <w:rPr>
          <w:rFonts w:ascii="Times New Roman" w:eastAsia="Times New Roman" w:hAnsi="Times New Roman" w:cs="Times New Roman"/>
          <w:sz w:val="24"/>
          <w:szCs w:val="24"/>
        </w:rPr>
        <w:t>Mellaart</w:t>
      </w:r>
      <w:proofErr w:type="spellEnd"/>
      <w:r w:rsidR="00FF0B10" w:rsidRPr="00837B03">
        <w:rPr>
          <w:rFonts w:ascii="Times New Roman" w:eastAsia="Times New Roman" w:hAnsi="Times New Roman" w:cs="Times New Roman"/>
          <w:sz w:val="24"/>
          <w:szCs w:val="24"/>
        </w:rPr>
        <w:t xml:space="preserve"> had categorised and grouped these figurines was the best way. </w:t>
      </w:r>
      <w:r w:rsidR="00316B0F" w:rsidRPr="00837B03">
        <w:rPr>
          <w:rFonts w:ascii="Times New Roman" w:eastAsia="Times New Roman" w:hAnsi="Times New Roman" w:cs="Times New Roman"/>
          <w:sz w:val="24"/>
          <w:szCs w:val="24"/>
        </w:rPr>
        <w:t xml:space="preserve">She does not provide these measurements though, </w:t>
      </w:r>
      <w:r w:rsidR="00316B0F" w:rsidRPr="00837B03">
        <w:rPr>
          <w:rFonts w:ascii="Times New Roman" w:eastAsia="Times New Roman" w:hAnsi="Times New Roman" w:cs="Times New Roman"/>
          <w:sz w:val="24"/>
          <w:szCs w:val="24"/>
        </w:rPr>
        <w:lastRenderedPageBreak/>
        <w:t>despite sayin</w:t>
      </w:r>
      <w:r w:rsidR="00EF6EA3">
        <w:rPr>
          <w:rFonts w:ascii="Times New Roman" w:eastAsia="Times New Roman" w:hAnsi="Times New Roman" w:cs="Times New Roman"/>
          <w:sz w:val="24"/>
          <w:szCs w:val="24"/>
        </w:rPr>
        <w:t>g how useful the information is. T</w:t>
      </w:r>
      <w:r w:rsidR="00316B0F" w:rsidRPr="00837B03">
        <w:rPr>
          <w:rFonts w:ascii="Times New Roman" w:eastAsia="Times New Roman" w:hAnsi="Times New Roman" w:cs="Times New Roman"/>
          <w:sz w:val="24"/>
          <w:szCs w:val="24"/>
        </w:rPr>
        <w:t xml:space="preserve">his information </w:t>
      </w:r>
      <w:r w:rsidR="00EF6EA3">
        <w:rPr>
          <w:rFonts w:ascii="Times New Roman" w:eastAsia="Times New Roman" w:hAnsi="Times New Roman" w:cs="Times New Roman"/>
          <w:sz w:val="24"/>
          <w:szCs w:val="24"/>
        </w:rPr>
        <w:t>would be</w:t>
      </w:r>
      <w:r w:rsidR="00316B0F" w:rsidRPr="00837B03">
        <w:rPr>
          <w:rFonts w:ascii="Times New Roman" w:eastAsia="Times New Roman" w:hAnsi="Times New Roman" w:cs="Times New Roman"/>
          <w:sz w:val="24"/>
          <w:szCs w:val="24"/>
        </w:rPr>
        <w:t xml:space="preserve"> useful to know for anyone else who would like to use her article to discuss and research the figurines. </w:t>
      </w:r>
    </w:p>
    <w:p w14:paraId="51843673" w14:textId="08EC9AFF" w:rsidR="00BA5034" w:rsidRPr="00837B03" w:rsidRDefault="00BA5034" w:rsidP="00BA5034">
      <w:pPr>
        <w:spacing w:line="480" w:lineRule="auto"/>
        <w:jc w:val="both"/>
        <w:rPr>
          <w:rFonts w:ascii="Times New Roman" w:hAnsi="Times New Roman" w:cs="Times New Roman"/>
          <w:sz w:val="24"/>
          <w:szCs w:val="24"/>
        </w:rPr>
      </w:pPr>
    </w:p>
    <w:p w14:paraId="71BCBFCB" w14:textId="450E1BFD" w:rsidR="00454FFA" w:rsidRPr="00837B03" w:rsidRDefault="00454FFA" w:rsidP="00454FFA">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One suggestion that was particularly interesting is that the statuettes represent the life of a woman in rituals.</w:t>
      </w:r>
      <w:r w:rsidRPr="00837B03">
        <w:rPr>
          <w:rStyle w:val="FootnoteReference"/>
          <w:rFonts w:ascii="Times New Roman" w:eastAsia="Times New Roman" w:hAnsi="Times New Roman" w:cs="Times New Roman"/>
          <w:sz w:val="24"/>
          <w:szCs w:val="24"/>
        </w:rPr>
        <w:footnoteReference w:id="35"/>
      </w:r>
      <w:r w:rsidRPr="00837B03">
        <w:rPr>
          <w:rFonts w:ascii="Times New Roman" w:eastAsia="Times New Roman" w:hAnsi="Times New Roman" w:cs="Times New Roman"/>
          <w:sz w:val="24"/>
          <w:szCs w:val="24"/>
        </w:rPr>
        <w:t xml:space="preserve"> The body types of the figurines are diverse in their representation, and they show the development of a woman’s growth</w:t>
      </w:r>
      <w:r w:rsidR="00AE1FB9" w:rsidRPr="00837B03">
        <w:rPr>
          <w:rFonts w:ascii="Times New Roman" w:eastAsia="Times New Roman" w:hAnsi="Times New Roman" w:cs="Times New Roman"/>
          <w:sz w:val="24"/>
          <w:szCs w:val="24"/>
        </w:rPr>
        <w:t xml:space="preserve">. They have a didactic meaning to them. The younger women have small breasts with slim hips, and their hair in pigtails, while the mature women have ‘enlarged upper arms, medium to large breasts, pendulous stomachs, and </w:t>
      </w:r>
      <w:r w:rsidR="00EF0D6F" w:rsidRPr="00837B03">
        <w:rPr>
          <w:rFonts w:ascii="Times New Roman" w:eastAsia="Times New Roman" w:hAnsi="Times New Roman" w:cs="Times New Roman"/>
          <w:sz w:val="24"/>
          <w:szCs w:val="24"/>
        </w:rPr>
        <w:t>huge</w:t>
      </w:r>
      <w:r w:rsidR="00AE1FB9" w:rsidRPr="00837B03">
        <w:rPr>
          <w:rFonts w:ascii="Times New Roman" w:eastAsia="Times New Roman" w:hAnsi="Times New Roman" w:cs="Times New Roman"/>
          <w:sz w:val="24"/>
          <w:szCs w:val="24"/>
        </w:rPr>
        <w:t xml:space="preserve"> hips and buttocks’.</w:t>
      </w:r>
      <w:r w:rsidR="00AE1FB9" w:rsidRPr="00837B03">
        <w:rPr>
          <w:rStyle w:val="FootnoteReference"/>
          <w:rFonts w:ascii="Times New Roman" w:eastAsia="Times New Roman" w:hAnsi="Times New Roman" w:cs="Times New Roman"/>
          <w:sz w:val="24"/>
          <w:szCs w:val="24"/>
        </w:rPr>
        <w:footnoteReference w:id="36"/>
      </w:r>
      <w:r w:rsidR="00AE1FB9" w:rsidRPr="00837B03">
        <w:rPr>
          <w:rFonts w:ascii="Times New Roman" w:eastAsia="Times New Roman" w:hAnsi="Times New Roman" w:cs="Times New Roman"/>
          <w:sz w:val="24"/>
          <w:szCs w:val="24"/>
        </w:rPr>
        <w:t xml:space="preserve"> Voigt does not immediately assign their larger stomachs to pregnancy and motherhood, but also suggests that they</w:t>
      </w:r>
      <w:r w:rsidR="004872BE">
        <w:rPr>
          <w:rFonts w:ascii="Times New Roman" w:eastAsia="Times New Roman" w:hAnsi="Times New Roman" w:cs="Times New Roman"/>
          <w:sz w:val="24"/>
          <w:szCs w:val="24"/>
        </w:rPr>
        <w:t xml:space="preserve"> possibly could have eaten well.</w:t>
      </w:r>
      <w:r w:rsidR="00AE1FB9" w:rsidRPr="00837B03">
        <w:rPr>
          <w:rFonts w:ascii="Times New Roman" w:eastAsia="Times New Roman" w:hAnsi="Times New Roman" w:cs="Times New Roman"/>
          <w:sz w:val="24"/>
          <w:szCs w:val="24"/>
        </w:rPr>
        <w:t xml:space="preserve"> </w:t>
      </w:r>
      <w:r w:rsidR="004872BE" w:rsidRPr="00837B03">
        <w:rPr>
          <w:rFonts w:ascii="Times New Roman" w:eastAsia="Times New Roman" w:hAnsi="Times New Roman" w:cs="Times New Roman"/>
          <w:sz w:val="24"/>
          <w:szCs w:val="24"/>
        </w:rPr>
        <w:t>She says that in her opinion ‘most of the figures look fat rather than pregnant’</w:t>
      </w:r>
      <w:r w:rsidR="004872BE">
        <w:rPr>
          <w:rFonts w:ascii="Times New Roman" w:eastAsia="Times New Roman" w:hAnsi="Times New Roman" w:cs="Times New Roman"/>
          <w:sz w:val="24"/>
          <w:szCs w:val="24"/>
        </w:rPr>
        <w:t>.</w:t>
      </w:r>
      <w:r w:rsidR="004872BE" w:rsidRPr="00837B03">
        <w:rPr>
          <w:rStyle w:val="FootnoteReference"/>
          <w:rFonts w:ascii="Times New Roman" w:eastAsia="Times New Roman" w:hAnsi="Times New Roman" w:cs="Times New Roman"/>
          <w:sz w:val="24"/>
          <w:szCs w:val="24"/>
        </w:rPr>
        <w:footnoteReference w:id="37"/>
      </w:r>
      <w:r w:rsidR="004872BE">
        <w:rPr>
          <w:rFonts w:ascii="Times New Roman" w:eastAsia="Times New Roman" w:hAnsi="Times New Roman" w:cs="Times New Roman"/>
          <w:sz w:val="24"/>
          <w:szCs w:val="24"/>
        </w:rPr>
        <w:t xml:space="preserve"> T</w:t>
      </w:r>
      <w:r w:rsidR="00AE1FB9" w:rsidRPr="00837B03">
        <w:rPr>
          <w:rFonts w:ascii="Times New Roman" w:eastAsia="Times New Roman" w:hAnsi="Times New Roman" w:cs="Times New Roman"/>
          <w:sz w:val="24"/>
          <w:szCs w:val="24"/>
        </w:rPr>
        <w:t>his is a fresh look on what the larger figurines could represent and show.</w:t>
      </w:r>
      <w:r w:rsidR="003F6E65" w:rsidRPr="00837B03">
        <w:rPr>
          <w:rFonts w:ascii="Times New Roman" w:eastAsia="Times New Roman" w:hAnsi="Times New Roman" w:cs="Times New Roman"/>
          <w:sz w:val="24"/>
          <w:szCs w:val="24"/>
        </w:rPr>
        <w:t xml:space="preserve"> </w:t>
      </w:r>
    </w:p>
    <w:p w14:paraId="4BC37BE4" w14:textId="77777777" w:rsidR="008B4976" w:rsidRPr="00837B03" w:rsidRDefault="008B4976" w:rsidP="006B4607">
      <w:pPr>
        <w:spacing w:line="480" w:lineRule="auto"/>
        <w:jc w:val="both"/>
        <w:rPr>
          <w:rFonts w:ascii="Times New Roman" w:eastAsia="Times New Roman" w:hAnsi="Times New Roman" w:cs="Times New Roman"/>
          <w:sz w:val="24"/>
          <w:szCs w:val="24"/>
        </w:rPr>
      </w:pPr>
    </w:p>
    <w:p w14:paraId="66AB29AC" w14:textId="7B1B06C4" w:rsidR="00E36449" w:rsidRPr="00837B03" w:rsidRDefault="00875394" w:rsidP="005E397D">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One part of the </w:t>
      </w:r>
      <w:r w:rsidR="00DA597E" w:rsidRPr="00837B03">
        <w:rPr>
          <w:rFonts w:ascii="Times New Roman" w:eastAsia="Times New Roman" w:hAnsi="Times New Roman" w:cs="Times New Roman"/>
          <w:sz w:val="24"/>
          <w:szCs w:val="24"/>
        </w:rPr>
        <w:t xml:space="preserve">chapter that makes it an enjoyable read is </w:t>
      </w:r>
      <w:r w:rsidR="00FD0E49" w:rsidRPr="00837B03">
        <w:rPr>
          <w:rFonts w:ascii="Times New Roman" w:eastAsia="Times New Roman" w:hAnsi="Times New Roman" w:cs="Times New Roman"/>
          <w:sz w:val="24"/>
          <w:szCs w:val="24"/>
        </w:rPr>
        <w:t>Voigt’s use of the word “we”</w:t>
      </w:r>
      <w:r w:rsidR="00DA597E" w:rsidRPr="00837B03">
        <w:rPr>
          <w:rFonts w:ascii="Times New Roman" w:eastAsia="Times New Roman" w:hAnsi="Times New Roman" w:cs="Times New Roman"/>
          <w:sz w:val="24"/>
          <w:szCs w:val="24"/>
        </w:rPr>
        <w:t>.</w:t>
      </w:r>
      <w:r w:rsidR="00FD0E49" w:rsidRPr="00837B03">
        <w:rPr>
          <w:rFonts w:ascii="Times New Roman" w:eastAsia="Times New Roman" w:hAnsi="Times New Roman" w:cs="Times New Roman"/>
          <w:sz w:val="24"/>
          <w:szCs w:val="24"/>
        </w:rPr>
        <w:t xml:space="preserve"> </w:t>
      </w:r>
      <w:r w:rsidR="00DA597E" w:rsidRPr="00837B03">
        <w:rPr>
          <w:rFonts w:ascii="Times New Roman" w:eastAsia="Times New Roman" w:hAnsi="Times New Roman" w:cs="Times New Roman"/>
          <w:sz w:val="24"/>
          <w:szCs w:val="24"/>
        </w:rPr>
        <w:t>It brings</w:t>
      </w:r>
      <w:r w:rsidR="002F79DE" w:rsidRPr="00837B03">
        <w:rPr>
          <w:rFonts w:ascii="Times New Roman" w:eastAsia="Times New Roman" w:hAnsi="Times New Roman" w:cs="Times New Roman"/>
          <w:sz w:val="24"/>
          <w:szCs w:val="24"/>
        </w:rPr>
        <w:t xml:space="preserve"> the reader on the journey of learning and discovery of the figurines with </w:t>
      </w:r>
      <w:r w:rsidR="00DA597E" w:rsidRPr="00837B03">
        <w:rPr>
          <w:rFonts w:ascii="Times New Roman" w:eastAsia="Times New Roman" w:hAnsi="Times New Roman" w:cs="Times New Roman"/>
          <w:sz w:val="24"/>
          <w:szCs w:val="24"/>
        </w:rPr>
        <w:t>her</w:t>
      </w:r>
      <w:r w:rsidR="002F79DE" w:rsidRPr="00837B03">
        <w:rPr>
          <w:rFonts w:ascii="Times New Roman" w:eastAsia="Times New Roman" w:hAnsi="Times New Roman" w:cs="Times New Roman"/>
          <w:sz w:val="24"/>
          <w:szCs w:val="24"/>
        </w:rPr>
        <w:t xml:space="preserve">, which sparks </w:t>
      </w:r>
      <w:r w:rsidR="00DA597E" w:rsidRPr="00837B03">
        <w:rPr>
          <w:rFonts w:ascii="Times New Roman" w:eastAsia="Times New Roman" w:hAnsi="Times New Roman" w:cs="Times New Roman"/>
          <w:sz w:val="24"/>
          <w:szCs w:val="24"/>
        </w:rPr>
        <w:t xml:space="preserve">inspiration within the reader. </w:t>
      </w:r>
      <w:r w:rsidR="003876DC" w:rsidRPr="00837B03">
        <w:rPr>
          <w:rFonts w:ascii="Times New Roman" w:eastAsia="Times New Roman" w:hAnsi="Times New Roman" w:cs="Times New Roman"/>
          <w:sz w:val="24"/>
          <w:szCs w:val="24"/>
        </w:rPr>
        <w:t>After discussing the context and disposition processes, Voigt writes ‘We can make the following generalizations about figurine distribution’</w:t>
      </w:r>
      <w:r w:rsidR="004872BE">
        <w:rPr>
          <w:rFonts w:ascii="Times New Roman" w:eastAsia="Times New Roman" w:hAnsi="Times New Roman" w:cs="Times New Roman"/>
          <w:sz w:val="24"/>
          <w:szCs w:val="24"/>
        </w:rPr>
        <w:t>;</w:t>
      </w:r>
      <w:r w:rsidR="006B4607" w:rsidRPr="00837B03">
        <w:rPr>
          <w:rStyle w:val="FootnoteReference"/>
          <w:rFonts w:ascii="Times New Roman" w:eastAsia="Times New Roman" w:hAnsi="Times New Roman" w:cs="Times New Roman"/>
          <w:sz w:val="24"/>
          <w:szCs w:val="24"/>
        </w:rPr>
        <w:footnoteReference w:id="38"/>
      </w:r>
      <w:r w:rsidR="003876DC" w:rsidRPr="00837B03">
        <w:rPr>
          <w:rFonts w:ascii="Times New Roman" w:eastAsia="Times New Roman" w:hAnsi="Times New Roman" w:cs="Times New Roman"/>
          <w:sz w:val="24"/>
          <w:szCs w:val="24"/>
        </w:rPr>
        <w:t xml:space="preserve"> it made me question everything that h</w:t>
      </w:r>
      <w:r w:rsidR="006B4607" w:rsidRPr="00837B03">
        <w:rPr>
          <w:rFonts w:ascii="Times New Roman" w:eastAsia="Times New Roman" w:hAnsi="Times New Roman" w:cs="Times New Roman"/>
          <w:sz w:val="24"/>
          <w:szCs w:val="24"/>
        </w:rPr>
        <w:t>ad already been said, and reflect on the comments that followed. The chapter has a captivating narrative that the reader cannot help but continue through to finish the journey of the investigation into the figurines.</w:t>
      </w:r>
      <w:r w:rsidR="003876DC" w:rsidRPr="00837B03">
        <w:rPr>
          <w:rFonts w:ascii="Times New Roman" w:hAnsi="Times New Roman" w:cs="Times New Roman"/>
          <w:color w:val="000000"/>
          <w:sz w:val="24"/>
          <w:szCs w:val="24"/>
        </w:rPr>
        <w:t xml:space="preserve"> </w:t>
      </w:r>
    </w:p>
    <w:p w14:paraId="47EDABC5" w14:textId="77777777" w:rsidR="00E36449" w:rsidRPr="00837B03" w:rsidRDefault="00E36449" w:rsidP="005E397D">
      <w:pPr>
        <w:spacing w:line="480" w:lineRule="auto"/>
        <w:jc w:val="both"/>
        <w:rPr>
          <w:rFonts w:ascii="Times New Roman" w:eastAsia="Times New Roman" w:hAnsi="Times New Roman" w:cs="Times New Roman"/>
          <w:sz w:val="24"/>
          <w:szCs w:val="24"/>
        </w:rPr>
      </w:pPr>
    </w:p>
    <w:p w14:paraId="6F63F348" w14:textId="7B8B5C71" w:rsidR="008B4976" w:rsidRPr="00837B03" w:rsidRDefault="008B4976" w:rsidP="005E397D">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lastRenderedPageBreak/>
        <w:t>Voigt investigates the figurines at Hacilar thoroughly, and provides a detailed and well-explained piece on them. The reader’s mind is provoked with their own questions and thoughts, while also being able to read and take in the basic information on the figurines and statuettes. Topics including the religious context could have been given more explanation for those who do not know the controversy of scholarship within it</w:t>
      </w:r>
      <w:r w:rsidR="00E45C6D" w:rsidRPr="00837B03">
        <w:rPr>
          <w:rFonts w:ascii="Times New Roman" w:hAnsi="Times New Roman" w:cs="Times New Roman"/>
          <w:sz w:val="24"/>
          <w:szCs w:val="24"/>
        </w:rPr>
        <w:t>, but despite this s</w:t>
      </w:r>
      <w:r w:rsidR="00E45C6D" w:rsidRPr="00837B03">
        <w:rPr>
          <w:rFonts w:ascii="Times New Roman" w:hAnsi="Times New Roman" w:cs="Times New Roman"/>
          <w:sz w:val="24"/>
          <w:szCs w:val="24"/>
        </w:rPr>
        <w:t>he gives fantastic context on the figurines themselves, and does this while keeping her work interesting, stimulating, and delightful to engage with.</w:t>
      </w:r>
    </w:p>
    <w:p w14:paraId="2C664500" w14:textId="77777777" w:rsidR="00E45C6D" w:rsidRPr="00837B03" w:rsidRDefault="00E45C6D" w:rsidP="005E397D">
      <w:pPr>
        <w:spacing w:line="480" w:lineRule="auto"/>
        <w:jc w:val="both"/>
        <w:rPr>
          <w:rFonts w:ascii="Times New Roman" w:eastAsia="Times New Roman" w:hAnsi="Times New Roman" w:cs="Times New Roman"/>
          <w:sz w:val="24"/>
          <w:szCs w:val="24"/>
        </w:rPr>
      </w:pPr>
    </w:p>
    <w:p w14:paraId="046953CC" w14:textId="7CC5D55B" w:rsidR="00316B0F" w:rsidRPr="00837B03" w:rsidRDefault="008B4976" w:rsidP="005E397D">
      <w:pPr>
        <w:spacing w:line="480" w:lineRule="auto"/>
        <w:jc w:val="both"/>
        <w:rPr>
          <w:rFonts w:ascii="Times New Roman" w:hAnsi="Times New Roman" w:cs="Times New Roman"/>
          <w:sz w:val="24"/>
          <w:szCs w:val="24"/>
        </w:rPr>
      </w:pPr>
      <w:r w:rsidRPr="00837B03">
        <w:rPr>
          <w:rFonts w:ascii="Times New Roman" w:hAnsi="Times New Roman" w:cs="Times New Roman"/>
          <w:sz w:val="24"/>
          <w:szCs w:val="24"/>
        </w:rPr>
        <w:t>She keeps her work entertaining and inviting with her light-hearted</w:t>
      </w:r>
      <w:r w:rsidR="004872BE">
        <w:rPr>
          <w:rFonts w:ascii="Times New Roman" w:hAnsi="Times New Roman" w:cs="Times New Roman"/>
          <w:sz w:val="24"/>
          <w:szCs w:val="24"/>
        </w:rPr>
        <w:t xml:space="preserve"> approach to the figurines and </w:t>
      </w:r>
      <w:r w:rsidRPr="00837B03">
        <w:rPr>
          <w:rFonts w:ascii="Times New Roman" w:hAnsi="Times New Roman" w:cs="Times New Roman"/>
          <w:sz w:val="24"/>
          <w:szCs w:val="24"/>
        </w:rPr>
        <w:t>the limited use of jargon</w:t>
      </w:r>
      <w:r w:rsidR="004872BE">
        <w:rPr>
          <w:rFonts w:ascii="Times New Roman" w:hAnsi="Times New Roman" w:cs="Times New Roman"/>
          <w:sz w:val="24"/>
          <w:szCs w:val="24"/>
        </w:rPr>
        <w:t>. H</w:t>
      </w:r>
      <w:r w:rsidR="000E06DA" w:rsidRPr="00837B03">
        <w:rPr>
          <w:rFonts w:ascii="Times New Roman" w:hAnsi="Times New Roman" w:cs="Times New Roman"/>
          <w:sz w:val="24"/>
          <w:szCs w:val="24"/>
        </w:rPr>
        <w:t xml:space="preserve">er </w:t>
      </w:r>
      <w:r w:rsidRPr="00837B03">
        <w:rPr>
          <w:rFonts w:ascii="Times New Roman" w:hAnsi="Times New Roman" w:cs="Times New Roman"/>
          <w:sz w:val="24"/>
          <w:szCs w:val="24"/>
        </w:rPr>
        <w:t>comedic comment</w:t>
      </w:r>
      <w:r w:rsidR="000E06DA" w:rsidRPr="00837B03">
        <w:rPr>
          <w:rFonts w:ascii="Times New Roman" w:hAnsi="Times New Roman" w:cs="Times New Roman"/>
          <w:sz w:val="24"/>
          <w:szCs w:val="24"/>
        </w:rPr>
        <w:t xml:space="preserve"> on the form of the figurines</w:t>
      </w:r>
      <w:r w:rsidR="000E06DA" w:rsidRPr="00837B03">
        <w:rPr>
          <w:rStyle w:val="FootnoteReference"/>
          <w:rFonts w:ascii="Times New Roman" w:hAnsi="Times New Roman" w:cs="Times New Roman"/>
          <w:sz w:val="24"/>
          <w:szCs w:val="24"/>
        </w:rPr>
        <w:footnoteReference w:id="39"/>
      </w:r>
      <w:r w:rsidRPr="00837B03">
        <w:rPr>
          <w:rFonts w:ascii="Times New Roman" w:hAnsi="Times New Roman" w:cs="Times New Roman"/>
          <w:sz w:val="24"/>
          <w:szCs w:val="24"/>
        </w:rPr>
        <w:t xml:space="preserve"> </w:t>
      </w:r>
      <w:r w:rsidR="004872BE">
        <w:rPr>
          <w:rFonts w:ascii="Times New Roman" w:hAnsi="Times New Roman" w:cs="Times New Roman"/>
          <w:sz w:val="24"/>
          <w:szCs w:val="24"/>
        </w:rPr>
        <w:t xml:space="preserve">and enthusiasm on the topic </w:t>
      </w:r>
      <w:r w:rsidRPr="00837B03">
        <w:rPr>
          <w:rFonts w:ascii="Times New Roman" w:hAnsi="Times New Roman" w:cs="Times New Roman"/>
          <w:sz w:val="24"/>
          <w:szCs w:val="24"/>
        </w:rPr>
        <w:t>invites any reader to partake in the journey with her.</w:t>
      </w:r>
      <w:r w:rsidR="000E06DA" w:rsidRPr="00837B03">
        <w:rPr>
          <w:rFonts w:ascii="Times New Roman" w:hAnsi="Times New Roman" w:cs="Times New Roman"/>
          <w:sz w:val="24"/>
          <w:szCs w:val="24"/>
        </w:rPr>
        <w:t xml:space="preserve"> </w:t>
      </w:r>
      <w:r w:rsidR="00316B0F" w:rsidRPr="00837B03">
        <w:rPr>
          <w:rFonts w:ascii="Times New Roman" w:hAnsi="Times New Roman" w:cs="Times New Roman"/>
          <w:sz w:val="24"/>
          <w:szCs w:val="24"/>
        </w:rPr>
        <w:t xml:space="preserve">It is clear that Voigt values the reader’s experience, and this is reflected throughout </w:t>
      </w:r>
      <w:r w:rsidR="004872BE">
        <w:rPr>
          <w:rFonts w:ascii="Times New Roman" w:hAnsi="Times New Roman" w:cs="Times New Roman"/>
          <w:sz w:val="24"/>
          <w:szCs w:val="24"/>
        </w:rPr>
        <w:t>the</w:t>
      </w:r>
      <w:r w:rsidR="00316B0F" w:rsidRPr="00837B03">
        <w:rPr>
          <w:rFonts w:ascii="Times New Roman" w:hAnsi="Times New Roman" w:cs="Times New Roman"/>
          <w:sz w:val="24"/>
          <w:szCs w:val="24"/>
        </w:rPr>
        <w:t xml:space="preserve"> piece, making it a pleasure to read.</w:t>
      </w:r>
    </w:p>
    <w:p w14:paraId="6B884C04" w14:textId="77777777" w:rsidR="00316B0F" w:rsidRPr="00837B03" w:rsidRDefault="00316B0F" w:rsidP="00316B0F">
      <w:pPr>
        <w:spacing w:line="480" w:lineRule="auto"/>
        <w:jc w:val="both"/>
        <w:rPr>
          <w:rFonts w:ascii="Times New Roman" w:hAnsi="Times New Roman" w:cs="Times New Roman"/>
          <w:sz w:val="24"/>
          <w:szCs w:val="24"/>
        </w:rPr>
      </w:pPr>
    </w:p>
    <w:p w14:paraId="38A66049" w14:textId="77777777" w:rsidR="00E36449" w:rsidRPr="00837B03" w:rsidRDefault="00E36449">
      <w:pPr>
        <w:rPr>
          <w:rFonts w:ascii="Times New Roman" w:eastAsia="Times New Roman" w:hAnsi="Times New Roman" w:cs="Times New Roman"/>
          <w:sz w:val="24"/>
          <w:szCs w:val="24"/>
          <w:u w:val="single"/>
        </w:rPr>
      </w:pPr>
      <w:r w:rsidRPr="00837B03">
        <w:rPr>
          <w:rFonts w:ascii="Times New Roman" w:eastAsia="Times New Roman" w:hAnsi="Times New Roman" w:cs="Times New Roman"/>
          <w:sz w:val="24"/>
          <w:szCs w:val="24"/>
          <w:u w:val="single"/>
        </w:rPr>
        <w:br w:type="page"/>
      </w:r>
    </w:p>
    <w:p w14:paraId="11CD3109" w14:textId="7105C4BB" w:rsidR="00084677" w:rsidRPr="00837B03" w:rsidRDefault="14C64344"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u w:val="single"/>
        </w:rPr>
        <w:lastRenderedPageBreak/>
        <w:t>Bibliography</w:t>
      </w:r>
    </w:p>
    <w:p w14:paraId="07DEE6C9" w14:textId="77777777" w:rsidR="00084677" w:rsidRDefault="00084677" w:rsidP="4876A21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Bolger, D. L. (1992) ‘The Archaeology of Fertility and Birth: A Ritual Deposit from Chalcolithic Cyprus’, Journal of Anthropological Research, 48(2), pp. 145-164.</w:t>
      </w:r>
    </w:p>
    <w:p w14:paraId="0D486F8F" w14:textId="77777777" w:rsidR="00084677" w:rsidRDefault="00084677"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Clack, T. (2009) Review of Image and imagination: a global prehistory of figurative representation, by Iain Morley and Colin Renfrew (ed.). </w:t>
      </w:r>
      <w:r w:rsidRPr="00837B03">
        <w:rPr>
          <w:rFonts w:ascii="Times New Roman" w:eastAsia="Times New Roman" w:hAnsi="Times New Roman" w:cs="Times New Roman"/>
          <w:i/>
          <w:sz w:val="24"/>
          <w:szCs w:val="24"/>
        </w:rPr>
        <w:t>Antiquity</w:t>
      </w:r>
      <w:r w:rsidRPr="00837B03">
        <w:rPr>
          <w:rFonts w:ascii="Times New Roman" w:eastAsia="Times New Roman" w:hAnsi="Times New Roman" w:cs="Times New Roman"/>
          <w:sz w:val="24"/>
          <w:szCs w:val="24"/>
        </w:rPr>
        <w:t>, 83(320), pp. 535-536.</w:t>
      </w:r>
    </w:p>
    <w:p w14:paraId="2EEC7FD1" w14:textId="77777777" w:rsidR="00084677" w:rsidRDefault="00084677" w:rsidP="4876A21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Fleming, A. (1969) ‘The Myth of the Mother-Goddess’, </w:t>
      </w:r>
      <w:r w:rsidRPr="00A66E1A">
        <w:rPr>
          <w:rFonts w:ascii="Times New Roman" w:eastAsia="Times New Roman" w:hAnsi="Times New Roman" w:cs="Times New Roman"/>
          <w:i/>
          <w:sz w:val="24"/>
          <w:szCs w:val="24"/>
        </w:rPr>
        <w:t>World Archaeology</w:t>
      </w:r>
      <w:r>
        <w:rPr>
          <w:rFonts w:ascii="Times New Roman" w:eastAsia="Times New Roman" w:hAnsi="Times New Roman" w:cs="Times New Roman"/>
          <w:sz w:val="24"/>
          <w:szCs w:val="24"/>
        </w:rPr>
        <w:t>, 1(2), pp. 247-261.</w:t>
      </w:r>
    </w:p>
    <w:p w14:paraId="41F0379D" w14:textId="77777777" w:rsidR="00084677" w:rsidRPr="00837B03" w:rsidRDefault="00084677" w:rsidP="4876A215">
      <w:pPr>
        <w:spacing w:line="480" w:lineRule="auto"/>
        <w:jc w:val="both"/>
        <w:rPr>
          <w:rFonts w:ascii="Times New Roman" w:eastAsia="Times New Roman" w:hAnsi="Times New Roman" w:cs="Times New Roman"/>
          <w:sz w:val="24"/>
          <w:szCs w:val="24"/>
        </w:rPr>
      </w:pPr>
      <w:proofErr w:type="spellStart"/>
      <w:r w:rsidRPr="00837B03">
        <w:rPr>
          <w:rFonts w:ascii="Times New Roman" w:eastAsia="Times New Roman" w:hAnsi="Times New Roman" w:cs="Times New Roman"/>
          <w:sz w:val="24"/>
          <w:szCs w:val="24"/>
        </w:rPr>
        <w:t>Lesure</w:t>
      </w:r>
      <w:proofErr w:type="spellEnd"/>
      <w:r w:rsidRPr="00837B03">
        <w:rPr>
          <w:rFonts w:ascii="Times New Roman" w:eastAsia="Times New Roman" w:hAnsi="Times New Roman" w:cs="Times New Roman"/>
          <w:sz w:val="24"/>
          <w:szCs w:val="24"/>
        </w:rPr>
        <w:t xml:space="preserve">, R. G. (2011) </w:t>
      </w:r>
      <w:r w:rsidRPr="00837B03">
        <w:rPr>
          <w:rFonts w:ascii="Times New Roman" w:eastAsia="Times New Roman" w:hAnsi="Times New Roman" w:cs="Times New Roman"/>
          <w:i/>
          <w:sz w:val="24"/>
          <w:szCs w:val="24"/>
        </w:rPr>
        <w:t>Interpreting Ancient Figurines: Context, Comparison, and Prehistoric Art</w:t>
      </w:r>
      <w:r w:rsidRPr="00837B03">
        <w:rPr>
          <w:rFonts w:ascii="Times New Roman" w:eastAsia="Times New Roman" w:hAnsi="Times New Roman" w:cs="Times New Roman"/>
          <w:sz w:val="24"/>
          <w:szCs w:val="24"/>
        </w:rPr>
        <w:t>. New York: Cambridge University Press.</w:t>
      </w:r>
    </w:p>
    <w:p w14:paraId="37924ED6" w14:textId="77777777" w:rsidR="00084677" w:rsidRDefault="00084677" w:rsidP="4876A215">
      <w:pPr>
        <w:spacing w:line="480" w:lineRule="auto"/>
        <w:jc w:val="both"/>
        <w:rPr>
          <w:rFonts w:ascii="Times New Roman" w:eastAsia="Times New Roman" w:hAnsi="Times New Roman" w:cs="Times New Roman"/>
          <w:sz w:val="24"/>
          <w:szCs w:val="24"/>
        </w:rPr>
      </w:pPr>
      <w:proofErr w:type="spellStart"/>
      <w:r w:rsidRPr="00837B03">
        <w:rPr>
          <w:rFonts w:ascii="Times New Roman" w:eastAsia="Times New Roman" w:hAnsi="Times New Roman" w:cs="Times New Roman"/>
          <w:sz w:val="24"/>
          <w:szCs w:val="24"/>
        </w:rPr>
        <w:t>Meskell</w:t>
      </w:r>
      <w:proofErr w:type="spellEnd"/>
      <w:r w:rsidRPr="00837B03">
        <w:rPr>
          <w:rFonts w:ascii="Times New Roman" w:eastAsia="Times New Roman" w:hAnsi="Times New Roman" w:cs="Times New Roman"/>
          <w:sz w:val="24"/>
          <w:szCs w:val="24"/>
        </w:rPr>
        <w:t xml:space="preserve">, L. and Nakamura, C. (2009) ‘Articulate Bodies: Forms and Figures at Catalhoyuk’, </w:t>
      </w:r>
      <w:r w:rsidRPr="00837B03">
        <w:rPr>
          <w:rFonts w:ascii="Times New Roman" w:eastAsia="Times New Roman" w:hAnsi="Times New Roman" w:cs="Times New Roman"/>
          <w:i/>
          <w:sz w:val="24"/>
          <w:szCs w:val="24"/>
        </w:rPr>
        <w:t>Journal of Archaeological Method and Theory</w:t>
      </w:r>
      <w:r w:rsidRPr="00837B03">
        <w:rPr>
          <w:rFonts w:ascii="Times New Roman" w:eastAsia="Times New Roman" w:hAnsi="Times New Roman" w:cs="Times New Roman"/>
          <w:sz w:val="24"/>
          <w:szCs w:val="24"/>
        </w:rPr>
        <w:t>, 16, pp. 205-</w:t>
      </w:r>
      <w:r>
        <w:rPr>
          <w:rFonts w:ascii="Times New Roman" w:eastAsia="Times New Roman" w:hAnsi="Times New Roman" w:cs="Times New Roman"/>
          <w:sz w:val="24"/>
          <w:szCs w:val="24"/>
        </w:rPr>
        <w:t>2</w:t>
      </w:r>
      <w:r w:rsidRPr="00837B03">
        <w:rPr>
          <w:rFonts w:ascii="Times New Roman" w:eastAsia="Times New Roman" w:hAnsi="Times New Roman" w:cs="Times New Roman"/>
          <w:sz w:val="24"/>
          <w:szCs w:val="24"/>
        </w:rPr>
        <w:t>30.</w:t>
      </w:r>
    </w:p>
    <w:p w14:paraId="02E7488E" w14:textId="77777777" w:rsidR="00084677" w:rsidRPr="00837B03" w:rsidRDefault="00084677" w:rsidP="4876A215">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Voigt, M. M. (1983) </w:t>
      </w:r>
      <w:r w:rsidRPr="006803CE">
        <w:rPr>
          <w:rFonts w:ascii="Times New Roman" w:eastAsia="Times New Roman" w:hAnsi="Times New Roman" w:cs="Times New Roman"/>
          <w:i/>
          <w:sz w:val="24"/>
          <w:szCs w:val="24"/>
        </w:rPr>
        <w:t xml:space="preserve">Hajji </w:t>
      </w:r>
      <w:proofErr w:type="spellStart"/>
      <w:r w:rsidRPr="006803CE">
        <w:rPr>
          <w:rFonts w:ascii="Times New Roman" w:eastAsia="Times New Roman" w:hAnsi="Times New Roman" w:cs="Times New Roman"/>
          <w:i/>
          <w:sz w:val="24"/>
          <w:szCs w:val="24"/>
        </w:rPr>
        <w:t>Firuz</w:t>
      </w:r>
      <w:proofErr w:type="spellEnd"/>
      <w:r w:rsidRPr="006803CE">
        <w:rPr>
          <w:rFonts w:ascii="Times New Roman" w:eastAsia="Times New Roman" w:hAnsi="Times New Roman" w:cs="Times New Roman"/>
          <w:i/>
          <w:sz w:val="24"/>
          <w:szCs w:val="24"/>
        </w:rPr>
        <w:t xml:space="preserve"> </w:t>
      </w:r>
      <w:proofErr w:type="spellStart"/>
      <w:r w:rsidRPr="006803CE">
        <w:rPr>
          <w:rFonts w:ascii="Times New Roman" w:eastAsia="Times New Roman" w:hAnsi="Times New Roman" w:cs="Times New Roman"/>
          <w:i/>
          <w:sz w:val="24"/>
          <w:szCs w:val="24"/>
        </w:rPr>
        <w:t>Tepe</w:t>
      </w:r>
      <w:proofErr w:type="spellEnd"/>
      <w:r w:rsidRPr="006803CE">
        <w:rPr>
          <w:rFonts w:ascii="Times New Roman" w:eastAsia="Times New Roman" w:hAnsi="Times New Roman" w:cs="Times New Roman"/>
          <w:i/>
          <w:sz w:val="24"/>
          <w:szCs w:val="24"/>
        </w:rPr>
        <w:t>, Iran: the Neolithic Settlement</w:t>
      </w:r>
      <w:r>
        <w:rPr>
          <w:rFonts w:ascii="Times New Roman" w:eastAsia="Times New Roman" w:hAnsi="Times New Roman" w:cs="Times New Roman"/>
          <w:sz w:val="24"/>
          <w:szCs w:val="24"/>
        </w:rPr>
        <w:t>. Philadelphia: University of Philadelphia.</w:t>
      </w:r>
    </w:p>
    <w:p w14:paraId="7DD716C5" w14:textId="77777777" w:rsidR="00084677" w:rsidRPr="00837B03" w:rsidRDefault="00084677"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 xml:space="preserve">Voigt, M. M. (1990) ‘Reconstructing Neolithic Societies and Economies in the Middle East: An Essay’, </w:t>
      </w:r>
      <w:proofErr w:type="spellStart"/>
      <w:r w:rsidRPr="00837B03">
        <w:rPr>
          <w:rFonts w:ascii="Times New Roman" w:eastAsia="Times New Roman" w:hAnsi="Times New Roman" w:cs="Times New Roman"/>
          <w:i/>
          <w:sz w:val="24"/>
          <w:szCs w:val="24"/>
        </w:rPr>
        <w:t>Archeomaterials</w:t>
      </w:r>
      <w:proofErr w:type="spellEnd"/>
      <w:r w:rsidRPr="00837B03">
        <w:rPr>
          <w:rFonts w:ascii="Times New Roman" w:eastAsia="Times New Roman" w:hAnsi="Times New Roman" w:cs="Times New Roman"/>
          <w:sz w:val="24"/>
          <w:szCs w:val="24"/>
        </w:rPr>
        <w:t>, 4(1), pp. 1-14.</w:t>
      </w:r>
    </w:p>
    <w:p w14:paraId="3F9183B2" w14:textId="77777777" w:rsidR="00084677" w:rsidRPr="00837B03" w:rsidRDefault="00084677"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t>Voigt, M. M. (2007) ‘The Splendour of Women: Late Neolithic Images from Central Anatolia’, in Morley, I. and Renfrew, C. (</w:t>
      </w:r>
      <w:proofErr w:type="spellStart"/>
      <w:r w:rsidRPr="00837B03">
        <w:rPr>
          <w:rFonts w:ascii="Times New Roman" w:eastAsia="Times New Roman" w:hAnsi="Times New Roman" w:cs="Times New Roman"/>
          <w:sz w:val="24"/>
          <w:szCs w:val="24"/>
        </w:rPr>
        <w:t>ed</w:t>
      </w:r>
      <w:proofErr w:type="spellEnd"/>
      <w:r w:rsidRPr="00837B03">
        <w:rPr>
          <w:rFonts w:ascii="Times New Roman" w:eastAsia="Times New Roman" w:hAnsi="Times New Roman" w:cs="Times New Roman"/>
          <w:sz w:val="24"/>
          <w:szCs w:val="24"/>
        </w:rPr>
        <w:t xml:space="preserve">). </w:t>
      </w:r>
      <w:r w:rsidRPr="00837B03">
        <w:rPr>
          <w:rFonts w:ascii="Times New Roman" w:eastAsia="Times New Roman" w:hAnsi="Times New Roman" w:cs="Times New Roman"/>
          <w:i/>
          <w:iCs/>
          <w:sz w:val="24"/>
          <w:szCs w:val="24"/>
        </w:rPr>
        <w:t>Image &amp; Imagination: A Global History of Figurative Representation.</w:t>
      </w:r>
      <w:r w:rsidRPr="00837B03">
        <w:rPr>
          <w:rFonts w:ascii="Times New Roman" w:eastAsia="Times New Roman" w:hAnsi="Times New Roman" w:cs="Times New Roman"/>
          <w:sz w:val="24"/>
          <w:szCs w:val="24"/>
        </w:rPr>
        <w:t xml:space="preserve"> Cambridge: McDonald Institute for Archaeological Research.</w:t>
      </w:r>
    </w:p>
    <w:p w14:paraId="4C762572" w14:textId="77777777" w:rsidR="00084677" w:rsidRPr="00837B03" w:rsidRDefault="00084677" w:rsidP="00A30205">
      <w:pPr>
        <w:spacing w:line="480" w:lineRule="auto"/>
        <w:jc w:val="both"/>
        <w:rPr>
          <w:rFonts w:ascii="Times New Roman" w:hAnsi="Times New Roman" w:cs="Times New Roman"/>
          <w:i/>
          <w:color w:val="000000"/>
          <w:sz w:val="24"/>
          <w:szCs w:val="24"/>
        </w:rPr>
      </w:pPr>
      <w:r w:rsidRPr="00837B03">
        <w:rPr>
          <w:rFonts w:ascii="Times New Roman" w:eastAsia="Times New Roman" w:hAnsi="Times New Roman" w:cs="Times New Roman"/>
          <w:sz w:val="24"/>
          <w:szCs w:val="24"/>
        </w:rPr>
        <w:t xml:space="preserve">Voigt, M. M. (2012) ‘Human and Animal Sacrifice at Galatian </w:t>
      </w:r>
      <w:proofErr w:type="spellStart"/>
      <w:r w:rsidRPr="00837B03">
        <w:rPr>
          <w:rFonts w:ascii="Times New Roman" w:eastAsia="Times New Roman" w:hAnsi="Times New Roman" w:cs="Times New Roman"/>
          <w:sz w:val="24"/>
          <w:szCs w:val="24"/>
        </w:rPr>
        <w:t>Gordion</w:t>
      </w:r>
      <w:proofErr w:type="spellEnd"/>
      <w:r w:rsidRPr="00837B03">
        <w:rPr>
          <w:rFonts w:ascii="Times New Roman" w:eastAsia="Times New Roman" w:hAnsi="Times New Roman" w:cs="Times New Roman"/>
          <w:sz w:val="24"/>
          <w:szCs w:val="24"/>
        </w:rPr>
        <w:t xml:space="preserve">: The Uses of Ritual in a </w:t>
      </w:r>
      <w:proofErr w:type="spellStart"/>
      <w:r w:rsidRPr="00837B03">
        <w:rPr>
          <w:rFonts w:ascii="Times New Roman" w:eastAsia="Times New Roman" w:hAnsi="Times New Roman" w:cs="Times New Roman"/>
          <w:sz w:val="24"/>
          <w:szCs w:val="24"/>
        </w:rPr>
        <w:t>Multiethnic</w:t>
      </w:r>
      <w:proofErr w:type="spellEnd"/>
      <w:r w:rsidRPr="00837B03">
        <w:rPr>
          <w:rFonts w:ascii="Times New Roman" w:eastAsia="Times New Roman" w:hAnsi="Times New Roman" w:cs="Times New Roman"/>
          <w:sz w:val="24"/>
          <w:szCs w:val="24"/>
        </w:rPr>
        <w:t xml:space="preserve"> Community’, in Porter, A. and Schwarz, G. M. (ed.). </w:t>
      </w:r>
      <w:r w:rsidRPr="00837B03">
        <w:rPr>
          <w:rFonts w:ascii="Times New Roman" w:eastAsia="Times New Roman" w:hAnsi="Times New Roman" w:cs="Times New Roman"/>
          <w:i/>
          <w:sz w:val="24"/>
          <w:szCs w:val="24"/>
        </w:rPr>
        <w:t>Sacred Killing: The Archaeology of Sacrifice in the Ancient Near East</w:t>
      </w:r>
      <w:r w:rsidRPr="00837B03">
        <w:rPr>
          <w:rFonts w:ascii="Times New Roman" w:eastAsia="Times New Roman" w:hAnsi="Times New Roman" w:cs="Times New Roman"/>
          <w:sz w:val="24"/>
          <w:szCs w:val="24"/>
        </w:rPr>
        <w:t xml:space="preserve">. Winona Lake: </w:t>
      </w:r>
      <w:proofErr w:type="spellStart"/>
      <w:r w:rsidRPr="00837B03">
        <w:rPr>
          <w:rFonts w:ascii="Times New Roman" w:eastAsia="Times New Roman" w:hAnsi="Times New Roman" w:cs="Times New Roman"/>
          <w:sz w:val="24"/>
          <w:szCs w:val="24"/>
        </w:rPr>
        <w:t>Eisenbrauns</w:t>
      </w:r>
      <w:proofErr w:type="spellEnd"/>
      <w:r w:rsidRPr="00837B03">
        <w:rPr>
          <w:rFonts w:ascii="Times New Roman" w:eastAsia="Times New Roman" w:hAnsi="Times New Roman" w:cs="Times New Roman"/>
          <w:sz w:val="24"/>
          <w:szCs w:val="24"/>
        </w:rPr>
        <w:t xml:space="preserve">. </w:t>
      </w:r>
    </w:p>
    <w:p w14:paraId="6B8761D3" w14:textId="77777777" w:rsidR="00084677" w:rsidRPr="00837B03" w:rsidRDefault="00084677" w:rsidP="4876A215">
      <w:pPr>
        <w:spacing w:line="480" w:lineRule="auto"/>
        <w:jc w:val="both"/>
        <w:rPr>
          <w:rFonts w:ascii="Times New Roman" w:eastAsia="Times New Roman" w:hAnsi="Times New Roman" w:cs="Times New Roman"/>
          <w:sz w:val="24"/>
          <w:szCs w:val="24"/>
        </w:rPr>
      </w:pPr>
      <w:r w:rsidRPr="00837B03">
        <w:rPr>
          <w:rFonts w:ascii="Times New Roman" w:eastAsia="Times New Roman" w:hAnsi="Times New Roman" w:cs="Times New Roman"/>
          <w:sz w:val="24"/>
          <w:szCs w:val="24"/>
        </w:rPr>
        <w:lastRenderedPageBreak/>
        <w:t>Voigt, M. M., (2000) ‘</w:t>
      </w:r>
      <w:proofErr w:type="spellStart"/>
      <w:r w:rsidRPr="00837B03">
        <w:rPr>
          <w:rFonts w:ascii="Times New Roman" w:eastAsia="Times New Roman" w:hAnsi="Times New Roman" w:cs="Times New Roman"/>
          <w:sz w:val="24"/>
          <w:szCs w:val="24"/>
        </w:rPr>
        <w:t>Çatal</w:t>
      </w:r>
      <w:proofErr w:type="spellEnd"/>
      <w:r w:rsidRPr="00837B03">
        <w:rPr>
          <w:rFonts w:ascii="Times New Roman" w:eastAsia="Times New Roman" w:hAnsi="Times New Roman" w:cs="Times New Roman"/>
          <w:sz w:val="24"/>
          <w:szCs w:val="24"/>
        </w:rPr>
        <w:t xml:space="preserve"> </w:t>
      </w:r>
      <w:proofErr w:type="spellStart"/>
      <w:r w:rsidRPr="00837B03">
        <w:rPr>
          <w:rFonts w:ascii="Times New Roman" w:eastAsia="Times New Roman" w:hAnsi="Times New Roman" w:cs="Times New Roman"/>
          <w:sz w:val="24"/>
          <w:szCs w:val="24"/>
        </w:rPr>
        <w:t>Höyük</w:t>
      </w:r>
      <w:proofErr w:type="spellEnd"/>
      <w:r w:rsidRPr="00837B03">
        <w:rPr>
          <w:rFonts w:ascii="Times New Roman" w:eastAsia="Times New Roman" w:hAnsi="Times New Roman" w:cs="Times New Roman"/>
          <w:sz w:val="24"/>
          <w:szCs w:val="24"/>
        </w:rPr>
        <w:t xml:space="preserve"> in context: ritual at Early Neolithic sites in central and eastern Turkey’, in </w:t>
      </w:r>
      <w:proofErr w:type="spellStart"/>
      <w:r w:rsidRPr="00837B03">
        <w:rPr>
          <w:rFonts w:ascii="Times New Roman" w:eastAsia="Times New Roman" w:hAnsi="Times New Roman" w:cs="Times New Roman"/>
          <w:sz w:val="24"/>
          <w:szCs w:val="24"/>
        </w:rPr>
        <w:t>Kuijt</w:t>
      </w:r>
      <w:proofErr w:type="spellEnd"/>
      <w:r w:rsidRPr="00837B03">
        <w:rPr>
          <w:rFonts w:ascii="Times New Roman" w:eastAsia="Times New Roman" w:hAnsi="Times New Roman" w:cs="Times New Roman"/>
          <w:sz w:val="24"/>
          <w:szCs w:val="24"/>
        </w:rPr>
        <w:t xml:space="preserve">, I. (ed.). </w:t>
      </w:r>
      <w:r w:rsidRPr="00837B03">
        <w:rPr>
          <w:rFonts w:ascii="Times New Roman" w:eastAsia="Times New Roman" w:hAnsi="Times New Roman" w:cs="Times New Roman"/>
          <w:i/>
          <w:iCs/>
          <w:sz w:val="24"/>
          <w:szCs w:val="24"/>
        </w:rPr>
        <w:t>Life in Neolithic Farming Communities: Social Organization, Identity and Differentiation</w:t>
      </w:r>
      <w:r w:rsidRPr="00837B03">
        <w:rPr>
          <w:rFonts w:ascii="Times New Roman" w:eastAsia="Times New Roman" w:hAnsi="Times New Roman" w:cs="Times New Roman"/>
          <w:sz w:val="24"/>
          <w:szCs w:val="24"/>
        </w:rPr>
        <w:t>. New York: Springer Publishing.</w:t>
      </w:r>
    </w:p>
    <w:sectPr w:rsidR="00084677" w:rsidRPr="00837B0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79057" w14:textId="77777777" w:rsidR="00D34EB2" w:rsidRDefault="00D34EB2" w:rsidP="000F0C68">
      <w:pPr>
        <w:spacing w:after="0" w:line="240" w:lineRule="auto"/>
      </w:pPr>
      <w:r>
        <w:separator/>
      </w:r>
    </w:p>
  </w:endnote>
  <w:endnote w:type="continuationSeparator" w:id="0">
    <w:p w14:paraId="74CE9EB6" w14:textId="77777777" w:rsidR="00D34EB2" w:rsidRDefault="00D34EB2" w:rsidP="000F0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B26D2" w14:textId="77777777" w:rsidR="00D34EB2" w:rsidRDefault="00D34EB2" w:rsidP="000F0C68">
      <w:pPr>
        <w:spacing w:after="0" w:line="240" w:lineRule="auto"/>
      </w:pPr>
      <w:r>
        <w:separator/>
      </w:r>
    </w:p>
  </w:footnote>
  <w:footnote w:type="continuationSeparator" w:id="0">
    <w:p w14:paraId="433C1D40" w14:textId="77777777" w:rsidR="00D34EB2" w:rsidRDefault="00D34EB2" w:rsidP="000F0C68">
      <w:pPr>
        <w:spacing w:after="0" w:line="240" w:lineRule="auto"/>
      </w:pPr>
      <w:r>
        <w:continuationSeparator/>
      </w:r>
    </w:p>
  </w:footnote>
  <w:footnote w:id="1">
    <w:p w14:paraId="631156AC" w14:textId="426D132B" w:rsidR="003E69C9" w:rsidRPr="0024040D" w:rsidRDefault="003E69C9">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Voigt 2007, p. 161-3.</w:t>
      </w:r>
    </w:p>
  </w:footnote>
  <w:footnote w:id="2">
    <w:p w14:paraId="291AF526" w14:textId="12285C6E" w:rsidR="00FE3230" w:rsidRPr="0024040D" w:rsidRDefault="00FE3230">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lang w:val="en-US"/>
        </w:rPr>
        <w:t>Ibid</w:t>
      </w:r>
      <w:r w:rsidRPr="0024040D">
        <w:rPr>
          <w:rFonts w:ascii="Times New Roman" w:hAnsi="Times New Roman" w:cs="Times New Roman"/>
          <w:lang w:val="en-US"/>
        </w:rPr>
        <w:t xml:space="preserve">, p. </w:t>
      </w:r>
      <w:r w:rsidR="003E69C9" w:rsidRPr="0024040D">
        <w:rPr>
          <w:rFonts w:ascii="Times New Roman" w:hAnsi="Times New Roman" w:cs="Times New Roman"/>
          <w:lang w:val="en-US"/>
        </w:rPr>
        <w:t>164-71.</w:t>
      </w:r>
    </w:p>
  </w:footnote>
  <w:footnote w:id="3">
    <w:p w14:paraId="38A65DD8" w14:textId="44CD9E72" w:rsidR="00A74B13" w:rsidRPr="0024040D" w:rsidRDefault="00A74B13">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50570" w:rsidRPr="0024040D">
        <w:rPr>
          <w:rFonts w:ascii="Times New Roman" w:hAnsi="Times New Roman" w:cs="Times New Roman"/>
        </w:rPr>
        <w:t xml:space="preserve">Voigt </w:t>
      </w:r>
      <w:r w:rsidR="006B3E28" w:rsidRPr="0024040D">
        <w:rPr>
          <w:rFonts w:ascii="Times New Roman" w:hAnsi="Times New Roman" w:cs="Times New Roman"/>
        </w:rPr>
        <w:t>2012.</w:t>
      </w:r>
    </w:p>
  </w:footnote>
  <w:footnote w:id="4">
    <w:p w14:paraId="2DA41B58" w14:textId="2C871BA0" w:rsidR="00A74B13" w:rsidRPr="0024040D" w:rsidRDefault="00A74B13">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50570" w:rsidRPr="0024040D">
        <w:rPr>
          <w:rFonts w:ascii="Times New Roman" w:hAnsi="Times New Roman" w:cs="Times New Roman"/>
        </w:rPr>
        <w:t>Voigt 2000.</w:t>
      </w:r>
    </w:p>
  </w:footnote>
  <w:footnote w:id="5">
    <w:p w14:paraId="44265A80" w14:textId="243B2AFC" w:rsidR="00A74B13" w:rsidRPr="0024040D" w:rsidRDefault="00A74B13">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0B0955" w:rsidRPr="0024040D">
        <w:rPr>
          <w:rFonts w:ascii="Times New Roman" w:hAnsi="Times New Roman" w:cs="Times New Roman"/>
          <w:lang w:val="en-US"/>
        </w:rPr>
        <w:t>Voigt 1990.</w:t>
      </w:r>
    </w:p>
  </w:footnote>
  <w:footnote w:id="6">
    <w:p w14:paraId="123303FA" w14:textId="62E875B6" w:rsidR="000F0C68" w:rsidRPr="0024040D" w:rsidRDefault="000F0C68">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Clack 2009, p. 535.</w:t>
      </w:r>
    </w:p>
  </w:footnote>
  <w:footnote w:id="7">
    <w:p w14:paraId="04BCF410" w14:textId="40A1BFA8" w:rsidR="00474E36" w:rsidRPr="0024040D" w:rsidRDefault="00474E36">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proofErr w:type="spellStart"/>
      <w:r w:rsidRPr="0024040D">
        <w:rPr>
          <w:rFonts w:ascii="Times New Roman" w:hAnsi="Times New Roman" w:cs="Times New Roman"/>
          <w:lang w:val="en-US"/>
        </w:rPr>
        <w:t>Meskell</w:t>
      </w:r>
      <w:proofErr w:type="spellEnd"/>
      <w:r w:rsidR="00407305" w:rsidRPr="0024040D">
        <w:rPr>
          <w:rFonts w:ascii="Times New Roman" w:hAnsi="Times New Roman" w:cs="Times New Roman"/>
          <w:lang w:val="en-US"/>
        </w:rPr>
        <w:t xml:space="preserve"> and Nakamura</w:t>
      </w:r>
      <w:r w:rsidRPr="0024040D">
        <w:rPr>
          <w:rFonts w:ascii="Times New Roman" w:hAnsi="Times New Roman" w:cs="Times New Roman"/>
          <w:lang w:val="en-US"/>
        </w:rPr>
        <w:t xml:space="preserve"> 2009.</w:t>
      </w:r>
    </w:p>
  </w:footnote>
  <w:footnote w:id="8">
    <w:p w14:paraId="405C40FD" w14:textId="652DBC81" w:rsidR="00474E36" w:rsidRPr="0024040D" w:rsidRDefault="00474E36">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proofErr w:type="spellStart"/>
      <w:r w:rsidRPr="0024040D">
        <w:rPr>
          <w:rFonts w:ascii="Times New Roman" w:hAnsi="Times New Roman" w:cs="Times New Roman"/>
          <w:lang w:val="en-US"/>
        </w:rPr>
        <w:t>Lesure</w:t>
      </w:r>
      <w:proofErr w:type="spellEnd"/>
      <w:r w:rsidRPr="0024040D">
        <w:rPr>
          <w:rFonts w:ascii="Times New Roman" w:hAnsi="Times New Roman" w:cs="Times New Roman"/>
          <w:lang w:val="en-US"/>
        </w:rPr>
        <w:t xml:space="preserve"> 2011, p. 131.</w:t>
      </w:r>
    </w:p>
  </w:footnote>
  <w:footnote w:id="9">
    <w:p w14:paraId="709F74B9" w14:textId="77777777" w:rsidR="00D9135B" w:rsidRPr="0024040D" w:rsidRDefault="00D9135B" w:rsidP="00D9135B">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Voigt 2007, p. 157.</w:t>
      </w:r>
    </w:p>
  </w:footnote>
  <w:footnote w:id="10">
    <w:p w14:paraId="060D2076" w14:textId="7A76530E" w:rsidR="00ED709C" w:rsidRPr="0024040D" w:rsidRDefault="00ED709C">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p>
  </w:footnote>
  <w:footnote w:id="11">
    <w:p w14:paraId="1443F98B" w14:textId="1CBA45BC" w:rsidR="00227AED" w:rsidRPr="0024040D" w:rsidRDefault="00227AED">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p>
  </w:footnote>
  <w:footnote w:id="12">
    <w:p w14:paraId="7F2B6EC0" w14:textId="179F557E" w:rsidR="00A30205" w:rsidRPr="0024040D" w:rsidRDefault="00A30205" w:rsidP="00A30205">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lang w:val="en-US"/>
        </w:rPr>
        <w:t>Ibid</w:t>
      </w:r>
      <w:r w:rsidRPr="0024040D">
        <w:rPr>
          <w:rFonts w:ascii="Times New Roman" w:hAnsi="Times New Roman" w:cs="Times New Roman"/>
          <w:lang w:val="en-US"/>
        </w:rPr>
        <w:t>, p. 157-60.</w:t>
      </w:r>
    </w:p>
  </w:footnote>
  <w:footnote w:id="13">
    <w:p w14:paraId="4044BE47" w14:textId="41A48319" w:rsidR="00A30205" w:rsidRPr="0024040D" w:rsidRDefault="00A30205" w:rsidP="00A30205">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lang w:val="en-US"/>
        </w:rPr>
        <w:t>Ibid</w:t>
      </w:r>
      <w:r w:rsidRPr="0024040D">
        <w:rPr>
          <w:rFonts w:ascii="Times New Roman" w:hAnsi="Times New Roman" w:cs="Times New Roman"/>
          <w:lang w:val="en-US"/>
        </w:rPr>
        <w:t>, p. 161-71.</w:t>
      </w:r>
    </w:p>
  </w:footnote>
  <w:footnote w:id="14">
    <w:p w14:paraId="4261CC67" w14:textId="23FF5305" w:rsidR="003D57DE" w:rsidRPr="0024040D" w:rsidRDefault="003D57DE">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3432FF" w:rsidRPr="0024040D">
        <w:rPr>
          <w:rFonts w:ascii="Times New Roman" w:hAnsi="Times New Roman" w:cs="Times New Roman"/>
        </w:rPr>
        <w:t>, p. 173.</w:t>
      </w:r>
    </w:p>
  </w:footnote>
  <w:footnote w:id="15">
    <w:p w14:paraId="121FBC5E" w14:textId="16229544" w:rsidR="003432FF" w:rsidRPr="0024040D" w:rsidRDefault="003432F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p>
  </w:footnote>
  <w:footnote w:id="16">
    <w:p w14:paraId="4B2F434D" w14:textId="4278BC5B" w:rsidR="003432FF" w:rsidRPr="0024040D" w:rsidRDefault="003432F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rPr>
        <w:t>, p. 173-4.</w:t>
      </w:r>
    </w:p>
  </w:footnote>
  <w:footnote w:id="17">
    <w:p w14:paraId="30AD131A" w14:textId="1727E7A3" w:rsidR="002B5307" w:rsidRPr="0024040D" w:rsidRDefault="002B5307">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 p. 174.</w:t>
      </w:r>
    </w:p>
  </w:footnote>
  <w:footnote w:id="18">
    <w:p w14:paraId="03E3D82F" w14:textId="326AA782" w:rsidR="002B5307" w:rsidRPr="0024040D" w:rsidRDefault="002B5307">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EA1561">
        <w:rPr>
          <w:rFonts w:ascii="Times New Roman" w:hAnsi="Times New Roman" w:cs="Times New Roman"/>
          <w:lang w:val="en-US"/>
        </w:rPr>
        <w:t>.</w:t>
      </w:r>
    </w:p>
  </w:footnote>
  <w:footnote w:id="19">
    <w:p w14:paraId="7E1252C8" w14:textId="6B9E304E" w:rsidR="00290468" w:rsidRPr="0024040D" w:rsidRDefault="00290468">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EA1561">
        <w:rPr>
          <w:rFonts w:ascii="Times New Roman" w:hAnsi="Times New Roman" w:cs="Times New Roman"/>
          <w:lang w:val="en-US"/>
        </w:rPr>
        <w:t>.</w:t>
      </w:r>
    </w:p>
  </w:footnote>
  <w:footnote w:id="20">
    <w:p w14:paraId="3A60CD77" w14:textId="77777777" w:rsidR="00EF0D6F" w:rsidRPr="0024040D" w:rsidRDefault="00EF0D6F" w:rsidP="00EF0D6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Voigt 1983, p. 186-90.</w:t>
      </w:r>
    </w:p>
  </w:footnote>
  <w:footnote w:id="21">
    <w:p w14:paraId="2EB72C44" w14:textId="77777777" w:rsidR="00EF0D6F" w:rsidRPr="0024040D" w:rsidRDefault="00EF0D6F" w:rsidP="00EF0D6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Voigt 2007, p. 160.</w:t>
      </w:r>
    </w:p>
  </w:footnote>
  <w:footnote w:id="22">
    <w:p w14:paraId="442A04F8" w14:textId="5EB9D1F4" w:rsidR="00EF0D6F" w:rsidRPr="0024040D" w:rsidRDefault="00EF0D6F" w:rsidP="00EF0D6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 p. 162.</w:t>
      </w:r>
    </w:p>
  </w:footnote>
  <w:footnote w:id="23">
    <w:p w14:paraId="1B0D76E3" w14:textId="551CC083" w:rsidR="00EF0D6F" w:rsidRPr="0024040D" w:rsidRDefault="00EF0D6F" w:rsidP="00EF0D6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w:t>
      </w:r>
    </w:p>
  </w:footnote>
  <w:footnote w:id="24">
    <w:p w14:paraId="6E969F4E" w14:textId="77777777" w:rsidR="00EF0D6F" w:rsidRPr="0024040D" w:rsidRDefault="00EF0D6F" w:rsidP="00EF0D6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Voigt 2007, p. 173-4.</w:t>
      </w:r>
    </w:p>
  </w:footnote>
  <w:footnote w:id="25">
    <w:p w14:paraId="43C56C06" w14:textId="2E43800C" w:rsidR="00453DCF" w:rsidRPr="0024040D" w:rsidRDefault="00453DCF">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5A022F" w:rsidRPr="0024040D">
        <w:rPr>
          <w:rFonts w:ascii="Times New Roman" w:hAnsi="Times New Roman" w:cs="Times New Roman"/>
        </w:rPr>
        <w:t>, p. 174.</w:t>
      </w:r>
    </w:p>
  </w:footnote>
  <w:footnote w:id="26">
    <w:p w14:paraId="55FCAA0F" w14:textId="355D7592" w:rsidR="0024040D" w:rsidRPr="0024040D" w:rsidRDefault="0024040D">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rPr>
        <w:t>Fleming 1969, p. 247.</w:t>
      </w:r>
    </w:p>
  </w:footnote>
  <w:footnote w:id="27">
    <w:p w14:paraId="7A1DAF1B" w14:textId="4379307C" w:rsidR="00137D2B" w:rsidRPr="0024040D" w:rsidRDefault="00137D2B">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 p. 259.</w:t>
      </w:r>
    </w:p>
  </w:footnote>
  <w:footnote w:id="28">
    <w:p w14:paraId="5E519A50" w14:textId="4439E6E5" w:rsidR="004E08EC" w:rsidRPr="0024040D" w:rsidRDefault="004E08EC">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Voigt 2007, p. 169.</w:t>
      </w:r>
    </w:p>
  </w:footnote>
  <w:footnote w:id="29">
    <w:p w14:paraId="5B5E5173" w14:textId="2E651620" w:rsidR="005302F9" w:rsidRPr="0024040D" w:rsidRDefault="005302F9">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45C6D" w:rsidRPr="0024040D">
        <w:rPr>
          <w:rFonts w:ascii="Times New Roman" w:hAnsi="Times New Roman" w:cs="Times New Roman"/>
        </w:rPr>
        <w:t>Bolger 1992, p. 160.</w:t>
      </w:r>
    </w:p>
  </w:footnote>
  <w:footnote w:id="30">
    <w:p w14:paraId="58DB9F6D" w14:textId="63A3EF34" w:rsidR="000509C6" w:rsidRPr="0024040D" w:rsidRDefault="000509C6">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 p. 160.</w:t>
      </w:r>
    </w:p>
  </w:footnote>
  <w:footnote w:id="31">
    <w:p w14:paraId="02191D9F" w14:textId="0DF6D659" w:rsidR="00460BDB" w:rsidRPr="0024040D" w:rsidRDefault="00460BDB">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F23265" w:rsidRPr="0024040D">
        <w:rPr>
          <w:rFonts w:ascii="Times New Roman" w:hAnsi="Times New Roman" w:cs="Times New Roman"/>
        </w:rPr>
        <w:t xml:space="preserve">Voigt 2007, p. </w:t>
      </w:r>
      <w:r w:rsidR="00824468" w:rsidRPr="0024040D">
        <w:rPr>
          <w:rFonts w:ascii="Times New Roman" w:hAnsi="Times New Roman" w:cs="Times New Roman"/>
        </w:rPr>
        <w:t>163.</w:t>
      </w:r>
    </w:p>
  </w:footnote>
  <w:footnote w:id="32">
    <w:p w14:paraId="3A503221" w14:textId="17944250" w:rsidR="0078326E" w:rsidRPr="0024040D" w:rsidRDefault="0078326E">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824468" w:rsidRPr="0024040D">
        <w:rPr>
          <w:rFonts w:ascii="Times New Roman" w:hAnsi="Times New Roman" w:cs="Times New Roman"/>
        </w:rPr>
        <w:t>, p. 167.</w:t>
      </w:r>
    </w:p>
  </w:footnote>
  <w:footnote w:id="33">
    <w:p w14:paraId="0ABD5FCC" w14:textId="55F623CD" w:rsidR="00701F9A" w:rsidRPr="0024040D" w:rsidRDefault="00701F9A">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824468" w:rsidRPr="0024040D">
        <w:rPr>
          <w:rFonts w:ascii="Times New Roman" w:hAnsi="Times New Roman" w:cs="Times New Roman"/>
        </w:rPr>
        <w:t>, p. 173.</w:t>
      </w:r>
    </w:p>
  </w:footnote>
  <w:footnote w:id="34">
    <w:p w14:paraId="6A7C3E04" w14:textId="514D955C" w:rsidR="008B4976" w:rsidRPr="0024040D" w:rsidRDefault="008B4976">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F2464E" w:rsidRPr="0024040D">
        <w:rPr>
          <w:rFonts w:ascii="Times New Roman" w:hAnsi="Times New Roman" w:cs="Times New Roman"/>
        </w:rPr>
        <w:t>Bolger 1992, p. 160.</w:t>
      </w:r>
    </w:p>
  </w:footnote>
  <w:footnote w:id="35">
    <w:p w14:paraId="715D8E64" w14:textId="5EB0BC47" w:rsidR="00454FFA" w:rsidRPr="0024040D" w:rsidRDefault="00454FFA">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Pr="0024040D">
        <w:rPr>
          <w:rFonts w:ascii="Times New Roman" w:hAnsi="Times New Roman" w:cs="Times New Roman"/>
          <w:lang w:val="en-US"/>
        </w:rPr>
        <w:t>Voigt 2007, p. 171.</w:t>
      </w:r>
    </w:p>
  </w:footnote>
  <w:footnote w:id="36">
    <w:p w14:paraId="67C66D40" w14:textId="45130F56" w:rsidR="00AE1FB9" w:rsidRPr="0024040D" w:rsidRDefault="00AE1FB9">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lang w:val="en-US"/>
        </w:rPr>
        <w:t>.</w:t>
      </w:r>
    </w:p>
  </w:footnote>
  <w:footnote w:id="37">
    <w:p w14:paraId="40E96E58" w14:textId="466FD10E" w:rsidR="004872BE" w:rsidRPr="0024040D" w:rsidRDefault="004872BE" w:rsidP="004872BE">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Pr="0024040D">
        <w:rPr>
          <w:rFonts w:ascii="Times New Roman" w:hAnsi="Times New Roman" w:cs="Times New Roman"/>
        </w:rPr>
        <w:t xml:space="preserve">, p. </w:t>
      </w:r>
      <w:r w:rsidRPr="0024040D">
        <w:rPr>
          <w:rFonts w:ascii="Times New Roman" w:hAnsi="Times New Roman" w:cs="Times New Roman"/>
          <w:lang w:val="en-US"/>
        </w:rPr>
        <w:t>172.</w:t>
      </w:r>
    </w:p>
  </w:footnote>
  <w:footnote w:id="38">
    <w:p w14:paraId="3B937BB8" w14:textId="749376E2" w:rsidR="006B4607" w:rsidRPr="0024040D" w:rsidRDefault="006B4607">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Pr="0024040D">
        <w:rPr>
          <w:rFonts w:ascii="Times New Roman" w:hAnsi="Times New Roman" w:cs="Times New Roman"/>
        </w:rPr>
        <w:t xml:space="preserve"> </w:t>
      </w:r>
      <w:r w:rsidR="00EA1561">
        <w:rPr>
          <w:rFonts w:ascii="Times New Roman" w:hAnsi="Times New Roman" w:cs="Times New Roman"/>
        </w:rPr>
        <w:t>Ibid</w:t>
      </w:r>
      <w:r w:rsidR="003F2936" w:rsidRPr="0024040D">
        <w:rPr>
          <w:rFonts w:ascii="Times New Roman" w:hAnsi="Times New Roman" w:cs="Times New Roman"/>
        </w:rPr>
        <w:t xml:space="preserve">, p. </w:t>
      </w:r>
      <w:r w:rsidRPr="0024040D">
        <w:rPr>
          <w:rFonts w:ascii="Times New Roman" w:hAnsi="Times New Roman" w:cs="Times New Roman"/>
          <w:lang w:val="en-US"/>
        </w:rPr>
        <w:t>160</w:t>
      </w:r>
      <w:r w:rsidR="003F2936" w:rsidRPr="0024040D">
        <w:rPr>
          <w:rFonts w:ascii="Times New Roman" w:hAnsi="Times New Roman" w:cs="Times New Roman"/>
          <w:lang w:val="en-US"/>
        </w:rPr>
        <w:t>.</w:t>
      </w:r>
    </w:p>
  </w:footnote>
  <w:footnote w:id="39">
    <w:p w14:paraId="42DB98E6" w14:textId="5F12D86D" w:rsidR="000E06DA" w:rsidRPr="0024040D" w:rsidRDefault="000E06DA">
      <w:pPr>
        <w:pStyle w:val="FootnoteText"/>
        <w:rPr>
          <w:rFonts w:ascii="Times New Roman" w:hAnsi="Times New Roman" w:cs="Times New Roman"/>
          <w:lang w:val="en-US"/>
        </w:rPr>
      </w:pPr>
      <w:r w:rsidRPr="0024040D">
        <w:rPr>
          <w:rStyle w:val="FootnoteReference"/>
          <w:rFonts w:ascii="Times New Roman" w:hAnsi="Times New Roman" w:cs="Times New Roman"/>
        </w:rPr>
        <w:footnoteRef/>
      </w:r>
      <w:r w:rsidR="00367015">
        <w:rPr>
          <w:rFonts w:ascii="Times New Roman" w:hAnsi="Times New Roman" w:cs="Times New Roman"/>
        </w:rPr>
        <w:t xml:space="preserve"> </w:t>
      </w:r>
      <w:r w:rsidR="00EA1561">
        <w:rPr>
          <w:rFonts w:ascii="Times New Roman" w:hAnsi="Times New Roman" w:cs="Times New Roman"/>
        </w:rPr>
        <w:t>Ibid</w:t>
      </w:r>
      <w:r w:rsidR="00367015">
        <w:rPr>
          <w:rFonts w:ascii="Times New Roman" w:hAnsi="Times New Roman" w:cs="Times New Roman"/>
        </w:rPr>
        <w:t>, p. 171-2</w:t>
      </w:r>
      <w:r w:rsidR="00B76166">
        <w:rPr>
          <w:rFonts w:ascii="Times New Roman" w:hAnsi="Times New Roman" w:cs="Times New Roman"/>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2573F"/>
    <w:multiLevelType w:val="hybridMultilevel"/>
    <w:tmpl w:val="9EEC57C8"/>
    <w:lvl w:ilvl="0" w:tplc="0EBA75E8">
      <w:start w:val="1"/>
      <w:numFmt w:val="bullet"/>
      <w:lvlText w:val=""/>
      <w:lvlJc w:val="left"/>
      <w:pPr>
        <w:ind w:left="720" w:hanging="360"/>
      </w:pPr>
      <w:rPr>
        <w:rFonts w:ascii="Symbol" w:hAnsi="Symbol" w:hint="default"/>
      </w:rPr>
    </w:lvl>
    <w:lvl w:ilvl="1" w:tplc="A04C1002">
      <w:start w:val="1"/>
      <w:numFmt w:val="bullet"/>
      <w:lvlText w:val="o"/>
      <w:lvlJc w:val="left"/>
      <w:pPr>
        <w:ind w:left="1440" w:hanging="360"/>
      </w:pPr>
      <w:rPr>
        <w:rFonts w:ascii="Courier New" w:hAnsi="Courier New" w:hint="default"/>
      </w:rPr>
    </w:lvl>
    <w:lvl w:ilvl="2" w:tplc="89F40100">
      <w:start w:val="1"/>
      <w:numFmt w:val="bullet"/>
      <w:lvlText w:val=""/>
      <w:lvlJc w:val="left"/>
      <w:pPr>
        <w:ind w:left="2160" w:hanging="360"/>
      </w:pPr>
      <w:rPr>
        <w:rFonts w:ascii="Wingdings" w:hAnsi="Wingdings" w:hint="default"/>
      </w:rPr>
    </w:lvl>
    <w:lvl w:ilvl="3" w:tplc="B7B2D6A8">
      <w:start w:val="1"/>
      <w:numFmt w:val="bullet"/>
      <w:lvlText w:val=""/>
      <w:lvlJc w:val="left"/>
      <w:pPr>
        <w:ind w:left="2880" w:hanging="360"/>
      </w:pPr>
      <w:rPr>
        <w:rFonts w:ascii="Symbol" w:hAnsi="Symbol" w:hint="default"/>
      </w:rPr>
    </w:lvl>
    <w:lvl w:ilvl="4" w:tplc="7DAC8DD0">
      <w:start w:val="1"/>
      <w:numFmt w:val="bullet"/>
      <w:lvlText w:val="o"/>
      <w:lvlJc w:val="left"/>
      <w:pPr>
        <w:ind w:left="3600" w:hanging="360"/>
      </w:pPr>
      <w:rPr>
        <w:rFonts w:ascii="Courier New" w:hAnsi="Courier New" w:hint="default"/>
      </w:rPr>
    </w:lvl>
    <w:lvl w:ilvl="5" w:tplc="D78C9FD6">
      <w:start w:val="1"/>
      <w:numFmt w:val="bullet"/>
      <w:lvlText w:val=""/>
      <w:lvlJc w:val="left"/>
      <w:pPr>
        <w:ind w:left="4320" w:hanging="360"/>
      </w:pPr>
      <w:rPr>
        <w:rFonts w:ascii="Wingdings" w:hAnsi="Wingdings" w:hint="default"/>
      </w:rPr>
    </w:lvl>
    <w:lvl w:ilvl="6" w:tplc="3E34CDB8">
      <w:start w:val="1"/>
      <w:numFmt w:val="bullet"/>
      <w:lvlText w:val=""/>
      <w:lvlJc w:val="left"/>
      <w:pPr>
        <w:ind w:left="5040" w:hanging="360"/>
      </w:pPr>
      <w:rPr>
        <w:rFonts w:ascii="Symbol" w:hAnsi="Symbol" w:hint="default"/>
      </w:rPr>
    </w:lvl>
    <w:lvl w:ilvl="7" w:tplc="BB0A0AA0">
      <w:start w:val="1"/>
      <w:numFmt w:val="bullet"/>
      <w:lvlText w:val="o"/>
      <w:lvlJc w:val="left"/>
      <w:pPr>
        <w:ind w:left="5760" w:hanging="360"/>
      </w:pPr>
      <w:rPr>
        <w:rFonts w:ascii="Courier New" w:hAnsi="Courier New" w:hint="default"/>
      </w:rPr>
    </w:lvl>
    <w:lvl w:ilvl="8" w:tplc="F06605B4">
      <w:start w:val="1"/>
      <w:numFmt w:val="bullet"/>
      <w:lvlText w:val=""/>
      <w:lvlJc w:val="left"/>
      <w:pPr>
        <w:ind w:left="6480" w:hanging="360"/>
      </w:pPr>
      <w:rPr>
        <w:rFonts w:ascii="Wingdings" w:hAnsi="Wingdings" w:hint="default"/>
      </w:rPr>
    </w:lvl>
  </w:abstractNum>
  <w:abstractNum w:abstractNumId="1">
    <w:nsid w:val="181B6BD5"/>
    <w:multiLevelType w:val="hybridMultilevel"/>
    <w:tmpl w:val="2310914A"/>
    <w:lvl w:ilvl="0" w:tplc="27D43824">
      <w:start w:val="1"/>
      <w:numFmt w:val="bullet"/>
      <w:lvlText w:val=""/>
      <w:lvlJc w:val="left"/>
      <w:pPr>
        <w:ind w:left="720" w:hanging="360"/>
      </w:pPr>
      <w:rPr>
        <w:rFonts w:ascii="Symbol" w:hAnsi="Symbol" w:hint="default"/>
      </w:rPr>
    </w:lvl>
    <w:lvl w:ilvl="1" w:tplc="2842B8E8">
      <w:start w:val="1"/>
      <w:numFmt w:val="bullet"/>
      <w:lvlText w:val="o"/>
      <w:lvlJc w:val="left"/>
      <w:pPr>
        <w:ind w:left="1440" w:hanging="360"/>
      </w:pPr>
      <w:rPr>
        <w:rFonts w:ascii="Courier New" w:hAnsi="Courier New" w:hint="default"/>
      </w:rPr>
    </w:lvl>
    <w:lvl w:ilvl="2" w:tplc="23DC2BBA">
      <w:start w:val="1"/>
      <w:numFmt w:val="bullet"/>
      <w:lvlText w:val=""/>
      <w:lvlJc w:val="left"/>
      <w:pPr>
        <w:ind w:left="2160" w:hanging="360"/>
      </w:pPr>
      <w:rPr>
        <w:rFonts w:ascii="Wingdings" w:hAnsi="Wingdings" w:hint="default"/>
      </w:rPr>
    </w:lvl>
    <w:lvl w:ilvl="3" w:tplc="ED9AC8A8">
      <w:start w:val="1"/>
      <w:numFmt w:val="bullet"/>
      <w:lvlText w:val=""/>
      <w:lvlJc w:val="left"/>
      <w:pPr>
        <w:ind w:left="2880" w:hanging="360"/>
      </w:pPr>
      <w:rPr>
        <w:rFonts w:ascii="Symbol" w:hAnsi="Symbol" w:hint="default"/>
      </w:rPr>
    </w:lvl>
    <w:lvl w:ilvl="4" w:tplc="4E32485C">
      <w:start w:val="1"/>
      <w:numFmt w:val="bullet"/>
      <w:lvlText w:val="o"/>
      <w:lvlJc w:val="left"/>
      <w:pPr>
        <w:ind w:left="3600" w:hanging="360"/>
      </w:pPr>
      <w:rPr>
        <w:rFonts w:ascii="Courier New" w:hAnsi="Courier New" w:hint="default"/>
      </w:rPr>
    </w:lvl>
    <w:lvl w:ilvl="5" w:tplc="62C23E38">
      <w:start w:val="1"/>
      <w:numFmt w:val="bullet"/>
      <w:lvlText w:val=""/>
      <w:lvlJc w:val="left"/>
      <w:pPr>
        <w:ind w:left="4320" w:hanging="360"/>
      </w:pPr>
      <w:rPr>
        <w:rFonts w:ascii="Wingdings" w:hAnsi="Wingdings" w:hint="default"/>
      </w:rPr>
    </w:lvl>
    <w:lvl w:ilvl="6" w:tplc="37D445A6">
      <w:start w:val="1"/>
      <w:numFmt w:val="bullet"/>
      <w:lvlText w:val=""/>
      <w:lvlJc w:val="left"/>
      <w:pPr>
        <w:ind w:left="5040" w:hanging="360"/>
      </w:pPr>
      <w:rPr>
        <w:rFonts w:ascii="Symbol" w:hAnsi="Symbol" w:hint="default"/>
      </w:rPr>
    </w:lvl>
    <w:lvl w:ilvl="7" w:tplc="6DF6FA96">
      <w:start w:val="1"/>
      <w:numFmt w:val="bullet"/>
      <w:lvlText w:val="o"/>
      <w:lvlJc w:val="left"/>
      <w:pPr>
        <w:ind w:left="5760" w:hanging="360"/>
      </w:pPr>
      <w:rPr>
        <w:rFonts w:ascii="Courier New" w:hAnsi="Courier New" w:hint="default"/>
      </w:rPr>
    </w:lvl>
    <w:lvl w:ilvl="8" w:tplc="DA2ED628">
      <w:start w:val="1"/>
      <w:numFmt w:val="bullet"/>
      <w:lvlText w:val=""/>
      <w:lvlJc w:val="left"/>
      <w:pPr>
        <w:ind w:left="6480" w:hanging="360"/>
      </w:pPr>
      <w:rPr>
        <w:rFonts w:ascii="Wingdings" w:hAnsi="Wingdings" w:hint="default"/>
      </w:rPr>
    </w:lvl>
  </w:abstractNum>
  <w:abstractNum w:abstractNumId="2">
    <w:nsid w:val="1B747599"/>
    <w:multiLevelType w:val="hybridMultilevel"/>
    <w:tmpl w:val="9B9898B4"/>
    <w:lvl w:ilvl="0" w:tplc="ACACEBAE">
      <w:start w:val="1"/>
      <w:numFmt w:val="bullet"/>
      <w:lvlText w:val=""/>
      <w:lvlJc w:val="left"/>
      <w:pPr>
        <w:ind w:left="720" w:hanging="360"/>
      </w:pPr>
      <w:rPr>
        <w:rFonts w:ascii="Symbol" w:hAnsi="Symbol" w:hint="default"/>
      </w:rPr>
    </w:lvl>
    <w:lvl w:ilvl="1" w:tplc="1854CFCA">
      <w:start w:val="1"/>
      <w:numFmt w:val="bullet"/>
      <w:lvlText w:val="o"/>
      <w:lvlJc w:val="left"/>
      <w:pPr>
        <w:ind w:left="1440" w:hanging="360"/>
      </w:pPr>
      <w:rPr>
        <w:rFonts w:ascii="Courier New" w:hAnsi="Courier New" w:hint="default"/>
      </w:rPr>
    </w:lvl>
    <w:lvl w:ilvl="2" w:tplc="1FB6E88C">
      <w:start w:val="1"/>
      <w:numFmt w:val="bullet"/>
      <w:lvlText w:val=""/>
      <w:lvlJc w:val="left"/>
      <w:pPr>
        <w:ind w:left="2160" w:hanging="360"/>
      </w:pPr>
      <w:rPr>
        <w:rFonts w:ascii="Wingdings" w:hAnsi="Wingdings" w:hint="default"/>
      </w:rPr>
    </w:lvl>
    <w:lvl w:ilvl="3" w:tplc="E8CEC316">
      <w:start w:val="1"/>
      <w:numFmt w:val="bullet"/>
      <w:lvlText w:val=""/>
      <w:lvlJc w:val="left"/>
      <w:pPr>
        <w:ind w:left="2880" w:hanging="360"/>
      </w:pPr>
      <w:rPr>
        <w:rFonts w:ascii="Symbol" w:hAnsi="Symbol" w:hint="default"/>
      </w:rPr>
    </w:lvl>
    <w:lvl w:ilvl="4" w:tplc="BFF6E2A8">
      <w:start w:val="1"/>
      <w:numFmt w:val="bullet"/>
      <w:lvlText w:val="o"/>
      <w:lvlJc w:val="left"/>
      <w:pPr>
        <w:ind w:left="3600" w:hanging="360"/>
      </w:pPr>
      <w:rPr>
        <w:rFonts w:ascii="Courier New" w:hAnsi="Courier New" w:hint="default"/>
      </w:rPr>
    </w:lvl>
    <w:lvl w:ilvl="5" w:tplc="C9C04848">
      <w:start w:val="1"/>
      <w:numFmt w:val="bullet"/>
      <w:lvlText w:val=""/>
      <w:lvlJc w:val="left"/>
      <w:pPr>
        <w:ind w:left="4320" w:hanging="360"/>
      </w:pPr>
      <w:rPr>
        <w:rFonts w:ascii="Wingdings" w:hAnsi="Wingdings" w:hint="default"/>
      </w:rPr>
    </w:lvl>
    <w:lvl w:ilvl="6" w:tplc="6EDAFD9E">
      <w:start w:val="1"/>
      <w:numFmt w:val="bullet"/>
      <w:lvlText w:val=""/>
      <w:lvlJc w:val="left"/>
      <w:pPr>
        <w:ind w:left="5040" w:hanging="360"/>
      </w:pPr>
      <w:rPr>
        <w:rFonts w:ascii="Symbol" w:hAnsi="Symbol" w:hint="default"/>
      </w:rPr>
    </w:lvl>
    <w:lvl w:ilvl="7" w:tplc="4208ACCC">
      <w:start w:val="1"/>
      <w:numFmt w:val="bullet"/>
      <w:lvlText w:val="o"/>
      <w:lvlJc w:val="left"/>
      <w:pPr>
        <w:ind w:left="5760" w:hanging="360"/>
      </w:pPr>
      <w:rPr>
        <w:rFonts w:ascii="Courier New" w:hAnsi="Courier New" w:hint="default"/>
      </w:rPr>
    </w:lvl>
    <w:lvl w:ilvl="8" w:tplc="7A4AE1C4">
      <w:start w:val="1"/>
      <w:numFmt w:val="bullet"/>
      <w:lvlText w:val=""/>
      <w:lvlJc w:val="left"/>
      <w:pPr>
        <w:ind w:left="6480" w:hanging="360"/>
      </w:pPr>
      <w:rPr>
        <w:rFonts w:ascii="Wingdings" w:hAnsi="Wingdings" w:hint="default"/>
      </w:rPr>
    </w:lvl>
  </w:abstractNum>
  <w:abstractNum w:abstractNumId="3">
    <w:nsid w:val="32B86C33"/>
    <w:multiLevelType w:val="hybridMultilevel"/>
    <w:tmpl w:val="78C0D4F8"/>
    <w:lvl w:ilvl="0" w:tplc="CAD4DA64">
      <w:start w:val="1"/>
      <w:numFmt w:val="decimal"/>
      <w:lvlText w:val="%1."/>
      <w:lvlJc w:val="left"/>
      <w:pPr>
        <w:ind w:left="720" w:hanging="360"/>
      </w:pPr>
    </w:lvl>
    <w:lvl w:ilvl="1" w:tplc="D8FA6A70">
      <w:start w:val="1"/>
      <w:numFmt w:val="lowerLetter"/>
      <w:lvlText w:val="%2."/>
      <w:lvlJc w:val="left"/>
      <w:pPr>
        <w:ind w:left="1440" w:hanging="360"/>
      </w:pPr>
    </w:lvl>
    <w:lvl w:ilvl="2" w:tplc="A922F0C2">
      <w:start w:val="1"/>
      <w:numFmt w:val="lowerRoman"/>
      <w:lvlText w:val="%3."/>
      <w:lvlJc w:val="right"/>
      <w:pPr>
        <w:ind w:left="2160" w:hanging="180"/>
      </w:pPr>
    </w:lvl>
    <w:lvl w:ilvl="3" w:tplc="FA846414">
      <w:start w:val="1"/>
      <w:numFmt w:val="decimal"/>
      <w:lvlText w:val="%4."/>
      <w:lvlJc w:val="left"/>
      <w:pPr>
        <w:ind w:left="2880" w:hanging="360"/>
      </w:pPr>
    </w:lvl>
    <w:lvl w:ilvl="4" w:tplc="C5225912">
      <w:start w:val="1"/>
      <w:numFmt w:val="lowerLetter"/>
      <w:lvlText w:val="%5."/>
      <w:lvlJc w:val="left"/>
      <w:pPr>
        <w:ind w:left="3600" w:hanging="360"/>
      </w:pPr>
    </w:lvl>
    <w:lvl w:ilvl="5" w:tplc="9E849CC8">
      <w:start w:val="1"/>
      <w:numFmt w:val="lowerRoman"/>
      <w:lvlText w:val="%6."/>
      <w:lvlJc w:val="right"/>
      <w:pPr>
        <w:ind w:left="4320" w:hanging="180"/>
      </w:pPr>
    </w:lvl>
    <w:lvl w:ilvl="6" w:tplc="271265A8">
      <w:start w:val="1"/>
      <w:numFmt w:val="decimal"/>
      <w:lvlText w:val="%7."/>
      <w:lvlJc w:val="left"/>
      <w:pPr>
        <w:ind w:left="5040" w:hanging="360"/>
      </w:pPr>
    </w:lvl>
    <w:lvl w:ilvl="7" w:tplc="6082CC76">
      <w:start w:val="1"/>
      <w:numFmt w:val="lowerLetter"/>
      <w:lvlText w:val="%8."/>
      <w:lvlJc w:val="left"/>
      <w:pPr>
        <w:ind w:left="5760" w:hanging="360"/>
      </w:pPr>
    </w:lvl>
    <w:lvl w:ilvl="8" w:tplc="7062EFAE">
      <w:start w:val="1"/>
      <w:numFmt w:val="lowerRoman"/>
      <w:lvlText w:val="%9."/>
      <w:lvlJc w:val="right"/>
      <w:pPr>
        <w:ind w:left="6480" w:hanging="180"/>
      </w:pPr>
    </w:lvl>
  </w:abstractNum>
  <w:abstractNum w:abstractNumId="4">
    <w:nsid w:val="40E312CF"/>
    <w:multiLevelType w:val="hybridMultilevel"/>
    <w:tmpl w:val="75B8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49B2621"/>
    <w:multiLevelType w:val="hybridMultilevel"/>
    <w:tmpl w:val="E97A7038"/>
    <w:lvl w:ilvl="0" w:tplc="7F2662A2">
      <w:start w:val="1"/>
      <w:numFmt w:val="bullet"/>
      <w:lvlText w:val=""/>
      <w:lvlJc w:val="left"/>
      <w:pPr>
        <w:ind w:left="720" w:hanging="360"/>
      </w:pPr>
      <w:rPr>
        <w:rFonts w:ascii="Symbol" w:hAnsi="Symbol" w:hint="default"/>
      </w:rPr>
    </w:lvl>
    <w:lvl w:ilvl="1" w:tplc="563EDA72">
      <w:start w:val="1"/>
      <w:numFmt w:val="bullet"/>
      <w:lvlText w:val="o"/>
      <w:lvlJc w:val="left"/>
      <w:pPr>
        <w:ind w:left="1440" w:hanging="360"/>
      </w:pPr>
      <w:rPr>
        <w:rFonts w:ascii="Courier New" w:hAnsi="Courier New" w:hint="default"/>
      </w:rPr>
    </w:lvl>
    <w:lvl w:ilvl="2" w:tplc="D97C0B84">
      <w:start w:val="1"/>
      <w:numFmt w:val="bullet"/>
      <w:lvlText w:val=""/>
      <w:lvlJc w:val="left"/>
      <w:pPr>
        <w:ind w:left="2160" w:hanging="360"/>
      </w:pPr>
      <w:rPr>
        <w:rFonts w:ascii="Wingdings" w:hAnsi="Wingdings" w:hint="default"/>
      </w:rPr>
    </w:lvl>
    <w:lvl w:ilvl="3" w:tplc="4C249590">
      <w:start w:val="1"/>
      <w:numFmt w:val="bullet"/>
      <w:lvlText w:val=""/>
      <w:lvlJc w:val="left"/>
      <w:pPr>
        <w:ind w:left="2880" w:hanging="360"/>
      </w:pPr>
      <w:rPr>
        <w:rFonts w:ascii="Symbol" w:hAnsi="Symbol" w:hint="default"/>
      </w:rPr>
    </w:lvl>
    <w:lvl w:ilvl="4" w:tplc="5DA4EC56">
      <w:start w:val="1"/>
      <w:numFmt w:val="bullet"/>
      <w:lvlText w:val="o"/>
      <w:lvlJc w:val="left"/>
      <w:pPr>
        <w:ind w:left="3600" w:hanging="360"/>
      </w:pPr>
      <w:rPr>
        <w:rFonts w:ascii="Courier New" w:hAnsi="Courier New" w:hint="default"/>
      </w:rPr>
    </w:lvl>
    <w:lvl w:ilvl="5" w:tplc="60D8A0DE">
      <w:start w:val="1"/>
      <w:numFmt w:val="bullet"/>
      <w:lvlText w:val=""/>
      <w:lvlJc w:val="left"/>
      <w:pPr>
        <w:ind w:left="4320" w:hanging="360"/>
      </w:pPr>
      <w:rPr>
        <w:rFonts w:ascii="Wingdings" w:hAnsi="Wingdings" w:hint="default"/>
      </w:rPr>
    </w:lvl>
    <w:lvl w:ilvl="6" w:tplc="E7044118">
      <w:start w:val="1"/>
      <w:numFmt w:val="bullet"/>
      <w:lvlText w:val=""/>
      <w:lvlJc w:val="left"/>
      <w:pPr>
        <w:ind w:left="5040" w:hanging="360"/>
      </w:pPr>
      <w:rPr>
        <w:rFonts w:ascii="Symbol" w:hAnsi="Symbol" w:hint="default"/>
      </w:rPr>
    </w:lvl>
    <w:lvl w:ilvl="7" w:tplc="82740AE8">
      <w:start w:val="1"/>
      <w:numFmt w:val="bullet"/>
      <w:lvlText w:val="o"/>
      <w:lvlJc w:val="left"/>
      <w:pPr>
        <w:ind w:left="5760" w:hanging="360"/>
      </w:pPr>
      <w:rPr>
        <w:rFonts w:ascii="Courier New" w:hAnsi="Courier New" w:hint="default"/>
      </w:rPr>
    </w:lvl>
    <w:lvl w:ilvl="8" w:tplc="CCB0FF4C">
      <w:start w:val="1"/>
      <w:numFmt w:val="bullet"/>
      <w:lvlText w:val=""/>
      <w:lvlJc w:val="left"/>
      <w:pPr>
        <w:ind w:left="6480" w:hanging="360"/>
      </w:pPr>
      <w:rPr>
        <w:rFonts w:ascii="Wingdings" w:hAnsi="Wingdings" w:hint="default"/>
      </w:rPr>
    </w:lvl>
  </w:abstractNum>
  <w:abstractNum w:abstractNumId="6">
    <w:nsid w:val="4B845BE0"/>
    <w:multiLevelType w:val="hybridMultilevel"/>
    <w:tmpl w:val="DAD4B2D6"/>
    <w:lvl w:ilvl="0" w:tplc="71C6568E">
      <w:start w:val="1"/>
      <w:numFmt w:val="bullet"/>
      <w:lvlText w:val=""/>
      <w:lvlJc w:val="left"/>
      <w:pPr>
        <w:ind w:left="720" w:hanging="360"/>
      </w:pPr>
      <w:rPr>
        <w:rFonts w:ascii="Symbol" w:hAnsi="Symbol" w:hint="default"/>
      </w:rPr>
    </w:lvl>
    <w:lvl w:ilvl="1" w:tplc="D75A5054">
      <w:start w:val="1"/>
      <w:numFmt w:val="bullet"/>
      <w:lvlText w:val="o"/>
      <w:lvlJc w:val="left"/>
      <w:pPr>
        <w:ind w:left="1440" w:hanging="360"/>
      </w:pPr>
      <w:rPr>
        <w:rFonts w:ascii="Courier New" w:hAnsi="Courier New" w:hint="default"/>
      </w:rPr>
    </w:lvl>
    <w:lvl w:ilvl="2" w:tplc="23BC4FC6">
      <w:start w:val="1"/>
      <w:numFmt w:val="bullet"/>
      <w:lvlText w:val=""/>
      <w:lvlJc w:val="left"/>
      <w:pPr>
        <w:ind w:left="2160" w:hanging="360"/>
      </w:pPr>
      <w:rPr>
        <w:rFonts w:ascii="Wingdings" w:hAnsi="Wingdings" w:hint="default"/>
      </w:rPr>
    </w:lvl>
    <w:lvl w:ilvl="3" w:tplc="ED92BBA8">
      <w:start w:val="1"/>
      <w:numFmt w:val="bullet"/>
      <w:lvlText w:val=""/>
      <w:lvlJc w:val="left"/>
      <w:pPr>
        <w:ind w:left="2880" w:hanging="360"/>
      </w:pPr>
      <w:rPr>
        <w:rFonts w:ascii="Symbol" w:hAnsi="Symbol" w:hint="default"/>
      </w:rPr>
    </w:lvl>
    <w:lvl w:ilvl="4" w:tplc="A0567EB6">
      <w:start w:val="1"/>
      <w:numFmt w:val="bullet"/>
      <w:lvlText w:val="o"/>
      <w:lvlJc w:val="left"/>
      <w:pPr>
        <w:ind w:left="3600" w:hanging="360"/>
      </w:pPr>
      <w:rPr>
        <w:rFonts w:ascii="Courier New" w:hAnsi="Courier New" w:hint="default"/>
      </w:rPr>
    </w:lvl>
    <w:lvl w:ilvl="5" w:tplc="829AB7FC">
      <w:start w:val="1"/>
      <w:numFmt w:val="bullet"/>
      <w:lvlText w:val=""/>
      <w:lvlJc w:val="left"/>
      <w:pPr>
        <w:ind w:left="4320" w:hanging="360"/>
      </w:pPr>
      <w:rPr>
        <w:rFonts w:ascii="Wingdings" w:hAnsi="Wingdings" w:hint="default"/>
      </w:rPr>
    </w:lvl>
    <w:lvl w:ilvl="6" w:tplc="D5D85FC8">
      <w:start w:val="1"/>
      <w:numFmt w:val="bullet"/>
      <w:lvlText w:val=""/>
      <w:lvlJc w:val="left"/>
      <w:pPr>
        <w:ind w:left="5040" w:hanging="360"/>
      </w:pPr>
      <w:rPr>
        <w:rFonts w:ascii="Symbol" w:hAnsi="Symbol" w:hint="default"/>
      </w:rPr>
    </w:lvl>
    <w:lvl w:ilvl="7" w:tplc="E0FE2E20">
      <w:start w:val="1"/>
      <w:numFmt w:val="bullet"/>
      <w:lvlText w:val="o"/>
      <w:lvlJc w:val="left"/>
      <w:pPr>
        <w:ind w:left="5760" w:hanging="360"/>
      </w:pPr>
      <w:rPr>
        <w:rFonts w:ascii="Courier New" w:hAnsi="Courier New" w:hint="default"/>
      </w:rPr>
    </w:lvl>
    <w:lvl w:ilvl="8" w:tplc="C66807A4">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AA0C02"/>
    <w:rsid w:val="000509C6"/>
    <w:rsid w:val="00051C56"/>
    <w:rsid w:val="00063427"/>
    <w:rsid w:val="000711D0"/>
    <w:rsid w:val="00081128"/>
    <w:rsid w:val="00084677"/>
    <w:rsid w:val="00094183"/>
    <w:rsid w:val="000A40F1"/>
    <w:rsid w:val="000B0955"/>
    <w:rsid w:val="000C7681"/>
    <w:rsid w:val="000E06DA"/>
    <w:rsid w:val="000F0C68"/>
    <w:rsid w:val="000F48D9"/>
    <w:rsid w:val="000F4D83"/>
    <w:rsid w:val="001246BF"/>
    <w:rsid w:val="00124A68"/>
    <w:rsid w:val="0013569E"/>
    <w:rsid w:val="0013763E"/>
    <w:rsid w:val="00137D2B"/>
    <w:rsid w:val="00156EED"/>
    <w:rsid w:val="0016039B"/>
    <w:rsid w:val="0016139E"/>
    <w:rsid w:val="0016390E"/>
    <w:rsid w:val="001D354F"/>
    <w:rsid w:val="001D6D97"/>
    <w:rsid w:val="001E056B"/>
    <w:rsid w:val="001E7E01"/>
    <w:rsid w:val="0020537F"/>
    <w:rsid w:val="002153FB"/>
    <w:rsid w:val="00220C5E"/>
    <w:rsid w:val="00227AED"/>
    <w:rsid w:val="002304DD"/>
    <w:rsid w:val="002374E0"/>
    <w:rsid w:val="0024040D"/>
    <w:rsid w:val="00260F38"/>
    <w:rsid w:val="00290468"/>
    <w:rsid w:val="00294BD0"/>
    <w:rsid w:val="002956BE"/>
    <w:rsid w:val="002966DE"/>
    <w:rsid w:val="002B5307"/>
    <w:rsid w:val="002D75BD"/>
    <w:rsid w:val="002F271C"/>
    <w:rsid w:val="002F575D"/>
    <w:rsid w:val="002F79DE"/>
    <w:rsid w:val="00300893"/>
    <w:rsid w:val="003100E2"/>
    <w:rsid w:val="0031168C"/>
    <w:rsid w:val="00316640"/>
    <w:rsid w:val="00316B0F"/>
    <w:rsid w:val="00337BE5"/>
    <w:rsid w:val="003432FF"/>
    <w:rsid w:val="00367015"/>
    <w:rsid w:val="00380C62"/>
    <w:rsid w:val="003876DC"/>
    <w:rsid w:val="003C0802"/>
    <w:rsid w:val="003C6624"/>
    <w:rsid w:val="003D57DE"/>
    <w:rsid w:val="003E15FE"/>
    <w:rsid w:val="003E23A2"/>
    <w:rsid w:val="003E31F0"/>
    <w:rsid w:val="003E69C9"/>
    <w:rsid w:val="003F2936"/>
    <w:rsid w:val="003F6E65"/>
    <w:rsid w:val="00407305"/>
    <w:rsid w:val="00434EFD"/>
    <w:rsid w:val="00435012"/>
    <w:rsid w:val="00437C20"/>
    <w:rsid w:val="00453DCF"/>
    <w:rsid w:val="00454FFA"/>
    <w:rsid w:val="00460BDB"/>
    <w:rsid w:val="00474E36"/>
    <w:rsid w:val="004755B3"/>
    <w:rsid w:val="004872BE"/>
    <w:rsid w:val="00493C61"/>
    <w:rsid w:val="004A0BFC"/>
    <w:rsid w:val="004A31EF"/>
    <w:rsid w:val="004A38AB"/>
    <w:rsid w:val="004D12FB"/>
    <w:rsid w:val="004E08EC"/>
    <w:rsid w:val="004E5408"/>
    <w:rsid w:val="004F1BEF"/>
    <w:rsid w:val="00503604"/>
    <w:rsid w:val="005302F9"/>
    <w:rsid w:val="00553D28"/>
    <w:rsid w:val="00565AFD"/>
    <w:rsid w:val="00584FE3"/>
    <w:rsid w:val="005A022F"/>
    <w:rsid w:val="005C744B"/>
    <w:rsid w:val="005E397D"/>
    <w:rsid w:val="005F5534"/>
    <w:rsid w:val="005F6AAD"/>
    <w:rsid w:val="00601B91"/>
    <w:rsid w:val="006027F3"/>
    <w:rsid w:val="006154DC"/>
    <w:rsid w:val="00633A1C"/>
    <w:rsid w:val="006803CE"/>
    <w:rsid w:val="006B3E28"/>
    <w:rsid w:val="006B4607"/>
    <w:rsid w:val="006E05CD"/>
    <w:rsid w:val="006F1AF1"/>
    <w:rsid w:val="006F58DB"/>
    <w:rsid w:val="00701F9A"/>
    <w:rsid w:val="007110DE"/>
    <w:rsid w:val="0073179F"/>
    <w:rsid w:val="0076255D"/>
    <w:rsid w:val="00765C9E"/>
    <w:rsid w:val="007769E5"/>
    <w:rsid w:val="0077734C"/>
    <w:rsid w:val="0078326E"/>
    <w:rsid w:val="0078578D"/>
    <w:rsid w:val="007975EB"/>
    <w:rsid w:val="007E324C"/>
    <w:rsid w:val="007F5C9E"/>
    <w:rsid w:val="008138EA"/>
    <w:rsid w:val="00824468"/>
    <w:rsid w:val="0082665B"/>
    <w:rsid w:val="00837B03"/>
    <w:rsid w:val="008559E4"/>
    <w:rsid w:val="00861236"/>
    <w:rsid w:val="0086662E"/>
    <w:rsid w:val="00875394"/>
    <w:rsid w:val="00876F82"/>
    <w:rsid w:val="008864E2"/>
    <w:rsid w:val="0088697B"/>
    <w:rsid w:val="008920F9"/>
    <w:rsid w:val="008A4AD4"/>
    <w:rsid w:val="008B4976"/>
    <w:rsid w:val="008B59F8"/>
    <w:rsid w:val="008C20E8"/>
    <w:rsid w:val="008F411E"/>
    <w:rsid w:val="00903CE2"/>
    <w:rsid w:val="009148F0"/>
    <w:rsid w:val="0091668C"/>
    <w:rsid w:val="00917EDE"/>
    <w:rsid w:val="00960A5C"/>
    <w:rsid w:val="0096213D"/>
    <w:rsid w:val="00975FC4"/>
    <w:rsid w:val="009833E7"/>
    <w:rsid w:val="00992AA2"/>
    <w:rsid w:val="00994A57"/>
    <w:rsid w:val="009A05DE"/>
    <w:rsid w:val="009A646F"/>
    <w:rsid w:val="009C6A4E"/>
    <w:rsid w:val="00A059B6"/>
    <w:rsid w:val="00A13D19"/>
    <w:rsid w:val="00A25787"/>
    <w:rsid w:val="00A30205"/>
    <w:rsid w:val="00A37749"/>
    <w:rsid w:val="00A400BE"/>
    <w:rsid w:val="00A518D3"/>
    <w:rsid w:val="00A66E1A"/>
    <w:rsid w:val="00A74B13"/>
    <w:rsid w:val="00A901B6"/>
    <w:rsid w:val="00A96E97"/>
    <w:rsid w:val="00AA2666"/>
    <w:rsid w:val="00AC0BE1"/>
    <w:rsid w:val="00AD0132"/>
    <w:rsid w:val="00AD41B1"/>
    <w:rsid w:val="00AE1FB9"/>
    <w:rsid w:val="00AF3FCE"/>
    <w:rsid w:val="00B00D9C"/>
    <w:rsid w:val="00B10C3A"/>
    <w:rsid w:val="00B236F1"/>
    <w:rsid w:val="00B34EE8"/>
    <w:rsid w:val="00B66D9B"/>
    <w:rsid w:val="00B76166"/>
    <w:rsid w:val="00B774CE"/>
    <w:rsid w:val="00B84276"/>
    <w:rsid w:val="00BA13AE"/>
    <w:rsid w:val="00BA5034"/>
    <w:rsid w:val="00BC5563"/>
    <w:rsid w:val="00BD3E5D"/>
    <w:rsid w:val="00BF2F0E"/>
    <w:rsid w:val="00BF3EB8"/>
    <w:rsid w:val="00BF4524"/>
    <w:rsid w:val="00C46C8C"/>
    <w:rsid w:val="00C8018F"/>
    <w:rsid w:val="00C818D4"/>
    <w:rsid w:val="00CA068D"/>
    <w:rsid w:val="00CB0298"/>
    <w:rsid w:val="00CB270B"/>
    <w:rsid w:val="00CD01A7"/>
    <w:rsid w:val="00CD0734"/>
    <w:rsid w:val="00D21549"/>
    <w:rsid w:val="00D307C8"/>
    <w:rsid w:val="00D34EB2"/>
    <w:rsid w:val="00D41273"/>
    <w:rsid w:val="00D55A86"/>
    <w:rsid w:val="00D606D3"/>
    <w:rsid w:val="00D6328E"/>
    <w:rsid w:val="00D9135B"/>
    <w:rsid w:val="00DA597E"/>
    <w:rsid w:val="00DA5EEA"/>
    <w:rsid w:val="00DC2BB7"/>
    <w:rsid w:val="00DC35A0"/>
    <w:rsid w:val="00DC4FD8"/>
    <w:rsid w:val="00E0265C"/>
    <w:rsid w:val="00E103AC"/>
    <w:rsid w:val="00E20332"/>
    <w:rsid w:val="00E30231"/>
    <w:rsid w:val="00E33684"/>
    <w:rsid w:val="00E36449"/>
    <w:rsid w:val="00E37ED3"/>
    <w:rsid w:val="00E45519"/>
    <w:rsid w:val="00E45C6D"/>
    <w:rsid w:val="00E4726B"/>
    <w:rsid w:val="00E50570"/>
    <w:rsid w:val="00E8209B"/>
    <w:rsid w:val="00EA1561"/>
    <w:rsid w:val="00EB3685"/>
    <w:rsid w:val="00EB3948"/>
    <w:rsid w:val="00EB6F51"/>
    <w:rsid w:val="00EC4D48"/>
    <w:rsid w:val="00ED709C"/>
    <w:rsid w:val="00EE6BA6"/>
    <w:rsid w:val="00EF0D6F"/>
    <w:rsid w:val="00EF6EA3"/>
    <w:rsid w:val="00F23265"/>
    <w:rsid w:val="00F2464E"/>
    <w:rsid w:val="00F24850"/>
    <w:rsid w:val="00F54F3D"/>
    <w:rsid w:val="00F864CF"/>
    <w:rsid w:val="00F9218A"/>
    <w:rsid w:val="00FB4016"/>
    <w:rsid w:val="00FD0E49"/>
    <w:rsid w:val="00FD75E6"/>
    <w:rsid w:val="00FE3230"/>
    <w:rsid w:val="00FF0B10"/>
    <w:rsid w:val="00FFF0A5"/>
    <w:rsid w:val="018F9567"/>
    <w:rsid w:val="02A12254"/>
    <w:rsid w:val="03DF7983"/>
    <w:rsid w:val="061E44CA"/>
    <w:rsid w:val="06DA6A24"/>
    <w:rsid w:val="07B5D93E"/>
    <w:rsid w:val="07D7A25B"/>
    <w:rsid w:val="08758A9A"/>
    <w:rsid w:val="087BA774"/>
    <w:rsid w:val="098D8B6A"/>
    <w:rsid w:val="0A033EA8"/>
    <w:rsid w:val="0A9E60F5"/>
    <w:rsid w:val="0ADC5396"/>
    <w:rsid w:val="0CE49A31"/>
    <w:rsid w:val="0FB1F75B"/>
    <w:rsid w:val="11A68251"/>
    <w:rsid w:val="1237C9FE"/>
    <w:rsid w:val="12554798"/>
    <w:rsid w:val="1261950E"/>
    <w:rsid w:val="13ACE28E"/>
    <w:rsid w:val="13E4901D"/>
    <w:rsid w:val="13ECF8B3"/>
    <w:rsid w:val="14C64344"/>
    <w:rsid w:val="14EA08B9"/>
    <w:rsid w:val="15449193"/>
    <w:rsid w:val="1658B7D8"/>
    <w:rsid w:val="16DD4468"/>
    <w:rsid w:val="16E49F37"/>
    <w:rsid w:val="18B7D7C9"/>
    <w:rsid w:val="18EB92C1"/>
    <w:rsid w:val="19A6B4C7"/>
    <w:rsid w:val="19F7D72F"/>
    <w:rsid w:val="1A2BF953"/>
    <w:rsid w:val="1A7D23ED"/>
    <w:rsid w:val="1B037D1E"/>
    <w:rsid w:val="1B0C74D9"/>
    <w:rsid w:val="1B7D1E6C"/>
    <w:rsid w:val="1E306CDE"/>
    <w:rsid w:val="1FAE1BD6"/>
    <w:rsid w:val="224106DF"/>
    <w:rsid w:val="2283E09A"/>
    <w:rsid w:val="25089CA3"/>
    <w:rsid w:val="261A6038"/>
    <w:rsid w:val="2A3BAC53"/>
    <w:rsid w:val="2AA6FD42"/>
    <w:rsid w:val="2AAD8464"/>
    <w:rsid w:val="2AB5AC10"/>
    <w:rsid w:val="2AD398FE"/>
    <w:rsid w:val="2C25DEE9"/>
    <w:rsid w:val="2C31EDBA"/>
    <w:rsid w:val="2DCD3399"/>
    <w:rsid w:val="2DD22B01"/>
    <w:rsid w:val="32388C7B"/>
    <w:rsid w:val="33B19925"/>
    <w:rsid w:val="37129417"/>
    <w:rsid w:val="383538BD"/>
    <w:rsid w:val="38F89250"/>
    <w:rsid w:val="394A3BCD"/>
    <w:rsid w:val="39F84D8D"/>
    <w:rsid w:val="3B341FDB"/>
    <w:rsid w:val="3D145690"/>
    <w:rsid w:val="3D279296"/>
    <w:rsid w:val="3D2A7FC8"/>
    <w:rsid w:val="3D7152FF"/>
    <w:rsid w:val="3E9DB62B"/>
    <w:rsid w:val="3F13B1BB"/>
    <w:rsid w:val="3F1710F1"/>
    <w:rsid w:val="3F4CE650"/>
    <w:rsid w:val="3F7460CB"/>
    <w:rsid w:val="3FAA0C02"/>
    <w:rsid w:val="3FDF2C5D"/>
    <w:rsid w:val="40F46105"/>
    <w:rsid w:val="4156403E"/>
    <w:rsid w:val="427EC248"/>
    <w:rsid w:val="42C86D1C"/>
    <w:rsid w:val="44942AE3"/>
    <w:rsid w:val="45090BDA"/>
    <w:rsid w:val="4876A215"/>
    <w:rsid w:val="493F88B3"/>
    <w:rsid w:val="4B0710DD"/>
    <w:rsid w:val="4BC00B5A"/>
    <w:rsid w:val="4C7DD7E8"/>
    <w:rsid w:val="4E77AFC0"/>
    <w:rsid w:val="4E9F48CC"/>
    <w:rsid w:val="4F8E05A9"/>
    <w:rsid w:val="4F9F833B"/>
    <w:rsid w:val="5033F830"/>
    <w:rsid w:val="5127AB6E"/>
    <w:rsid w:val="514E5C06"/>
    <w:rsid w:val="52021812"/>
    <w:rsid w:val="526E3490"/>
    <w:rsid w:val="53025B17"/>
    <w:rsid w:val="536FB652"/>
    <w:rsid w:val="56AAC8D0"/>
    <w:rsid w:val="58BCE88D"/>
    <w:rsid w:val="58C1EC46"/>
    <w:rsid w:val="5A4FEE8B"/>
    <w:rsid w:val="5ACA0BBF"/>
    <w:rsid w:val="5B7E91A4"/>
    <w:rsid w:val="5D7E4AAE"/>
    <w:rsid w:val="5E763FD8"/>
    <w:rsid w:val="5EB71DF5"/>
    <w:rsid w:val="5F3A0A39"/>
    <w:rsid w:val="6020C860"/>
    <w:rsid w:val="603B3465"/>
    <w:rsid w:val="6041BDC1"/>
    <w:rsid w:val="613B54C1"/>
    <w:rsid w:val="6279609D"/>
    <w:rsid w:val="668EE2F1"/>
    <w:rsid w:val="6817064A"/>
    <w:rsid w:val="68B10630"/>
    <w:rsid w:val="69744FE7"/>
    <w:rsid w:val="69B1C041"/>
    <w:rsid w:val="6A163BE3"/>
    <w:rsid w:val="6A17E81F"/>
    <w:rsid w:val="6B3C692F"/>
    <w:rsid w:val="6BF9D258"/>
    <w:rsid w:val="6C1C6C62"/>
    <w:rsid w:val="6D8BB6DB"/>
    <w:rsid w:val="6E7B09B6"/>
    <w:rsid w:val="6F4A9E5D"/>
    <w:rsid w:val="6FA3CBE0"/>
    <w:rsid w:val="6FBFBB4B"/>
    <w:rsid w:val="7056C514"/>
    <w:rsid w:val="70734D08"/>
    <w:rsid w:val="71EC1C73"/>
    <w:rsid w:val="7272823B"/>
    <w:rsid w:val="73E60738"/>
    <w:rsid w:val="73EF73B9"/>
    <w:rsid w:val="74020731"/>
    <w:rsid w:val="74110389"/>
    <w:rsid w:val="74E791C8"/>
    <w:rsid w:val="76031971"/>
    <w:rsid w:val="768CE49C"/>
    <w:rsid w:val="77B0537A"/>
    <w:rsid w:val="780F2B58"/>
    <w:rsid w:val="783F4FB1"/>
    <w:rsid w:val="78649849"/>
    <w:rsid w:val="78B6AEF5"/>
    <w:rsid w:val="7A2972CB"/>
    <w:rsid w:val="7AAF3EEA"/>
    <w:rsid w:val="7AB7BAF9"/>
    <w:rsid w:val="7B08E5FD"/>
    <w:rsid w:val="7BC49E8D"/>
    <w:rsid w:val="7D09DC1C"/>
    <w:rsid w:val="7DC494E9"/>
    <w:rsid w:val="7EEBC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8898F"/>
  <w15:chartTrackingRefBased/>
  <w15:docId w15:val="{B60BB4B1-628B-4FA2-9335-4DE048525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unhideWhenUsed/>
    <w:rsid w:val="000F0C68"/>
    <w:pPr>
      <w:spacing w:after="0" w:line="240" w:lineRule="auto"/>
    </w:pPr>
    <w:rPr>
      <w:sz w:val="24"/>
      <w:szCs w:val="24"/>
    </w:rPr>
  </w:style>
  <w:style w:type="character" w:customStyle="1" w:styleId="FootnoteTextChar">
    <w:name w:val="Footnote Text Char"/>
    <w:basedOn w:val="DefaultParagraphFont"/>
    <w:link w:val="FootnoteText"/>
    <w:uiPriority w:val="99"/>
    <w:rsid w:val="000F0C68"/>
    <w:rPr>
      <w:sz w:val="24"/>
      <w:szCs w:val="24"/>
    </w:rPr>
  </w:style>
  <w:style w:type="character" w:styleId="FootnoteReference">
    <w:name w:val="footnote reference"/>
    <w:basedOn w:val="DefaultParagraphFont"/>
    <w:uiPriority w:val="99"/>
    <w:unhideWhenUsed/>
    <w:rsid w:val="000F0C68"/>
    <w:rPr>
      <w:vertAlign w:val="superscript"/>
    </w:rPr>
  </w:style>
  <w:style w:type="paragraph" w:customStyle="1" w:styleId="paragraph">
    <w:name w:val="paragraph"/>
    <w:basedOn w:val="Normal"/>
    <w:rsid w:val="009833E7"/>
    <w:pPr>
      <w:spacing w:before="100" w:beforeAutospacing="1" w:after="100" w:afterAutospacing="1" w:line="240" w:lineRule="auto"/>
    </w:pPr>
    <w:rPr>
      <w:rFonts w:ascii="Times New Roman" w:hAnsi="Times New Roman" w:cs="Times New Roman"/>
      <w:sz w:val="24"/>
      <w:szCs w:val="24"/>
      <w:lang w:eastAsia="en-GB"/>
    </w:rPr>
  </w:style>
  <w:style w:type="character" w:customStyle="1" w:styleId="normaltextrun">
    <w:name w:val="normaltextrun"/>
    <w:basedOn w:val="DefaultParagraphFont"/>
    <w:rsid w:val="009833E7"/>
  </w:style>
  <w:style w:type="character" w:customStyle="1" w:styleId="eop">
    <w:name w:val="eop"/>
    <w:basedOn w:val="DefaultParagraphFont"/>
    <w:rsid w:val="00983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6982">
      <w:bodyDiv w:val="1"/>
      <w:marLeft w:val="0"/>
      <w:marRight w:val="0"/>
      <w:marTop w:val="0"/>
      <w:marBottom w:val="0"/>
      <w:divBdr>
        <w:top w:val="none" w:sz="0" w:space="0" w:color="auto"/>
        <w:left w:val="none" w:sz="0" w:space="0" w:color="auto"/>
        <w:bottom w:val="none" w:sz="0" w:space="0" w:color="auto"/>
        <w:right w:val="none" w:sz="0" w:space="0" w:color="auto"/>
      </w:divBdr>
      <w:divsChild>
        <w:div w:id="440034853">
          <w:marLeft w:val="0"/>
          <w:marRight w:val="0"/>
          <w:marTop w:val="0"/>
          <w:marBottom w:val="0"/>
          <w:divBdr>
            <w:top w:val="none" w:sz="0" w:space="0" w:color="auto"/>
            <w:left w:val="none" w:sz="0" w:space="0" w:color="auto"/>
            <w:bottom w:val="none" w:sz="0" w:space="0" w:color="auto"/>
            <w:right w:val="none" w:sz="0" w:space="0" w:color="auto"/>
          </w:divBdr>
        </w:div>
        <w:div w:id="1138258445">
          <w:marLeft w:val="0"/>
          <w:marRight w:val="0"/>
          <w:marTop w:val="0"/>
          <w:marBottom w:val="0"/>
          <w:divBdr>
            <w:top w:val="none" w:sz="0" w:space="0" w:color="auto"/>
            <w:left w:val="none" w:sz="0" w:space="0" w:color="auto"/>
            <w:bottom w:val="none" w:sz="0" w:space="0" w:color="auto"/>
            <w:right w:val="none" w:sz="0" w:space="0" w:color="auto"/>
          </w:divBdr>
        </w:div>
        <w:div w:id="2052923898">
          <w:marLeft w:val="0"/>
          <w:marRight w:val="0"/>
          <w:marTop w:val="0"/>
          <w:marBottom w:val="0"/>
          <w:divBdr>
            <w:top w:val="none" w:sz="0" w:space="0" w:color="auto"/>
            <w:left w:val="none" w:sz="0" w:space="0" w:color="auto"/>
            <w:bottom w:val="none" w:sz="0" w:space="0" w:color="auto"/>
            <w:right w:val="none" w:sz="0" w:space="0" w:color="auto"/>
          </w:divBdr>
        </w:div>
        <w:div w:id="276716814">
          <w:marLeft w:val="0"/>
          <w:marRight w:val="0"/>
          <w:marTop w:val="0"/>
          <w:marBottom w:val="0"/>
          <w:divBdr>
            <w:top w:val="none" w:sz="0" w:space="0" w:color="auto"/>
            <w:left w:val="none" w:sz="0" w:space="0" w:color="auto"/>
            <w:bottom w:val="none" w:sz="0" w:space="0" w:color="auto"/>
            <w:right w:val="none" w:sz="0" w:space="0" w:color="auto"/>
          </w:divBdr>
        </w:div>
      </w:divsChild>
    </w:div>
    <w:div w:id="80828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0C93ACD-1B77-D444-BF2A-624DA187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2370</Words>
  <Characters>12020</Characters>
  <Application>Microsoft Macintosh Word</Application>
  <DocSecurity>0</DocSecurity>
  <Lines>210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15</cp:revision>
  <dcterms:created xsi:type="dcterms:W3CDTF">2020-11-06T20:41:00Z</dcterms:created>
  <dcterms:modified xsi:type="dcterms:W3CDTF">2020-11-06T21:24:00Z</dcterms:modified>
</cp:coreProperties>
</file>