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DE81D" w14:textId="054395E2" w:rsidR="00224749" w:rsidRPr="00224749" w:rsidRDefault="00224749" w:rsidP="00224749">
      <w:pPr>
        <w:rPr>
          <w:rFonts w:ascii="Arial" w:hAnsi="Arial" w:cs="Arial"/>
          <w:bCs/>
          <w:sz w:val="52"/>
          <w:szCs w:val="52"/>
        </w:rPr>
      </w:pPr>
      <w:r w:rsidRPr="00224749">
        <w:rPr>
          <w:rFonts w:ascii="Arial" w:hAnsi="Arial" w:cs="Arial"/>
          <w:bCs/>
          <w:sz w:val="52"/>
          <w:szCs w:val="52"/>
          <w:highlight w:val="lightGray"/>
        </w:rPr>
        <w:t>It may be argued that the principle of statutory interpretation diminishes the status of legislation as the primary source of law in the UK. Discuss. BMLW4003</w:t>
      </w:r>
    </w:p>
    <w:p w14:paraId="4D82883B" w14:textId="44906DE5" w:rsidR="00A159E0" w:rsidRDefault="00224749"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Assignment 2 - Legal Process </w:t>
      </w:r>
    </w:p>
    <w:p w14:paraId="5A9C75B0"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088CE64"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4203788"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6EFFCAE"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49D0517"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2F6F0B0"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F379A59"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0F32B67"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DA06E89"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E80E83F"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3E4A778"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73EE43F5"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90B6B3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1E2441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FA7ADCD"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62759B5" w14:textId="77777777" w:rsidR="00A159E0" w:rsidRDefault="00A159E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BB40105" w14:textId="161FD18B" w:rsidR="00F97352" w:rsidRPr="00075D00" w:rsidRDefault="005B4A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lastRenderedPageBreak/>
        <w:t>Legislation is interpreted by the courts and applied by them through statutory interpretation.</w:t>
      </w:r>
      <w:r w:rsidR="00AD398D">
        <w:rPr>
          <w:rFonts w:ascii="Arial" w:hAnsi="Arial" w:cs="Arial"/>
          <w:color w:val="000000"/>
          <w:shd w:val="clear" w:color="auto" w:fill="FFFFFF"/>
        </w:rPr>
        <w:t xml:space="preserve"> </w:t>
      </w:r>
      <w:r>
        <w:rPr>
          <w:rFonts w:ascii="Arial" w:hAnsi="Arial" w:cs="Arial"/>
          <w:color w:val="000000"/>
          <w:shd w:val="clear" w:color="auto" w:fill="FFFFFF"/>
        </w:rPr>
        <w:t>In cases involving statues, interpretation is often required.</w:t>
      </w:r>
      <w:r w:rsidR="00AD398D">
        <w:rPr>
          <w:rFonts w:ascii="Arial" w:hAnsi="Arial" w:cs="Arial"/>
          <w:color w:val="000000"/>
          <w:shd w:val="clear" w:color="auto" w:fill="FFFFFF"/>
        </w:rPr>
        <w:t xml:space="preserve"> </w:t>
      </w:r>
      <w:r>
        <w:rPr>
          <w:rFonts w:ascii="Arial" w:hAnsi="Arial" w:cs="Arial"/>
          <w:color w:val="000000"/>
          <w:shd w:val="clear" w:color="auto" w:fill="FFFFFF"/>
        </w:rPr>
        <w:t xml:space="preserve">A great deal of value is placed on the process by which courts determine what laws mean and how they should be applied. An interpretation of a statute may be required where a situation is complex or uncertain as to how the law applies. </w:t>
      </w:r>
      <w:r w:rsidR="00F97352">
        <w:rPr>
          <w:rFonts w:ascii="Arial" w:hAnsi="Arial" w:cs="Arial"/>
          <w:color w:val="000000"/>
          <w:shd w:val="clear" w:color="auto" w:fill="FFFFFF"/>
        </w:rPr>
        <w:t xml:space="preserve">Wilson et al (2020). </w:t>
      </w:r>
    </w:p>
    <w:p w14:paraId="6CDCBA2B" w14:textId="77777777" w:rsidR="00C04D8E" w:rsidRPr="00696212" w:rsidRDefault="00C04D8E" w:rsidP="00C04D8E">
      <w:pPr>
        <w:pStyle w:val="NormalWeb"/>
        <w:shd w:val="clear" w:color="auto" w:fill="FFFFFF"/>
        <w:spacing w:before="0" w:beforeAutospacing="0" w:after="300" w:afterAutospacing="0" w:line="345" w:lineRule="atLeast"/>
        <w:rPr>
          <w:rFonts w:ascii="Arial" w:hAnsi="Arial" w:cs="Arial"/>
        </w:rPr>
      </w:pPr>
    </w:p>
    <w:p w14:paraId="4B2CF885" w14:textId="79065286" w:rsidR="00C04D8E" w:rsidRDefault="00C04D8E" w:rsidP="00C04D8E">
      <w:pPr>
        <w:pStyle w:val="NormalWeb"/>
        <w:shd w:val="clear" w:color="auto" w:fill="FFFFFF"/>
        <w:spacing w:before="0" w:beforeAutospacing="0" w:after="300" w:afterAutospacing="0" w:line="345" w:lineRule="atLeast"/>
        <w:rPr>
          <w:rFonts w:ascii="Arial" w:hAnsi="Arial" w:cs="Arial"/>
        </w:rPr>
      </w:pPr>
      <w:r w:rsidRPr="00696212">
        <w:rPr>
          <w:rFonts w:ascii="Arial" w:hAnsi="Arial" w:cs="Arial"/>
        </w:rPr>
        <w:t xml:space="preserve">There might be a need for statutory interpretation when laws are complex or uncertain as to how they apply. Legislative drafters do their best to meet the needs of legislation as effectively and clearly as possible, using their extensive experience and drafting skills. </w:t>
      </w:r>
      <w:r w:rsidR="005B0DF1">
        <w:rPr>
          <w:rFonts w:ascii="Arial" w:hAnsi="Arial" w:cs="Arial"/>
        </w:rPr>
        <w:t xml:space="preserve">Holland and Webb (2019). </w:t>
      </w:r>
      <w:r w:rsidRPr="00696212">
        <w:rPr>
          <w:rFonts w:ascii="Arial" w:hAnsi="Arial" w:cs="Arial"/>
        </w:rPr>
        <w:t>Despite this, there is often confusion in the written law. There may be difficulties when the legislation fails to cover a particular point, if the meaning of the legislation is unclear if drafting errors are made, if new developments in the law are made, and if language becomes more complex. The language used in some statutes from the 18th century has a very different meaning today from how it did then.</w:t>
      </w:r>
      <w:r w:rsidR="00696212" w:rsidRPr="00696212">
        <w:rPr>
          <w:rFonts w:ascii="Arial" w:hAnsi="Arial" w:cs="Arial"/>
        </w:rPr>
        <w:t xml:space="preserve"> The Supreme Court (2021). </w:t>
      </w:r>
    </w:p>
    <w:p w14:paraId="6B5B9A15" w14:textId="77777777" w:rsidR="0032361D" w:rsidRDefault="0032361D" w:rsidP="00C04D8E">
      <w:pPr>
        <w:pStyle w:val="NormalWeb"/>
        <w:shd w:val="clear" w:color="auto" w:fill="FFFFFF"/>
        <w:spacing w:before="0" w:beforeAutospacing="0" w:after="300" w:afterAutospacing="0" w:line="345" w:lineRule="atLeast"/>
        <w:rPr>
          <w:rFonts w:ascii="Arial" w:hAnsi="Arial" w:cs="Arial"/>
        </w:rPr>
      </w:pPr>
    </w:p>
    <w:p w14:paraId="38D4BF18" w14:textId="39308944" w:rsidR="0032361D" w:rsidRDefault="00C245E8" w:rsidP="00C04D8E">
      <w:pPr>
        <w:pStyle w:val="NormalWeb"/>
        <w:shd w:val="clear" w:color="auto" w:fill="FFFFFF"/>
        <w:spacing w:before="0" w:after="300" w:line="345" w:lineRule="atLeast"/>
        <w:rPr>
          <w:rFonts w:ascii="Arial" w:hAnsi="Arial" w:cs="Arial"/>
          <w:shd w:val="clear" w:color="auto" w:fill="FFFFFF"/>
        </w:rPr>
      </w:pPr>
      <w:r>
        <w:rPr>
          <w:rFonts w:ascii="Arial" w:hAnsi="Arial" w:cs="Arial"/>
          <w:shd w:val="clear" w:color="auto" w:fill="FFFFFF"/>
        </w:rPr>
        <w:t xml:space="preserve">McLeod (2013) stresses </w:t>
      </w:r>
      <w:r w:rsidR="004418F3">
        <w:rPr>
          <w:rFonts w:ascii="Arial" w:hAnsi="Arial" w:cs="Arial"/>
          <w:shd w:val="clear" w:color="auto" w:fill="FFFFFF"/>
        </w:rPr>
        <w:t xml:space="preserve">that </w:t>
      </w:r>
      <w:r>
        <w:rPr>
          <w:rFonts w:ascii="Arial" w:hAnsi="Arial" w:cs="Arial"/>
          <w:shd w:val="clear" w:color="auto" w:fill="FFFFFF"/>
        </w:rPr>
        <w:t>the i</w:t>
      </w:r>
      <w:r w:rsidR="0032361D" w:rsidRPr="0032361D">
        <w:rPr>
          <w:rFonts w:ascii="Arial" w:hAnsi="Arial" w:cs="Arial"/>
          <w:shd w:val="clear" w:color="auto" w:fill="FFFFFF"/>
        </w:rPr>
        <w:t xml:space="preserve">nterpretation of statutes is essential to avoid judges making invalid </w:t>
      </w:r>
      <w:r w:rsidR="000927B0" w:rsidRPr="000927B0">
        <w:rPr>
          <w:rFonts w:ascii="Arial" w:hAnsi="Arial" w:cs="Arial"/>
          <w:shd w:val="clear" w:color="auto" w:fill="FFFFFF"/>
        </w:rPr>
        <w:t>judgments and prevent legislation's failure</w:t>
      </w:r>
      <w:r w:rsidR="0036145D" w:rsidRPr="0036145D">
        <w:rPr>
          <w:rFonts w:ascii="Arial" w:hAnsi="Arial" w:cs="Arial"/>
          <w:shd w:val="clear" w:color="auto" w:fill="FFFFFF"/>
        </w:rPr>
        <w:t xml:space="preserve"> to deal with a specific point</w:t>
      </w:r>
      <w:r w:rsidR="0036145D">
        <w:rPr>
          <w:rFonts w:ascii="Arial" w:hAnsi="Arial" w:cs="Arial"/>
          <w:shd w:val="clear" w:color="auto" w:fill="FFFFFF"/>
        </w:rPr>
        <w:t xml:space="preserve">. </w:t>
      </w:r>
      <w:r w:rsidR="0032361D" w:rsidRPr="0032361D">
        <w:rPr>
          <w:rFonts w:ascii="Arial" w:hAnsi="Arial" w:cs="Arial"/>
          <w:shd w:val="clear" w:color="auto" w:fill="FFFFFF"/>
        </w:rPr>
        <w:t xml:space="preserve">If any problems arise, they cannot amend the law, therefore they cannot disrupt the flow of justice. </w:t>
      </w:r>
      <w:r w:rsidR="00A00F0F">
        <w:rPr>
          <w:rFonts w:ascii="Arial" w:hAnsi="Arial" w:cs="Arial"/>
          <w:shd w:val="clear" w:color="auto" w:fill="FFFFFF"/>
        </w:rPr>
        <w:t xml:space="preserve">This means the acts of Parliament are supreme. </w:t>
      </w:r>
      <w:r w:rsidR="0032361D" w:rsidRPr="0032361D">
        <w:rPr>
          <w:rFonts w:ascii="Arial" w:hAnsi="Arial" w:cs="Arial"/>
          <w:shd w:val="clear" w:color="auto" w:fill="FFFFFF"/>
        </w:rPr>
        <w:t>It provides that Parliament is in charge of making laws and the court is responsible for enforcing those laws. Nevertheless, criti</w:t>
      </w:r>
      <w:r w:rsidR="002E2A38">
        <w:rPr>
          <w:rFonts w:ascii="Arial" w:hAnsi="Arial" w:cs="Arial"/>
          <w:shd w:val="clear" w:color="auto" w:fill="FFFFFF"/>
        </w:rPr>
        <w:t xml:space="preserve">cisms of statutory interpretation </w:t>
      </w:r>
      <w:r w:rsidR="0032361D" w:rsidRPr="0032361D">
        <w:rPr>
          <w:rFonts w:ascii="Arial" w:hAnsi="Arial" w:cs="Arial"/>
          <w:shd w:val="clear" w:color="auto" w:fill="FFFFFF"/>
        </w:rPr>
        <w:t>argue for reforming how laws are interpreted, arguing that better techniques or, more fundamentally, the way that legislative and judicial power are matched would be more useful for our polity. </w:t>
      </w:r>
      <w:r w:rsidR="00EB54C2">
        <w:rPr>
          <w:rFonts w:ascii="Arial" w:hAnsi="Arial" w:cs="Arial"/>
          <w:shd w:val="clear" w:color="auto" w:fill="FFFFFF"/>
        </w:rPr>
        <w:t xml:space="preserve"> </w:t>
      </w:r>
    </w:p>
    <w:p w14:paraId="29FE10FC" w14:textId="77777777" w:rsidR="00EE178D" w:rsidRDefault="00EE178D"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47A85688" w14:textId="1D06DA7F" w:rsidR="00677335" w:rsidRDefault="00EE178D"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To facilitate statutory interpretation, several rules and approaches have been developed. </w:t>
      </w:r>
      <w:r w:rsidR="002E2A38">
        <w:rPr>
          <w:rFonts w:ascii="Arial" w:hAnsi="Arial" w:cs="Arial"/>
          <w:color w:val="000000"/>
          <w:shd w:val="clear" w:color="auto" w:fill="FFFFFF"/>
        </w:rPr>
        <w:t xml:space="preserve">Ultimately implying that statutory interpretation can become superior to the statute due to having concrete rules set in place. </w:t>
      </w:r>
      <w:r>
        <w:rPr>
          <w:rFonts w:ascii="Arial" w:hAnsi="Arial" w:cs="Arial"/>
          <w:color w:val="000000"/>
          <w:shd w:val="clear" w:color="auto" w:fill="FFFFFF"/>
        </w:rPr>
        <w:t xml:space="preserve">In many cases, judges </w:t>
      </w:r>
      <w:r w:rsidR="0021687F">
        <w:rPr>
          <w:rFonts w:ascii="Arial" w:hAnsi="Arial" w:cs="Arial"/>
          <w:color w:val="000000"/>
          <w:shd w:val="clear" w:color="auto" w:fill="FFFFFF"/>
        </w:rPr>
        <w:t xml:space="preserve">use these rules and approaches flexibly </w:t>
      </w:r>
      <w:r>
        <w:rPr>
          <w:rFonts w:ascii="Arial" w:hAnsi="Arial" w:cs="Arial"/>
          <w:color w:val="000000"/>
          <w:shd w:val="clear" w:color="auto" w:fill="FFFFFF"/>
        </w:rPr>
        <w:t>to determine whether their decision seems fair and just.</w:t>
      </w:r>
      <w:r w:rsidR="00520634">
        <w:rPr>
          <w:rFonts w:ascii="Arial" w:hAnsi="Arial" w:cs="Arial"/>
          <w:color w:val="000000"/>
          <w:shd w:val="clear" w:color="auto" w:fill="FFFFFF"/>
        </w:rPr>
        <w:t xml:space="preserve"> An example of </w:t>
      </w:r>
      <w:r w:rsidR="00575977">
        <w:rPr>
          <w:rFonts w:ascii="Arial" w:hAnsi="Arial" w:cs="Arial"/>
          <w:color w:val="000000"/>
          <w:shd w:val="clear" w:color="auto" w:fill="FFFFFF"/>
        </w:rPr>
        <w:t>an interpretation rule is the literal rule</w:t>
      </w:r>
      <w:r w:rsidR="009A0B8A">
        <w:rPr>
          <w:rFonts w:ascii="Arial" w:hAnsi="Arial" w:cs="Arial"/>
          <w:color w:val="000000"/>
          <w:shd w:val="clear" w:color="auto" w:fill="FFFFFF"/>
        </w:rPr>
        <w:t xml:space="preserve">, where </w:t>
      </w:r>
      <w:r w:rsidR="00723226">
        <w:rPr>
          <w:rFonts w:ascii="Arial" w:hAnsi="Arial" w:cs="Arial"/>
          <w:color w:val="000000"/>
          <w:shd w:val="clear" w:color="auto" w:fill="FFFFFF"/>
        </w:rPr>
        <w:t xml:space="preserve">every word in a statute is given its ordinary and natural meaning. </w:t>
      </w:r>
      <w:r w:rsidR="00677335">
        <w:rPr>
          <w:rFonts w:ascii="Arial" w:hAnsi="Arial" w:cs="Arial"/>
          <w:color w:val="000000"/>
          <w:shd w:val="clear" w:color="auto" w:fill="FFFFFF"/>
        </w:rPr>
        <w:t xml:space="preserve">Burrows (2018). </w:t>
      </w:r>
    </w:p>
    <w:p w14:paraId="17A5CDCE" w14:textId="77777777" w:rsidR="00677335" w:rsidRDefault="0067733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4F4FB7D7" w14:textId="200C6C5C" w:rsidR="009A0B8A" w:rsidRDefault="007232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lastRenderedPageBreak/>
        <w:t xml:space="preserve">This is the most appropriate way to interpret the intention of Parliament. The literal rule must be followed even if the result is absurd. It is difficult to say that using the literal rule is enacting the will of Parliament when it does not result in an </w:t>
      </w:r>
      <w:r w:rsidR="00CF1A00">
        <w:rPr>
          <w:rFonts w:ascii="Arial" w:hAnsi="Arial" w:cs="Arial"/>
          <w:color w:val="000000"/>
          <w:shd w:val="clear" w:color="auto" w:fill="FFFFFF"/>
        </w:rPr>
        <w:t>illogical</w:t>
      </w:r>
      <w:r>
        <w:rPr>
          <w:rFonts w:ascii="Arial" w:hAnsi="Arial" w:cs="Arial"/>
          <w:color w:val="000000"/>
          <w:shd w:val="clear" w:color="auto" w:fill="FFFFFF"/>
        </w:rPr>
        <w:t xml:space="preserve"> or </w:t>
      </w:r>
      <w:r w:rsidR="00CF1A00">
        <w:rPr>
          <w:rFonts w:ascii="Arial" w:hAnsi="Arial" w:cs="Arial"/>
          <w:color w:val="000000"/>
          <w:shd w:val="clear" w:color="auto" w:fill="FFFFFF"/>
        </w:rPr>
        <w:t>unfair</w:t>
      </w:r>
      <w:r>
        <w:rPr>
          <w:rFonts w:ascii="Arial" w:hAnsi="Arial" w:cs="Arial"/>
          <w:color w:val="000000"/>
          <w:shd w:val="clear" w:color="auto" w:fill="FFFFFF"/>
        </w:rPr>
        <w:t xml:space="preserve"> </w:t>
      </w:r>
      <w:r w:rsidR="00CF1A00">
        <w:rPr>
          <w:rFonts w:ascii="Arial" w:hAnsi="Arial" w:cs="Arial"/>
          <w:color w:val="000000"/>
          <w:shd w:val="clear" w:color="auto" w:fill="FFFFFF"/>
        </w:rPr>
        <w:t>outcome</w:t>
      </w:r>
      <w:r>
        <w:rPr>
          <w:rFonts w:ascii="Arial" w:hAnsi="Arial" w:cs="Arial"/>
          <w:color w:val="000000"/>
          <w:shd w:val="clear" w:color="auto" w:fill="FFFFFF"/>
        </w:rPr>
        <w:t xml:space="preserve">. This is because parliament is unlikely to have intended absurdity or injustice. </w:t>
      </w:r>
      <w:r w:rsidR="009F1B37">
        <w:rPr>
          <w:rFonts w:ascii="Arial" w:hAnsi="Arial" w:cs="Arial"/>
          <w:color w:val="000000"/>
          <w:shd w:val="clear" w:color="auto" w:fill="FFFFFF"/>
        </w:rPr>
        <w:t xml:space="preserve">Finch and Fafinski (2015). </w:t>
      </w:r>
      <w:r w:rsidR="002C067B">
        <w:rPr>
          <w:rFonts w:ascii="Arial" w:hAnsi="Arial" w:cs="Arial"/>
          <w:color w:val="000000"/>
          <w:shd w:val="clear" w:color="auto" w:fill="FFFFFF"/>
        </w:rPr>
        <w:t xml:space="preserve"> </w:t>
      </w:r>
    </w:p>
    <w:p w14:paraId="02642EFF" w14:textId="77777777" w:rsidR="00F97352" w:rsidRDefault="00F97352"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1BC4204" w14:textId="52FD891B" w:rsidR="00723226" w:rsidRDefault="00723226"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An example of literal interpretation </w:t>
      </w:r>
      <w:r w:rsidR="001F3E80">
        <w:rPr>
          <w:rFonts w:ascii="Arial" w:hAnsi="Arial" w:cs="Arial"/>
          <w:color w:val="000000"/>
          <w:shd w:val="clear" w:color="auto" w:fill="FFFFFF"/>
        </w:rPr>
        <w:t>presenting</w:t>
      </w:r>
      <w:r>
        <w:rPr>
          <w:rFonts w:ascii="Arial" w:hAnsi="Arial" w:cs="Arial"/>
          <w:color w:val="000000"/>
          <w:shd w:val="clear" w:color="auto" w:fill="FFFFFF"/>
        </w:rPr>
        <w:t xml:space="preserve"> injustice is the case of London and North Eastern Railway Co v Berriman (1946). </w:t>
      </w:r>
      <w:r w:rsidR="004172B3">
        <w:rPr>
          <w:rFonts w:ascii="Arial" w:hAnsi="Arial" w:cs="Arial"/>
          <w:color w:val="000000"/>
          <w:shd w:val="clear" w:color="auto" w:fill="FFFFFF"/>
        </w:rPr>
        <w:t xml:space="preserve">Berriman’s </w:t>
      </w:r>
      <w:r>
        <w:rPr>
          <w:rFonts w:ascii="Arial" w:hAnsi="Arial" w:cs="Arial"/>
          <w:color w:val="000000"/>
          <w:shd w:val="clear" w:color="auto" w:fill="FFFFFF"/>
        </w:rPr>
        <w:t xml:space="preserve">widow attempted to claim damages after he was killed by a train. This provision </w:t>
      </w:r>
      <w:r w:rsidR="003C68A3">
        <w:rPr>
          <w:rFonts w:ascii="Arial" w:hAnsi="Arial" w:cs="Arial"/>
          <w:color w:val="000000"/>
          <w:shd w:val="clear" w:color="auto" w:fill="FFFFFF"/>
        </w:rPr>
        <w:t>applied</w:t>
      </w:r>
      <w:r>
        <w:rPr>
          <w:rFonts w:ascii="Arial" w:hAnsi="Arial" w:cs="Arial"/>
          <w:color w:val="000000"/>
          <w:shd w:val="clear" w:color="auto" w:fill="FFFFFF"/>
        </w:rPr>
        <w:t xml:space="preserve"> to employees who were killed while 'laying or repairing' tracks; the dead man had been doing maintenance and oiling, which was not covered under the statutory definition. Although the type of work differed, the </w:t>
      </w:r>
      <w:r w:rsidR="00C43FB6">
        <w:rPr>
          <w:rFonts w:ascii="Arial" w:hAnsi="Arial" w:cs="Arial"/>
          <w:color w:val="000000"/>
          <w:shd w:val="clear" w:color="auto" w:fill="FFFFFF"/>
        </w:rPr>
        <w:t>extent</w:t>
      </w:r>
      <w:r>
        <w:rPr>
          <w:rFonts w:ascii="Arial" w:hAnsi="Arial" w:cs="Arial"/>
          <w:color w:val="000000"/>
          <w:shd w:val="clear" w:color="auto" w:fill="FFFFFF"/>
        </w:rPr>
        <w:t xml:space="preserve"> of </w:t>
      </w:r>
      <w:r w:rsidR="00C43FB6">
        <w:rPr>
          <w:rFonts w:ascii="Arial" w:hAnsi="Arial" w:cs="Arial"/>
          <w:color w:val="000000"/>
          <w:shd w:val="clear" w:color="auto" w:fill="FFFFFF"/>
        </w:rPr>
        <w:t>the threat</w:t>
      </w:r>
      <w:r>
        <w:rPr>
          <w:rFonts w:ascii="Arial" w:hAnsi="Arial" w:cs="Arial"/>
          <w:color w:val="000000"/>
          <w:shd w:val="clear" w:color="auto" w:fill="FFFFFF"/>
        </w:rPr>
        <w:t xml:space="preserve"> to which the workers were exposed remained the same. </w:t>
      </w:r>
      <w:r w:rsidR="00B01352">
        <w:rPr>
          <w:rFonts w:ascii="Arial" w:hAnsi="Arial" w:cs="Arial"/>
          <w:color w:val="000000"/>
          <w:shd w:val="clear" w:color="auto" w:fill="FFFFFF"/>
        </w:rPr>
        <w:t xml:space="preserve">This highlights the </w:t>
      </w:r>
      <w:r w:rsidR="005F2B7E">
        <w:rPr>
          <w:rFonts w:ascii="Arial" w:hAnsi="Arial" w:cs="Arial"/>
          <w:color w:val="000000"/>
          <w:shd w:val="clear" w:color="auto" w:fill="FFFFFF"/>
        </w:rPr>
        <w:t xml:space="preserve">issue </w:t>
      </w:r>
      <w:r w:rsidR="000927B0">
        <w:rPr>
          <w:rFonts w:ascii="Arial" w:hAnsi="Arial" w:cs="Arial"/>
          <w:color w:val="000000"/>
          <w:shd w:val="clear" w:color="auto" w:fill="FFFFFF"/>
        </w:rPr>
        <w:t>of</w:t>
      </w:r>
      <w:r w:rsidR="00B01352">
        <w:rPr>
          <w:rFonts w:ascii="Arial" w:hAnsi="Arial" w:cs="Arial"/>
          <w:color w:val="000000"/>
          <w:shd w:val="clear" w:color="auto" w:fill="FFFFFF"/>
        </w:rPr>
        <w:t xml:space="preserve"> how statutory interpretation interferes with legislation by being overly literal</w:t>
      </w:r>
      <w:r w:rsidR="005F2B7E">
        <w:rPr>
          <w:rFonts w:ascii="Arial" w:hAnsi="Arial" w:cs="Arial"/>
          <w:color w:val="000000"/>
          <w:shd w:val="clear" w:color="auto" w:fill="FFFFFF"/>
        </w:rPr>
        <w:t xml:space="preserve">, </w:t>
      </w:r>
      <w:r w:rsidR="004418F3">
        <w:rPr>
          <w:rFonts w:ascii="Arial" w:hAnsi="Arial" w:cs="Arial"/>
          <w:color w:val="000000"/>
          <w:shd w:val="clear" w:color="auto" w:fill="FFFFFF"/>
        </w:rPr>
        <w:t xml:space="preserve">and </w:t>
      </w:r>
      <w:r w:rsidR="005F2B7E">
        <w:rPr>
          <w:rFonts w:ascii="Arial" w:hAnsi="Arial" w:cs="Arial"/>
          <w:color w:val="000000"/>
          <w:shd w:val="clear" w:color="auto" w:fill="FFFFFF"/>
        </w:rPr>
        <w:t xml:space="preserve">ultimately </w:t>
      </w:r>
      <w:r w:rsidR="00A40AE1">
        <w:rPr>
          <w:rFonts w:ascii="Arial" w:hAnsi="Arial" w:cs="Arial"/>
          <w:color w:val="000000"/>
          <w:shd w:val="clear" w:color="auto" w:fill="FFFFFF"/>
        </w:rPr>
        <w:t>confusing</w:t>
      </w:r>
      <w:r w:rsidR="005F2B7E">
        <w:rPr>
          <w:rFonts w:ascii="Arial" w:hAnsi="Arial" w:cs="Arial"/>
          <w:color w:val="000000"/>
          <w:shd w:val="clear" w:color="auto" w:fill="FFFFFF"/>
        </w:rPr>
        <w:t>.</w:t>
      </w:r>
      <w:r w:rsidR="00B01352">
        <w:rPr>
          <w:rFonts w:ascii="Arial" w:hAnsi="Arial" w:cs="Arial"/>
          <w:color w:val="000000"/>
          <w:shd w:val="clear" w:color="auto" w:fill="FFFFFF"/>
        </w:rPr>
        <w:t xml:space="preserve"> </w:t>
      </w:r>
      <w:r w:rsidR="00D3120B">
        <w:rPr>
          <w:rFonts w:ascii="Arial" w:hAnsi="Arial" w:cs="Arial"/>
          <w:color w:val="000000"/>
          <w:shd w:val="clear" w:color="auto" w:fill="FFFFFF"/>
        </w:rPr>
        <w:t xml:space="preserve">Allbon </w:t>
      </w:r>
      <w:r w:rsidR="00BA6CBF">
        <w:rPr>
          <w:rFonts w:ascii="Arial" w:hAnsi="Arial" w:cs="Arial"/>
          <w:color w:val="000000"/>
          <w:shd w:val="clear" w:color="auto" w:fill="FFFFFF"/>
        </w:rPr>
        <w:t xml:space="preserve">and Dua </w:t>
      </w:r>
      <w:r w:rsidR="00936635">
        <w:rPr>
          <w:rFonts w:ascii="Arial" w:hAnsi="Arial" w:cs="Arial"/>
          <w:color w:val="000000"/>
          <w:shd w:val="clear" w:color="auto" w:fill="FFFFFF"/>
        </w:rPr>
        <w:t>(20</w:t>
      </w:r>
      <w:r w:rsidR="00D3120B">
        <w:rPr>
          <w:rFonts w:ascii="Arial" w:hAnsi="Arial" w:cs="Arial"/>
          <w:color w:val="000000"/>
          <w:shd w:val="clear" w:color="auto" w:fill="FFFFFF"/>
        </w:rPr>
        <w:t>21</w:t>
      </w:r>
      <w:r w:rsidR="00936635">
        <w:rPr>
          <w:rFonts w:ascii="Arial" w:hAnsi="Arial" w:cs="Arial"/>
          <w:color w:val="000000"/>
          <w:shd w:val="clear" w:color="auto" w:fill="FFFFFF"/>
        </w:rPr>
        <w:t xml:space="preserve">). </w:t>
      </w:r>
    </w:p>
    <w:p w14:paraId="5DFD72C3" w14:textId="5F28969A" w:rsidR="00EE1823" w:rsidRDefault="00EE1823"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33268423" w14:textId="403397C9" w:rsidR="00EE1823" w:rsidRDefault="00C245E8"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Loveland (2015) conveys </w:t>
      </w:r>
      <w:r w:rsidR="004418F3">
        <w:rPr>
          <w:rFonts w:ascii="Arial" w:hAnsi="Arial" w:cs="Arial"/>
          <w:color w:val="000000"/>
          <w:shd w:val="clear" w:color="auto" w:fill="FFFFFF"/>
        </w:rPr>
        <w:t xml:space="preserve">that </w:t>
      </w:r>
      <w:r>
        <w:rPr>
          <w:rFonts w:ascii="Arial" w:hAnsi="Arial" w:cs="Arial"/>
          <w:color w:val="000000"/>
          <w:shd w:val="clear" w:color="auto" w:fill="FFFFFF"/>
        </w:rPr>
        <w:t>t</w:t>
      </w:r>
      <w:r w:rsidR="00EE1823">
        <w:rPr>
          <w:rFonts w:ascii="Arial" w:hAnsi="Arial" w:cs="Arial"/>
          <w:color w:val="000000"/>
          <w:shd w:val="clear" w:color="auto" w:fill="FFFFFF"/>
        </w:rPr>
        <w:t>he complication of the literal rule causes problems between statutory interpretation and legislation in the UK. T</w:t>
      </w:r>
      <w:r w:rsidR="0036145D">
        <w:rPr>
          <w:rFonts w:ascii="Arial" w:hAnsi="Arial" w:cs="Arial"/>
          <w:color w:val="000000"/>
          <w:shd w:val="clear" w:color="auto" w:fill="FFFFFF"/>
        </w:rPr>
        <w:t>his is because t</w:t>
      </w:r>
      <w:r w:rsidR="00EE1823">
        <w:rPr>
          <w:rFonts w:ascii="Arial" w:hAnsi="Arial" w:cs="Arial"/>
          <w:color w:val="000000"/>
          <w:shd w:val="clear" w:color="auto" w:fill="FFFFFF"/>
        </w:rPr>
        <w:t>here is a greater chance of uncertainty as to the 'literal' sense of words and phrases in Ac</w:t>
      </w:r>
      <w:r w:rsidR="0036145D">
        <w:rPr>
          <w:rFonts w:ascii="Arial" w:hAnsi="Arial" w:cs="Arial"/>
          <w:color w:val="000000"/>
          <w:shd w:val="clear" w:color="auto" w:fill="FFFFFF"/>
        </w:rPr>
        <w:t>ts. If</w:t>
      </w:r>
      <w:r w:rsidR="00EE1823">
        <w:rPr>
          <w:rFonts w:ascii="Arial" w:hAnsi="Arial" w:cs="Arial"/>
          <w:color w:val="000000"/>
          <w:shd w:val="clear" w:color="auto" w:fill="FFFFFF"/>
        </w:rPr>
        <w:t xml:space="preserve"> we ask whether the literal meaning the court is seeking is the one that would have existed when the provision was ratified or constructed by the court. </w:t>
      </w:r>
      <w:r w:rsidR="00CF3671">
        <w:rPr>
          <w:rFonts w:ascii="Arial" w:hAnsi="Arial" w:cs="Arial"/>
          <w:color w:val="000000"/>
          <w:shd w:val="clear" w:color="auto" w:fill="FFFFFF"/>
        </w:rPr>
        <w:t xml:space="preserve">Over a long or short </w:t>
      </w:r>
      <w:r w:rsidR="000B399F">
        <w:rPr>
          <w:rFonts w:ascii="Arial" w:hAnsi="Arial" w:cs="Arial"/>
          <w:color w:val="000000"/>
          <w:shd w:val="clear" w:color="auto" w:fill="FFFFFF"/>
        </w:rPr>
        <w:t>period</w:t>
      </w:r>
      <w:r w:rsidR="00CF3671">
        <w:rPr>
          <w:rFonts w:ascii="Arial" w:hAnsi="Arial" w:cs="Arial"/>
          <w:color w:val="000000"/>
          <w:shd w:val="clear" w:color="auto" w:fill="FFFFFF"/>
        </w:rPr>
        <w:t>, words may acquire new meanings or even lose their original meaning. A legislature may alter laws to reflect language's dynamic nature. In the absence of such precedent, the question arises if it is appropriate for the courts to 'update' the provision by giving its words their 'new' meaning rather than their 'original' meaning. </w:t>
      </w:r>
      <w:r w:rsidR="00D65AF0">
        <w:rPr>
          <w:rFonts w:ascii="Arial" w:hAnsi="Arial" w:cs="Arial"/>
          <w:color w:val="000000"/>
          <w:shd w:val="clear" w:color="auto" w:fill="FFFFFF"/>
        </w:rPr>
        <w:t xml:space="preserve"> </w:t>
      </w:r>
    </w:p>
    <w:p w14:paraId="55D9E71D" w14:textId="238417C2" w:rsidR="00F42605" w:rsidRDefault="00F4260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54D6B485" w14:textId="01289809" w:rsidR="001A5B9B" w:rsidRDefault="00F42605"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Moreover, a rule that underpins statutory interpretation is the golden rule. This provision allows a judge to substitute a reasonable meaning, taken in the context of the statute as a whole if the literal rule results in an absurd result that Parliament could not have anticipated. In 1969, the Law Commission noted that the 'rule' failed to </w:t>
      </w:r>
      <w:r w:rsidR="00A40AE1">
        <w:rPr>
          <w:rFonts w:ascii="Arial" w:hAnsi="Arial" w:cs="Arial"/>
          <w:color w:val="000000"/>
          <w:shd w:val="clear" w:color="auto" w:fill="FFFFFF"/>
        </w:rPr>
        <w:t>define</w:t>
      </w:r>
      <w:r>
        <w:rPr>
          <w:rFonts w:ascii="Arial" w:hAnsi="Arial" w:cs="Arial"/>
          <w:color w:val="000000"/>
          <w:shd w:val="clear" w:color="auto" w:fill="FFFFFF"/>
        </w:rPr>
        <w:t xml:space="preserve"> the 'absurd result'. In practice, this was overruled by reference to whether a specific </w:t>
      </w:r>
      <w:r w:rsidR="00BC671C">
        <w:rPr>
          <w:rFonts w:ascii="Arial" w:hAnsi="Arial" w:cs="Arial"/>
          <w:color w:val="000000"/>
          <w:shd w:val="clear" w:color="auto" w:fill="FFFFFF"/>
        </w:rPr>
        <w:t>presentation</w:t>
      </w:r>
      <w:r>
        <w:rPr>
          <w:rFonts w:ascii="Arial" w:hAnsi="Arial" w:cs="Arial"/>
          <w:color w:val="000000"/>
          <w:shd w:val="clear" w:color="auto" w:fill="FFFFFF"/>
        </w:rPr>
        <w:t xml:space="preserve"> was irreconcilable with the common policy of the legislature. </w:t>
      </w:r>
      <w:r w:rsidR="00457FA8">
        <w:rPr>
          <w:rFonts w:ascii="Arial" w:hAnsi="Arial" w:cs="Arial"/>
          <w:color w:val="000000"/>
          <w:shd w:val="clear" w:color="auto" w:fill="FFFFFF"/>
        </w:rPr>
        <w:t xml:space="preserve">Gillespie and Weare (2021). </w:t>
      </w:r>
    </w:p>
    <w:p w14:paraId="1D41CFA5" w14:textId="77777777" w:rsidR="001A5B9B" w:rsidRDefault="001A5B9B"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168628D5" w14:textId="219BEC23" w:rsidR="00BE5E4D" w:rsidRDefault="00A15595" w:rsidP="00C04D8E">
      <w:pPr>
        <w:pStyle w:val="NormalWeb"/>
        <w:shd w:val="clear" w:color="auto" w:fill="FFFFFF"/>
        <w:spacing w:before="0" w:beforeAutospacing="0" w:after="300" w:afterAutospacing="0" w:line="345" w:lineRule="atLeast"/>
        <w:rPr>
          <w:rFonts w:ascii="Arial" w:hAnsi="Arial" w:cs="Arial"/>
          <w:shd w:val="clear" w:color="auto" w:fill="FFFFFF"/>
        </w:rPr>
      </w:pPr>
      <w:r>
        <w:rPr>
          <w:rFonts w:ascii="Arial" w:hAnsi="Arial" w:cs="Arial"/>
          <w:shd w:val="clear" w:color="auto" w:fill="FFFFFF"/>
        </w:rPr>
        <w:lastRenderedPageBreak/>
        <w:t xml:space="preserve">A case that exemplifies the difficulty of interpreting legislation is Adler v George (1964). </w:t>
      </w:r>
      <w:r w:rsidRPr="00A15595">
        <w:rPr>
          <w:rFonts w:ascii="Arial" w:hAnsi="Arial" w:cs="Arial"/>
          <w:shd w:val="clear" w:color="auto" w:fill="FFFFFF"/>
        </w:rPr>
        <w:t>Under Section 3 of the Official Security Act 1920, the defendant was charged with obstructing an armed forces member 'in the vicinity of any prohibited place.'. He claimed that the term naturally meant near to although the obstruction occurred on an air force station, which was a prohibited place. In the context of this case, the court decided that while 'in proximity' can, in many circumstances, only be interpreted as meaning near to, in this case, it was reasonable to interpret it as including being in the prohibited place. As a result of the golden rule of statutory interpretation, he was guilty. In or near the prohibited place should be understood as referring to the vicinity of that place.</w:t>
      </w:r>
      <w:r w:rsidR="001A5B9B">
        <w:rPr>
          <w:rFonts w:ascii="Arial" w:hAnsi="Arial" w:cs="Arial"/>
          <w:shd w:val="clear" w:color="auto" w:fill="FFFFFF"/>
        </w:rPr>
        <w:t xml:space="preserve"> </w:t>
      </w:r>
      <w:r w:rsidR="004172B3">
        <w:rPr>
          <w:rFonts w:ascii="Arial" w:hAnsi="Arial" w:cs="Arial"/>
          <w:shd w:val="clear" w:color="auto" w:fill="FFFFFF"/>
        </w:rPr>
        <w:t xml:space="preserve">This case relates to the fact that statutory interpretation diminishes legislation by creating problems with how </w:t>
      </w:r>
      <w:r w:rsidR="00D71D21">
        <w:rPr>
          <w:rFonts w:ascii="Arial" w:hAnsi="Arial" w:cs="Arial"/>
          <w:shd w:val="clear" w:color="auto" w:fill="FFFFFF"/>
        </w:rPr>
        <w:t xml:space="preserve">a judge can overrule the literal meaning, therefore undermining the statute. </w:t>
      </w:r>
      <w:r w:rsidR="00BE5E4D">
        <w:rPr>
          <w:rFonts w:ascii="Arial" w:hAnsi="Arial" w:cs="Arial"/>
          <w:shd w:val="clear" w:color="auto" w:fill="FFFFFF"/>
        </w:rPr>
        <w:t xml:space="preserve">Swarbrick (2020). </w:t>
      </w:r>
    </w:p>
    <w:p w14:paraId="473406E8" w14:textId="77777777" w:rsidR="00BE5E4D" w:rsidRDefault="00BE5E4D"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1DC8A0BA" w14:textId="114679CC" w:rsidR="00581507" w:rsidRPr="00C245E8" w:rsidRDefault="000A3FA8" w:rsidP="00C04D8E">
      <w:pPr>
        <w:pStyle w:val="NormalWeb"/>
        <w:shd w:val="clear" w:color="auto" w:fill="FFFFFF"/>
        <w:spacing w:before="0" w:beforeAutospacing="0" w:after="300" w:afterAutospacing="0" w:line="345" w:lineRule="atLeast"/>
        <w:rPr>
          <w:rFonts w:ascii="Arial" w:hAnsi="Arial" w:cs="Arial"/>
          <w:shd w:val="clear" w:color="auto" w:fill="FFFFFF"/>
        </w:rPr>
      </w:pPr>
      <w:r w:rsidRPr="000A3FA8">
        <w:rPr>
          <w:rFonts w:ascii="Arial" w:hAnsi="Arial" w:cs="Arial"/>
          <w:color w:val="000000"/>
          <w:shd w:val="clear" w:color="auto" w:fill="FFFFFF"/>
        </w:rPr>
        <w:t xml:space="preserve">Therefore, the golden rule is closely connected to the literal rule but permits for deviations where a literal interpretation would be </w:t>
      </w:r>
      <w:r w:rsidR="009C05C7">
        <w:rPr>
          <w:rFonts w:ascii="Arial" w:hAnsi="Arial" w:cs="Arial"/>
          <w:color w:val="000000"/>
          <w:shd w:val="clear" w:color="auto" w:fill="FFFFFF"/>
        </w:rPr>
        <w:t xml:space="preserve">illogical, </w:t>
      </w:r>
      <w:r w:rsidRPr="000A3FA8">
        <w:rPr>
          <w:rFonts w:ascii="Arial" w:hAnsi="Arial" w:cs="Arial"/>
          <w:color w:val="000000"/>
          <w:shd w:val="clear" w:color="auto" w:fill="FFFFFF"/>
        </w:rPr>
        <w:t xml:space="preserve">inconsistent with another </w:t>
      </w:r>
      <w:r w:rsidR="009C05C7" w:rsidRPr="000A3FA8">
        <w:rPr>
          <w:rFonts w:ascii="Arial" w:hAnsi="Arial" w:cs="Arial"/>
          <w:color w:val="000000"/>
          <w:shd w:val="clear" w:color="auto" w:fill="FFFFFF"/>
        </w:rPr>
        <w:t>part</w:t>
      </w:r>
      <w:r w:rsidRPr="000A3FA8">
        <w:rPr>
          <w:rFonts w:ascii="Arial" w:hAnsi="Arial" w:cs="Arial"/>
          <w:color w:val="000000"/>
          <w:shd w:val="clear" w:color="auto" w:fill="FFFFFF"/>
        </w:rPr>
        <w:t xml:space="preserve"> of a statute, or </w:t>
      </w:r>
      <w:r w:rsidR="009C05C7">
        <w:rPr>
          <w:rFonts w:ascii="Arial" w:hAnsi="Arial" w:cs="Arial"/>
          <w:color w:val="000000"/>
          <w:shd w:val="clear" w:color="auto" w:fill="FFFFFF"/>
        </w:rPr>
        <w:t>repugnant</w:t>
      </w:r>
      <w:r w:rsidRPr="000A3FA8">
        <w:rPr>
          <w:rFonts w:ascii="Arial" w:hAnsi="Arial" w:cs="Arial"/>
          <w:color w:val="000000"/>
          <w:shd w:val="clear" w:color="auto" w:fill="FFFFFF"/>
        </w:rPr>
        <w:t>. </w:t>
      </w:r>
      <w:r w:rsidR="00BE5E4D" w:rsidRPr="00BE5E4D">
        <w:rPr>
          <w:rFonts w:ascii="Arial" w:hAnsi="Arial" w:cs="Arial"/>
          <w:shd w:val="clear" w:color="auto" w:fill="FFFFFF"/>
        </w:rPr>
        <w:t>Legislation that fails to adequately cover a specific point; unclear meanings; drafting errors; new legal developments; and changes in the use of language are typical problems.</w:t>
      </w:r>
      <w:r w:rsidR="00BE5E4D" w:rsidRPr="00BE5E4D">
        <w:rPr>
          <w:rFonts w:ascii="Arial" w:hAnsi="Arial" w:cs="Arial"/>
          <w:b/>
          <w:bCs/>
          <w:shd w:val="clear" w:color="auto" w:fill="FFFFFF"/>
        </w:rPr>
        <w:t> </w:t>
      </w:r>
      <w:r w:rsidR="00BB1FE3">
        <w:rPr>
          <w:rFonts w:ascii="Arial" w:hAnsi="Arial" w:cs="Arial"/>
          <w:shd w:val="clear" w:color="auto" w:fill="FFFFFF"/>
        </w:rPr>
        <w:t xml:space="preserve">This conveys that statutory interpretation causes issues between legislation presenting the rules to interlink commonly. </w:t>
      </w:r>
      <w:r w:rsidR="004724B9">
        <w:rPr>
          <w:rFonts w:ascii="Arial" w:hAnsi="Arial" w:cs="Arial"/>
          <w:shd w:val="clear" w:color="auto" w:fill="FFFFFF"/>
        </w:rPr>
        <w:t xml:space="preserve">Keenan (2007). </w:t>
      </w:r>
      <w:r w:rsidR="00C245E8">
        <w:rPr>
          <w:rFonts w:ascii="Arial" w:hAnsi="Arial" w:cs="Arial"/>
          <w:shd w:val="clear" w:color="auto" w:fill="FFFFFF"/>
        </w:rPr>
        <w:t xml:space="preserve"> </w:t>
      </w:r>
    </w:p>
    <w:p w14:paraId="0FDB6EFC" w14:textId="126027D8" w:rsidR="000A3FA8" w:rsidRDefault="000A3FA8" w:rsidP="001A5B9B">
      <w:pPr>
        <w:pStyle w:val="NormalWeb"/>
        <w:shd w:val="clear" w:color="auto" w:fill="FFFFFF"/>
        <w:spacing w:before="0" w:after="300" w:line="345" w:lineRule="atLeast"/>
        <w:rPr>
          <w:rFonts w:ascii="Arial" w:hAnsi="Arial" w:cs="Arial"/>
          <w:shd w:val="clear" w:color="auto" w:fill="FFFFFF"/>
        </w:rPr>
      </w:pPr>
    </w:p>
    <w:p w14:paraId="0DE556E0" w14:textId="1D77A10C" w:rsidR="00C12A9A" w:rsidRDefault="00C12A9A"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t>In 1584, the influential Heydon's Case outlined four requirements for interpreting statutes, which are described as the mischief rule. This consisted of examining the common law before the Act, discovering the defect or mischief, identifying, and implementing the remedy Parliament intended to suggest eliminating the mischief, and finally, providing that remedy. </w:t>
      </w:r>
      <w:r w:rsidR="00F102A6">
        <w:rPr>
          <w:rFonts w:ascii="Arial" w:hAnsi="Arial" w:cs="Arial"/>
          <w:color w:val="000000"/>
          <w:shd w:val="clear" w:color="auto" w:fill="FFFFFF"/>
        </w:rPr>
        <w:t xml:space="preserve">Thus, the </w:t>
      </w:r>
      <w:r w:rsidR="000927B0">
        <w:rPr>
          <w:rFonts w:ascii="Arial" w:hAnsi="Arial" w:cs="Arial"/>
          <w:color w:val="000000"/>
          <w:shd w:val="clear" w:color="auto" w:fill="FFFFFF"/>
        </w:rPr>
        <w:t>judge should interpret the statute</w:t>
      </w:r>
      <w:r w:rsidR="00F102A6">
        <w:rPr>
          <w:rFonts w:ascii="Arial" w:hAnsi="Arial" w:cs="Arial"/>
          <w:color w:val="000000"/>
          <w:shd w:val="clear" w:color="auto" w:fill="FFFFFF"/>
        </w:rPr>
        <w:t xml:space="preserve"> to put an end to the problem that Parliament was addressing. Laver (2016). </w:t>
      </w:r>
    </w:p>
    <w:p w14:paraId="116A0096" w14:textId="2AA528F3" w:rsidR="00C245E8" w:rsidRDefault="00C245E8" w:rsidP="001A5B9B">
      <w:pPr>
        <w:pStyle w:val="NormalWeb"/>
        <w:shd w:val="clear" w:color="auto" w:fill="FFFFFF"/>
        <w:spacing w:before="0" w:after="300" w:line="345" w:lineRule="atLeast"/>
        <w:rPr>
          <w:rFonts w:ascii="Arial" w:hAnsi="Arial" w:cs="Arial"/>
          <w:color w:val="000000"/>
          <w:shd w:val="clear" w:color="auto" w:fill="FFFFFF"/>
        </w:rPr>
      </w:pPr>
    </w:p>
    <w:p w14:paraId="5BED9E23" w14:textId="77777777" w:rsidR="00EB4D80" w:rsidRDefault="004724B9"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t>Partington (2021) implies that p</w:t>
      </w:r>
      <w:r w:rsidR="00E64F34">
        <w:rPr>
          <w:rFonts w:ascii="Arial" w:hAnsi="Arial" w:cs="Arial"/>
          <w:color w:val="000000"/>
          <w:shd w:val="clear" w:color="auto" w:fill="FFFFFF"/>
        </w:rPr>
        <w:t xml:space="preserve">roblems that occur within the mischief rule </w:t>
      </w:r>
      <w:r w:rsidR="004418F3">
        <w:rPr>
          <w:rFonts w:ascii="Arial" w:hAnsi="Arial" w:cs="Arial"/>
          <w:color w:val="000000"/>
          <w:shd w:val="clear" w:color="auto" w:fill="FFFFFF"/>
        </w:rPr>
        <w:t>are</w:t>
      </w:r>
      <w:r w:rsidR="00E64F34">
        <w:rPr>
          <w:rFonts w:ascii="Arial" w:hAnsi="Arial" w:cs="Arial"/>
          <w:color w:val="000000"/>
          <w:shd w:val="clear" w:color="auto" w:fill="FFFFFF"/>
        </w:rPr>
        <w:t xml:space="preserve"> the relevance the rule</w:t>
      </w:r>
      <w:r w:rsidR="00F02D51">
        <w:rPr>
          <w:rFonts w:ascii="Arial" w:hAnsi="Arial" w:cs="Arial"/>
          <w:color w:val="000000"/>
          <w:shd w:val="clear" w:color="auto" w:fill="FFFFFF"/>
        </w:rPr>
        <w:t xml:space="preserve"> conveys. </w:t>
      </w:r>
      <w:r w:rsidR="00C245E8">
        <w:rPr>
          <w:rFonts w:ascii="Arial" w:hAnsi="Arial" w:cs="Arial"/>
          <w:color w:val="000000"/>
          <w:shd w:val="clear" w:color="auto" w:fill="FFFFFF"/>
        </w:rPr>
        <w:t xml:space="preserve">At the time of Heydon's case, statutes were not a significant source of law compared with common law. A draft did not follow the same formula as it does now, and Parliament's supremacy was not founded. </w:t>
      </w:r>
    </w:p>
    <w:p w14:paraId="1DCF3B82" w14:textId="77777777" w:rsidR="00EB4D80" w:rsidRDefault="00EB4D80" w:rsidP="001A5B9B">
      <w:pPr>
        <w:pStyle w:val="NormalWeb"/>
        <w:shd w:val="clear" w:color="auto" w:fill="FFFFFF"/>
        <w:spacing w:before="0" w:after="300" w:line="345" w:lineRule="atLeast"/>
        <w:rPr>
          <w:rFonts w:ascii="Arial" w:hAnsi="Arial" w:cs="Arial"/>
          <w:color w:val="000000"/>
          <w:shd w:val="clear" w:color="auto" w:fill="FFFFFF"/>
        </w:rPr>
      </w:pPr>
    </w:p>
    <w:p w14:paraId="1D20BD6F" w14:textId="659D5466" w:rsidR="00C245E8" w:rsidRPr="00EB4D80" w:rsidRDefault="00C245E8" w:rsidP="001A5B9B">
      <w:pPr>
        <w:pStyle w:val="NormalWeb"/>
        <w:shd w:val="clear" w:color="auto" w:fill="FFFFFF"/>
        <w:spacing w:before="0" w:after="300" w:line="345" w:lineRule="atLeast"/>
        <w:rPr>
          <w:rFonts w:ascii="Arial" w:hAnsi="Arial" w:cs="Arial"/>
          <w:color w:val="000000"/>
          <w:shd w:val="clear" w:color="auto" w:fill="FFFFFF"/>
        </w:rPr>
      </w:pPr>
      <w:r>
        <w:rPr>
          <w:rFonts w:ascii="Arial" w:hAnsi="Arial" w:cs="Arial"/>
          <w:color w:val="000000"/>
          <w:shd w:val="clear" w:color="auto" w:fill="FFFFFF"/>
        </w:rPr>
        <w:lastRenderedPageBreak/>
        <w:t>The statutes passed at that time also included a lengthy preamble setting forth the 'mischief' that was intended to be addressed. Since they had typically written statutes on behalf of the king, and Parliament only ratified them, judges of the time were well qualified to decide what the previous law was and what problems it was supposed to solve. With the legislative environment now so different, a rule like this might be less relevant. </w:t>
      </w:r>
      <w:r w:rsidR="004724B9">
        <w:rPr>
          <w:rFonts w:ascii="Arial" w:hAnsi="Arial" w:cs="Arial"/>
          <w:color w:val="000000"/>
          <w:shd w:val="clear" w:color="auto" w:fill="FFFFFF"/>
        </w:rPr>
        <w:t xml:space="preserve"> </w:t>
      </w:r>
      <w:r w:rsidR="00EB4D80">
        <w:rPr>
          <w:rFonts w:ascii="Arial" w:hAnsi="Arial" w:cs="Arial"/>
          <w:color w:val="000000"/>
          <w:shd w:val="clear" w:color="auto" w:fill="FFFFFF"/>
        </w:rPr>
        <w:t xml:space="preserve">Bennion et al (2020). </w:t>
      </w:r>
    </w:p>
    <w:p w14:paraId="1CE0DA1A" w14:textId="77777777" w:rsidR="001A5B9B" w:rsidRPr="00A15595" w:rsidRDefault="001A5B9B" w:rsidP="00C04D8E">
      <w:pPr>
        <w:pStyle w:val="NormalWeb"/>
        <w:shd w:val="clear" w:color="auto" w:fill="FFFFFF"/>
        <w:spacing w:before="0" w:beforeAutospacing="0" w:after="300" w:afterAutospacing="0" w:line="345" w:lineRule="atLeast"/>
        <w:rPr>
          <w:rFonts w:ascii="Arial" w:hAnsi="Arial" w:cs="Arial"/>
          <w:shd w:val="clear" w:color="auto" w:fill="FFFFFF"/>
        </w:rPr>
      </w:pPr>
    </w:p>
    <w:p w14:paraId="5ECACE27" w14:textId="7EE0A37C" w:rsidR="00275777" w:rsidRDefault="00C245E8"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According to Sales (2016), e</w:t>
      </w:r>
      <w:r w:rsidR="00275777">
        <w:rPr>
          <w:rFonts w:ascii="Arial" w:hAnsi="Arial" w:cs="Arial"/>
          <w:color w:val="000000"/>
          <w:shd w:val="clear" w:color="auto" w:fill="FFFFFF"/>
        </w:rPr>
        <w:t xml:space="preserve">ven though parliament is the supreme legislative body after it has uttered its will by making laws, those laws will be subject to interpretation by the courts. </w:t>
      </w:r>
      <w:r w:rsidR="0099598C">
        <w:rPr>
          <w:rFonts w:ascii="Arial" w:hAnsi="Arial" w:cs="Arial"/>
          <w:color w:val="000000"/>
          <w:shd w:val="clear" w:color="auto" w:fill="FFFFFF"/>
        </w:rPr>
        <w:t>A judge who is influenced by the feelings of magistrates</w:t>
      </w:r>
      <w:r w:rsidR="00A40AE1">
        <w:rPr>
          <w:rFonts w:ascii="Arial" w:hAnsi="Arial" w:cs="Arial"/>
          <w:color w:val="000000"/>
          <w:shd w:val="clear" w:color="auto" w:fill="FFFFFF"/>
        </w:rPr>
        <w:t xml:space="preserve"> and the usual spirit of the common law</w:t>
      </w:r>
      <w:r w:rsidR="0099598C">
        <w:rPr>
          <w:rFonts w:ascii="Arial" w:hAnsi="Arial" w:cs="Arial"/>
          <w:color w:val="000000"/>
          <w:shd w:val="clear" w:color="auto" w:fill="FFFFFF"/>
        </w:rPr>
        <w:t xml:space="preserve"> is inclined to interpret statutory exceptions to common law standards in a manner that would not be acceptable to both the Houses of Parliament and body officials. </w:t>
      </w:r>
      <w:r w:rsidR="00B5318D">
        <w:rPr>
          <w:rFonts w:ascii="Arial" w:hAnsi="Arial" w:cs="Arial"/>
          <w:color w:val="000000"/>
          <w:shd w:val="clear" w:color="auto" w:fill="FFFFFF"/>
        </w:rPr>
        <w:t xml:space="preserve">Parliamentary sovereignty is exercised in a spirit of legality if the Houses are asked to interpret their enactments and the law is supreme. </w:t>
      </w:r>
    </w:p>
    <w:p w14:paraId="0AECB77F" w14:textId="364848E5" w:rsidR="00690AA0" w:rsidRDefault="00690AA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0F92B559" w14:textId="3582AA2D" w:rsidR="006C2857" w:rsidRDefault="00690AA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r>
        <w:rPr>
          <w:rFonts w:ascii="Arial" w:hAnsi="Arial" w:cs="Arial"/>
          <w:color w:val="000000"/>
          <w:shd w:val="clear" w:color="auto" w:fill="FFFFFF"/>
        </w:rPr>
        <w:t xml:space="preserve">A clear problem with the interpretation of statutes is </w:t>
      </w:r>
      <w:r w:rsidR="001D5A96">
        <w:rPr>
          <w:rFonts w:ascii="Arial" w:hAnsi="Arial" w:cs="Arial"/>
          <w:color w:val="000000"/>
          <w:shd w:val="clear" w:color="auto" w:fill="FFFFFF"/>
        </w:rPr>
        <w:t xml:space="preserve">how lawmakers express their intentions. </w:t>
      </w:r>
      <w:r w:rsidR="006C2857">
        <w:rPr>
          <w:rFonts w:ascii="Arial" w:hAnsi="Arial" w:cs="Arial"/>
          <w:color w:val="000000"/>
          <w:shd w:val="clear" w:color="auto" w:fill="FFFFFF"/>
        </w:rPr>
        <w:t>Within the case, Black-Clawson 1975, law lords such as Viscount Dilhorne emphasise that courts must determine what parliament’s intent was when construing a statute.</w:t>
      </w:r>
      <w:r w:rsidR="0077589B">
        <w:rPr>
          <w:rFonts w:ascii="Arial" w:hAnsi="Arial" w:cs="Arial"/>
          <w:color w:val="000000"/>
          <w:shd w:val="clear" w:color="auto" w:fill="FFFFFF"/>
        </w:rPr>
        <w:t xml:space="preserve"> As a result of the lack of precision in the English language, there are often many interpretations of the Act. In a perfect world, the language employed in the Act would not be able to receive more than one interpretation. Hence, to understand what Parliament's intent was at the time the enactment was made, one must consider the law at the time of enactment and the mischief aimed at it. </w:t>
      </w:r>
      <w:r w:rsidR="00393F70">
        <w:rPr>
          <w:rFonts w:ascii="Arial" w:hAnsi="Arial" w:cs="Arial"/>
          <w:color w:val="000000"/>
          <w:shd w:val="clear" w:color="auto" w:fill="FFFFFF"/>
        </w:rPr>
        <w:t xml:space="preserve">Supreme Court (2019). </w:t>
      </w:r>
    </w:p>
    <w:p w14:paraId="70C75623" w14:textId="2A407C18" w:rsidR="00393F70" w:rsidRDefault="00393F70" w:rsidP="00C04D8E">
      <w:pPr>
        <w:pStyle w:val="NormalWeb"/>
        <w:shd w:val="clear" w:color="auto" w:fill="FFFFFF"/>
        <w:spacing w:before="0" w:beforeAutospacing="0" w:after="300" w:afterAutospacing="0" w:line="345" w:lineRule="atLeast"/>
        <w:rPr>
          <w:rFonts w:ascii="Arial" w:hAnsi="Arial" w:cs="Arial"/>
          <w:color w:val="000000"/>
          <w:shd w:val="clear" w:color="auto" w:fill="FFFFFF"/>
        </w:rPr>
      </w:pPr>
    </w:p>
    <w:p w14:paraId="6946DDCC" w14:textId="77777777" w:rsidR="0087103E" w:rsidRDefault="00393F70" w:rsidP="0087103E">
      <w:pPr>
        <w:pStyle w:val="NormalWeb"/>
        <w:shd w:val="clear" w:color="auto" w:fill="FFFFFF"/>
        <w:spacing w:before="0" w:beforeAutospacing="0" w:after="300" w:afterAutospacing="0" w:line="345" w:lineRule="atLeast"/>
        <w:rPr>
          <w:rFonts w:ascii="Arial" w:hAnsi="Arial" w:cs="Arial"/>
          <w:color w:val="000000"/>
          <w:shd w:val="clear" w:color="auto" w:fill="FFFFFF"/>
        </w:rPr>
      </w:pPr>
      <w:r w:rsidRPr="00073DB7">
        <w:rPr>
          <w:rFonts w:ascii="Arial" w:hAnsi="Arial" w:cs="Arial"/>
          <w:color w:val="000000"/>
          <w:shd w:val="clear" w:color="auto" w:fill="FFFFFF"/>
        </w:rPr>
        <w:t xml:space="preserve">To conclude, </w:t>
      </w:r>
      <w:r w:rsidR="00073DB7" w:rsidRPr="00073DB7">
        <w:rPr>
          <w:rFonts w:ascii="Arial" w:hAnsi="Arial" w:cs="Arial"/>
          <w:color w:val="000000"/>
          <w:shd w:val="clear" w:color="auto" w:fill="FFFFFF"/>
        </w:rPr>
        <w:t>there is no doubt that statutory interpretation erodes the status of legislation as the main source of law in the UK</w:t>
      </w:r>
      <w:r w:rsidR="00073DB7" w:rsidRPr="00073DB7">
        <w:rPr>
          <w:rFonts w:ascii="Arial" w:hAnsi="Arial" w:cs="Arial"/>
          <w:shd w:val="clear" w:color="auto" w:fill="FFFFFF"/>
        </w:rPr>
        <w:t>.</w:t>
      </w:r>
      <w:r w:rsidR="00073DB7">
        <w:rPr>
          <w:rFonts w:ascii="Arial" w:hAnsi="Arial" w:cs="Arial"/>
          <w:shd w:val="clear" w:color="auto" w:fill="FFFFFF"/>
        </w:rPr>
        <w:t xml:space="preserve"> This is because judges must apply legislation, they must determine its meaning, and to do that, they must interpret the legislation. Parliament has established a particular situation for which legislation should be enacted. As a result, legislation shares the inherent uncertainty inherent in any form of communication. </w:t>
      </w:r>
      <w:r w:rsidR="00CB7DC5">
        <w:rPr>
          <w:rFonts w:ascii="Arial" w:hAnsi="Arial" w:cs="Arial"/>
          <w:color w:val="000000"/>
          <w:shd w:val="clear" w:color="auto" w:fill="FFFFFF"/>
        </w:rPr>
        <w:t>We often say that we are seeking the will of Parliament, but that is not entirely accurate, as Lord Reid noted in the Black-Clawson case in 1975. The question is what Parliament meant by its words. We seek not the meaning of what the Parliament intended, but what its intent was.</w:t>
      </w:r>
      <w:r w:rsidR="002679D2">
        <w:rPr>
          <w:rFonts w:ascii="Arial" w:hAnsi="Arial" w:cs="Arial"/>
          <w:color w:val="000000"/>
          <w:shd w:val="clear" w:color="auto" w:fill="FFFFFF"/>
        </w:rPr>
        <w:t xml:space="preserve"> Kelly and Slapper (2020). </w:t>
      </w:r>
    </w:p>
    <w:p w14:paraId="7C4DA45F" w14:textId="6AFC2B77" w:rsidR="0087103E" w:rsidRPr="0087103E" w:rsidRDefault="002F6FD9" w:rsidP="0087103E">
      <w:pPr>
        <w:pStyle w:val="NormalWeb"/>
        <w:shd w:val="clear" w:color="auto" w:fill="FFFFFF"/>
        <w:spacing w:before="0" w:beforeAutospacing="0" w:after="300" w:afterAutospacing="0" w:line="345" w:lineRule="atLeast"/>
        <w:rPr>
          <w:rFonts w:ascii="Arial" w:hAnsi="Arial" w:cs="Arial"/>
          <w:color w:val="000000"/>
          <w:shd w:val="clear" w:color="auto" w:fill="FFFFFF"/>
        </w:rPr>
      </w:pPr>
      <w:r w:rsidRPr="002F6FD9">
        <w:rPr>
          <w:rFonts w:ascii="Arial" w:hAnsi="Arial" w:cs="Arial"/>
          <w:b/>
          <w:bCs/>
          <w:u w:val="single"/>
        </w:rPr>
        <w:lastRenderedPageBreak/>
        <w:t>References:</w:t>
      </w:r>
    </w:p>
    <w:p w14:paraId="49A7D848" w14:textId="77777777" w:rsidR="0087103E" w:rsidRPr="002F6FD9" w:rsidRDefault="0087103E">
      <w:pPr>
        <w:rPr>
          <w:rFonts w:ascii="Arial" w:hAnsi="Arial" w:cs="Arial"/>
          <w:b/>
          <w:bCs/>
          <w:sz w:val="24"/>
          <w:szCs w:val="24"/>
          <w:u w:val="single"/>
        </w:rPr>
      </w:pPr>
    </w:p>
    <w:p w14:paraId="47212117" w14:textId="671C710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Allbon. E and Dua. S. K (2016), </w:t>
      </w:r>
      <w:r>
        <w:rPr>
          <w:rFonts w:ascii="Arial" w:hAnsi="Arial" w:cs="Arial"/>
          <w:b w:val="0"/>
          <w:bCs w:val="0"/>
          <w:i/>
          <w:iCs/>
          <w:sz w:val="24"/>
          <w:szCs w:val="24"/>
        </w:rPr>
        <w:t xml:space="preserve">Elliot and Quinn’s English Legal System, </w:t>
      </w:r>
      <w:r>
        <w:rPr>
          <w:rFonts w:ascii="Arial" w:hAnsi="Arial" w:cs="Arial"/>
          <w:b w:val="0"/>
          <w:bCs w:val="0"/>
          <w:sz w:val="24"/>
          <w:szCs w:val="24"/>
        </w:rPr>
        <w:t xml:space="preserve">Twenty-First Edition, Pearson. </w:t>
      </w:r>
    </w:p>
    <w:p w14:paraId="492A3DF7"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5CFF4E83" w14:textId="74980DA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Bennion, Bailey and Norbury (2020), Bennion, Bailey and Norway on Statutory Interpretation, Eighth Edition, LexisNexis Butterworths. </w:t>
      </w:r>
    </w:p>
    <w:p w14:paraId="0851F46E" w14:textId="77777777" w:rsidR="0087103E" w:rsidRPr="00581507"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4973EBA7" w14:textId="4B1ACB32"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Burrows. A (2018), Thinking About Statutes, Cambridge University Press. </w:t>
      </w:r>
    </w:p>
    <w:p w14:paraId="5DF20F95"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F244D5D" w14:textId="2A4CBFD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Finch. E and Fafinski. S (2015), </w:t>
      </w:r>
      <w:r>
        <w:rPr>
          <w:rFonts w:ascii="Arial" w:hAnsi="Arial" w:cs="Arial"/>
          <w:b w:val="0"/>
          <w:bCs w:val="0"/>
          <w:i/>
          <w:iCs/>
          <w:sz w:val="24"/>
          <w:szCs w:val="24"/>
        </w:rPr>
        <w:t xml:space="preserve">Legal Skills, </w:t>
      </w:r>
      <w:r>
        <w:rPr>
          <w:rFonts w:ascii="Arial" w:hAnsi="Arial" w:cs="Arial"/>
          <w:b w:val="0"/>
          <w:bCs w:val="0"/>
          <w:sz w:val="24"/>
          <w:szCs w:val="24"/>
        </w:rPr>
        <w:t xml:space="preserve">Fifth Edition, OUP Oxford. </w:t>
      </w:r>
    </w:p>
    <w:p w14:paraId="5D68667B"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2EB8F7F9" w14:textId="0930728D"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Gillespie. A and Weare. S (2021), The English Legal System, Eighth Edition, Oxford University Press. </w:t>
      </w:r>
    </w:p>
    <w:p w14:paraId="22A733FC"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090DE9CC" w14:textId="03821D32"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Holland. J and Webb. J (2019), </w:t>
      </w:r>
      <w:r w:rsidRPr="005B0DF1">
        <w:rPr>
          <w:rFonts w:ascii="Arial" w:hAnsi="Arial" w:cs="Arial"/>
          <w:b w:val="0"/>
          <w:bCs w:val="0"/>
          <w:i/>
          <w:iCs/>
          <w:sz w:val="24"/>
          <w:szCs w:val="24"/>
        </w:rPr>
        <w:t>Learning Legal Rules Student’s Guide to Legal Method and Reasoning</w:t>
      </w:r>
      <w:r>
        <w:rPr>
          <w:rFonts w:ascii="Arial" w:hAnsi="Arial" w:cs="Arial"/>
          <w:b w:val="0"/>
          <w:bCs w:val="0"/>
          <w:sz w:val="24"/>
          <w:szCs w:val="24"/>
        </w:rPr>
        <w:t xml:space="preserve">, Tenth Edition, Oxford University Press. </w:t>
      </w:r>
    </w:p>
    <w:p w14:paraId="31A6C80E"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5CEDE85" w14:textId="6655801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Keenan. D (2007), Smith and Keenan’s English Legal System Text and Cases, Fifteenth Edition, Pearson Education Limited. </w:t>
      </w:r>
    </w:p>
    <w:p w14:paraId="79203611"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1C3B82FD"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Kelly. D and Slapper. G (2020), </w:t>
      </w:r>
      <w:r w:rsidRPr="00457FA8">
        <w:rPr>
          <w:rFonts w:ascii="Arial" w:hAnsi="Arial" w:cs="Arial"/>
          <w:b w:val="0"/>
          <w:bCs w:val="0"/>
          <w:i/>
          <w:iCs/>
          <w:sz w:val="24"/>
          <w:szCs w:val="24"/>
        </w:rPr>
        <w:t>Slapper and Kelly’s English Legal System</w:t>
      </w:r>
      <w:r>
        <w:rPr>
          <w:rFonts w:ascii="Arial" w:hAnsi="Arial" w:cs="Arial"/>
          <w:b w:val="0"/>
          <w:bCs w:val="0"/>
          <w:sz w:val="24"/>
          <w:szCs w:val="24"/>
        </w:rPr>
        <w:t xml:space="preserve">, Nineteenth Edition, Routledge Taylor and Francis Group. </w:t>
      </w:r>
    </w:p>
    <w:p w14:paraId="321CE254" w14:textId="63C7151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Laver. N (2016), </w:t>
      </w:r>
      <w:r>
        <w:rPr>
          <w:rFonts w:ascii="Arial" w:hAnsi="Arial" w:cs="Arial"/>
          <w:b w:val="0"/>
          <w:bCs w:val="0"/>
          <w:i/>
          <w:iCs/>
          <w:sz w:val="24"/>
          <w:szCs w:val="24"/>
        </w:rPr>
        <w:t xml:space="preserve">Statutory Interpretation, </w:t>
      </w:r>
      <w:r>
        <w:rPr>
          <w:rFonts w:ascii="Arial" w:hAnsi="Arial" w:cs="Arial"/>
          <w:b w:val="0"/>
          <w:bCs w:val="0"/>
          <w:sz w:val="24"/>
          <w:szCs w:val="24"/>
        </w:rPr>
        <w:t xml:space="preserve">[online], Available at: </w:t>
      </w:r>
      <w:hyperlink r:id="rId5" w:history="1">
        <w:r w:rsidRPr="00A90A45">
          <w:rPr>
            <w:rStyle w:val="Hyperlink"/>
            <w:rFonts w:ascii="Arial" w:hAnsi="Arial" w:cs="Arial"/>
            <w:b w:val="0"/>
            <w:bCs w:val="0"/>
            <w:sz w:val="24"/>
            <w:szCs w:val="24"/>
          </w:rPr>
          <w:t>https://www.inbrief.co.uk/legal-system/statutory-interpretation/</w:t>
        </w:r>
      </w:hyperlink>
      <w:r>
        <w:rPr>
          <w:rFonts w:ascii="Arial" w:hAnsi="Arial" w:cs="Arial"/>
          <w:b w:val="0"/>
          <w:bCs w:val="0"/>
          <w:sz w:val="24"/>
          <w:szCs w:val="24"/>
        </w:rPr>
        <w:t>, (Accessed: 27</w:t>
      </w:r>
      <w:r w:rsidRPr="00F102A6">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678141B6"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19236FC2" w14:textId="64C2D6F4"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Loveland. I (2015), </w:t>
      </w:r>
      <w:r>
        <w:rPr>
          <w:rFonts w:ascii="Arial" w:hAnsi="Arial" w:cs="Arial"/>
          <w:b w:val="0"/>
          <w:bCs w:val="0"/>
          <w:i/>
          <w:iCs/>
          <w:sz w:val="24"/>
          <w:szCs w:val="24"/>
        </w:rPr>
        <w:t xml:space="preserve">Constitutional Law, Administrative Law, and Human Rights, </w:t>
      </w:r>
      <w:r>
        <w:rPr>
          <w:rFonts w:ascii="Arial" w:hAnsi="Arial" w:cs="Arial"/>
          <w:b w:val="0"/>
          <w:bCs w:val="0"/>
          <w:sz w:val="24"/>
          <w:szCs w:val="24"/>
        </w:rPr>
        <w:t xml:space="preserve">Seventh Edition, Oxford University Press. </w:t>
      </w:r>
    </w:p>
    <w:p w14:paraId="21BD47CD"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7F8324A3"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McLeod. T. I (2013), </w:t>
      </w:r>
      <w:r>
        <w:rPr>
          <w:rFonts w:ascii="Arial" w:hAnsi="Arial" w:cs="Arial"/>
          <w:b w:val="0"/>
          <w:bCs w:val="0"/>
          <w:i/>
          <w:iCs/>
          <w:sz w:val="24"/>
          <w:szCs w:val="24"/>
        </w:rPr>
        <w:t xml:space="preserve">Legal Method, </w:t>
      </w:r>
      <w:r>
        <w:rPr>
          <w:rFonts w:ascii="Arial" w:hAnsi="Arial" w:cs="Arial"/>
          <w:b w:val="0"/>
          <w:bCs w:val="0"/>
          <w:sz w:val="24"/>
          <w:szCs w:val="24"/>
        </w:rPr>
        <w:t xml:space="preserve">Ninth Edition, Palgrave Macmillan. </w:t>
      </w:r>
    </w:p>
    <w:p w14:paraId="65218623" w14:textId="7578524B"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Partington. M (2021), Introduction to the English Legal System, Fifteenth Edition, Oxford University Press. </w:t>
      </w:r>
    </w:p>
    <w:p w14:paraId="23FA0ABF"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5223CF8B" w14:textId="4A7B12D5"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Sales. P (2016), </w:t>
      </w:r>
      <w:r>
        <w:rPr>
          <w:rFonts w:ascii="Arial" w:hAnsi="Arial" w:cs="Arial"/>
          <w:b w:val="0"/>
          <w:bCs w:val="0"/>
          <w:i/>
          <w:iCs/>
          <w:sz w:val="24"/>
          <w:szCs w:val="24"/>
        </w:rPr>
        <w:t xml:space="preserve">Modern Statutory Interpretation, </w:t>
      </w:r>
      <w:r>
        <w:rPr>
          <w:rFonts w:ascii="Arial" w:hAnsi="Arial" w:cs="Arial"/>
          <w:b w:val="0"/>
          <w:bCs w:val="0"/>
          <w:sz w:val="24"/>
          <w:szCs w:val="24"/>
        </w:rPr>
        <w:t xml:space="preserve">[online], Available at: </w:t>
      </w:r>
      <w:hyperlink r:id="rId6" w:history="1">
        <w:r w:rsidRPr="00E42B18">
          <w:rPr>
            <w:rStyle w:val="Hyperlink"/>
            <w:rFonts w:ascii="Arial" w:hAnsi="Arial" w:cs="Arial"/>
            <w:b w:val="0"/>
            <w:bCs w:val="0"/>
            <w:sz w:val="24"/>
            <w:szCs w:val="24"/>
          </w:rPr>
          <w:t>http://www.statutelawsociety.co.uk/wp-content/uploads/2016/12/Modern-Statutory-Interpretation.-P.Sales_.pdf</w:t>
        </w:r>
      </w:hyperlink>
      <w:r>
        <w:rPr>
          <w:rFonts w:ascii="Arial" w:hAnsi="Arial" w:cs="Arial"/>
          <w:b w:val="0"/>
          <w:bCs w:val="0"/>
          <w:sz w:val="24"/>
          <w:szCs w:val="24"/>
        </w:rPr>
        <w:t>, (Accessed: 23</w:t>
      </w:r>
      <w:r w:rsidRPr="00F02AC7">
        <w:rPr>
          <w:rFonts w:ascii="Arial" w:hAnsi="Arial" w:cs="Arial"/>
          <w:b w:val="0"/>
          <w:bCs w:val="0"/>
          <w:sz w:val="24"/>
          <w:szCs w:val="24"/>
          <w:vertAlign w:val="superscript"/>
        </w:rPr>
        <w:t>rd</w:t>
      </w:r>
      <w:r>
        <w:rPr>
          <w:rFonts w:ascii="Arial" w:hAnsi="Arial" w:cs="Arial"/>
          <w:b w:val="0"/>
          <w:bCs w:val="0"/>
          <w:sz w:val="24"/>
          <w:szCs w:val="24"/>
        </w:rPr>
        <w:t xml:space="preserve"> March 2022). </w:t>
      </w:r>
    </w:p>
    <w:p w14:paraId="6E8E6039"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42DDF7BD" w14:textId="670E6BA8"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 xml:space="preserve">Supreme Court (2019), </w:t>
      </w:r>
      <w:r w:rsidRPr="002679D2">
        <w:rPr>
          <w:rFonts w:ascii="Arial" w:hAnsi="Arial" w:cs="Arial"/>
          <w:b w:val="0"/>
          <w:bCs w:val="0"/>
          <w:i/>
          <w:iCs/>
          <w:sz w:val="24"/>
          <w:szCs w:val="24"/>
        </w:rPr>
        <w:t>In Defence of Legislative Intention</w:t>
      </w:r>
      <w:r>
        <w:rPr>
          <w:rFonts w:ascii="Arial" w:hAnsi="Arial" w:cs="Arial"/>
          <w:b w:val="0"/>
          <w:bCs w:val="0"/>
          <w:sz w:val="24"/>
          <w:szCs w:val="24"/>
        </w:rPr>
        <w:t xml:space="preserve">, </w:t>
      </w:r>
      <w:r w:rsidRPr="002679D2">
        <w:rPr>
          <w:rFonts w:ascii="Arial" w:hAnsi="Arial" w:cs="Arial"/>
          <w:b w:val="0"/>
          <w:bCs w:val="0"/>
          <w:sz w:val="24"/>
          <w:szCs w:val="24"/>
        </w:rPr>
        <w:t>Lord Sales Justice of the UK Supreme Court</w:t>
      </w:r>
      <w:r>
        <w:rPr>
          <w:rFonts w:ascii="Arial" w:hAnsi="Arial" w:cs="Arial"/>
          <w:b w:val="0"/>
          <w:bCs w:val="0"/>
          <w:sz w:val="24"/>
          <w:szCs w:val="24"/>
        </w:rPr>
        <w:t xml:space="preserve">, [online], Available at: </w:t>
      </w:r>
      <w:hyperlink r:id="rId7" w:history="1">
        <w:r w:rsidRPr="00163C44">
          <w:rPr>
            <w:rStyle w:val="Hyperlink"/>
            <w:rFonts w:ascii="Arial" w:hAnsi="Arial" w:cs="Arial"/>
            <w:b w:val="0"/>
            <w:bCs w:val="0"/>
            <w:sz w:val="24"/>
            <w:szCs w:val="24"/>
          </w:rPr>
          <w:t>https://www.supremecourt.uk/docs/speech-191119.pdf</w:t>
        </w:r>
      </w:hyperlink>
      <w:r>
        <w:rPr>
          <w:rFonts w:ascii="Arial" w:hAnsi="Arial" w:cs="Arial"/>
          <w:b w:val="0"/>
          <w:bCs w:val="0"/>
          <w:sz w:val="24"/>
          <w:szCs w:val="24"/>
        </w:rPr>
        <w:t>, (Accessed: 13</w:t>
      </w:r>
      <w:r w:rsidRPr="002679D2">
        <w:rPr>
          <w:rFonts w:ascii="Arial" w:hAnsi="Arial" w:cs="Arial"/>
          <w:b w:val="0"/>
          <w:bCs w:val="0"/>
          <w:sz w:val="24"/>
          <w:szCs w:val="24"/>
          <w:vertAlign w:val="superscript"/>
        </w:rPr>
        <w:t>th</w:t>
      </w:r>
      <w:r>
        <w:rPr>
          <w:rFonts w:ascii="Arial" w:hAnsi="Arial" w:cs="Arial"/>
          <w:b w:val="0"/>
          <w:bCs w:val="0"/>
          <w:sz w:val="24"/>
          <w:szCs w:val="24"/>
        </w:rPr>
        <w:t xml:space="preserve"> April 2022). </w:t>
      </w:r>
    </w:p>
    <w:p w14:paraId="2F44FD19"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5875EB3F" w14:textId="04AE8599"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r>
        <w:rPr>
          <w:rFonts w:ascii="Arial" w:hAnsi="Arial" w:cs="Arial"/>
          <w:b w:val="0"/>
          <w:bCs w:val="0"/>
          <w:sz w:val="24"/>
          <w:szCs w:val="24"/>
        </w:rPr>
        <w:t>Swarbrick. D (2020),</w:t>
      </w:r>
      <w:r w:rsidRPr="00BE5E4D">
        <w:rPr>
          <w:rFonts w:ascii="Arial" w:hAnsi="Arial" w:cs="Arial"/>
          <w:b w:val="0"/>
          <w:bCs w:val="0"/>
          <w:i/>
          <w:iCs/>
          <w:sz w:val="24"/>
          <w:szCs w:val="24"/>
        </w:rPr>
        <w:t xml:space="preserve"> Adler v George: QBD 1964</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8" w:history="1">
        <w:r w:rsidRPr="00A90A45">
          <w:rPr>
            <w:rStyle w:val="Hyperlink"/>
            <w:rFonts w:ascii="Arial" w:hAnsi="Arial" w:cs="Arial"/>
            <w:b w:val="0"/>
            <w:bCs w:val="0"/>
            <w:sz w:val="24"/>
            <w:szCs w:val="24"/>
          </w:rPr>
          <w:t>https://swarb.co.uk/adler-v-george-qbd-1964/</w:t>
        </w:r>
      </w:hyperlink>
      <w:r>
        <w:rPr>
          <w:rFonts w:ascii="Arial" w:hAnsi="Arial" w:cs="Arial"/>
          <w:b w:val="0"/>
          <w:bCs w:val="0"/>
          <w:sz w:val="24"/>
          <w:szCs w:val="24"/>
        </w:rPr>
        <w:t>, (Accessed: 27</w:t>
      </w:r>
      <w:r w:rsidRPr="00BE5E4D">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3647E612" w14:textId="77777777" w:rsidR="0087103E" w:rsidRDefault="0087103E" w:rsidP="00BE5E4D">
      <w:pPr>
        <w:pStyle w:val="Heading1"/>
        <w:shd w:val="clear" w:color="auto" w:fill="FFFFFF"/>
        <w:spacing w:before="0" w:beforeAutospacing="0" w:after="0" w:afterAutospacing="0"/>
        <w:rPr>
          <w:rFonts w:ascii="Arial" w:hAnsi="Arial" w:cs="Arial"/>
          <w:b w:val="0"/>
          <w:bCs w:val="0"/>
          <w:sz w:val="24"/>
          <w:szCs w:val="24"/>
        </w:rPr>
      </w:pPr>
    </w:p>
    <w:p w14:paraId="3ECEA4B5" w14:textId="7F520FCF"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The Supreme Court (2021), </w:t>
      </w:r>
      <w:r>
        <w:rPr>
          <w:rFonts w:ascii="Arial" w:hAnsi="Arial" w:cs="Arial"/>
          <w:b w:val="0"/>
          <w:bCs w:val="0"/>
          <w:i/>
          <w:iCs/>
          <w:sz w:val="24"/>
          <w:szCs w:val="24"/>
        </w:rPr>
        <w:t xml:space="preserve">Statutory Interpretation: A Collaboration between Democratic Legislatures and the Courts? </w:t>
      </w:r>
      <w:r>
        <w:rPr>
          <w:rFonts w:ascii="Arial" w:hAnsi="Arial" w:cs="Arial"/>
          <w:b w:val="0"/>
          <w:bCs w:val="0"/>
          <w:sz w:val="24"/>
          <w:szCs w:val="24"/>
        </w:rPr>
        <w:t xml:space="preserve">[online], Available at: </w:t>
      </w:r>
      <w:hyperlink r:id="rId9" w:history="1">
        <w:r w:rsidRPr="00E24575">
          <w:rPr>
            <w:rStyle w:val="Hyperlink"/>
            <w:rFonts w:ascii="Arial" w:hAnsi="Arial" w:cs="Arial"/>
            <w:b w:val="0"/>
            <w:bCs w:val="0"/>
            <w:sz w:val="24"/>
            <w:szCs w:val="24"/>
          </w:rPr>
          <w:t>https://www.supremecourt.uk/docs/statutory-interpretation-a-collaboration-between-democratic-legislatures.pdf</w:t>
        </w:r>
      </w:hyperlink>
      <w:r>
        <w:rPr>
          <w:rFonts w:ascii="Arial" w:hAnsi="Arial" w:cs="Arial"/>
          <w:b w:val="0"/>
          <w:bCs w:val="0"/>
          <w:sz w:val="24"/>
          <w:szCs w:val="24"/>
        </w:rPr>
        <w:t>, (Accessed: 16</w:t>
      </w:r>
      <w:r w:rsidRPr="00696212">
        <w:rPr>
          <w:rFonts w:ascii="Arial" w:hAnsi="Arial" w:cs="Arial"/>
          <w:b w:val="0"/>
          <w:bCs w:val="0"/>
          <w:sz w:val="24"/>
          <w:szCs w:val="24"/>
          <w:vertAlign w:val="superscript"/>
        </w:rPr>
        <w:t>th</w:t>
      </w:r>
      <w:r>
        <w:rPr>
          <w:rFonts w:ascii="Arial" w:hAnsi="Arial" w:cs="Arial"/>
          <w:b w:val="0"/>
          <w:bCs w:val="0"/>
          <w:sz w:val="24"/>
          <w:szCs w:val="24"/>
        </w:rPr>
        <w:t xml:space="preserve"> March 2022). </w:t>
      </w:r>
    </w:p>
    <w:p w14:paraId="0A357F26"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p>
    <w:p w14:paraId="18917EE9" w14:textId="77777777" w:rsidR="0087103E" w:rsidRDefault="0087103E" w:rsidP="002F6FD9">
      <w:pPr>
        <w:pStyle w:val="Heading1"/>
        <w:shd w:val="clear" w:color="auto" w:fill="FFFFFF"/>
        <w:spacing w:before="0" w:beforeAutospacing="0" w:after="0" w:afterAutospacing="0"/>
        <w:textAlignment w:val="baseline"/>
        <w:rPr>
          <w:rFonts w:ascii="Arial" w:hAnsi="Arial" w:cs="Arial"/>
          <w:b w:val="0"/>
          <w:bCs w:val="0"/>
          <w:sz w:val="24"/>
          <w:szCs w:val="24"/>
        </w:rPr>
      </w:pPr>
      <w:r>
        <w:rPr>
          <w:rFonts w:ascii="Arial" w:hAnsi="Arial" w:cs="Arial"/>
          <w:b w:val="0"/>
          <w:bCs w:val="0"/>
          <w:sz w:val="24"/>
          <w:szCs w:val="24"/>
        </w:rPr>
        <w:t xml:space="preserve">Wilson. S, Rutherford. H, Storey. T, Wortley. N, Kotecha. B (2020), </w:t>
      </w:r>
      <w:r>
        <w:rPr>
          <w:rFonts w:ascii="Arial" w:hAnsi="Arial" w:cs="Arial"/>
          <w:b w:val="0"/>
          <w:bCs w:val="0"/>
          <w:i/>
          <w:iCs/>
          <w:sz w:val="24"/>
          <w:szCs w:val="24"/>
        </w:rPr>
        <w:t xml:space="preserve">English Legal System, </w:t>
      </w:r>
      <w:r>
        <w:rPr>
          <w:rFonts w:ascii="Arial" w:hAnsi="Arial" w:cs="Arial"/>
          <w:b w:val="0"/>
          <w:bCs w:val="0"/>
          <w:sz w:val="24"/>
          <w:szCs w:val="24"/>
        </w:rPr>
        <w:t>Fourth Edition, Oxford University Press.</w:t>
      </w:r>
    </w:p>
    <w:sectPr w:rsidR="008710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025"/>
    <w:multiLevelType w:val="hybridMultilevel"/>
    <w:tmpl w:val="54DE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A17C5"/>
    <w:multiLevelType w:val="hybridMultilevel"/>
    <w:tmpl w:val="4CC81558"/>
    <w:lvl w:ilvl="0" w:tplc="5ED822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36503"/>
    <w:multiLevelType w:val="hybridMultilevel"/>
    <w:tmpl w:val="EBA6C640"/>
    <w:lvl w:ilvl="0" w:tplc="21D2FE7C">
      <w:start w:val="1"/>
      <w:numFmt w:val="bullet"/>
      <w:lvlText w:val=""/>
      <w:lvlJc w:val="left"/>
      <w:pPr>
        <w:tabs>
          <w:tab w:val="num" w:pos="720"/>
        </w:tabs>
        <w:ind w:left="720" w:hanging="360"/>
      </w:pPr>
      <w:rPr>
        <w:rFonts w:ascii="Wingdings 3" w:hAnsi="Wingdings 3" w:hint="default"/>
      </w:rPr>
    </w:lvl>
    <w:lvl w:ilvl="1" w:tplc="64B043FA" w:tentative="1">
      <w:start w:val="1"/>
      <w:numFmt w:val="bullet"/>
      <w:lvlText w:val=""/>
      <w:lvlJc w:val="left"/>
      <w:pPr>
        <w:tabs>
          <w:tab w:val="num" w:pos="1440"/>
        </w:tabs>
        <w:ind w:left="1440" w:hanging="360"/>
      </w:pPr>
      <w:rPr>
        <w:rFonts w:ascii="Wingdings 3" w:hAnsi="Wingdings 3" w:hint="default"/>
      </w:rPr>
    </w:lvl>
    <w:lvl w:ilvl="2" w:tplc="3F26E778" w:tentative="1">
      <w:start w:val="1"/>
      <w:numFmt w:val="bullet"/>
      <w:lvlText w:val=""/>
      <w:lvlJc w:val="left"/>
      <w:pPr>
        <w:tabs>
          <w:tab w:val="num" w:pos="2160"/>
        </w:tabs>
        <w:ind w:left="2160" w:hanging="360"/>
      </w:pPr>
      <w:rPr>
        <w:rFonts w:ascii="Wingdings 3" w:hAnsi="Wingdings 3" w:hint="default"/>
      </w:rPr>
    </w:lvl>
    <w:lvl w:ilvl="3" w:tplc="9580DE4E" w:tentative="1">
      <w:start w:val="1"/>
      <w:numFmt w:val="bullet"/>
      <w:lvlText w:val=""/>
      <w:lvlJc w:val="left"/>
      <w:pPr>
        <w:tabs>
          <w:tab w:val="num" w:pos="2880"/>
        </w:tabs>
        <w:ind w:left="2880" w:hanging="360"/>
      </w:pPr>
      <w:rPr>
        <w:rFonts w:ascii="Wingdings 3" w:hAnsi="Wingdings 3" w:hint="default"/>
      </w:rPr>
    </w:lvl>
    <w:lvl w:ilvl="4" w:tplc="0D1EA8DC" w:tentative="1">
      <w:start w:val="1"/>
      <w:numFmt w:val="bullet"/>
      <w:lvlText w:val=""/>
      <w:lvlJc w:val="left"/>
      <w:pPr>
        <w:tabs>
          <w:tab w:val="num" w:pos="3600"/>
        </w:tabs>
        <w:ind w:left="3600" w:hanging="360"/>
      </w:pPr>
      <w:rPr>
        <w:rFonts w:ascii="Wingdings 3" w:hAnsi="Wingdings 3" w:hint="default"/>
      </w:rPr>
    </w:lvl>
    <w:lvl w:ilvl="5" w:tplc="863AC7CA" w:tentative="1">
      <w:start w:val="1"/>
      <w:numFmt w:val="bullet"/>
      <w:lvlText w:val=""/>
      <w:lvlJc w:val="left"/>
      <w:pPr>
        <w:tabs>
          <w:tab w:val="num" w:pos="4320"/>
        </w:tabs>
        <w:ind w:left="4320" w:hanging="360"/>
      </w:pPr>
      <w:rPr>
        <w:rFonts w:ascii="Wingdings 3" w:hAnsi="Wingdings 3" w:hint="default"/>
      </w:rPr>
    </w:lvl>
    <w:lvl w:ilvl="6" w:tplc="3BF45BD8" w:tentative="1">
      <w:start w:val="1"/>
      <w:numFmt w:val="bullet"/>
      <w:lvlText w:val=""/>
      <w:lvlJc w:val="left"/>
      <w:pPr>
        <w:tabs>
          <w:tab w:val="num" w:pos="5040"/>
        </w:tabs>
        <w:ind w:left="5040" w:hanging="360"/>
      </w:pPr>
      <w:rPr>
        <w:rFonts w:ascii="Wingdings 3" w:hAnsi="Wingdings 3" w:hint="default"/>
      </w:rPr>
    </w:lvl>
    <w:lvl w:ilvl="7" w:tplc="CEECB35C" w:tentative="1">
      <w:start w:val="1"/>
      <w:numFmt w:val="bullet"/>
      <w:lvlText w:val=""/>
      <w:lvlJc w:val="left"/>
      <w:pPr>
        <w:tabs>
          <w:tab w:val="num" w:pos="5760"/>
        </w:tabs>
        <w:ind w:left="5760" w:hanging="360"/>
      </w:pPr>
      <w:rPr>
        <w:rFonts w:ascii="Wingdings 3" w:hAnsi="Wingdings 3" w:hint="default"/>
      </w:rPr>
    </w:lvl>
    <w:lvl w:ilvl="8" w:tplc="55FC394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F97513F"/>
    <w:multiLevelType w:val="hybridMultilevel"/>
    <w:tmpl w:val="634CDC22"/>
    <w:lvl w:ilvl="0" w:tplc="80BC274A">
      <w:start w:val="1"/>
      <w:numFmt w:val="bullet"/>
      <w:lvlText w:val=""/>
      <w:lvlJc w:val="left"/>
      <w:pPr>
        <w:tabs>
          <w:tab w:val="num" w:pos="720"/>
        </w:tabs>
        <w:ind w:left="720" w:hanging="360"/>
      </w:pPr>
      <w:rPr>
        <w:rFonts w:ascii="Wingdings 3" w:hAnsi="Wingdings 3" w:hint="default"/>
      </w:rPr>
    </w:lvl>
    <w:lvl w:ilvl="1" w:tplc="B240AF00" w:tentative="1">
      <w:start w:val="1"/>
      <w:numFmt w:val="bullet"/>
      <w:lvlText w:val=""/>
      <w:lvlJc w:val="left"/>
      <w:pPr>
        <w:tabs>
          <w:tab w:val="num" w:pos="1440"/>
        </w:tabs>
        <w:ind w:left="1440" w:hanging="360"/>
      </w:pPr>
      <w:rPr>
        <w:rFonts w:ascii="Wingdings 3" w:hAnsi="Wingdings 3" w:hint="default"/>
      </w:rPr>
    </w:lvl>
    <w:lvl w:ilvl="2" w:tplc="03A2965E" w:tentative="1">
      <w:start w:val="1"/>
      <w:numFmt w:val="bullet"/>
      <w:lvlText w:val=""/>
      <w:lvlJc w:val="left"/>
      <w:pPr>
        <w:tabs>
          <w:tab w:val="num" w:pos="2160"/>
        </w:tabs>
        <w:ind w:left="2160" w:hanging="360"/>
      </w:pPr>
      <w:rPr>
        <w:rFonts w:ascii="Wingdings 3" w:hAnsi="Wingdings 3" w:hint="default"/>
      </w:rPr>
    </w:lvl>
    <w:lvl w:ilvl="3" w:tplc="1902ABAA" w:tentative="1">
      <w:start w:val="1"/>
      <w:numFmt w:val="bullet"/>
      <w:lvlText w:val=""/>
      <w:lvlJc w:val="left"/>
      <w:pPr>
        <w:tabs>
          <w:tab w:val="num" w:pos="2880"/>
        </w:tabs>
        <w:ind w:left="2880" w:hanging="360"/>
      </w:pPr>
      <w:rPr>
        <w:rFonts w:ascii="Wingdings 3" w:hAnsi="Wingdings 3" w:hint="default"/>
      </w:rPr>
    </w:lvl>
    <w:lvl w:ilvl="4" w:tplc="11CE8942" w:tentative="1">
      <w:start w:val="1"/>
      <w:numFmt w:val="bullet"/>
      <w:lvlText w:val=""/>
      <w:lvlJc w:val="left"/>
      <w:pPr>
        <w:tabs>
          <w:tab w:val="num" w:pos="3600"/>
        </w:tabs>
        <w:ind w:left="3600" w:hanging="360"/>
      </w:pPr>
      <w:rPr>
        <w:rFonts w:ascii="Wingdings 3" w:hAnsi="Wingdings 3" w:hint="default"/>
      </w:rPr>
    </w:lvl>
    <w:lvl w:ilvl="5" w:tplc="3B7C775A" w:tentative="1">
      <w:start w:val="1"/>
      <w:numFmt w:val="bullet"/>
      <w:lvlText w:val=""/>
      <w:lvlJc w:val="left"/>
      <w:pPr>
        <w:tabs>
          <w:tab w:val="num" w:pos="4320"/>
        </w:tabs>
        <w:ind w:left="4320" w:hanging="360"/>
      </w:pPr>
      <w:rPr>
        <w:rFonts w:ascii="Wingdings 3" w:hAnsi="Wingdings 3" w:hint="default"/>
      </w:rPr>
    </w:lvl>
    <w:lvl w:ilvl="6" w:tplc="470C0984" w:tentative="1">
      <w:start w:val="1"/>
      <w:numFmt w:val="bullet"/>
      <w:lvlText w:val=""/>
      <w:lvlJc w:val="left"/>
      <w:pPr>
        <w:tabs>
          <w:tab w:val="num" w:pos="5040"/>
        </w:tabs>
        <w:ind w:left="5040" w:hanging="360"/>
      </w:pPr>
      <w:rPr>
        <w:rFonts w:ascii="Wingdings 3" w:hAnsi="Wingdings 3" w:hint="default"/>
      </w:rPr>
    </w:lvl>
    <w:lvl w:ilvl="7" w:tplc="559238FC" w:tentative="1">
      <w:start w:val="1"/>
      <w:numFmt w:val="bullet"/>
      <w:lvlText w:val=""/>
      <w:lvlJc w:val="left"/>
      <w:pPr>
        <w:tabs>
          <w:tab w:val="num" w:pos="5760"/>
        </w:tabs>
        <w:ind w:left="5760" w:hanging="360"/>
      </w:pPr>
      <w:rPr>
        <w:rFonts w:ascii="Wingdings 3" w:hAnsi="Wingdings 3" w:hint="default"/>
      </w:rPr>
    </w:lvl>
    <w:lvl w:ilvl="8" w:tplc="A1D4D21A" w:tentative="1">
      <w:start w:val="1"/>
      <w:numFmt w:val="bullet"/>
      <w:lvlText w:val=""/>
      <w:lvlJc w:val="left"/>
      <w:pPr>
        <w:tabs>
          <w:tab w:val="num" w:pos="6480"/>
        </w:tabs>
        <w:ind w:left="6480" w:hanging="360"/>
      </w:pPr>
      <w:rPr>
        <w:rFonts w:ascii="Wingdings 3" w:hAnsi="Wingdings 3" w:hint="default"/>
      </w:rPr>
    </w:lvl>
  </w:abstractNum>
  <w:num w:numId="1" w16cid:durableId="1168209979">
    <w:abstractNumId w:val="0"/>
  </w:num>
  <w:num w:numId="2" w16cid:durableId="1028028645">
    <w:abstractNumId w:val="1"/>
  </w:num>
  <w:num w:numId="3" w16cid:durableId="434903961">
    <w:abstractNumId w:val="3"/>
  </w:num>
  <w:num w:numId="4" w16cid:durableId="6556921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B65"/>
    <w:rsid w:val="00073DB7"/>
    <w:rsid w:val="00075D00"/>
    <w:rsid w:val="000927B0"/>
    <w:rsid w:val="000965C1"/>
    <w:rsid w:val="000A1763"/>
    <w:rsid w:val="000A3FA8"/>
    <w:rsid w:val="000B399F"/>
    <w:rsid w:val="000C1CB0"/>
    <w:rsid w:val="000C6537"/>
    <w:rsid w:val="00135CC1"/>
    <w:rsid w:val="001A5B9B"/>
    <w:rsid w:val="001B4295"/>
    <w:rsid w:val="001D5A96"/>
    <w:rsid w:val="001F3E80"/>
    <w:rsid w:val="0021687F"/>
    <w:rsid w:val="00224749"/>
    <w:rsid w:val="002679D2"/>
    <w:rsid w:val="00270E8B"/>
    <w:rsid w:val="00275777"/>
    <w:rsid w:val="002A5161"/>
    <w:rsid w:val="002C067B"/>
    <w:rsid w:val="002C7C1C"/>
    <w:rsid w:val="002D7CB6"/>
    <w:rsid w:val="002D7EA7"/>
    <w:rsid w:val="002E2A38"/>
    <w:rsid w:val="002F6FD9"/>
    <w:rsid w:val="0032361D"/>
    <w:rsid w:val="0036145D"/>
    <w:rsid w:val="00373D83"/>
    <w:rsid w:val="00393F70"/>
    <w:rsid w:val="003C33F8"/>
    <w:rsid w:val="003C68A3"/>
    <w:rsid w:val="004172B3"/>
    <w:rsid w:val="004418F3"/>
    <w:rsid w:val="00457FA8"/>
    <w:rsid w:val="004724B9"/>
    <w:rsid w:val="004F17BB"/>
    <w:rsid w:val="00520634"/>
    <w:rsid w:val="00521B1D"/>
    <w:rsid w:val="0056389E"/>
    <w:rsid w:val="00575977"/>
    <w:rsid w:val="00581507"/>
    <w:rsid w:val="005A035D"/>
    <w:rsid w:val="005B0DF1"/>
    <w:rsid w:val="005B4A26"/>
    <w:rsid w:val="005F2B7E"/>
    <w:rsid w:val="00645181"/>
    <w:rsid w:val="00677335"/>
    <w:rsid w:val="00690AA0"/>
    <w:rsid w:val="00696212"/>
    <w:rsid w:val="006A0AF2"/>
    <w:rsid w:val="006C2857"/>
    <w:rsid w:val="00723226"/>
    <w:rsid w:val="0077589B"/>
    <w:rsid w:val="00792D1D"/>
    <w:rsid w:val="008661E5"/>
    <w:rsid w:val="0087103E"/>
    <w:rsid w:val="00902E00"/>
    <w:rsid w:val="00936635"/>
    <w:rsid w:val="009474E1"/>
    <w:rsid w:val="009862DD"/>
    <w:rsid w:val="0099598C"/>
    <w:rsid w:val="009A0B8A"/>
    <w:rsid w:val="009C05C7"/>
    <w:rsid w:val="009F1B37"/>
    <w:rsid w:val="00A00F0F"/>
    <w:rsid w:val="00A12CA7"/>
    <w:rsid w:val="00A15595"/>
    <w:rsid w:val="00A159E0"/>
    <w:rsid w:val="00A40AE1"/>
    <w:rsid w:val="00A544B1"/>
    <w:rsid w:val="00A724E6"/>
    <w:rsid w:val="00A7360C"/>
    <w:rsid w:val="00AA1A82"/>
    <w:rsid w:val="00AD398D"/>
    <w:rsid w:val="00AF4891"/>
    <w:rsid w:val="00B01352"/>
    <w:rsid w:val="00B03CEA"/>
    <w:rsid w:val="00B5318D"/>
    <w:rsid w:val="00BA6CBF"/>
    <w:rsid w:val="00BA74D6"/>
    <w:rsid w:val="00BB1FE3"/>
    <w:rsid w:val="00BC671C"/>
    <w:rsid w:val="00BE5E4D"/>
    <w:rsid w:val="00C04D8E"/>
    <w:rsid w:val="00C12A9A"/>
    <w:rsid w:val="00C245E8"/>
    <w:rsid w:val="00C43FB6"/>
    <w:rsid w:val="00C57ED7"/>
    <w:rsid w:val="00C72C1E"/>
    <w:rsid w:val="00CB7DC5"/>
    <w:rsid w:val="00CD78C8"/>
    <w:rsid w:val="00CF1A00"/>
    <w:rsid w:val="00CF3671"/>
    <w:rsid w:val="00D3120B"/>
    <w:rsid w:val="00D56BD2"/>
    <w:rsid w:val="00D65AF0"/>
    <w:rsid w:val="00D71D21"/>
    <w:rsid w:val="00DA0F60"/>
    <w:rsid w:val="00DA6B65"/>
    <w:rsid w:val="00E30683"/>
    <w:rsid w:val="00E50E03"/>
    <w:rsid w:val="00E64F34"/>
    <w:rsid w:val="00E74E76"/>
    <w:rsid w:val="00EB4D80"/>
    <w:rsid w:val="00EB54C2"/>
    <w:rsid w:val="00EE178D"/>
    <w:rsid w:val="00EE1823"/>
    <w:rsid w:val="00F02AC7"/>
    <w:rsid w:val="00F02D51"/>
    <w:rsid w:val="00F102A6"/>
    <w:rsid w:val="00F42605"/>
    <w:rsid w:val="00F61AEB"/>
    <w:rsid w:val="00F61DF8"/>
    <w:rsid w:val="00F97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5B03"/>
  <w15:chartTrackingRefBased/>
  <w15:docId w15:val="{402D64D3-0728-4B85-84A7-588244B4E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B6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F6FD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DA6B65"/>
    <w:rPr>
      <w:b/>
      <w:sz w:val="28"/>
    </w:rPr>
  </w:style>
  <w:style w:type="paragraph" w:styleId="ListParagraph">
    <w:name w:val="List Paragraph"/>
    <w:basedOn w:val="Normal"/>
    <w:uiPriority w:val="34"/>
    <w:qFormat/>
    <w:rsid w:val="00270E8B"/>
    <w:pPr>
      <w:ind w:left="720"/>
      <w:contextualSpacing/>
    </w:pPr>
  </w:style>
  <w:style w:type="paragraph" w:styleId="NormalWeb">
    <w:name w:val="Normal (Web)"/>
    <w:basedOn w:val="Normal"/>
    <w:uiPriority w:val="99"/>
    <w:unhideWhenUsed/>
    <w:rsid w:val="00C04D8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2F6FD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96212"/>
    <w:rPr>
      <w:color w:val="0563C1" w:themeColor="hyperlink"/>
      <w:u w:val="single"/>
    </w:rPr>
  </w:style>
  <w:style w:type="character" w:styleId="UnresolvedMention">
    <w:name w:val="Unresolved Mention"/>
    <w:basedOn w:val="DefaultParagraphFont"/>
    <w:uiPriority w:val="99"/>
    <w:semiHidden/>
    <w:unhideWhenUsed/>
    <w:rsid w:val="00696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58017">
      <w:bodyDiv w:val="1"/>
      <w:marLeft w:val="0"/>
      <w:marRight w:val="0"/>
      <w:marTop w:val="0"/>
      <w:marBottom w:val="0"/>
      <w:divBdr>
        <w:top w:val="none" w:sz="0" w:space="0" w:color="auto"/>
        <w:left w:val="none" w:sz="0" w:space="0" w:color="auto"/>
        <w:bottom w:val="none" w:sz="0" w:space="0" w:color="auto"/>
        <w:right w:val="none" w:sz="0" w:space="0" w:color="auto"/>
      </w:divBdr>
    </w:div>
    <w:div w:id="1094286146">
      <w:bodyDiv w:val="1"/>
      <w:marLeft w:val="0"/>
      <w:marRight w:val="0"/>
      <w:marTop w:val="0"/>
      <w:marBottom w:val="0"/>
      <w:divBdr>
        <w:top w:val="none" w:sz="0" w:space="0" w:color="auto"/>
        <w:left w:val="none" w:sz="0" w:space="0" w:color="auto"/>
        <w:bottom w:val="none" w:sz="0" w:space="0" w:color="auto"/>
        <w:right w:val="none" w:sz="0" w:space="0" w:color="auto"/>
      </w:divBdr>
      <w:divsChild>
        <w:div w:id="611669193">
          <w:marLeft w:val="547"/>
          <w:marRight w:val="0"/>
          <w:marTop w:val="200"/>
          <w:marBottom w:val="0"/>
          <w:divBdr>
            <w:top w:val="none" w:sz="0" w:space="0" w:color="auto"/>
            <w:left w:val="none" w:sz="0" w:space="0" w:color="auto"/>
            <w:bottom w:val="none" w:sz="0" w:space="0" w:color="auto"/>
            <w:right w:val="none" w:sz="0" w:space="0" w:color="auto"/>
          </w:divBdr>
        </w:div>
      </w:divsChild>
    </w:div>
    <w:div w:id="1147822865">
      <w:bodyDiv w:val="1"/>
      <w:marLeft w:val="0"/>
      <w:marRight w:val="0"/>
      <w:marTop w:val="0"/>
      <w:marBottom w:val="0"/>
      <w:divBdr>
        <w:top w:val="none" w:sz="0" w:space="0" w:color="auto"/>
        <w:left w:val="none" w:sz="0" w:space="0" w:color="auto"/>
        <w:bottom w:val="none" w:sz="0" w:space="0" w:color="auto"/>
        <w:right w:val="none" w:sz="0" w:space="0" w:color="auto"/>
      </w:divBdr>
    </w:div>
    <w:div w:id="1773353860">
      <w:bodyDiv w:val="1"/>
      <w:marLeft w:val="0"/>
      <w:marRight w:val="0"/>
      <w:marTop w:val="0"/>
      <w:marBottom w:val="0"/>
      <w:divBdr>
        <w:top w:val="none" w:sz="0" w:space="0" w:color="auto"/>
        <w:left w:val="none" w:sz="0" w:space="0" w:color="auto"/>
        <w:bottom w:val="none" w:sz="0" w:space="0" w:color="auto"/>
        <w:right w:val="none" w:sz="0" w:space="0" w:color="auto"/>
      </w:divBdr>
      <w:divsChild>
        <w:div w:id="1190725595">
          <w:marLeft w:val="547"/>
          <w:marRight w:val="0"/>
          <w:marTop w:val="200"/>
          <w:marBottom w:val="0"/>
          <w:divBdr>
            <w:top w:val="none" w:sz="0" w:space="0" w:color="auto"/>
            <w:left w:val="none" w:sz="0" w:space="0" w:color="auto"/>
            <w:bottom w:val="none" w:sz="0" w:space="0" w:color="auto"/>
            <w:right w:val="none" w:sz="0" w:space="0" w:color="auto"/>
          </w:divBdr>
        </w:div>
      </w:divsChild>
    </w:div>
    <w:div w:id="2041395917">
      <w:bodyDiv w:val="1"/>
      <w:marLeft w:val="0"/>
      <w:marRight w:val="0"/>
      <w:marTop w:val="0"/>
      <w:marBottom w:val="0"/>
      <w:divBdr>
        <w:top w:val="none" w:sz="0" w:space="0" w:color="auto"/>
        <w:left w:val="none" w:sz="0" w:space="0" w:color="auto"/>
        <w:bottom w:val="none" w:sz="0" w:space="0" w:color="auto"/>
        <w:right w:val="none" w:sz="0" w:space="0" w:color="auto"/>
      </w:divBdr>
      <w:divsChild>
        <w:div w:id="14939117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rb.co.uk/adler-v-george-qbd-1964/" TargetMode="External"/><Relationship Id="rId3" Type="http://schemas.openxmlformats.org/officeDocument/2006/relationships/settings" Target="settings.xml"/><Relationship Id="rId7" Type="http://schemas.openxmlformats.org/officeDocument/2006/relationships/hyperlink" Target="https://www.supremecourt.uk/docs/speech-19111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tatutelawsociety.co.uk/wp-content/uploads/2016/12/Modern-Statutory-Interpretation.-P.Sales_.pdf" TargetMode="External"/><Relationship Id="rId11" Type="http://schemas.openxmlformats.org/officeDocument/2006/relationships/theme" Target="theme/theme1.xml"/><Relationship Id="rId5" Type="http://schemas.openxmlformats.org/officeDocument/2006/relationships/hyperlink" Target="https://www.inbrief.co.uk/legal-system/statutory-interpretatio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upremecourt.uk/docs/statutory-interpretation-a-collaboration-between-democratic-legisla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3BF3CE-D878-468A-A56C-4E3BB8DE7FC2}">
  <we:reference id="wa200003478" version="1.0.0.0" store="en-US" storeType="OMEX"/>
  <we:alternateReferences>
    <we:reference id="wa200003478" version="1.0.0.0" store="en-US" storeType="OMEX"/>
  </we:alternateReferences>
  <we:properties>
    <we:property name="draftId" value="&quot;08423b79-e397-4b6b-9fee-fd345ad2a579&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TotalTime>
  <Pages>7</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2022-05-03T18:44:00Z</dcterms:created>
  <dcterms:modified xsi:type="dcterms:W3CDTF">2022-05-03T18:44:00Z</dcterms:modified>
</cp:coreProperties>
</file>