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1161806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26533360"/>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lastRenderedPageBreak/>
        <w:t>This work has not previously been accepted in substance for any degree and is not being concurrently submitted in candidature for any degree</w:t>
      </w:r>
    </w:p>
    <w:p w14:paraId="3EF51212" w14:textId="7B370CA8" w:rsidR="00604A87" w:rsidRPr="00604A87" w:rsidRDefault="00604A87" w:rsidP="00604A87">
      <w:pPr>
        <w:rPr>
          <w:rFonts w:eastAsia="Times New Roman" w:cs="Arial"/>
        </w:rPr>
      </w:pPr>
      <w:r w:rsidRPr="00604A87">
        <w:rPr>
          <w:rFonts w:eastAsia="Times New Roman" w:cs="Arial"/>
        </w:rPr>
        <w:t>Signed……………</w:t>
      </w:r>
      <w:r w:rsidR="005D0806">
        <w:rPr>
          <w:rFonts w:eastAsia="Times New Roman" w:cs="Arial"/>
        </w:rPr>
        <w:t>Mariana Cristina Tudor</w:t>
      </w:r>
      <w:r w:rsidRPr="00604A87">
        <w:rPr>
          <w:rFonts w:eastAsia="Times New Roman" w:cs="Arial"/>
        </w:rPr>
        <w:t>…</w:t>
      </w:r>
    </w:p>
    <w:p w14:paraId="16B6CB34" w14:textId="6BA8D9B8" w:rsidR="00604A87" w:rsidRPr="00604A87" w:rsidRDefault="00604A87" w:rsidP="00604A87">
      <w:pPr>
        <w:rPr>
          <w:rFonts w:eastAsia="Times New Roman" w:cs="Arial"/>
        </w:rPr>
      </w:pPr>
      <w:r w:rsidRPr="00604A87">
        <w:rPr>
          <w:rFonts w:eastAsia="Times New Roman" w:cs="Arial"/>
        </w:rPr>
        <w:t>Date………………</w:t>
      </w:r>
      <w:r w:rsidR="005D0806">
        <w:rPr>
          <w:rFonts w:eastAsia="Times New Roman" w:cs="Arial"/>
        </w:rPr>
        <w:t>08/02/2026</w:t>
      </w:r>
      <w:r w:rsidRPr="00604A87">
        <w:rPr>
          <w:rFonts w:eastAsia="Times New Roman" w:cs="Arial"/>
        </w:rPr>
        <w:t>……………</w:t>
      </w:r>
      <w:r w:rsidR="005D0806">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1216D80D" w14:textId="77777777" w:rsidR="005D0806" w:rsidRPr="00604A87" w:rsidRDefault="005D0806" w:rsidP="00FC0938">
      <w:pPr>
        <w:rPr>
          <w:rFonts w:eastAsia="Times New Roman" w:cs="Arial"/>
        </w:rPr>
      </w:pPr>
      <w:r w:rsidRPr="00604A87">
        <w:rPr>
          <w:rFonts w:eastAsia="Times New Roman" w:cs="Arial"/>
        </w:rPr>
        <w:t>Signed……………</w:t>
      </w:r>
      <w:r>
        <w:rPr>
          <w:rFonts w:eastAsia="Times New Roman" w:cs="Arial"/>
        </w:rPr>
        <w:t>Mariana Cristina Tudor</w:t>
      </w:r>
      <w:r w:rsidRPr="00604A87">
        <w:rPr>
          <w:rFonts w:eastAsia="Times New Roman" w:cs="Arial"/>
        </w:rPr>
        <w:t>…</w:t>
      </w:r>
    </w:p>
    <w:p w14:paraId="116B3188" w14:textId="77777777" w:rsidR="005D0806" w:rsidRPr="00604A87" w:rsidRDefault="005D0806" w:rsidP="00FC0938">
      <w:pPr>
        <w:rPr>
          <w:rFonts w:eastAsia="Times New Roman" w:cs="Arial"/>
        </w:rPr>
      </w:pPr>
      <w:r w:rsidRPr="00604A87">
        <w:rPr>
          <w:rFonts w:eastAsia="Times New Roman" w:cs="Arial"/>
        </w:rPr>
        <w:t>Date………………</w:t>
      </w:r>
      <w:r>
        <w:rPr>
          <w:rFonts w:eastAsia="Times New Roman" w:cs="Arial"/>
        </w:rPr>
        <w:t>08/02/2026</w:t>
      </w:r>
      <w:r w:rsidRPr="00604A87">
        <w:rPr>
          <w:rFonts w:eastAsia="Times New Roman" w:cs="Arial"/>
        </w:rPr>
        <w:t>……………</w:t>
      </w:r>
      <w:r>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5CEC792E" w14:textId="77777777" w:rsidR="005D0806" w:rsidRPr="00604A87" w:rsidRDefault="005D0806" w:rsidP="00FC0938">
      <w:pPr>
        <w:rPr>
          <w:rFonts w:eastAsia="Times New Roman" w:cs="Arial"/>
        </w:rPr>
      </w:pPr>
      <w:r w:rsidRPr="00604A87">
        <w:rPr>
          <w:rFonts w:eastAsia="Times New Roman" w:cs="Arial"/>
        </w:rPr>
        <w:t>Signed……………</w:t>
      </w:r>
      <w:r>
        <w:rPr>
          <w:rFonts w:eastAsia="Times New Roman" w:cs="Arial"/>
        </w:rPr>
        <w:t>Mariana Cristina Tudor</w:t>
      </w:r>
      <w:r w:rsidRPr="00604A87">
        <w:rPr>
          <w:rFonts w:eastAsia="Times New Roman" w:cs="Arial"/>
        </w:rPr>
        <w:t>…</w:t>
      </w:r>
    </w:p>
    <w:p w14:paraId="76F1C528" w14:textId="77777777" w:rsidR="005D0806" w:rsidRPr="00604A87" w:rsidRDefault="005D0806" w:rsidP="00FC0938">
      <w:pPr>
        <w:rPr>
          <w:rFonts w:eastAsia="Times New Roman" w:cs="Arial"/>
        </w:rPr>
      </w:pPr>
      <w:r w:rsidRPr="00604A87">
        <w:rPr>
          <w:rFonts w:eastAsia="Times New Roman" w:cs="Arial"/>
        </w:rPr>
        <w:t>Date………………</w:t>
      </w:r>
      <w:r>
        <w:rPr>
          <w:rFonts w:eastAsia="Times New Roman" w:cs="Arial"/>
        </w:rPr>
        <w:t>08/02/2026</w:t>
      </w:r>
      <w:r w:rsidRPr="00604A87">
        <w:rPr>
          <w:rFonts w:eastAsia="Times New Roman" w:cs="Arial"/>
        </w:rPr>
        <w:t>……………</w:t>
      </w:r>
      <w:r>
        <w:rPr>
          <w:rFonts w:eastAsia="Times New Roman" w:cs="Arial"/>
        </w:rPr>
        <w:t>……</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294E7880" w14:textId="77777777" w:rsidR="000974AF" w:rsidRPr="00604A87" w:rsidRDefault="000974AF" w:rsidP="00FC0938">
      <w:pPr>
        <w:rPr>
          <w:rFonts w:eastAsia="Times New Roman" w:cs="Arial"/>
        </w:rPr>
      </w:pPr>
      <w:r w:rsidRPr="00604A87">
        <w:rPr>
          <w:rFonts w:eastAsia="Times New Roman" w:cs="Arial"/>
        </w:rPr>
        <w:t>Signed……………</w:t>
      </w:r>
      <w:r>
        <w:rPr>
          <w:rFonts w:eastAsia="Times New Roman" w:cs="Arial"/>
        </w:rPr>
        <w:t>Mariana Cristina Tudor</w:t>
      </w:r>
      <w:r w:rsidRPr="00604A87">
        <w:rPr>
          <w:rFonts w:eastAsia="Times New Roman" w:cs="Arial"/>
        </w:rPr>
        <w:t>…</w:t>
      </w:r>
    </w:p>
    <w:p w14:paraId="42719267" w14:textId="77777777" w:rsidR="000974AF" w:rsidRPr="00604A87" w:rsidRDefault="000974AF" w:rsidP="00FC0938">
      <w:pPr>
        <w:rPr>
          <w:rFonts w:eastAsia="Times New Roman" w:cs="Arial"/>
        </w:rPr>
      </w:pPr>
      <w:r w:rsidRPr="00604A87">
        <w:rPr>
          <w:rFonts w:eastAsia="Times New Roman" w:cs="Arial"/>
        </w:rPr>
        <w:t>Date………………</w:t>
      </w:r>
      <w:r>
        <w:rPr>
          <w:rFonts w:eastAsia="Times New Roman" w:cs="Arial"/>
        </w:rPr>
        <w:t>08/02/2026</w:t>
      </w:r>
      <w:r w:rsidRPr="00604A87">
        <w:rPr>
          <w:rFonts w:eastAsia="Times New Roman" w:cs="Arial"/>
        </w:rPr>
        <w:t>……………</w:t>
      </w:r>
      <w:r>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495E19C8" w14:textId="77777777" w:rsidR="00F63A7D" w:rsidRPr="00604A87" w:rsidRDefault="00F63A7D" w:rsidP="00FC0938">
      <w:pPr>
        <w:rPr>
          <w:rFonts w:eastAsia="Times New Roman" w:cs="Arial"/>
        </w:rPr>
      </w:pPr>
      <w:r w:rsidRPr="00604A87">
        <w:rPr>
          <w:rFonts w:eastAsia="Times New Roman" w:cs="Arial"/>
        </w:rPr>
        <w:t>Signed……………</w:t>
      </w:r>
      <w:r>
        <w:rPr>
          <w:rFonts w:eastAsia="Times New Roman" w:cs="Arial"/>
        </w:rPr>
        <w:t>Mariana Cristina Tudor</w:t>
      </w:r>
      <w:r w:rsidRPr="00604A87">
        <w:rPr>
          <w:rFonts w:eastAsia="Times New Roman" w:cs="Arial"/>
        </w:rPr>
        <w:t>…</w:t>
      </w:r>
    </w:p>
    <w:p w14:paraId="3A0FF116" w14:textId="77777777" w:rsidR="00F63A7D" w:rsidRPr="00604A87" w:rsidRDefault="00F63A7D" w:rsidP="00FC0938">
      <w:pPr>
        <w:rPr>
          <w:rFonts w:eastAsia="Times New Roman" w:cs="Arial"/>
        </w:rPr>
      </w:pPr>
      <w:r w:rsidRPr="00604A87">
        <w:rPr>
          <w:rFonts w:eastAsia="Times New Roman" w:cs="Arial"/>
        </w:rPr>
        <w:t>Date………………</w:t>
      </w:r>
      <w:r>
        <w:rPr>
          <w:rFonts w:eastAsia="Times New Roman" w:cs="Arial"/>
        </w:rPr>
        <w:t>08/02/2026</w:t>
      </w:r>
      <w:r w:rsidRPr="00604A87">
        <w:rPr>
          <w:rFonts w:eastAsia="Times New Roman" w:cs="Arial"/>
        </w:rPr>
        <w:t>……………</w:t>
      </w:r>
      <w:r>
        <w:rPr>
          <w:rFonts w:eastAsia="Times New Roman" w:cs="Arial"/>
        </w:rPr>
        <w:t>……</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0FC75915" w14:textId="2B1FEDF3" w:rsidR="00995444" w:rsidRPr="00995444" w:rsidRDefault="00D55B5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D55B5A">
        <w:rPr>
          <w:rFonts w:eastAsia="Arial Unicode MS" w:cs="Arial"/>
          <w:b/>
          <w:sz w:val="56"/>
          <w:szCs w:val="56"/>
        </w:rPr>
        <w:t>Evaluating the Role of Social Services in Reducing Mental Health Inequalities Among Care Leavers (Aged 16-2</w:t>
      </w:r>
      <w:r w:rsidR="00197958">
        <w:rPr>
          <w:rFonts w:eastAsia="Arial Unicode MS" w:cs="Arial"/>
          <w:b/>
          <w:sz w:val="56"/>
          <w:szCs w:val="56"/>
        </w:rPr>
        <w:t>4</w:t>
      </w:r>
      <w:r w:rsidRPr="00D55B5A">
        <w:rPr>
          <w:rFonts w:eastAsia="Arial Unicode MS" w:cs="Arial"/>
          <w:b/>
          <w:sz w:val="56"/>
          <w:szCs w:val="56"/>
        </w:rPr>
        <w:t>) in Northern England</w:t>
      </w:r>
    </w:p>
    <w:p w14:paraId="6DB122B7" w14:textId="4665E8B5" w:rsidR="00995444" w:rsidRDefault="00D55B5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Mariana Cristina Tudor </w:t>
      </w:r>
    </w:p>
    <w:p w14:paraId="0099E507" w14:textId="752498EB" w:rsidR="00D55B5A" w:rsidRPr="00995444" w:rsidRDefault="00D55B5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2242927</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79E60B5F" w:rsidR="00995444" w:rsidRPr="00DA1464" w:rsidRDefault="00995444" w:rsidP="00DA146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DA1464">
        <w:rPr>
          <w:rFonts w:ascii="Arial" w:eastAsia="Arial Unicode MS" w:hAnsi="Arial" w:cs="Arial"/>
          <w:b/>
          <w:sz w:val="28"/>
          <w:szCs w:val="28"/>
        </w:rPr>
        <w:t>ACKNOWLEDGEMENTS</w:t>
      </w:r>
      <w:r w:rsidRPr="00DA1464">
        <w:rPr>
          <w:rFonts w:ascii="Arial" w:eastAsia="Arial Unicode MS" w:hAnsi="Arial" w:cs="Arial"/>
          <w:b/>
        </w:rPr>
        <w:t xml:space="preserve"> </w:t>
      </w:r>
    </w:p>
    <w:p w14:paraId="2877659F" w14:textId="034B86BD" w:rsidR="00F0335B" w:rsidRPr="00DA1464" w:rsidRDefault="00F0335B" w:rsidP="00DA1464">
      <w:pPr>
        <w:pStyle w:val="p1"/>
        <w:spacing w:line="360" w:lineRule="auto"/>
        <w:jc w:val="both"/>
        <w:rPr>
          <w:rFonts w:ascii="Arial" w:hAnsi="Arial" w:cs="Arial"/>
        </w:rPr>
      </w:pPr>
      <w:r w:rsidRPr="00DA1464">
        <w:rPr>
          <w:rStyle w:val="s1"/>
          <w:rFonts w:ascii="Arial" w:hAnsi="Arial" w:cs="Arial"/>
        </w:rPr>
        <w:t>I would like to express my sincere gratitude to everyone who supported me throughout the completion of this dissertation.</w:t>
      </w:r>
    </w:p>
    <w:p w14:paraId="2ED8D29A" w14:textId="037CA6CD" w:rsidR="00F0335B" w:rsidRPr="00DA1464" w:rsidRDefault="00F0335B" w:rsidP="00DA1464">
      <w:pPr>
        <w:pStyle w:val="p1"/>
        <w:spacing w:line="360" w:lineRule="auto"/>
        <w:jc w:val="both"/>
        <w:rPr>
          <w:rFonts w:ascii="Arial" w:hAnsi="Arial" w:cs="Arial"/>
        </w:rPr>
      </w:pPr>
      <w:r w:rsidRPr="00DA1464">
        <w:rPr>
          <w:rStyle w:val="s1"/>
          <w:rFonts w:ascii="Arial" w:hAnsi="Arial" w:cs="Arial"/>
        </w:rPr>
        <w:t>My deepest thanks go to my lecturer for their guidance, encouragement and academic support throughout this project. I am also grateful to the library team for their help in accessing relevant literature and supporting the research process.</w:t>
      </w:r>
    </w:p>
    <w:p w14:paraId="547679A8" w14:textId="6017CB68" w:rsidR="00F0335B" w:rsidRPr="00DA1464" w:rsidRDefault="00F0335B" w:rsidP="00DA1464">
      <w:pPr>
        <w:pStyle w:val="p1"/>
        <w:spacing w:line="360" w:lineRule="auto"/>
        <w:jc w:val="both"/>
        <w:rPr>
          <w:rFonts w:ascii="Arial" w:hAnsi="Arial" w:cs="Arial"/>
        </w:rPr>
      </w:pPr>
      <w:r w:rsidRPr="00DA1464">
        <w:rPr>
          <w:rStyle w:val="s1"/>
          <w:rFonts w:ascii="Arial" w:hAnsi="Arial" w:cs="Arial"/>
        </w:rPr>
        <w:t>I would like to thank the IT team, reception team and assessment team for their assistance, professionalism and continued support during my studies. I am equally thankful to my colleagues for their encouragement and understanding.</w:t>
      </w:r>
    </w:p>
    <w:p w14:paraId="6026127F" w14:textId="77777777" w:rsidR="00F0335B" w:rsidRPr="00DA1464" w:rsidRDefault="00F0335B" w:rsidP="00DA1464">
      <w:pPr>
        <w:pStyle w:val="p1"/>
        <w:spacing w:line="360" w:lineRule="auto"/>
        <w:jc w:val="both"/>
        <w:rPr>
          <w:rFonts w:ascii="Arial" w:hAnsi="Arial" w:cs="Arial"/>
        </w:rPr>
      </w:pPr>
      <w:r w:rsidRPr="00DA1464">
        <w:rPr>
          <w:rStyle w:val="s1"/>
          <w:rFonts w:ascii="Arial" w:hAnsi="Arial" w:cs="Arial"/>
        </w:rPr>
        <w:t>Finally, I would like to thank my family for their patience, support and belief in me throughout this journey. Their encouragement has been invaluable.</w:t>
      </w:r>
    </w:p>
    <w:p w14:paraId="7EA8A979" w14:textId="77777777" w:rsidR="0073280B" w:rsidRPr="00DA1464" w:rsidRDefault="0073280B" w:rsidP="00DA1464">
      <w:pPr>
        <w:rPr>
          <w:rFonts w:ascii="Arial" w:hAnsi="Arial" w:cs="Arial"/>
        </w:rPr>
      </w:pPr>
    </w:p>
    <w:p w14:paraId="24382F47" w14:textId="77777777" w:rsidR="0073280B" w:rsidRPr="00DA1464" w:rsidRDefault="0073280B" w:rsidP="00DA1464">
      <w:pPr>
        <w:rPr>
          <w:rFonts w:ascii="Arial" w:hAnsi="Arial" w:cs="Arial"/>
        </w:rPr>
      </w:pPr>
    </w:p>
    <w:p w14:paraId="6A8FCE15" w14:textId="77777777" w:rsidR="0073280B" w:rsidRPr="00DA1464" w:rsidRDefault="0073280B" w:rsidP="00DA1464">
      <w:pPr>
        <w:rPr>
          <w:rFonts w:ascii="Arial" w:hAnsi="Arial" w:cs="Arial"/>
        </w:rPr>
      </w:pPr>
    </w:p>
    <w:p w14:paraId="5B45260B" w14:textId="77777777" w:rsidR="0073280B" w:rsidRPr="00DA1464" w:rsidRDefault="0073280B" w:rsidP="00DA1464">
      <w:pPr>
        <w:rPr>
          <w:rFonts w:ascii="Arial" w:hAnsi="Arial" w:cs="Arial"/>
        </w:rPr>
      </w:pPr>
    </w:p>
    <w:p w14:paraId="29F99602" w14:textId="77777777" w:rsidR="0073280B" w:rsidRPr="00DA1464" w:rsidRDefault="0073280B" w:rsidP="00DA1464">
      <w:pPr>
        <w:rPr>
          <w:rFonts w:ascii="Arial" w:hAnsi="Arial" w:cs="Arial"/>
        </w:rPr>
      </w:pPr>
    </w:p>
    <w:p w14:paraId="7FFDFCFF" w14:textId="77777777" w:rsidR="0073280B" w:rsidRPr="00DA1464" w:rsidRDefault="0073280B" w:rsidP="00DA1464">
      <w:pPr>
        <w:rPr>
          <w:rFonts w:ascii="Arial" w:hAnsi="Arial" w:cs="Arial"/>
        </w:rPr>
      </w:pPr>
    </w:p>
    <w:p w14:paraId="1E61CB56" w14:textId="77777777" w:rsidR="0073280B" w:rsidRPr="00DA1464" w:rsidRDefault="0073280B" w:rsidP="00DA1464">
      <w:pPr>
        <w:rPr>
          <w:rFonts w:ascii="Arial" w:hAnsi="Arial" w:cs="Arial"/>
        </w:rPr>
      </w:pPr>
    </w:p>
    <w:p w14:paraId="4650381F" w14:textId="77777777" w:rsidR="0073280B" w:rsidRPr="00DA1464" w:rsidRDefault="0073280B" w:rsidP="00DA1464">
      <w:pPr>
        <w:rPr>
          <w:rFonts w:ascii="Arial" w:hAnsi="Arial" w:cs="Arial"/>
        </w:rPr>
      </w:pPr>
    </w:p>
    <w:p w14:paraId="413A9F5D" w14:textId="77777777" w:rsidR="0073280B" w:rsidRPr="00DA1464" w:rsidRDefault="0073280B" w:rsidP="00DA1464">
      <w:pPr>
        <w:rPr>
          <w:rFonts w:ascii="Arial" w:hAnsi="Arial" w:cs="Arial"/>
        </w:rPr>
      </w:pPr>
    </w:p>
    <w:p w14:paraId="0F7E2C83" w14:textId="77777777" w:rsidR="0073280B" w:rsidRPr="00DA1464" w:rsidRDefault="0073280B" w:rsidP="00DA1464">
      <w:pPr>
        <w:rPr>
          <w:rFonts w:ascii="Arial" w:hAnsi="Arial" w:cs="Arial"/>
        </w:rPr>
      </w:pPr>
    </w:p>
    <w:p w14:paraId="68D32102" w14:textId="77777777" w:rsidR="0073280B" w:rsidRPr="00DA1464" w:rsidRDefault="0073280B" w:rsidP="00DA1464">
      <w:pPr>
        <w:rPr>
          <w:rFonts w:ascii="Arial" w:hAnsi="Arial" w:cs="Arial"/>
        </w:rPr>
      </w:pPr>
    </w:p>
    <w:p w14:paraId="3269986A" w14:textId="77777777" w:rsidR="0073280B" w:rsidRPr="00DA1464" w:rsidRDefault="0073280B" w:rsidP="00DA1464">
      <w:pPr>
        <w:rPr>
          <w:rFonts w:ascii="Arial" w:hAnsi="Arial" w:cs="Arial"/>
        </w:rPr>
      </w:pPr>
    </w:p>
    <w:p w14:paraId="26B038C1" w14:textId="77777777" w:rsidR="0073280B" w:rsidRPr="00DA1464" w:rsidRDefault="0073280B" w:rsidP="00DA1464">
      <w:pPr>
        <w:rPr>
          <w:rFonts w:ascii="Arial" w:hAnsi="Arial" w:cs="Arial"/>
        </w:rPr>
      </w:pPr>
    </w:p>
    <w:p w14:paraId="6976232E" w14:textId="77777777" w:rsidR="0073280B" w:rsidRPr="00DA1464" w:rsidRDefault="0073280B" w:rsidP="00DA1464">
      <w:pPr>
        <w:rPr>
          <w:rFonts w:ascii="Arial" w:hAnsi="Arial" w:cs="Arial"/>
        </w:rPr>
      </w:pPr>
    </w:p>
    <w:p w14:paraId="045F19C6" w14:textId="77777777" w:rsidR="0073280B" w:rsidRPr="00DA1464" w:rsidRDefault="0073280B" w:rsidP="00DA1464">
      <w:pPr>
        <w:rPr>
          <w:rFonts w:ascii="Arial" w:hAnsi="Arial" w:cs="Arial"/>
        </w:rPr>
      </w:pPr>
    </w:p>
    <w:p w14:paraId="1063F851" w14:textId="77777777" w:rsidR="0073280B" w:rsidRPr="00DA1464" w:rsidRDefault="0073280B" w:rsidP="00DA1464">
      <w:pPr>
        <w:rPr>
          <w:rFonts w:ascii="Arial" w:hAnsi="Arial" w:cs="Arial"/>
        </w:rPr>
      </w:pPr>
    </w:p>
    <w:p w14:paraId="58131FA4" w14:textId="77777777" w:rsidR="0073280B" w:rsidRPr="00DA1464" w:rsidRDefault="0073280B" w:rsidP="00DA1464">
      <w:pPr>
        <w:rPr>
          <w:rFonts w:ascii="Arial" w:hAnsi="Arial" w:cs="Arial"/>
        </w:rPr>
      </w:pPr>
    </w:p>
    <w:p w14:paraId="6C0EC770" w14:textId="77777777" w:rsidR="0073280B" w:rsidRPr="00DA1464" w:rsidRDefault="0073280B" w:rsidP="00DA1464">
      <w:pPr>
        <w:rPr>
          <w:rFonts w:ascii="Arial" w:hAnsi="Arial" w:cs="Arial"/>
        </w:rPr>
      </w:pPr>
    </w:p>
    <w:p w14:paraId="16D78A60" w14:textId="77777777" w:rsidR="0073280B" w:rsidRPr="00DA1464" w:rsidRDefault="0073280B" w:rsidP="00DA1464">
      <w:pPr>
        <w:rPr>
          <w:rFonts w:ascii="Arial" w:hAnsi="Arial" w:cs="Arial"/>
        </w:rPr>
      </w:pPr>
    </w:p>
    <w:p w14:paraId="68249928" w14:textId="31BD8FCA" w:rsidR="0073280B" w:rsidRPr="00DA1464" w:rsidRDefault="0073280B" w:rsidP="00DA14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DA1464">
        <w:rPr>
          <w:rFonts w:ascii="Arial" w:eastAsia="Arial Unicode MS" w:hAnsi="Arial" w:cs="Arial"/>
          <w:b/>
          <w:sz w:val="28"/>
          <w:szCs w:val="28"/>
        </w:rPr>
        <w:t>ABSTRACT</w:t>
      </w:r>
    </w:p>
    <w:p w14:paraId="310D40A5" w14:textId="77777777" w:rsidR="0073280B" w:rsidRPr="00DA1464" w:rsidRDefault="0073280B" w:rsidP="00DA1464">
      <w:pPr>
        <w:ind w:right="194"/>
        <w:rPr>
          <w:rFonts w:ascii="Arial" w:eastAsia="Arial Unicode MS" w:hAnsi="Arial" w:cs="Arial"/>
        </w:rPr>
      </w:pPr>
    </w:p>
    <w:p w14:paraId="3AA9F146" w14:textId="0BE349D1" w:rsidR="005C6312" w:rsidRPr="00DA1464" w:rsidRDefault="005C6312" w:rsidP="00DA1464">
      <w:pPr>
        <w:pStyle w:val="p1"/>
        <w:spacing w:line="360" w:lineRule="auto"/>
        <w:jc w:val="both"/>
        <w:rPr>
          <w:rFonts w:ascii="Arial" w:hAnsi="Arial" w:cs="Arial"/>
        </w:rPr>
      </w:pPr>
      <w:r w:rsidRPr="00DA1464">
        <w:rPr>
          <w:rStyle w:val="s1"/>
          <w:rFonts w:ascii="Arial" w:hAnsi="Arial" w:cs="Arial"/>
        </w:rPr>
        <w:t>This dissertation evaluates the extent to which social services reduce mental health inequalities among care leavers aged 16–24 in Northern England. The study is significant within health and social care because care-experienced young people experience disproportionately poor mental health outcomes, while those in Northern England may face additional disadvantage linked to deprivation, regional inequality and uneven service provision. The aim of the dissertation was to critically examine the effectiveness of current social service responses and to identify how more equitable support might improve outcomes for care leavers.</w:t>
      </w:r>
    </w:p>
    <w:p w14:paraId="3CBD74EC" w14:textId="29939E7C" w:rsidR="005C6312" w:rsidRPr="00DA1464" w:rsidRDefault="005C6312" w:rsidP="00DA1464">
      <w:pPr>
        <w:pStyle w:val="p1"/>
        <w:spacing w:line="360" w:lineRule="auto"/>
        <w:jc w:val="both"/>
        <w:rPr>
          <w:rFonts w:ascii="Arial" w:hAnsi="Arial" w:cs="Arial"/>
        </w:rPr>
      </w:pPr>
      <w:r w:rsidRPr="00DA1464">
        <w:rPr>
          <w:rStyle w:val="s1"/>
          <w:rFonts w:ascii="Arial" w:hAnsi="Arial" w:cs="Arial"/>
        </w:rPr>
        <w:t xml:space="preserve">The study used a </w:t>
      </w:r>
      <w:r w:rsidRPr="00DA1464">
        <w:rPr>
          <w:rStyle w:val="s2"/>
          <w:rFonts w:ascii="Arial" w:hAnsi="Arial" w:cs="Arial"/>
        </w:rPr>
        <w:t>secondary research</w:t>
      </w:r>
      <w:r w:rsidRPr="00DA1464">
        <w:rPr>
          <w:rStyle w:val="s1"/>
          <w:rFonts w:ascii="Arial" w:hAnsi="Arial" w:cs="Arial"/>
        </w:rPr>
        <w:t xml:space="preserve"> design based on a structured review of published academic, policy and statutory literature. Sources were identified through a systematic search strategy using the UWTSD Library, Google Scholar, PubMed and ProQuest, alongside official websites. The literature was screened using inclusion and exclusion criteria, assessed through the CRAAP test, and analysed using </w:t>
      </w:r>
      <w:r w:rsidRPr="00DA1464">
        <w:rPr>
          <w:rStyle w:val="s2"/>
          <w:rFonts w:ascii="Arial" w:hAnsi="Arial" w:cs="Arial"/>
        </w:rPr>
        <w:t>thematic analysis</w:t>
      </w:r>
      <w:r w:rsidRPr="00DA1464">
        <w:rPr>
          <w:rStyle w:val="s1"/>
          <w:rFonts w:ascii="Arial" w:hAnsi="Arial" w:cs="Arial"/>
        </w:rPr>
        <w:t>.</w:t>
      </w:r>
    </w:p>
    <w:p w14:paraId="3FA50308" w14:textId="1F33C06F" w:rsidR="005C6312" w:rsidRPr="00DA1464" w:rsidRDefault="005C6312" w:rsidP="00DA1464">
      <w:pPr>
        <w:pStyle w:val="p1"/>
        <w:spacing w:line="360" w:lineRule="auto"/>
        <w:jc w:val="both"/>
        <w:rPr>
          <w:rFonts w:ascii="Arial" w:hAnsi="Arial" w:cs="Arial"/>
        </w:rPr>
      </w:pPr>
      <w:r w:rsidRPr="00DA1464">
        <w:rPr>
          <w:rStyle w:val="s1"/>
          <w:rFonts w:ascii="Arial" w:hAnsi="Arial" w:cs="Arial"/>
        </w:rPr>
        <w:t xml:space="preserve">Three key themes emerged. First, care leavers experience </w:t>
      </w:r>
      <w:r w:rsidRPr="00DA1464">
        <w:rPr>
          <w:rStyle w:val="s2"/>
          <w:rFonts w:ascii="Arial" w:hAnsi="Arial" w:cs="Arial"/>
        </w:rPr>
        <w:t>disproportionate mental health need</w:t>
      </w:r>
      <w:r w:rsidRPr="00DA1464">
        <w:rPr>
          <w:rStyle w:val="s1"/>
          <w:rFonts w:ascii="Arial" w:hAnsi="Arial" w:cs="Arial"/>
        </w:rPr>
        <w:t xml:space="preserve">, shaped by trauma, instability and wider structural disadvantage. Second, current support is marked by </w:t>
      </w:r>
      <w:r w:rsidRPr="00DA1464">
        <w:rPr>
          <w:rStyle w:val="s2"/>
          <w:rFonts w:ascii="Arial" w:hAnsi="Arial" w:cs="Arial"/>
        </w:rPr>
        <w:t>fragmented and uneven service provision</w:t>
      </w:r>
      <w:r w:rsidRPr="00DA1464">
        <w:rPr>
          <w:rStyle w:val="s1"/>
          <w:rFonts w:ascii="Arial" w:hAnsi="Arial" w:cs="Arial"/>
        </w:rPr>
        <w:t xml:space="preserve">, meaning that entitlement in law does not guarantee equitable delivery in practice. Third, </w:t>
      </w:r>
      <w:r w:rsidRPr="00DA1464">
        <w:rPr>
          <w:rStyle w:val="s2"/>
          <w:rFonts w:ascii="Arial" w:hAnsi="Arial" w:cs="Arial"/>
        </w:rPr>
        <w:t>continuity and relational support</w:t>
      </w:r>
      <w:r w:rsidRPr="00DA1464">
        <w:rPr>
          <w:rStyle w:val="s1"/>
          <w:rFonts w:ascii="Arial" w:hAnsi="Arial" w:cs="Arial"/>
        </w:rPr>
        <w:t xml:space="preserve"> were identified as important protective factors, particularly where young people had stable relationships, coordinated transitions and sustained practical support.</w:t>
      </w:r>
    </w:p>
    <w:p w14:paraId="38721C07" w14:textId="77777777" w:rsidR="005C6312" w:rsidRPr="00DA1464" w:rsidRDefault="005C6312" w:rsidP="00DA1464">
      <w:pPr>
        <w:pStyle w:val="p1"/>
        <w:spacing w:line="360" w:lineRule="auto"/>
        <w:jc w:val="both"/>
        <w:rPr>
          <w:rFonts w:ascii="Arial" w:hAnsi="Arial" w:cs="Arial"/>
        </w:rPr>
      </w:pPr>
      <w:r w:rsidRPr="00DA1464">
        <w:rPr>
          <w:rStyle w:val="s1"/>
          <w:rFonts w:ascii="Arial" w:hAnsi="Arial" w:cs="Arial"/>
        </w:rPr>
        <w:lastRenderedPageBreak/>
        <w:t>The research identified several limitations, including variation in data quality, inconsistency across studies, and the difficulty of isolating care leavers from broader care-experienced populations. These limitations are important because they affect how confidently findings can be generalised to practice. The dissertation concludes that social services reduce mental health inequalities only partially and inconsistently. It recommends stronger integrated transition pathways, greater continuity of support beyond age 18, and improved regional accountability to reduce postcode variation in Northern England.</w:t>
      </w:r>
    </w:p>
    <w:p w14:paraId="019A2C1E" w14:textId="77777777" w:rsidR="0073280B" w:rsidRPr="00DA1464" w:rsidRDefault="0073280B" w:rsidP="00DA1464">
      <w:pPr>
        <w:rPr>
          <w:rFonts w:ascii="Arial" w:hAnsi="Arial" w:cs="Arial"/>
        </w:rPr>
      </w:pPr>
    </w:p>
    <w:p w14:paraId="4B65C5F3" w14:textId="77777777" w:rsidR="00730C3C" w:rsidRPr="00DA1464" w:rsidRDefault="00730C3C" w:rsidP="00DA1464">
      <w:pPr>
        <w:rPr>
          <w:rFonts w:ascii="Arial" w:hAnsi="Arial" w:cs="Arial"/>
        </w:rPr>
      </w:pPr>
    </w:p>
    <w:p w14:paraId="1EDA5561" w14:textId="77777777" w:rsidR="00730C3C" w:rsidRPr="00DA1464" w:rsidRDefault="00730C3C" w:rsidP="00DA1464">
      <w:pPr>
        <w:rPr>
          <w:rFonts w:ascii="Arial" w:hAnsi="Arial" w:cs="Arial"/>
        </w:rPr>
      </w:pPr>
    </w:p>
    <w:p w14:paraId="576A2163" w14:textId="77777777" w:rsidR="00730C3C" w:rsidRPr="00DA1464" w:rsidRDefault="00730C3C" w:rsidP="00DA1464">
      <w:pPr>
        <w:rPr>
          <w:rFonts w:ascii="Arial" w:hAnsi="Arial" w:cs="Arial"/>
        </w:rPr>
      </w:pPr>
    </w:p>
    <w:p w14:paraId="2F774362" w14:textId="77777777" w:rsidR="00730C3C" w:rsidRPr="00DA1464" w:rsidRDefault="00730C3C" w:rsidP="00DA1464">
      <w:pPr>
        <w:rPr>
          <w:rFonts w:ascii="Arial" w:hAnsi="Arial" w:cs="Arial"/>
        </w:rPr>
      </w:pPr>
    </w:p>
    <w:p w14:paraId="57922C1A" w14:textId="77777777" w:rsidR="00730C3C" w:rsidRPr="00DA1464" w:rsidRDefault="00730C3C" w:rsidP="00DA1464">
      <w:pPr>
        <w:rPr>
          <w:rFonts w:ascii="Arial" w:hAnsi="Arial" w:cs="Arial"/>
        </w:rPr>
      </w:pPr>
    </w:p>
    <w:p w14:paraId="3A43D7FB" w14:textId="77777777" w:rsidR="00804B94" w:rsidRPr="00DA1464" w:rsidRDefault="00804B94" w:rsidP="00DA1464">
      <w:pPr>
        <w:rPr>
          <w:rFonts w:ascii="Arial" w:hAnsi="Arial" w:cs="Arial"/>
        </w:rPr>
      </w:pPr>
    </w:p>
    <w:p w14:paraId="350684A4" w14:textId="77777777" w:rsidR="00804B94" w:rsidRPr="00DA1464" w:rsidRDefault="00804B94" w:rsidP="00DA1464">
      <w:pPr>
        <w:rPr>
          <w:rFonts w:ascii="Arial" w:hAnsi="Arial" w:cs="Arial"/>
        </w:rPr>
      </w:pPr>
    </w:p>
    <w:p w14:paraId="72CB7F2C" w14:textId="77777777" w:rsidR="00804B94" w:rsidRPr="00DA1464" w:rsidRDefault="00804B94" w:rsidP="00DA1464">
      <w:pPr>
        <w:rPr>
          <w:rFonts w:ascii="Arial" w:hAnsi="Arial" w:cs="Arial"/>
        </w:rPr>
      </w:pPr>
    </w:p>
    <w:sdt>
      <w:sdtPr>
        <w:id w:val="-210189882"/>
        <w:docPartObj>
          <w:docPartGallery w:val="Table of Contents"/>
          <w:docPartUnique/>
        </w:docPartObj>
      </w:sdtPr>
      <w:sdtEndPr>
        <w:rPr>
          <w:rFonts w:ascii="Aptos" w:eastAsiaTheme="minorEastAsia" w:hAnsi="Aptos" w:cstheme="minorBidi"/>
          <w:b/>
          <w:bCs/>
          <w:color w:val="auto"/>
          <w:kern w:val="2"/>
          <w:sz w:val="22"/>
          <w:szCs w:val="22"/>
          <w:lang w:eastAsia="zh-CN"/>
          <w14:ligatures w14:val="standardContextual"/>
        </w:rPr>
      </w:sdtEndPr>
      <w:sdtContent>
        <w:p w14:paraId="0C23A10F" w14:textId="48337B43" w:rsidR="0084464F" w:rsidRDefault="0084464F">
          <w:pPr>
            <w:pStyle w:val="TOCHeading"/>
          </w:pPr>
          <w:r>
            <w:t>Contents</w:t>
          </w:r>
        </w:p>
        <w:p w14:paraId="6A0F1911" w14:textId="2855996C" w:rsidR="0084464F" w:rsidRDefault="0084464F">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26533360" w:history="1">
            <w:r w:rsidRPr="00AF3A5D">
              <w:rPr>
                <w:rStyle w:val="Hyperlink"/>
                <w:rFonts w:cs="Arial"/>
                <w:noProof/>
                <w:lang w:bidi="en-GB"/>
              </w:rPr>
              <w:t>Disclaimer</w:t>
            </w:r>
            <w:r>
              <w:rPr>
                <w:noProof/>
                <w:webHidden/>
              </w:rPr>
              <w:tab/>
            </w:r>
            <w:r>
              <w:rPr>
                <w:noProof/>
                <w:webHidden/>
              </w:rPr>
              <w:fldChar w:fldCharType="begin"/>
            </w:r>
            <w:r>
              <w:rPr>
                <w:noProof/>
                <w:webHidden/>
              </w:rPr>
              <w:instrText xml:space="preserve"> PAGEREF _Toc226533360 \h </w:instrText>
            </w:r>
            <w:r>
              <w:rPr>
                <w:noProof/>
                <w:webHidden/>
              </w:rPr>
            </w:r>
            <w:r>
              <w:rPr>
                <w:noProof/>
                <w:webHidden/>
              </w:rPr>
              <w:fldChar w:fldCharType="separate"/>
            </w:r>
            <w:r>
              <w:rPr>
                <w:noProof/>
                <w:webHidden/>
              </w:rPr>
              <w:t>1</w:t>
            </w:r>
            <w:r>
              <w:rPr>
                <w:noProof/>
                <w:webHidden/>
              </w:rPr>
              <w:fldChar w:fldCharType="end"/>
            </w:r>
          </w:hyperlink>
        </w:p>
        <w:p w14:paraId="60417E3C" w14:textId="470AFCDC" w:rsidR="0084464F" w:rsidRDefault="0084464F">
          <w:pPr>
            <w:pStyle w:val="TOC1"/>
            <w:tabs>
              <w:tab w:val="right" w:leader="dot" w:pos="9016"/>
            </w:tabs>
            <w:rPr>
              <w:rFonts w:asciiTheme="minorHAnsi" w:hAnsiTheme="minorHAnsi"/>
              <w:noProof/>
              <w:sz w:val="24"/>
              <w:szCs w:val="24"/>
              <w:lang w:eastAsia="en-GB"/>
            </w:rPr>
          </w:pPr>
          <w:hyperlink w:anchor="_Toc226533361" w:history="1">
            <w:r w:rsidRPr="00AF3A5D">
              <w:rPr>
                <w:rStyle w:val="Hyperlink"/>
                <w:rFonts w:cs="Arial"/>
                <w:noProof/>
                <w:lang w:bidi="en-GB"/>
              </w:rPr>
              <w:t>CHAPTER 1: Introduction</w:t>
            </w:r>
            <w:r>
              <w:rPr>
                <w:noProof/>
                <w:webHidden/>
              </w:rPr>
              <w:tab/>
            </w:r>
            <w:r>
              <w:rPr>
                <w:noProof/>
                <w:webHidden/>
              </w:rPr>
              <w:fldChar w:fldCharType="begin"/>
            </w:r>
            <w:r>
              <w:rPr>
                <w:noProof/>
                <w:webHidden/>
              </w:rPr>
              <w:instrText xml:space="preserve"> PAGEREF _Toc226533361 \h </w:instrText>
            </w:r>
            <w:r>
              <w:rPr>
                <w:noProof/>
                <w:webHidden/>
              </w:rPr>
            </w:r>
            <w:r>
              <w:rPr>
                <w:noProof/>
                <w:webHidden/>
              </w:rPr>
              <w:fldChar w:fldCharType="separate"/>
            </w:r>
            <w:r>
              <w:rPr>
                <w:noProof/>
                <w:webHidden/>
              </w:rPr>
              <w:t>8</w:t>
            </w:r>
            <w:r>
              <w:rPr>
                <w:noProof/>
                <w:webHidden/>
              </w:rPr>
              <w:fldChar w:fldCharType="end"/>
            </w:r>
          </w:hyperlink>
        </w:p>
        <w:p w14:paraId="4B94B490" w14:textId="30A04695" w:rsidR="0084464F" w:rsidRDefault="0084464F">
          <w:pPr>
            <w:pStyle w:val="TOC1"/>
            <w:tabs>
              <w:tab w:val="right" w:leader="dot" w:pos="9016"/>
            </w:tabs>
            <w:rPr>
              <w:rFonts w:asciiTheme="minorHAnsi" w:hAnsiTheme="minorHAnsi"/>
              <w:noProof/>
              <w:sz w:val="24"/>
              <w:szCs w:val="24"/>
              <w:lang w:eastAsia="en-GB"/>
            </w:rPr>
          </w:pPr>
          <w:hyperlink w:anchor="_Toc226533362" w:history="1">
            <w:r w:rsidRPr="00AF3A5D">
              <w:rPr>
                <w:rStyle w:val="Hyperlink"/>
                <w:rFonts w:cs="Arial"/>
                <w:noProof/>
                <w:lang w:bidi="en-GB"/>
              </w:rPr>
              <w:t>CHAPTER 2 – Background Information and Analysis</w:t>
            </w:r>
            <w:r>
              <w:rPr>
                <w:noProof/>
                <w:webHidden/>
              </w:rPr>
              <w:tab/>
            </w:r>
            <w:r>
              <w:rPr>
                <w:noProof/>
                <w:webHidden/>
              </w:rPr>
              <w:fldChar w:fldCharType="begin"/>
            </w:r>
            <w:r>
              <w:rPr>
                <w:noProof/>
                <w:webHidden/>
              </w:rPr>
              <w:instrText xml:space="preserve"> PAGEREF _Toc226533362 \h </w:instrText>
            </w:r>
            <w:r>
              <w:rPr>
                <w:noProof/>
                <w:webHidden/>
              </w:rPr>
            </w:r>
            <w:r>
              <w:rPr>
                <w:noProof/>
                <w:webHidden/>
              </w:rPr>
              <w:fldChar w:fldCharType="separate"/>
            </w:r>
            <w:r>
              <w:rPr>
                <w:noProof/>
                <w:webHidden/>
              </w:rPr>
              <w:t>14</w:t>
            </w:r>
            <w:r>
              <w:rPr>
                <w:noProof/>
                <w:webHidden/>
              </w:rPr>
              <w:fldChar w:fldCharType="end"/>
            </w:r>
          </w:hyperlink>
        </w:p>
        <w:p w14:paraId="22DFE051" w14:textId="66D6BCAF" w:rsidR="0084464F" w:rsidRDefault="0084464F">
          <w:pPr>
            <w:pStyle w:val="TOC1"/>
            <w:tabs>
              <w:tab w:val="right" w:leader="dot" w:pos="9016"/>
            </w:tabs>
            <w:rPr>
              <w:rFonts w:asciiTheme="minorHAnsi" w:hAnsiTheme="minorHAnsi"/>
              <w:noProof/>
              <w:sz w:val="24"/>
              <w:szCs w:val="24"/>
              <w:lang w:eastAsia="en-GB"/>
            </w:rPr>
          </w:pPr>
          <w:hyperlink w:anchor="_Toc226533363" w:history="1">
            <w:r w:rsidRPr="00AF3A5D">
              <w:rPr>
                <w:rStyle w:val="Hyperlink"/>
                <w:rFonts w:cs="Arial"/>
                <w:noProof/>
                <w:lang w:bidi="en-GB"/>
              </w:rPr>
              <w:t>CHAPTER 3 – Methods and Search Strategy (1,000 words approx.)</w:t>
            </w:r>
            <w:r>
              <w:rPr>
                <w:noProof/>
                <w:webHidden/>
              </w:rPr>
              <w:tab/>
            </w:r>
            <w:r>
              <w:rPr>
                <w:noProof/>
                <w:webHidden/>
              </w:rPr>
              <w:fldChar w:fldCharType="begin"/>
            </w:r>
            <w:r>
              <w:rPr>
                <w:noProof/>
                <w:webHidden/>
              </w:rPr>
              <w:instrText xml:space="preserve"> PAGEREF _Toc226533363 \h </w:instrText>
            </w:r>
            <w:r>
              <w:rPr>
                <w:noProof/>
                <w:webHidden/>
              </w:rPr>
            </w:r>
            <w:r>
              <w:rPr>
                <w:noProof/>
                <w:webHidden/>
              </w:rPr>
              <w:fldChar w:fldCharType="separate"/>
            </w:r>
            <w:r>
              <w:rPr>
                <w:noProof/>
                <w:webHidden/>
              </w:rPr>
              <w:t>22</w:t>
            </w:r>
            <w:r>
              <w:rPr>
                <w:noProof/>
                <w:webHidden/>
              </w:rPr>
              <w:fldChar w:fldCharType="end"/>
            </w:r>
          </w:hyperlink>
        </w:p>
        <w:p w14:paraId="01AD3B67" w14:textId="5321192D" w:rsidR="0084464F" w:rsidRDefault="0084464F">
          <w:pPr>
            <w:pStyle w:val="TOC2"/>
            <w:tabs>
              <w:tab w:val="right" w:leader="dot" w:pos="9016"/>
            </w:tabs>
            <w:rPr>
              <w:rFonts w:asciiTheme="minorHAnsi" w:hAnsiTheme="minorHAnsi"/>
              <w:noProof/>
              <w:sz w:val="24"/>
              <w:szCs w:val="24"/>
              <w:lang w:eastAsia="en-GB"/>
            </w:rPr>
          </w:pPr>
          <w:hyperlink w:anchor="_Toc226533364" w:history="1">
            <w:r w:rsidRPr="00AF3A5D">
              <w:rPr>
                <w:rStyle w:val="Hyperlink"/>
                <w:rFonts w:ascii="Arial" w:hAnsi="Arial" w:cs="Arial"/>
                <w:noProof/>
              </w:rPr>
              <w:t>3.1 – Introduction</w:t>
            </w:r>
            <w:r>
              <w:rPr>
                <w:noProof/>
                <w:webHidden/>
              </w:rPr>
              <w:tab/>
            </w:r>
            <w:r>
              <w:rPr>
                <w:noProof/>
                <w:webHidden/>
              </w:rPr>
              <w:fldChar w:fldCharType="begin"/>
            </w:r>
            <w:r>
              <w:rPr>
                <w:noProof/>
                <w:webHidden/>
              </w:rPr>
              <w:instrText xml:space="preserve"> PAGEREF _Toc226533364 \h </w:instrText>
            </w:r>
            <w:r>
              <w:rPr>
                <w:noProof/>
                <w:webHidden/>
              </w:rPr>
            </w:r>
            <w:r>
              <w:rPr>
                <w:noProof/>
                <w:webHidden/>
              </w:rPr>
              <w:fldChar w:fldCharType="separate"/>
            </w:r>
            <w:r>
              <w:rPr>
                <w:noProof/>
                <w:webHidden/>
              </w:rPr>
              <w:t>22</w:t>
            </w:r>
            <w:r>
              <w:rPr>
                <w:noProof/>
                <w:webHidden/>
              </w:rPr>
              <w:fldChar w:fldCharType="end"/>
            </w:r>
          </w:hyperlink>
        </w:p>
        <w:p w14:paraId="6DCC85D4" w14:textId="359597B7" w:rsidR="0084464F" w:rsidRDefault="0084464F">
          <w:pPr>
            <w:pStyle w:val="TOC2"/>
            <w:tabs>
              <w:tab w:val="right" w:leader="dot" w:pos="9016"/>
            </w:tabs>
            <w:rPr>
              <w:rFonts w:asciiTheme="minorHAnsi" w:hAnsiTheme="minorHAnsi"/>
              <w:noProof/>
              <w:sz w:val="24"/>
              <w:szCs w:val="24"/>
              <w:lang w:eastAsia="en-GB"/>
            </w:rPr>
          </w:pPr>
          <w:hyperlink w:anchor="_Toc226533365" w:history="1">
            <w:r w:rsidRPr="00AF3A5D">
              <w:rPr>
                <w:rStyle w:val="Hyperlink"/>
                <w:rFonts w:ascii="Arial" w:hAnsi="Arial" w:cs="Arial"/>
                <w:noProof/>
              </w:rPr>
              <w:t>3.2 – Search Strategy</w:t>
            </w:r>
            <w:r>
              <w:rPr>
                <w:noProof/>
                <w:webHidden/>
              </w:rPr>
              <w:tab/>
            </w:r>
            <w:r>
              <w:rPr>
                <w:noProof/>
                <w:webHidden/>
              </w:rPr>
              <w:fldChar w:fldCharType="begin"/>
            </w:r>
            <w:r>
              <w:rPr>
                <w:noProof/>
                <w:webHidden/>
              </w:rPr>
              <w:instrText xml:space="preserve"> PAGEREF _Toc226533365 \h </w:instrText>
            </w:r>
            <w:r>
              <w:rPr>
                <w:noProof/>
                <w:webHidden/>
              </w:rPr>
            </w:r>
            <w:r>
              <w:rPr>
                <w:noProof/>
                <w:webHidden/>
              </w:rPr>
              <w:fldChar w:fldCharType="separate"/>
            </w:r>
            <w:r>
              <w:rPr>
                <w:noProof/>
                <w:webHidden/>
              </w:rPr>
              <w:t>22</w:t>
            </w:r>
            <w:r>
              <w:rPr>
                <w:noProof/>
                <w:webHidden/>
              </w:rPr>
              <w:fldChar w:fldCharType="end"/>
            </w:r>
          </w:hyperlink>
        </w:p>
        <w:p w14:paraId="5A3704B0" w14:textId="1B3BC46F" w:rsidR="0084464F" w:rsidRDefault="0084464F">
          <w:pPr>
            <w:pStyle w:val="TOC2"/>
            <w:tabs>
              <w:tab w:val="left" w:pos="960"/>
              <w:tab w:val="right" w:leader="dot" w:pos="9016"/>
            </w:tabs>
            <w:rPr>
              <w:rFonts w:asciiTheme="minorHAnsi" w:hAnsiTheme="minorHAnsi"/>
              <w:noProof/>
              <w:sz w:val="24"/>
              <w:szCs w:val="24"/>
              <w:lang w:eastAsia="en-GB"/>
            </w:rPr>
          </w:pPr>
          <w:hyperlink w:anchor="_Toc226533366" w:history="1">
            <w:r w:rsidRPr="00AF3A5D">
              <w:rPr>
                <w:rStyle w:val="Hyperlink"/>
                <w:rFonts w:ascii="Arial" w:hAnsi="Arial" w:cs="Arial"/>
                <w:noProof/>
              </w:rPr>
              <w:t>3.3</w:t>
            </w:r>
            <w:r>
              <w:rPr>
                <w:rFonts w:asciiTheme="minorHAnsi" w:hAnsiTheme="minorHAnsi"/>
                <w:noProof/>
                <w:sz w:val="24"/>
                <w:szCs w:val="24"/>
                <w:lang w:eastAsia="en-GB"/>
              </w:rPr>
              <w:tab/>
            </w:r>
            <w:r w:rsidRPr="00AF3A5D">
              <w:rPr>
                <w:rStyle w:val="Hyperlink"/>
                <w:rFonts w:ascii="Arial" w:hAnsi="Arial" w:cs="Arial"/>
                <w:noProof/>
              </w:rPr>
              <w:t>– Searching for Information</w:t>
            </w:r>
            <w:r>
              <w:rPr>
                <w:noProof/>
                <w:webHidden/>
              </w:rPr>
              <w:tab/>
            </w:r>
            <w:r>
              <w:rPr>
                <w:noProof/>
                <w:webHidden/>
              </w:rPr>
              <w:fldChar w:fldCharType="begin"/>
            </w:r>
            <w:r>
              <w:rPr>
                <w:noProof/>
                <w:webHidden/>
              </w:rPr>
              <w:instrText xml:space="preserve"> PAGEREF _Toc226533366 \h </w:instrText>
            </w:r>
            <w:r>
              <w:rPr>
                <w:noProof/>
                <w:webHidden/>
              </w:rPr>
            </w:r>
            <w:r>
              <w:rPr>
                <w:noProof/>
                <w:webHidden/>
              </w:rPr>
              <w:fldChar w:fldCharType="separate"/>
            </w:r>
            <w:r>
              <w:rPr>
                <w:noProof/>
                <w:webHidden/>
              </w:rPr>
              <w:t>23</w:t>
            </w:r>
            <w:r>
              <w:rPr>
                <w:noProof/>
                <w:webHidden/>
              </w:rPr>
              <w:fldChar w:fldCharType="end"/>
            </w:r>
          </w:hyperlink>
        </w:p>
        <w:p w14:paraId="0BBBA949" w14:textId="10036D44" w:rsidR="0084464F" w:rsidRDefault="0084464F">
          <w:pPr>
            <w:pStyle w:val="TOC2"/>
            <w:tabs>
              <w:tab w:val="left" w:pos="960"/>
              <w:tab w:val="right" w:leader="dot" w:pos="9016"/>
            </w:tabs>
            <w:rPr>
              <w:rFonts w:asciiTheme="minorHAnsi" w:hAnsiTheme="minorHAnsi"/>
              <w:noProof/>
              <w:sz w:val="24"/>
              <w:szCs w:val="24"/>
              <w:lang w:eastAsia="en-GB"/>
            </w:rPr>
          </w:pPr>
          <w:hyperlink w:anchor="_Toc226533367" w:history="1">
            <w:r w:rsidRPr="00AF3A5D">
              <w:rPr>
                <w:rStyle w:val="Hyperlink"/>
                <w:rFonts w:ascii="Arial" w:hAnsi="Arial" w:cs="Arial"/>
                <w:noProof/>
              </w:rPr>
              <w:t>3.4</w:t>
            </w:r>
            <w:r>
              <w:rPr>
                <w:rFonts w:asciiTheme="minorHAnsi" w:hAnsiTheme="minorHAnsi"/>
                <w:noProof/>
                <w:sz w:val="24"/>
                <w:szCs w:val="24"/>
                <w:lang w:eastAsia="en-GB"/>
              </w:rPr>
              <w:tab/>
            </w:r>
            <w:r w:rsidRPr="00AF3A5D">
              <w:rPr>
                <w:rStyle w:val="Hyperlink"/>
                <w:rFonts w:ascii="Arial" w:hAnsi="Arial" w:cs="Arial"/>
                <w:noProof/>
              </w:rPr>
              <w:t>– Research Validation</w:t>
            </w:r>
            <w:r>
              <w:rPr>
                <w:noProof/>
                <w:webHidden/>
              </w:rPr>
              <w:tab/>
            </w:r>
            <w:r>
              <w:rPr>
                <w:noProof/>
                <w:webHidden/>
              </w:rPr>
              <w:fldChar w:fldCharType="begin"/>
            </w:r>
            <w:r>
              <w:rPr>
                <w:noProof/>
                <w:webHidden/>
              </w:rPr>
              <w:instrText xml:space="preserve"> PAGEREF _Toc226533367 \h </w:instrText>
            </w:r>
            <w:r>
              <w:rPr>
                <w:noProof/>
                <w:webHidden/>
              </w:rPr>
            </w:r>
            <w:r>
              <w:rPr>
                <w:noProof/>
                <w:webHidden/>
              </w:rPr>
              <w:fldChar w:fldCharType="separate"/>
            </w:r>
            <w:r>
              <w:rPr>
                <w:noProof/>
                <w:webHidden/>
              </w:rPr>
              <w:t>23</w:t>
            </w:r>
            <w:r>
              <w:rPr>
                <w:noProof/>
                <w:webHidden/>
              </w:rPr>
              <w:fldChar w:fldCharType="end"/>
            </w:r>
          </w:hyperlink>
        </w:p>
        <w:p w14:paraId="395A04BA" w14:textId="448029BB" w:rsidR="0084464F" w:rsidRDefault="0084464F">
          <w:pPr>
            <w:pStyle w:val="TOC2"/>
            <w:tabs>
              <w:tab w:val="left" w:pos="960"/>
              <w:tab w:val="right" w:leader="dot" w:pos="9016"/>
            </w:tabs>
            <w:rPr>
              <w:rFonts w:asciiTheme="minorHAnsi" w:hAnsiTheme="minorHAnsi"/>
              <w:noProof/>
              <w:sz w:val="24"/>
              <w:szCs w:val="24"/>
              <w:lang w:eastAsia="en-GB"/>
            </w:rPr>
          </w:pPr>
          <w:hyperlink w:anchor="_Toc226533368" w:history="1">
            <w:r w:rsidRPr="00AF3A5D">
              <w:rPr>
                <w:rStyle w:val="Hyperlink"/>
                <w:rFonts w:ascii="Arial" w:hAnsi="Arial" w:cs="Arial"/>
                <w:noProof/>
              </w:rPr>
              <w:t>3.5</w:t>
            </w:r>
            <w:r>
              <w:rPr>
                <w:rFonts w:asciiTheme="minorHAnsi" w:hAnsiTheme="minorHAnsi"/>
                <w:noProof/>
                <w:sz w:val="24"/>
                <w:szCs w:val="24"/>
                <w:lang w:eastAsia="en-GB"/>
              </w:rPr>
              <w:tab/>
            </w:r>
            <w:r w:rsidRPr="00AF3A5D">
              <w:rPr>
                <w:rStyle w:val="Hyperlink"/>
                <w:rFonts w:ascii="Arial" w:hAnsi="Arial" w:cs="Arial"/>
                <w:noProof/>
              </w:rPr>
              <w:t>- Inclusion and Exclusion Criteria</w:t>
            </w:r>
            <w:r>
              <w:rPr>
                <w:noProof/>
                <w:webHidden/>
              </w:rPr>
              <w:tab/>
            </w:r>
            <w:r>
              <w:rPr>
                <w:noProof/>
                <w:webHidden/>
              </w:rPr>
              <w:fldChar w:fldCharType="begin"/>
            </w:r>
            <w:r>
              <w:rPr>
                <w:noProof/>
                <w:webHidden/>
              </w:rPr>
              <w:instrText xml:space="preserve"> PAGEREF _Toc226533368 \h </w:instrText>
            </w:r>
            <w:r>
              <w:rPr>
                <w:noProof/>
                <w:webHidden/>
              </w:rPr>
            </w:r>
            <w:r>
              <w:rPr>
                <w:noProof/>
                <w:webHidden/>
              </w:rPr>
              <w:fldChar w:fldCharType="separate"/>
            </w:r>
            <w:r>
              <w:rPr>
                <w:noProof/>
                <w:webHidden/>
              </w:rPr>
              <w:t>25</w:t>
            </w:r>
            <w:r>
              <w:rPr>
                <w:noProof/>
                <w:webHidden/>
              </w:rPr>
              <w:fldChar w:fldCharType="end"/>
            </w:r>
          </w:hyperlink>
        </w:p>
        <w:p w14:paraId="4D7417AE" w14:textId="05A14D06" w:rsidR="0084464F" w:rsidRDefault="0084464F">
          <w:pPr>
            <w:pStyle w:val="TOC2"/>
            <w:tabs>
              <w:tab w:val="left" w:pos="960"/>
              <w:tab w:val="right" w:leader="dot" w:pos="9016"/>
            </w:tabs>
            <w:rPr>
              <w:rFonts w:asciiTheme="minorHAnsi" w:hAnsiTheme="minorHAnsi"/>
              <w:noProof/>
              <w:sz w:val="24"/>
              <w:szCs w:val="24"/>
              <w:lang w:eastAsia="en-GB"/>
            </w:rPr>
          </w:pPr>
          <w:hyperlink w:anchor="_Toc226533369" w:history="1">
            <w:r w:rsidRPr="00AF3A5D">
              <w:rPr>
                <w:rStyle w:val="Hyperlink"/>
                <w:rFonts w:ascii="Arial" w:hAnsi="Arial" w:cs="Arial"/>
                <w:noProof/>
              </w:rPr>
              <w:t>3.6</w:t>
            </w:r>
            <w:r>
              <w:rPr>
                <w:rFonts w:asciiTheme="minorHAnsi" w:hAnsiTheme="minorHAnsi"/>
                <w:noProof/>
                <w:sz w:val="24"/>
                <w:szCs w:val="24"/>
                <w:lang w:eastAsia="en-GB"/>
              </w:rPr>
              <w:tab/>
            </w:r>
            <w:r w:rsidRPr="00AF3A5D">
              <w:rPr>
                <w:rStyle w:val="Hyperlink"/>
                <w:rFonts w:ascii="Arial" w:hAnsi="Arial" w:cs="Arial"/>
                <w:noProof/>
              </w:rPr>
              <w:t>– Analysing Research</w:t>
            </w:r>
            <w:r>
              <w:rPr>
                <w:noProof/>
                <w:webHidden/>
              </w:rPr>
              <w:tab/>
            </w:r>
            <w:r>
              <w:rPr>
                <w:noProof/>
                <w:webHidden/>
              </w:rPr>
              <w:fldChar w:fldCharType="begin"/>
            </w:r>
            <w:r>
              <w:rPr>
                <w:noProof/>
                <w:webHidden/>
              </w:rPr>
              <w:instrText xml:space="preserve"> PAGEREF _Toc226533369 \h </w:instrText>
            </w:r>
            <w:r>
              <w:rPr>
                <w:noProof/>
                <w:webHidden/>
              </w:rPr>
            </w:r>
            <w:r>
              <w:rPr>
                <w:noProof/>
                <w:webHidden/>
              </w:rPr>
              <w:fldChar w:fldCharType="separate"/>
            </w:r>
            <w:r>
              <w:rPr>
                <w:noProof/>
                <w:webHidden/>
              </w:rPr>
              <w:t>26</w:t>
            </w:r>
            <w:r>
              <w:rPr>
                <w:noProof/>
                <w:webHidden/>
              </w:rPr>
              <w:fldChar w:fldCharType="end"/>
            </w:r>
          </w:hyperlink>
        </w:p>
        <w:p w14:paraId="79BD4C51" w14:textId="66EC587B" w:rsidR="0084464F" w:rsidRDefault="0084464F">
          <w:pPr>
            <w:pStyle w:val="TOC2"/>
            <w:tabs>
              <w:tab w:val="left" w:pos="960"/>
              <w:tab w:val="right" w:leader="dot" w:pos="9016"/>
            </w:tabs>
            <w:rPr>
              <w:rFonts w:asciiTheme="minorHAnsi" w:hAnsiTheme="minorHAnsi"/>
              <w:noProof/>
              <w:sz w:val="24"/>
              <w:szCs w:val="24"/>
              <w:lang w:eastAsia="en-GB"/>
            </w:rPr>
          </w:pPr>
          <w:hyperlink w:anchor="_Toc226533370" w:history="1">
            <w:r w:rsidRPr="00AF3A5D">
              <w:rPr>
                <w:rStyle w:val="Hyperlink"/>
                <w:rFonts w:ascii="Arial" w:hAnsi="Arial" w:cs="Arial"/>
                <w:noProof/>
              </w:rPr>
              <w:t>3.7</w:t>
            </w:r>
            <w:r>
              <w:rPr>
                <w:rFonts w:asciiTheme="minorHAnsi" w:hAnsiTheme="minorHAnsi"/>
                <w:noProof/>
                <w:sz w:val="24"/>
                <w:szCs w:val="24"/>
                <w:lang w:eastAsia="en-GB"/>
              </w:rPr>
              <w:tab/>
            </w:r>
            <w:r w:rsidRPr="00AF3A5D">
              <w:rPr>
                <w:rStyle w:val="Hyperlink"/>
                <w:rFonts w:ascii="Arial" w:hAnsi="Arial" w:cs="Arial"/>
                <w:noProof/>
              </w:rPr>
              <w:t>– Ethical Considerations</w:t>
            </w:r>
            <w:r>
              <w:rPr>
                <w:noProof/>
                <w:webHidden/>
              </w:rPr>
              <w:tab/>
            </w:r>
            <w:r>
              <w:rPr>
                <w:noProof/>
                <w:webHidden/>
              </w:rPr>
              <w:fldChar w:fldCharType="begin"/>
            </w:r>
            <w:r>
              <w:rPr>
                <w:noProof/>
                <w:webHidden/>
              </w:rPr>
              <w:instrText xml:space="preserve"> PAGEREF _Toc226533370 \h </w:instrText>
            </w:r>
            <w:r>
              <w:rPr>
                <w:noProof/>
                <w:webHidden/>
              </w:rPr>
            </w:r>
            <w:r>
              <w:rPr>
                <w:noProof/>
                <w:webHidden/>
              </w:rPr>
              <w:fldChar w:fldCharType="separate"/>
            </w:r>
            <w:r>
              <w:rPr>
                <w:noProof/>
                <w:webHidden/>
              </w:rPr>
              <w:t>26</w:t>
            </w:r>
            <w:r>
              <w:rPr>
                <w:noProof/>
                <w:webHidden/>
              </w:rPr>
              <w:fldChar w:fldCharType="end"/>
            </w:r>
          </w:hyperlink>
        </w:p>
        <w:p w14:paraId="6E25C505" w14:textId="0F412026" w:rsidR="0084464F" w:rsidRDefault="0084464F">
          <w:pPr>
            <w:pStyle w:val="TOC2"/>
            <w:tabs>
              <w:tab w:val="right" w:leader="dot" w:pos="9016"/>
            </w:tabs>
            <w:rPr>
              <w:rFonts w:asciiTheme="minorHAnsi" w:hAnsiTheme="minorHAnsi"/>
              <w:noProof/>
              <w:sz w:val="24"/>
              <w:szCs w:val="24"/>
              <w:lang w:eastAsia="en-GB"/>
            </w:rPr>
          </w:pPr>
          <w:hyperlink w:anchor="_Toc226533371" w:history="1">
            <w:r w:rsidRPr="00AF3A5D">
              <w:rPr>
                <w:rStyle w:val="Hyperlink"/>
                <w:rFonts w:ascii="Arial" w:hAnsi="Arial" w:cs="Arial"/>
                <w:noProof/>
              </w:rPr>
              <w:t>3.8 – Chapter Conclusion (100 words approx.)</w:t>
            </w:r>
            <w:r>
              <w:rPr>
                <w:noProof/>
                <w:webHidden/>
              </w:rPr>
              <w:tab/>
            </w:r>
            <w:r>
              <w:rPr>
                <w:noProof/>
                <w:webHidden/>
              </w:rPr>
              <w:fldChar w:fldCharType="begin"/>
            </w:r>
            <w:r>
              <w:rPr>
                <w:noProof/>
                <w:webHidden/>
              </w:rPr>
              <w:instrText xml:space="preserve"> PAGEREF _Toc226533371 \h </w:instrText>
            </w:r>
            <w:r>
              <w:rPr>
                <w:noProof/>
                <w:webHidden/>
              </w:rPr>
            </w:r>
            <w:r>
              <w:rPr>
                <w:noProof/>
                <w:webHidden/>
              </w:rPr>
              <w:fldChar w:fldCharType="separate"/>
            </w:r>
            <w:r>
              <w:rPr>
                <w:noProof/>
                <w:webHidden/>
              </w:rPr>
              <w:t>27</w:t>
            </w:r>
            <w:r>
              <w:rPr>
                <w:noProof/>
                <w:webHidden/>
              </w:rPr>
              <w:fldChar w:fldCharType="end"/>
            </w:r>
          </w:hyperlink>
        </w:p>
        <w:p w14:paraId="3A044BED" w14:textId="198F37F4" w:rsidR="0084464F" w:rsidRDefault="0084464F">
          <w:pPr>
            <w:pStyle w:val="TOC1"/>
            <w:tabs>
              <w:tab w:val="right" w:leader="dot" w:pos="9016"/>
            </w:tabs>
            <w:rPr>
              <w:rFonts w:asciiTheme="minorHAnsi" w:hAnsiTheme="minorHAnsi"/>
              <w:noProof/>
              <w:sz w:val="24"/>
              <w:szCs w:val="24"/>
              <w:lang w:eastAsia="en-GB"/>
            </w:rPr>
          </w:pPr>
          <w:hyperlink w:anchor="_Toc226533372" w:history="1">
            <w:r w:rsidRPr="00AF3A5D">
              <w:rPr>
                <w:rStyle w:val="Hyperlink"/>
                <w:rFonts w:cs="Arial"/>
                <w:noProof/>
                <w:lang w:bidi="en-GB"/>
              </w:rPr>
              <w:t>CHAPTER 4 – Findings and Discussion</w:t>
            </w:r>
            <w:r>
              <w:rPr>
                <w:noProof/>
                <w:webHidden/>
              </w:rPr>
              <w:tab/>
            </w:r>
            <w:r>
              <w:rPr>
                <w:noProof/>
                <w:webHidden/>
              </w:rPr>
              <w:fldChar w:fldCharType="begin"/>
            </w:r>
            <w:r>
              <w:rPr>
                <w:noProof/>
                <w:webHidden/>
              </w:rPr>
              <w:instrText xml:space="preserve"> PAGEREF _Toc226533372 \h </w:instrText>
            </w:r>
            <w:r>
              <w:rPr>
                <w:noProof/>
                <w:webHidden/>
              </w:rPr>
            </w:r>
            <w:r>
              <w:rPr>
                <w:noProof/>
                <w:webHidden/>
              </w:rPr>
              <w:fldChar w:fldCharType="separate"/>
            </w:r>
            <w:r>
              <w:rPr>
                <w:noProof/>
                <w:webHidden/>
              </w:rPr>
              <w:t>28</w:t>
            </w:r>
            <w:r>
              <w:rPr>
                <w:noProof/>
                <w:webHidden/>
              </w:rPr>
              <w:fldChar w:fldCharType="end"/>
            </w:r>
          </w:hyperlink>
        </w:p>
        <w:p w14:paraId="51E1875B" w14:textId="2369A492" w:rsidR="0084464F" w:rsidRDefault="0084464F">
          <w:pPr>
            <w:pStyle w:val="TOC2"/>
            <w:tabs>
              <w:tab w:val="right" w:leader="dot" w:pos="9016"/>
            </w:tabs>
            <w:rPr>
              <w:rFonts w:asciiTheme="minorHAnsi" w:hAnsiTheme="minorHAnsi"/>
              <w:noProof/>
              <w:sz w:val="24"/>
              <w:szCs w:val="24"/>
              <w:lang w:eastAsia="en-GB"/>
            </w:rPr>
          </w:pPr>
          <w:hyperlink w:anchor="_Toc226533373" w:history="1">
            <w:r w:rsidRPr="00AF3A5D">
              <w:rPr>
                <w:rStyle w:val="Hyperlink"/>
                <w:rFonts w:ascii="Arial" w:hAnsi="Arial" w:cs="Arial"/>
                <w:noProof/>
              </w:rPr>
              <w:t>4.1 – Introduction</w:t>
            </w:r>
            <w:r>
              <w:rPr>
                <w:noProof/>
                <w:webHidden/>
              </w:rPr>
              <w:tab/>
            </w:r>
            <w:r>
              <w:rPr>
                <w:noProof/>
                <w:webHidden/>
              </w:rPr>
              <w:fldChar w:fldCharType="begin"/>
            </w:r>
            <w:r>
              <w:rPr>
                <w:noProof/>
                <w:webHidden/>
              </w:rPr>
              <w:instrText xml:space="preserve"> PAGEREF _Toc226533373 \h </w:instrText>
            </w:r>
            <w:r>
              <w:rPr>
                <w:noProof/>
                <w:webHidden/>
              </w:rPr>
            </w:r>
            <w:r>
              <w:rPr>
                <w:noProof/>
                <w:webHidden/>
              </w:rPr>
              <w:fldChar w:fldCharType="separate"/>
            </w:r>
            <w:r>
              <w:rPr>
                <w:noProof/>
                <w:webHidden/>
              </w:rPr>
              <w:t>28</w:t>
            </w:r>
            <w:r>
              <w:rPr>
                <w:noProof/>
                <w:webHidden/>
              </w:rPr>
              <w:fldChar w:fldCharType="end"/>
            </w:r>
          </w:hyperlink>
        </w:p>
        <w:p w14:paraId="54129A1B" w14:textId="43B63EB5" w:rsidR="0084464F" w:rsidRDefault="0084464F">
          <w:pPr>
            <w:pStyle w:val="TOC2"/>
            <w:tabs>
              <w:tab w:val="right" w:leader="dot" w:pos="9016"/>
            </w:tabs>
            <w:rPr>
              <w:rFonts w:asciiTheme="minorHAnsi" w:hAnsiTheme="minorHAnsi"/>
              <w:noProof/>
              <w:sz w:val="24"/>
              <w:szCs w:val="24"/>
              <w:lang w:eastAsia="en-GB"/>
            </w:rPr>
          </w:pPr>
          <w:hyperlink w:anchor="_Toc226533374" w:history="1">
            <w:r w:rsidRPr="00AF3A5D">
              <w:rPr>
                <w:rStyle w:val="Hyperlink"/>
                <w:rFonts w:ascii="Arial" w:hAnsi="Arial" w:cs="Arial"/>
                <w:noProof/>
              </w:rPr>
              <w:t>4.2 – Thematic Analysis</w:t>
            </w:r>
            <w:r>
              <w:rPr>
                <w:noProof/>
                <w:webHidden/>
              </w:rPr>
              <w:tab/>
            </w:r>
            <w:r>
              <w:rPr>
                <w:noProof/>
                <w:webHidden/>
              </w:rPr>
              <w:fldChar w:fldCharType="begin"/>
            </w:r>
            <w:r>
              <w:rPr>
                <w:noProof/>
                <w:webHidden/>
              </w:rPr>
              <w:instrText xml:space="preserve"> PAGEREF _Toc226533374 \h </w:instrText>
            </w:r>
            <w:r>
              <w:rPr>
                <w:noProof/>
                <w:webHidden/>
              </w:rPr>
            </w:r>
            <w:r>
              <w:rPr>
                <w:noProof/>
                <w:webHidden/>
              </w:rPr>
              <w:fldChar w:fldCharType="separate"/>
            </w:r>
            <w:r>
              <w:rPr>
                <w:noProof/>
                <w:webHidden/>
              </w:rPr>
              <w:t>28</w:t>
            </w:r>
            <w:r>
              <w:rPr>
                <w:noProof/>
                <w:webHidden/>
              </w:rPr>
              <w:fldChar w:fldCharType="end"/>
            </w:r>
          </w:hyperlink>
        </w:p>
        <w:p w14:paraId="68AED4CC" w14:textId="5F64BCEC" w:rsidR="0084464F" w:rsidRDefault="0084464F">
          <w:pPr>
            <w:pStyle w:val="TOC2"/>
            <w:tabs>
              <w:tab w:val="right" w:leader="dot" w:pos="9016"/>
            </w:tabs>
            <w:rPr>
              <w:rFonts w:asciiTheme="minorHAnsi" w:hAnsiTheme="minorHAnsi"/>
              <w:noProof/>
              <w:sz w:val="24"/>
              <w:szCs w:val="24"/>
              <w:lang w:eastAsia="en-GB"/>
            </w:rPr>
          </w:pPr>
          <w:hyperlink w:anchor="_Toc226533375" w:history="1">
            <w:r w:rsidRPr="00AF3A5D">
              <w:rPr>
                <w:rStyle w:val="Hyperlink"/>
                <w:rFonts w:ascii="Arial" w:hAnsi="Arial" w:cs="Arial"/>
                <w:noProof/>
              </w:rPr>
              <w:t>4.3 – Theme 1 – Disproportionate Mental Health Need</w:t>
            </w:r>
            <w:r>
              <w:rPr>
                <w:noProof/>
                <w:webHidden/>
              </w:rPr>
              <w:tab/>
            </w:r>
            <w:r>
              <w:rPr>
                <w:noProof/>
                <w:webHidden/>
              </w:rPr>
              <w:fldChar w:fldCharType="begin"/>
            </w:r>
            <w:r>
              <w:rPr>
                <w:noProof/>
                <w:webHidden/>
              </w:rPr>
              <w:instrText xml:space="preserve"> PAGEREF _Toc226533375 \h </w:instrText>
            </w:r>
            <w:r>
              <w:rPr>
                <w:noProof/>
                <w:webHidden/>
              </w:rPr>
            </w:r>
            <w:r>
              <w:rPr>
                <w:noProof/>
                <w:webHidden/>
              </w:rPr>
              <w:fldChar w:fldCharType="separate"/>
            </w:r>
            <w:r>
              <w:rPr>
                <w:noProof/>
                <w:webHidden/>
              </w:rPr>
              <w:t>29</w:t>
            </w:r>
            <w:r>
              <w:rPr>
                <w:noProof/>
                <w:webHidden/>
              </w:rPr>
              <w:fldChar w:fldCharType="end"/>
            </w:r>
          </w:hyperlink>
        </w:p>
        <w:p w14:paraId="162691E5" w14:textId="3193F7F3" w:rsidR="0084464F" w:rsidRDefault="0084464F">
          <w:pPr>
            <w:pStyle w:val="TOC2"/>
            <w:tabs>
              <w:tab w:val="right" w:leader="dot" w:pos="9016"/>
            </w:tabs>
            <w:rPr>
              <w:rFonts w:asciiTheme="minorHAnsi" w:hAnsiTheme="minorHAnsi"/>
              <w:noProof/>
              <w:sz w:val="24"/>
              <w:szCs w:val="24"/>
              <w:lang w:eastAsia="en-GB"/>
            </w:rPr>
          </w:pPr>
          <w:hyperlink w:anchor="_Toc226533376" w:history="1">
            <w:r w:rsidRPr="00AF3A5D">
              <w:rPr>
                <w:rStyle w:val="Hyperlink"/>
                <w:rFonts w:ascii="Arial" w:hAnsi="Arial" w:cs="Arial"/>
                <w:noProof/>
              </w:rPr>
              <w:t>4.4 – Theme 2 – Fragmented and Uneven Service Provision</w:t>
            </w:r>
            <w:r>
              <w:rPr>
                <w:noProof/>
                <w:webHidden/>
              </w:rPr>
              <w:tab/>
            </w:r>
            <w:r>
              <w:rPr>
                <w:noProof/>
                <w:webHidden/>
              </w:rPr>
              <w:fldChar w:fldCharType="begin"/>
            </w:r>
            <w:r>
              <w:rPr>
                <w:noProof/>
                <w:webHidden/>
              </w:rPr>
              <w:instrText xml:space="preserve"> PAGEREF _Toc226533376 \h </w:instrText>
            </w:r>
            <w:r>
              <w:rPr>
                <w:noProof/>
                <w:webHidden/>
              </w:rPr>
            </w:r>
            <w:r>
              <w:rPr>
                <w:noProof/>
                <w:webHidden/>
              </w:rPr>
              <w:fldChar w:fldCharType="separate"/>
            </w:r>
            <w:r>
              <w:rPr>
                <w:noProof/>
                <w:webHidden/>
              </w:rPr>
              <w:t>34</w:t>
            </w:r>
            <w:r>
              <w:rPr>
                <w:noProof/>
                <w:webHidden/>
              </w:rPr>
              <w:fldChar w:fldCharType="end"/>
            </w:r>
          </w:hyperlink>
        </w:p>
        <w:p w14:paraId="60B7B45D" w14:textId="3BF39D79" w:rsidR="0084464F" w:rsidRDefault="0084464F">
          <w:pPr>
            <w:pStyle w:val="TOC2"/>
            <w:tabs>
              <w:tab w:val="right" w:leader="dot" w:pos="9016"/>
            </w:tabs>
            <w:rPr>
              <w:rFonts w:asciiTheme="minorHAnsi" w:hAnsiTheme="minorHAnsi"/>
              <w:noProof/>
              <w:sz w:val="24"/>
              <w:szCs w:val="24"/>
              <w:lang w:eastAsia="en-GB"/>
            </w:rPr>
          </w:pPr>
          <w:hyperlink w:anchor="_Toc226533377" w:history="1">
            <w:r w:rsidRPr="00AF3A5D">
              <w:rPr>
                <w:rStyle w:val="Hyperlink"/>
                <w:rFonts w:ascii="Arial" w:hAnsi="Arial" w:cs="Arial"/>
                <w:noProof/>
              </w:rPr>
              <w:t>4.5 – Theme 3 – Continuity and Relational Support as Protective Factors</w:t>
            </w:r>
            <w:r>
              <w:rPr>
                <w:noProof/>
                <w:webHidden/>
              </w:rPr>
              <w:tab/>
            </w:r>
            <w:r>
              <w:rPr>
                <w:noProof/>
                <w:webHidden/>
              </w:rPr>
              <w:fldChar w:fldCharType="begin"/>
            </w:r>
            <w:r>
              <w:rPr>
                <w:noProof/>
                <w:webHidden/>
              </w:rPr>
              <w:instrText xml:space="preserve"> PAGEREF _Toc226533377 \h </w:instrText>
            </w:r>
            <w:r>
              <w:rPr>
                <w:noProof/>
                <w:webHidden/>
              </w:rPr>
            </w:r>
            <w:r>
              <w:rPr>
                <w:noProof/>
                <w:webHidden/>
              </w:rPr>
              <w:fldChar w:fldCharType="separate"/>
            </w:r>
            <w:r>
              <w:rPr>
                <w:noProof/>
                <w:webHidden/>
              </w:rPr>
              <w:t>38</w:t>
            </w:r>
            <w:r>
              <w:rPr>
                <w:noProof/>
                <w:webHidden/>
              </w:rPr>
              <w:fldChar w:fldCharType="end"/>
            </w:r>
          </w:hyperlink>
        </w:p>
        <w:p w14:paraId="028F3A24" w14:textId="1DAD257E" w:rsidR="0084464F" w:rsidRDefault="0084464F">
          <w:pPr>
            <w:pStyle w:val="TOC2"/>
            <w:tabs>
              <w:tab w:val="right" w:leader="dot" w:pos="9016"/>
            </w:tabs>
            <w:rPr>
              <w:rFonts w:asciiTheme="minorHAnsi" w:hAnsiTheme="minorHAnsi"/>
              <w:noProof/>
              <w:sz w:val="24"/>
              <w:szCs w:val="24"/>
              <w:lang w:eastAsia="en-GB"/>
            </w:rPr>
          </w:pPr>
          <w:hyperlink w:anchor="_Toc226533378" w:history="1">
            <w:r w:rsidRPr="00AF3A5D">
              <w:rPr>
                <w:rStyle w:val="Hyperlink"/>
                <w:rFonts w:ascii="Arial" w:hAnsi="Arial" w:cs="Arial"/>
                <w:noProof/>
              </w:rPr>
              <w:t>4.6 – Chapter Conclusion</w:t>
            </w:r>
            <w:r>
              <w:rPr>
                <w:noProof/>
                <w:webHidden/>
              </w:rPr>
              <w:tab/>
            </w:r>
            <w:r>
              <w:rPr>
                <w:noProof/>
                <w:webHidden/>
              </w:rPr>
              <w:fldChar w:fldCharType="begin"/>
            </w:r>
            <w:r>
              <w:rPr>
                <w:noProof/>
                <w:webHidden/>
              </w:rPr>
              <w:instrText xml:space="preserve"> PAGEREF _Toc226533378 \h </w:instrText>
            </w:r>
            <w:r>
              <w:rPr>
                <w:noProof/>
                <w:webHidden/>
              </w:rPr>
            </w:r>
            <w:r>
              <w:rPr>
                <w:noProof/>
                <w:webHidden/>
              </w:rPr>
              <w:fldChar w:fldCharType="separate"/>
            </w:r>
            <w:r>
              <w:rPr>
                <w:noProof/>
                <w:webHidden/>
              </w:rPr>
              <w:t>42</w:t>
            </w:r>
            <w:r>
              <w:rPr>
                <w:noProof/>
                <w:webHidden/>
              </w:rPr>
              <w:fldChar w:fldCharType="end"/>
            </w:r>
          </w:hyperlink>
        </w:p>
        <w:p w14:paraId="4BB62F33" w14:textId="64187E17" w:rsidR="0084464F" w:rsidRDefault="0084464F">
          <w:pPr>
            <w:pStyle w:val="TOC1"/>
            <w:tabs>
              <w:tab w:val="right" w:leader="dot" w:pos="9016"/>
            </w:tabs>
            <w:rPr>
              <w:rFonts w:asciiTheme="minorHAnsi" w:hAnsiTheme="minorHAnsi"/>
              <w:noProof/>
              <w:sz w:val="24"/>
              <w:szCs w:val="24"/>
              <w:lang w:eastAsia="en-GB"/>
            </w:rPr>
          </w:pPr>
          <w:hyperlink w:anchor="_Toc226533379" w:history="1">
            <w:r w:rsidRPr="00AF3A5D">
              <w:rPr>
                <w:rStyle w:val="Hyperlink"/>
                <w:rFonts w:cs="Arial"/>
                <w:noProof/>
                <w:lang w:bidi="en-GB"/>
              </w:rPr>
              <w:t>CHAPTER 5 – Conclusion and Recommendations</w:t>
            </w:r>
            <w:r>
              <w:rPr>
                <w:noProof/>
                <w:webHidden/>
              </w:rPr>
              <w:tab/>
            </w:r>
            <w:r>
              <w:rPr>
                <w:noProof/>
                <w:webHidden/>
              </w:rPr>
              <w:fldChar w:fldCharType="begin"/>
            </w:r>
            <w:r>
              <w:rPr>
                <w:noProof/>
                <w:webHidden/>
              </w:rPr>
              <w:instrText xml:space="preserve"> PAGEREF _Toc226533379 \h </w:instrText>
            </w:r>
            <w:r>
              <w:rPr>
                <w:noProof/>
                <w:webHidden/>
              </w:rPr>
            </w:r>
            <w:r>
              <w:rPr>
                <w:noProof/>
                <w:webHidden/>
              </w:rPr>
              <w:fldChar w:fldCharType="separate"/>
            </w:r>
            <w:r>
              <w:rPr>
                <w:noProof/>
                <w:webHidden/>
              </w:rPr>
              <w:t>43</w:t>
            </w:r>
            <w:r>
              <w:rPr>
                <w:noProof/>
                <w:webHidden/>
              </w:rPr>
              <w:fldChar w:fldCharType="end"/>
            </w:r>
          </w:hyperlink>
        </w:p>
        <w:p w14:paraId="273D933E" w14:textId="0B9F81C9" w:rsidR="0084464F" w:rsidRDefault="0084464F">
          <w:pPr>
            <w:pStyle w:val="TOC2"/>
            <w:tabs>
              <w:tab w:val="right" w:leader="dot" w:pos="9016"/>
            </w:tabs>
            <w:rPr>
              <w:rFonts w:asciiTheme="minorHAnsi" w:hAnsiTheme="minorHAnsi"/>
              <w:noProof/>
              <w:sz w:val="24"/>
              <w:szCs w:val="24"/>
              <w:lang w:eastAsia="en-GB"/>
            </w:rPr>
          </w:pPr>
          <w:hyperlink w:anchor="_Toc226533380" w:history="1">
            <w:r w:rsidRPr="00AF3A5D">
              <w:rPr>
                <w:rStyle w:val="Hyperlink"/>
                <w:rFonts w:ascii="Arial" w:hAnsi="Arial" w:cs="Arial"/>
                <w:noProof/>
              </w:rPr>
              <w:t>5.1 – Overall Conclusion</w:t>
            </w:r>
            <w:r>
              <w:rPr>
                <w:noProof/>
                <w:webHidden/>
              </w:rPr>
              <w:tab/>
            </w:r>
            <w:r>
              <w:rPr>
                <w:noProof/>
                <w:webHidden/>
              </w:rPr>
              <w:fldChar w:fldCharType="begin"/>
            </w:r>
            <w:r>
              <w:rPr>
                <w:noProof/>
                <w:webHidden/>
              </w:rPr>
              <w:instrText xml:space="preserve"> PAGEREF _Toc226533380 \h </w:instrText>
            </w:r>
            <w:r>
              <w:rPr>
                <w:noProof/>
                <w:webHidden/>
              </w:rPr>
            </w:r>
            <w:r>
              <w:rPr>
                <w:noProof/>
                <w:webHidden/>
              </w:rPr>
              <w:fldChar w:fldCharType="separate"/>
            </w:r>
            <w:r>
              <w:rPr>
                <w:noProof/>
                <w:webHidden/>
              </w:rPr>
              <w:t>43</w:t>
            </w:r>
            <w:r>
              <w:rPr>
                <w:noProof/>
                <w:webHidden/>
              </w:rPr>
              <w:fldChar w:fldCharType="end"/>
            </w:r>
          </w:hyperlink>
        </w:p>
        <w:p w14:paraId="00468898" w14:textId="765EEC4A" w:rsidR="0084464F" w:rsidRDefault="0084464F">
          <w:pPr>
            <w:pStyle w:val="TOC2"/>
            <w:tabs>
              <w:tab w:val="right" w:leader="dot" w:pos="9016"/>
            </w:tabs>
            <w:rPr>
              <w:rFonts w:asciiTheme="minorHAnsi" w:hAnsiTheme="minorHAnsi"/>
              <w:noProof/>
              <w:sz w:val="24"/>
              <w:szCs w:val="24"/>
              <w:lang w:eastAsia="en-GB"/>
            </w:rPr>
          </w:pPr>
          <w:hyperlink w:anchor="_Toc226533381" w:history="1">
            <w:r w:rsidRPr="00AF3A5D">
              <w:rPr>
                <w:rStyle w:val="Hyperlink"/>
                <w:rFonts w:ascii="Arial" w:hAnsi="Arial" w:cs="Arial"/>
                <w:noProof/>
              </w:rPr>
              <w:t>5.2 – Recommendations</w:t>
            </w:r>
            <w:r>
              <w:rPr>
                <w:noProof/>
                <w:webHidden/>
              </w:rPr>
              <w:tab/>
            </w:r>
            <w:r>
              <w:rPr>
                <w:noProof/>
                <w:webHidden/>
              </w:rPr>
              <w:fldChar w:fldCharType="begin"/>
            </w:r>
            <w:r>
              <w:rPr>
                <w:noProof/>
                <w:webHidden/>
              </w:rPr>
              <w:instrText xml:space="preserve"> PAGEREF _Toc226533381 \h </w:instrText>
            </w:r>
            <w:r>
              <w:rPr>
                <w:noProof/>
                <w:webHidden/>
              </w:rPr>
            </w:r>
            <w:r>
              <w:rPr>
                <w:noProof/>
                <w:webHidden/>
              </w:rPr>
              <w:fldChar w:fldCharType="separate"/>
            </w:r>
            <w:r>
              <w:rPr>
                <w:noProof/>
                <w:webHidden/>
              </w:rPr>
              <w:t>43</w:t>
            </w:r>
            <w:r>
              <w:rPr>
                <w:noProof/>
                <w:webHidden/>
              </w:rPr>
              <w:fldChar w:fldCharType="end"/>
            </w:r>
          </w:hyperlink>
        </w:p>
        <w:p w14:paraId="2CF2E53E" w14:textId="1C742D82" w:rsidR="0084464F" w:rsidRDefault="0084464F">
          <w:pPr>
            <w:pStyle w:val="TOC1"/>
            <w:tabs>
              <w:tab w:val="right" w:leader="dot" w:pos="9016"/>
            </w:tabs>
            <w:rPr>
              <w:rFonts w:asciiTheme="minorHAnsi" w:hAnsiTheme="minorHAnsi"/>
              <w:noProof/>
              <w:sz w:val="24"/>
              <w:szCs w:val="24"/>
              <w:lang w:eastAsia="en-GB"/>
            </w:rPr>
          </w:pPr>
          <w:hyperlink w:anchor="_Toc226533382" w:history="1">
            <w:r w:rsidRPr="00AF3A5D">
              <w:rPr>
                <w:rStyle w:val="Hyperlink"/>
                <w:rFonts w:cs="Arial"/>
                <w:noProof/>
                <w:lang w:bidi="en-GB"/>
              </w:rPr>
              <w:t>5.2.1 – Recommendation 1 – Create integrated 16–25 mental health transition pathways</w:t>
            </w:r>
            <w:r>
              <w:rPr>
                <w:noProof/>
                <w:webHidden/>
              </w:rPr>
              <w:tab/>
            </w:r>
            <w:r>
              <w:rPr>
                <w:noProof/>
                <w:webHidden/>
              </w:rPr>
              <w:fldChar w:fldCharType="begin"/>
            </w:r>
            <w:r>
              <w:rPr>
                <w:noProof/>
                <w:webHidden/>
              </w:rPr>
              <w:instrText xml:space="preserve"> PAGEREF _Toc226533382 \h </w:instrText>
            </w:r>
            <w:r>
              <w:rPr>
                <w:noProof/>
                <w:webHidden/>
              </w:rPr>
            </w:r>
            <w:r>
              <w:rPr>
                <w:noProof/>
                <w:webHidden/>
              </w:rPr>
              <w:fldChar w:fldCharType="separate"/>
            </w:r>
            <w:r>
              <w:rPr>
                <w:noProof/>
                <w:webHidden/>
              </w:rPr>
              <w:t>44</w:t>
            </w:r>
            <w:r>
              <w:rPr>
                <w:noProof/>
                <w:webHidden/>
              </w:rPr>
              <w:fldChar w:fldCharType="end"/>
            </w:r>
          </w:hyperlink>
        </w:p>
        <w:p w14:paraId="7D5153F0" w14:textId="6E86DA41" w:rsidR="0084464F" w:rsidRDefault="0084464F">
          <w:pPr>
            <w:pStyle w:val="TOC1"/>
            <w:tabs>
              <w:tab w:val="right" w:leader="dot" w:pos="9016"/>
            </w:tabs>
            <w:rPr>
              <w:rFonts w:asciiTheme="minorHAnsi" w:hAnsiTheme="minorHAnsi"/>
              <w:noProof/>
              <w:sz w:val="24"/>
              <w:szCs w:val="24"/>
              <w:lang w:eastAsia="en-GB"/>
            </w:rPr>
          </w:pPr>
          <w:hyperlink w:anchor="_Toc226533383" w:history="1">
            <w:r w:rsidRPr="00AF3A5D">
              <w:rPr>
                <w:rStyle w:val="Hyperlink"/>
                <w:rFonts w:cs="Arial"/>
                <w:noProof/>
                <w:lang w:bidi="en-GB"/>
              </w:rPr>
              <w:t>5.2.2 – Recommendation 2 - Strengthen continuity and relational support beyond age 18</w:t>
            </w:r>
            <w:r>
              <w:rPr>
                <w:noProof/>
                <w:webHidden/>
              </w:rPr>
              <w:tab/>
            </w:r>
            <w:r>
              <w:rPr>
                <w:noProof/>
                <w:webHidden/>
              </w:rPr>
              <w:fldChar w:fldCharType="begin"/>
            </w:r>
            <w:r>
              <w:rPr>
                <w:noProof/>
                <w:webHidden/>
              </w:rPr>
              <w:instrText xml:space="preserve"> PAGEREF _Toc226533383 \h </w:instrText>
            </w:r>
            <w:r>
              <w:rPr>
                <w:noProof/>
                <w:webHidden/>
              </w:rPr>
            </w:r>
            <w:r>
              <w:rPr>
                <w:noProof/>
                <w:webHidden/>
              </w:rPr>
              <w:fldChar w:fldCharType="separate"/>
            </w:r>
            <w:r>
              <w:rPr>
                <w:noProof/>
                <w:webHidden/>
              </w:rPr>
              <w:t>44</w:t>
            </w:r>
            <w:r>
              <w:rPr>
                <w:noProof/>
                <w:webHidden/>
              </w:rPr>
              <w:fldChar w:fldCharType="end"/>
            </w:r>
          </w:hyperlink>
        </w:p>
        <w:p w14:paraId="340E134D" w14:textId="4EB1DDB6" w:rsidR="0084464F" w:rsidRDefault="0084464F">
          <w:pPr>
            <w:pStyle w:val="TOC1"/>
            <w:tabs>
              <w:tab w:val="right" w:leader="dot" w:pos="9016"/>
            </w:tabs>
            <w:rPr>
              <w:rFonts w:asciiTheme="minorHAnsi" w:hAnsiTheme="minorHAnsi"/>
              <w:noProof/>
              <w:sz w:val="24"/>
              <w:szCs w:val="24"/>
              <w:lang w:eastAsia="en-GB"/>
            </w:rPr>
          </w:pPr>
          <w:hyperlink w:anchor="_Toc226533384" w:history="1">
            <w:r w:rsidRPr="00AF3A5D">
              <w:rPr>
                <w:rStyle w:val="Hyperlink"/>
                <w:rFonts w:cs="Arial"/>
                <w:noProof/>
                <w:lang w:bidi="en-GB"/>
              </w:rPr>
              <w:t>5.2.3 – Recommendation 3 - Introduce a Northern England care leaver mental health equity framework</w:t>
            </w:r>
            <w:r>
              <w:rPr>
                <w:noProof/>
                <w:webHidden/>
              </w:rPr>
              <w:tab/>
            </w:r>
            <w:r>
              <w:rPr>
                <w:noProof/>
                <w:webHidden/>
              </w:rPr>
              <w:fldChar w:fldCharType="begin"/>
            </w:r>
            <w:r>
              <w:rPr>
                <w:noProof/>
                <w:webHidden/>
              </w:rPr>
              <w:instrText xml:space="preserve"> PAGEREF _Toc226533384 \h </w:instrText>
            </w:r>
            <w:r>
              <w:rPr>
                <w:noProof/>
                <w:webHidden/>
              </w:rPr>
            </w:r>
            <w:r>
              <w:rPr>
                <w:noProof/>
                <w:webHidden/>
              </w:rPr>
              <w:fldChar w:fldCharType="separate"/>
            </w:r>
            <w:r>
              <w:rPr>
                <w:noProof/>
                <w:webHidden/>
              </w:rPr>
              <w:t>45</w:t>
            </w:r>
            <w:r>
              <w:rPr>
                <w:noProof/>
                <w:webHidden/>
              </w:rPr>
              <w:fldChar w:fldCharType="end"/>
            </w:r>
          </w:hyperlink>
        </w:p>
        <w:p w14:paraId="1B074738" w14:textId="6995F787" w:rsidR="0084464F" w:rsidRDefault="0084464F">
          <w:pPr>
            <w:pStyle w:val="TOC1"/>
            <w:tabs>
              <w:tab w:val="right" w:leader="dot" w:pos="9016"/>
            </w:tabs>
            <w:rPr>
              <w:rFonts w:asciiTheme="minorHAnsi" w:hAnsiTheme="minorHAnsi"/>
              <w:noProof/>
              <w:sz w:val="24"/>
              <w:szCs w:val="24"/>
              <w:lang w:eastAsia="en-GB"/>
            </w:rPr>
          </w:pPr>
          <w:hyperlink w:anchor="_Toc226533385" w:history="1">
            <w:r w:rsidRPr="00AF3A5D">
              <w:rPr>
                <w:rStyle w:val="Hyperlink"/>
                <w:rFonts w:cs="Arial"/>
                <w:noProof/>
                <w:lang w:bidi="en-GB"/>
              </w:rPr>
              <w:t>CHAPTER 6 – References and Appendices</w:t>
            </w:r>
            <w:r>
              <w:rPr>
                <w:noProof/>
                <w:webHidden/>
              </w:rPr>
              <w:tab/>
            </w:r>
            <w:r>
              <w:rPr>
                <w:noProof/>
                <w:webHidden/>
              </w:rPr>
              <w:fldChar w:fldCharType="begin"/>
            </w:r>
            <w:r>
              <w:rPr>
                <w:noProof/>
                <w:webHidden/>
              </w:rPr>
              <w:instrText xml:space="preserve"> PAGEREF _Toc226533385 \h </w:instrText>
            </w:r>
            <w:r>
              <w:rPr>
                <w:noProof/>
                <w:webHidden/>
              </w:rPr>
            </w:r>
            <w:r>
              <w:rPr>
                <w:noProof/>
                <w:webHidden/>
              </w:rPr>
              <w:fldChar w:fldCharType="separate"/>
            </w:r>
            <w:r>
              <w:rPr>
                <w:noProof/>
                <w:webHidden/>
              </w:rPr>
              <w:t>46</w:t>
            </w:r>
            <w:r>
              <w:rPr>
                <w:noProof/>
                <w:webHidden/>
              </w:rPr>
              <w:fldChar w:fldCharType="end"/>
            </w:r>
          </w:hyperlink>
        </w:p>
        <w:p w14:paraId="0143E572" w14:textId="4A3015A3" w:rsidR="0084464F" w:rsidRDefault="0084464F">
          <w:pPr>
            <w:pStyle w:val="TOC1"/>
            <w:tabs>
              <w:tab w:val="right" w:leader="dot" w:pos="9016"/>
            </w:tabs>
            <w:rPr>
              <w:rFonts w:asciiTheme="minorHAnsi" w:hAnsiTheme="minorHAnsi"/>
              <w:noProof/>
              <w:sz w:val="24"/>
              <w:szCs w:val="24"/>
              <w:lang w:eastAsia="en-GB"/>
            </w:rPr>
          </w:pPr>
          <w:hyperlink w:anchor="_Toc226533386" w:history="1">
            <w:r w:rsidRPr="00AF3A5D">
              <w:rPr>
                <w:rStyle w:val="Hyperlink"/>
                <w:rFonts w:cs="Arial"/>
                <w:noProof/>
                <w:lang w:bidi="en-GB"/>
              </w:rPr>
              <w:t>6.1 – References</w:t>
            </w:r>
            <w:r>
              <w:rPr>
                <w:noProof/>
                <w:webHidden/>
              </w:rPr>
              <w:tab/>
            </w:r>
            <w:r>
              <w:rPr>
                <w:noProof/>
                <w:webHidden/>
              </w:rPr>
              <w:fldChar w:fldCharType="begin"/>
            </w:r>
            <w:r>
              <w:rPr>
                <w:noProof/>
                <w:webHidden/>
              </w:rPr>
              <w:instrText xml:space="preserve"> PAGEREF _Toc226533386 \h </w:instrText>
            </w:r>
            <w:r>
              <w:rPr>
                <w:noProof/>
                <w:webHidden/>
              </w:rPr>
            </w:r>
            <w:r>
              <w:rPr>
                <w:noProof/>
                <w:webHidden/>
              </w:rPr>
              <w:fldChar w:fldCharType="separate"/>
            </w:r>
            <w:r>
              <w:rPr>
                <w:noProof/>
                <w:webHidden/>
              </w:rPr>
              <w:t>46</w:t>
            </w:r>
            <w:r>
              <w:rPr>
                <w:noProof/>
                <w:webHidden/>
              </w:rPr>
              <w:fldChar w:fldCharType="end"/>
            </w:r>
          </w:hyperlink>
        </w:p>
        <w:p w14:paraId="24C5FF70" w14:textId="6D4231C7" w:rsidR="0084464F" w:rsidRDefault="0084464F">
          <w:pPr>
            <w:pStyle w:val="TOC1"/>
            <w:tabs>
              <w:tab w:val="right" w:leader="dot" w:pos="9016"/>
            </w:tabs>
            <w:rPr>
              <w:rFonts w:asciiTheme="minorHAnsi" w:hAnsiTheme="minorHAnsi"/>
              <w:noProof/>
              <w:sz w:val="24"/>
              <w:szCs w:val="24"/>
              <w:lang w:eastAsia="en-GB"/>
            </w:rPr>
          </w:pPr>
          <w:hyperlink w:anchor="_Toc226533387" w:history="1">
            <w:r w:rsidRPr="00AF3A5D">
              <w:rPr>
                <w:rStyle w:val="Hyperlink"/>
                <w:rFonts w:cs="Arial"/>
                <w:noProof/>
                <w:lang w:bidi="en-GB"/>
              </w:rPr>
              <w:t>6.2 – Appendices</w:t>
            </w:r>
            <w:r>
              <w:rPr>
                <w:noProof/>
                <w:webHidden/>
              </w:rPr>
              <w:tab/>
            </w:r>
            <w:r>
              <w:rPr>
                <w:noProof/>
                <w:webHidden/>
              </w:rPr>
              <w:fldChar w:fldCharType="begin"/>
            </w:r>
            <w:r>
              <w:rPr>
                <w:noProof/>
                <w:webHidden/>
              </w:rPr>
              <w:instrText xml:space="preserve"> PAGEREF _Toc226533387 \h </w:instrText>
            </w:r>
            <w:r>
              <w:rPr>
                <w:noProof/>
                <w:webHidden/>
              </w:rPr>
            </w:r>
            <w:r>
              <w:rPr>
                <w:noProof/>
                <w:webHidden/>
              </w:rPr>
              <w:fldChar w:fldCharType="separate"/>
            </w:r>
            <w:r>
              <w:rPr>
                <w:noProof/>
                <w:webHidden/>
              </w:rPr>
              <w:t>55</w:t>
            </w:r>
            <w:r>
              <w:rPr>
                <w:noProof/>
                <w:webHidden/>
              </w:rPr>
              <w:fldChar w:fldCharType="end"/>
            </w:r>
          </w:hyperlink>
        </w:p>
        <w:p w14:paraId="5AE527EE" w14:textId="08AC9795" w:rsidR="0084464F" w:rsidRDefault="0084464F">
          <w:pPr>
            <w:pStyle w:val="TOC1"/>
            <w:tabs>
              <w:tab w:val="right" w:leader="dot" w:pos="9016"/>
            </w:tabs>
            <w:rPr>
              <w:rFonts w:asciiTheme="minorHAnsi" w:hAnsiTheme="minorHAnsi"/>
              <w:noProof/>
              <w:sz w:val="24"/>
              <w:szCs w:val="24"/>
              <w:lang w:eastAsia="en-GB"/>
            </w:rPr>
          </w:pPr>
          <w:hyperlink w:anchor="_Toc226533388" w:history="1">
            <w:r w:rsidRPr="00AF3A5D">
              <w:rPr>
                <w:rStyle w:val="Hyperlink"/>
                <w:rFonts w:eastAsiaTheme="majorEastAsia" w:cstheme="majorBidi"/>
                <w:b/>
                <w:bCs/>
                <w:noProof/>
                <w:kern w:val="0"/>
                <w:lang w:val="en-US" w:eastAsia="en-US"/>
                <w14:ligatures w14:val="none"/>
              </w:rPr>
              <w:t>Project Source Tracking Table</w:t>
            </w:r>
            <w:r>
              <w:rPr>
                <w:noProof/>
                <w:webHidden/>
              </w:rPr>
              <w:tab/>
            </w:r>
            <w:r>
              <w:rPr>
                <w:noProof/>
                <w:webHidden/>
              </w:rPr>
              <w:fldChar w:fldCharType="begin"/>
            </w:r>
            <w:r>
              <w:rPr>
                <w:noProof/>
                <w:webHidden/>
              </w:rPr>
              <w:instrText xml:space="preserve"> PAGEREF _Toc226533388 \h </w:instrText>
            </w:r>
            <w:r>
              <w:rPr>
                <w:noProof/>
                <w:webHidden/>
              </w:rPr>
            </w:r>
            <w:r>
              <w:rPr>
                <w:noProof/>
                <w:webHidden/>
              </w:rPr>
              <w:fldChar w:fldCharType="separate"/>
            </w:r>
            <w:r>
              <w:rPr>
                <w:noProof/>
                <w:webHidden/>
              </w:rPr>
              <w:t>55</w:t>
            </w:r>
            <w:r>
              <w:rPr>
                <w:noProof/>
                <w:webHidden/>
              </w:rPr>
              <w:fldChar w:fldCharType="end"/>
            </w:r>
          </w:hyperlink>
        </w:p>
        <w:p w14:paraId="4DE677DE" w14:textId="2439BC4D" w:rsidR="0084464F" w:rsidRDefault="0084464F">
          <w:r>
            <w:rPr>
              <w:b/>
              <w:bCs/>
            </w:rPr>
            <w:fldChar w:fldCharType="end"/>
          </w:r>
        </w:p>
      </w:sdtContent>
    </w:sdt>
    <w:p w14:paraId="756C3EE0" w14:textId="77777777" w:rsidR="00804B94" w:rsidRPr="00DA1464" w:rsidRDefault="00804B94" w:rsidP="00DA1464">
      <w:pPr>
        <w:rPr>
          <w:rFonts w:ascii="Arial" w:hAnsi="Arial" w:cs="Arial"/>
        </w:rPr>
      </w:pPr>
    </w:p>
    <w:p w14:paraId="3EF52184" w14:textId="77777777" w:rsidR="00804B94" w:rsidRPr="00DA1464" w:rsidRDefault="00804B94" w:rsidP="00DA1464">
      <w:pPr>
        <w:rPr>
          <w:rFonts w:ascii="Arial" w:hAnsi="Arial" w:cs="Arial"/>
        </w:rPr>
      </w:pPr>
    </w:p>
    <w:p w14:paraId="52F0D83D" w14:textId="77777777" w:rsidR="00804B94" w:rsidRPr="00DA1464" w:rsidRDefault="00804B94" w:rsidP="00DA1464">
      <w:pPr>
        <w:rPr>
          <w:rFonts w:ascii="Arial" w:hAnsi="Arial" w:cs="Arial"/>
        </w:rPr>
      </w:pPr>
    </w:p>
    <w:p w14:paraId="4DF07CEB" w14:textId="77777777" w:rsidR="00804B94" w:rsidRPr="00DA1464" w:rsidRDefault="00804B94" w:rsidP="00DA1464">
      <w:pPr>
        <w:rPr>
          <w:rFonts w:ascii="Arial" w:hAnsi="Arial" w:cs="Arial"/>
        </w:rPr>
      </w:pPr>
    </w:p>
    <w:p w14:paraId="61CFD6DF" w14:textId="77777777" w:rsidR="00804B94" w:rsidRPr="00DA1464" w:rsidRDefault="00804B94" w:rsidP="00DA1464">
      <w:pPr>
        <w:rPr>
          <w:rFonts w:ascii="Arial" w:hAnsi="Arial" w:cs="Arial"/>
        </w:rPr>
      </w:pPr>
    </w:p>
    <w:p w14:paraId="612C6762" w14:textId="77777777" w:rsidR="00804B94" w:rsidRPr="00DA1464" w:rsidRDefault="00804B94" w:rsidP="00DA1464">
      <w:pPr>
        <w:rPr>
          <w:rFonts w:ascii="Arial" w:hAnsi="Arial" w:cs="Arial"/>
        </w:rPr>
      </w:pPr>
    </w:p>
    <w:p w14:paraId="66BE3F66" w14:textId="77777777" w:rsidR="00730C3C" w:rsidRPr="00DA1464" w:rsidRDefault="00730C3C" w:rsidP="00DA1464">
      <w:pPr>
        <w:pStyle w:val="Heading1"/>
        <w:spacing w:line="360" w:lineRule="auto"/>
        <w:ind w:left="0"/>
        <w:jc w:val="both"/>
        <w:rPr>
          <w:rFonts w:cs="Arial"/>
        </w:rPr>
      </w:pPr>
    </w:p>
    <w:p w14:paraId="58452D18" w14:textId="33B7F98D" w:rsidR="00730C3C" w:rsidRPr="00DA1464" w:rsidRDefault="00730C3C" w:rsidP="00DA1464">
      <w:pPr>
        <w:pStyle w:val="Heading1"/>
        <w:spacing w:line="360" w:lineRule="auto"/>
        <w:ind w:left="0"/>
        <w:jc w:val="both"/>
        <w:rPr>
          <w:rFonts w:cs="Arial"/>
          <w:b w:val="0"/>
        </w:rPr>
      </w:pPr>
      <w:bookmarkStart w:id="1" w:name="_Toc226533361"/>
      <w:r w:rsidRPr="00DA1464">
        <w:rPr>
          <w:rFonts w:cs="Arial"/>
        </w:rPr>
        <w:t>CHAPTER 1: Introduction</w:t>
      </w:r>
      <w:bookmarkEnd w:id="1"/>
    </w:p>
    <w:p w14:paraId="69941E5D" w14:textId="77777777" w:rsidR="00EF6341" w:rsidRPr="00DA1464" w:rsidRDefault="00EF6341" w:rsidP="00DA1464">
      <w:pPr>
        <w:pStyle w:val="BodyText"/>
        <w:spacing w:line="360" w:lineRule="auto"/>
        <w:jc w:val="both"/>
        <w:rPr>
          <w:rFonts w:cs="Arial"/>
        </w:rPr>
      </w:pPr>
    </w:p>
    <w:p w14:paraId="7EB24CC9" w14:textId="2B8AAC85" w:rsidR="00BD2909" w:rsidRPr="00DA1464" w:rsidRDefault="00BD2909" w:rsidP="00DA1464">
      <w:pPr>
        <w:pStyle w:val="paragraph"/>
        <w:spacing w:before="0" w:beforeAutospacing="0" w:after="0" w:afterAutospacing="0" w:line="360" w:lineRule="auto"/>
        <w:jc w:val="both"/>
        <w:textAlignment w:val="baseline"/>
        <w:rPr>
          <w:rFonts w:ascii="Arial" w:hAnsi="Arial" w:cs="Arial"/>
          <w:color w:val="0F4761"/>
          <w:sz w:val="16"/>
          <w:szCs w:val="16"/>
        </w:rPr>
      </w:pPr>
      <w:r w:rsidRPr="00DA1464">
        <w:rPr>
          <w:rStyle w:val="normaltextrun"/>
          <w:rFonts w:ascii="Arial" w:hAnsi="Arial" w:cs="Arial"/>
          <w:color w:val="0F4761"/>
        </w:rPr>
        <w:t>1.1 Introduction</w:t>
      </w:r>
    </w:p>
    <w:p w14:paraId="1767D593" w14:textId="77777777" w:rsidR="00417995" w:rsidRPr="00DA1464" w:rsidRDefault="00417995" w:rsidP="00DA1464">
      <w:pPr>
        <w:pStyle w:val="p1"/>
        <w:spacing w:line="360" w:lineRule="auto"/>
        <w:jc w:val="both"/>
        <w:rPr>
          <w:rFonts w:ascii="Arial" w:hAnsi="Arial" w:cs="Arial"/>
        </w:rPr>
      </w:pPr>
      <w:r w:rsidRPr="00DA1464">
        <w:rPr>
          <w:rStyle w:val="s1"/>
          <w:rFonts w:ascii="Arial" w:hAnsi="Arial" w:cs="Arial"/>
        </w:rPr>
        <w:t>Care-experienced young people are among the most disadvantaged groups within health and social care in England, facing persistently poorer outcomes in mental health, education, housing and employment than their non-care-experienced peers (Department for Education, 2025b; Murray et al., 2020). These disadvantages are not experienced evenly across the country. Evidence suggests that young people in the North of England are more likely to be exposed to poverty, deprivation and weakened service provision, all of which increase the likelihood of entering care and intensify inequality after leaving it (Bennett et al., 2022; Bennett et al., 2024; Pickett et al., 2021). As a result, care leavers in Northern England often face a particularly acute combination of care-related disadvantage and regional inequality.</w:t>
      </w:r>
    </w:p>
    <w:p w14:paraId="0579325C" w14:textId="77777777" w:rsidR="00417995" w:rsidRPr="00DA1464" w:rsidRDefault="00417995" w:rsidP="00DA1464">
      <w:pPr>
        <w:pStyle w:val="p2"/>
        <w:spacing w:line="360" w:lineRule="auto"/>
        <w:jc w:val="both"/>
        <w:rPr>
          <w:rFonts w:ascii="Arial" w:hAnsi="Arial" w:cs="Arial"/>
        </w:rPr>
      </w:pPr>
    </w:p>
    <w:p w14:paraId="158DB19E" w14:textId="77777777" w:rsidR="00417995" w:rsidRPr="00DA1464" w:rsidRDefault="00417995" w:rsidP="00DA1464">
      <w:pPr>
        <w:pStyle w:val="p1"/>
        <w:spacing w:line="360" w:lineRule="auto"/>
        <w:jc w:val="both"/>
        <w:rPr>
          <w:rFonts w:ascii="Arial" w:hAnsi="Arial" w:cs="Arial"/>
        </w:rPr>
      </w:pPr>
      <w:r w:rsidRPr="00DA1464">
        <w:rPr>
          <w:rStyle w:val="s1"/>
          <w:rFonts w:ascii="Arial" w:hAnsi="Arial" w:cs="Arial"/>
        </w:rPr>
        <w:t xml:space="preserve">Mental health is one of the clearest areas in which this disadvantage is visible. Care-experienced young people experience elevated levels of anxiety, depression, trauma and emotional distress, often linked to instability, disrupted attachments and insecure transitions into adulthood (Phillips et al., 2023; Cummings and Shelton, 2024; Carter et al., 2025). Although policies such as the Children (Leaving Care) Act 2000 and </w:t>
      </w:r>
      <w:r w:rsidRPr="00DA1464">
        <w:rPr>
          <w:rStyle w:val="s2"/>
          <w:rFonts w:ascii="Arial" w:hAnsi="Arial" w:cs="Arial"/>
        </w:rPr>
        <w:t>Keep on Caring</w:t>
      </w:r>
      <w:r w:rsidRPr="00DA1464">
        <w:rPr>
          <w:rStyle w:val="s1"/>
          <w:rFonts w:ascii="Arial" w:hAnsi="Arial" w:cs="Arial"/>
        </w:rPr>
        <w:t xml:space="preserve"> place clear responsibilities on services, evidence suggests that support remains fragmented and inconsistent, with provision shaped by geography and local capacity rather than need alone (HM Government, 2016; MacAlister, 2022; Foley et al., 2025).</w:t>
      </w:r>
    </w:p>
    <w:p w14:paraId="77E3A4BB" w14:textId="77777777" w:rsidR="00417995" w:rsidRPr="00DA1464" w:rsidRDefault="00417995" w:rsidP="00DA1464">
      <w:pPr>
        <w:pStyle w:val="p2"/>
        <w:spacing w:line="360" w:lineRule="auto"/>
        <w:jc w:val="both"/>
        <w:rPr>
          <w:rFonts w:ascii="Arial" w:hAnsi="Arial" w:cs="Arial"/>
        </w:rPr>
      </w:pPr>
    </w:p>
    <w:p w14:paraId="73338BD2" w14:textId="77777777" w:rsidR="00417995" w:rsidRPr="00DA1464" w:rsidRDefault="00417995" w:rsidP="00DA1464">
      <w:pPr>
        <w:pStyle w:val="p1"/>
        <w:spacing w:line="360" w:lineRule="auto"/>
        <w:jc w:val="both"/>
        <w:rPr>
          <w:rStyle w:val="s1"/>
          <w:rFonts w:ascii="Arial" w:hAnsi="Arial" w:cs="Arial"/>
        </w:rPr>
      </w:pPr>
      <w:r w:rsidRPr="00DA1464">
        <w:rPr>
          <w:rStyle w:val="s1"/>
          <w:rFonts w:ascii="Arial" w:hAnsi="Arial" w:cs="Arial"/>
        </w:rPr>
        <w:t>The primary aim of this dissertation is to critically evaluate the role of social services in reducing mental health inequalities among care leavers aged 16–24 in Northern England. It seeks to assess the effectiveness of current policy and practice, identify gaps in support, and contribute to a clearer understanding of how more equitable services might improve outcomes for care-experienced young people.</w:t>
      </w:r>
    </w:p>
    <w:p w14:paraId="489606CE" w14:textId="5004A170" w:rsidR="002422F8" w:rsidRPr="00DA1464" w:rsidRDefault="00DD118B" w:rsidP="00DA1464">
      <w:pPr>
        <w:pStyle w:val="p1"/>
        <w:spacing w:line="360" w:lineRule="auto"/>
        <w:jc w:val="both"/>
        <w:rPr>
          <w:rFonts w:ascii="Arial" w:hAnsi="Arial" w:cs="Arial"/>
        </w:rPr>
      </w:pPr>
      <w:r w:rsidRPr="00DA1464">
        <w:rPr>
          <w:rStyle w:val="s1"/>
          <w:rFonts w:ascii="Arial" w:hAnsi="Arial" w:cs="Arial"/>
        </w:rPr>
        <w:lastRenderedPageBreak/>
        <w:t xml:space="preserve">Research question: </w:t>
      </w:r>
      <w:r w:rsidR="002422F8" w:rsidRPr="00DA1464">
        <w:rPr>
          <w:rStyle w:val="s1"/>
          <w:rFonts w:ascii="Arial" w:hAnsi="Arial" w:cs="Arial"/>
        </w:rPr>
        <w:t>To what extent do social services reduce mental health inequalities among care leavers aged 16–24 in Northern England?</w:t>
      </w:r>
    </w:p>
    <w:p w14:paraId="0CC0D3DB" w14:textId="77777777" w:rsidR="002422F8" w:rsidRPr="00DA1464" w:rsidRDefault="002422F8" w:rsidP="00DA1464">
      <w:pPr>
        <w:pStyle w:val="p1"/>
        <w:spacing w:line="360" w:lineRule="auto"/>
        <w:jc w:val="both"/>
        <w:rPr>
          <w:rStyle w:val="s1"/>
          <w:rFonts w:ascii="Arial" w:hAnsi="Arial" w:cs="Arial"/>
        </w:rPr>
      </w:pPr>
    </w:p>
    <w:p w14:paraId="382C8858" w14:textId="77777777" w:rsidR="00417995" w:rsidRPr="00DA1464" w:rsidRDefault="00417995" w:rsidP="00DA1464">
      <w:pPr>
        <w:pStyle w:val="p1"/>
        <w:spacing w:line="360" w:lineRule="auto"/>
        <w:jc w:val="both"/>
        <w:rPr>
          <w:rFonts w:ascii="Arial" w:hAnsi="Arial" w:cs="Arial"/>
        </w:rPr>
      </w:pPr>
    </w:p>
    <w:p w14:paraId="66501BF4" w14:textId="1CF94447" w:rsidR="00BD2909" w:rsidRPr="00DA1464" w:rsidRDefault="00BD2909" w:rsidP="00DA1464">
      <w:pPr>
        <w:pStyle w:val="paragraph"/>
        <w:spacing w:before="0" w:beforeAutospacing="0" w:after="0" w:afterAutospacing="0" w:line="360" w:lineRule="auto"/>
        <w:jc w:val="both"/>
        <w:textAlignment w:val="baseline"/>
        <w:rPr>
          <w:rFonts w:ascii="Arial" w:hAnsi="Arial" w:cs="Arial"/>
          <w:color w:val="0F4761"/>
          <w:sz w:val="16"/>
          <w:szCs w:val="16"/>
        </w:rPr>
      </w:pPr>
      <w:r w:rsidRPr="00DA1464">
        <w:rPr>
          <w:rStyle w:val="normaltextrun"/>
          <w:rFonts w:ascii="Arial" w:hAnsi="Arial" w:cs="Arial"/>
          <w:color w:val="0F4761"/>
        </w:rPr>
        <w:t>1.2 Definitions and Terminolog</w:t>
      </w:r>
      <w:r w:rsidR="0080592A" w:rsidRPr="00DA1464">
        <w:rPr>
          <w:rStyle w:val="normaltextrun"/>
          <w:rFonts w:ascii="Arial" w:hAnsi="Arial" w:cs="Arial"/>
          <w:color w:val="0F4761"/>
        </w:rPr>
        <w:t>y</w:t>
      </w:r>
    </w:p>
    <w:p w14:paraId="2A4D5667" w14:textId="77777777" w:rsidR="00BD2909" w:rsidRPr="00DA1464" w:rsidRDefault="00BD2909" w:rsidP="00DA1464">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DA1464">
        <w:rPr>
          <w:rStyle w:val="normaltextrun"/>
          <w:rFonts w:ascii="Arial" w:hAnsi="Arial" w:cs="Arial"/>
          <w:b/>
          <w:bCs/>
          <w:sz w:val="22"/>
          <w:szCs w:val="22"/>
        </w:rPr>
        <w:t>Key Definitions:</w:t>
      </w:r>
      <w:r w:rsidRPr="00DA1464">
        <w:rPr>
          <w:rStyle w:val="eop"/>
          <w:rFonts w:ascii="Arial" w:hAnsi="Arial" w:cs="Arial"/>
          <w:sz w:val="22"/>
          <w:szCs w:val="22"/>
        </w:rPr>
        <w:t> </w:t>
      </w:r>
    </w:p>
    <w:p w14:paraId="3675CD98" w14:textId="77777777" w:rsidR="00212155" w:rsidRPr="00DA1464" w:rsidRDefault="00212155" w:rsidP="00DA1464">
      <w:pPr>
        <w:pStyle w:val="p1"/>
        <w:spacing w:line="360" w:lineRule="auto"/>
        <w:jc w:val="both"/>
        <w:rPr>
          <w:rFonts w:ascii="Arial" w:hAnsi="Arial" w:cs="Arial"/>
        </w:rPr>
      </w:pPr>
      <w:r w:rsidRPr="00DA1464">
        <w:rPr>
          <w:rStyle w:val="s1"/>
          <w:rFonts w:ascii="Arial" w:hAnsi="Arial" w:cs="Arial"/>
        </w:rPr>
        <w:t>This dissertation uses several terms that are common in policy and research but are not always used consistently. Defining them clearly is necessary to avoid ambiguity and to establish the precise scope of the study.</w:t>
      </w:r>
    </w:p>
    <w:p w14:paraId="6AE66F59" w14:textId="731B0180" w:rsidR="00212155" w:rsidRPr="00DA1464" w:rsidRDefault="00212155" w:rsidP="00DA1464">
      <w:pPr>
        <w:pStyle w:val="p1"/>
        <w:spacing w:line="360" w:lineRule="auto"/>
        <w:jc w:val="both"/>
        <w:rPr>
          <w:rFonts w:ascii="Arial" w:hAnsi="Arial" w:cs="Arial"/>
        </w:rPr>
      </w:pPr>
      <w:r w:rsidRPr="00DA1464">
        <w:rPr>
          <w:rStyle w:val="s1"/>
          <w:rFonts w:ascii="Arial" w:hAnsi="Arial" w:cs="Arial"/>
        </w:rPr>
        <w:t xml:space="preserve">A </w:t>
      </w:r>
      <w:r w:rsidRPr="00DA1464">
        <w:rPr>
          <w:rStyle w:val="s2"/>
          <w:rFonts w:ascii="Arial" w:hAnsi="Arial" w:cs="Arial"/>
        </w:rPr>
        <w:t>care leaver</w:t>
      </w:r>
      <w:r w:rsidRPr="00DA1464">
        <w:rPr>
          <w:rStyle w:val="s1"/>
          <w:rFonts w:ascii="Arial" w:hAnsi="Arial" w:cs="Arial"/>
        </w:rPr>
        <w:t xml:space="preserve"> refers to a young person who has been looked after by a local authority for a qualifying period and is entitled to statutory support as they transition to adulthood under the Children (Leaving Care) Act 2000 and related regulations (Children (Leaving Care) Act 2000; The Care Leavers (England) Regulations 2010). The broader term </w:t>
      </w:r>
      <w:r w:rsidRPr="00DA1464">
        <w:rPr>
          <w:rStyle w:val="s2"/>
          <w:rFonts w:ascii="Arial" w:hAnsi="Arial" w:cs="Arial"/>
        </w:rPr>
        <w:t>care-experienced young people</w:t>
      </w:r>
      <w:r w:rsidRPr="00DA1464">
        <w:rPr>
          <w:rStyle w:val="s1"/>
          <w:rFonts w:ascii="Arial" w:hAnsi="Arial" w:cs="Arial"/>
        </w:rPr>
        <w:t xml:space="preserve"> </w:t>
      </w:r>
      <w:proofErr w:type="gramStart"/>
      <w:r w:rsidRPr="00DA1464">
        <w:rPr>
          <w:rStyle w:val="s1"/>
          <w:rFonts w:ascii="Arial" w:hAnsi="Arial" w:cs="Arial"/>
        </w:rPr>
        <w:t>is</w:t>
      </w:r>
      <w:proofErr w:type="gramEnd"/>
      <w:r w:rsidRPr="00DA1464">
        <w:rPr>
          <w:rStyle w:val="s1"/>
          <w:rFonts w:ascii="Arial" w:hAnsi="Arial" w:cs="Arial"/>
        </w:rPr>
        <w:t xml:space="preserve"> also used in the literature to describe young people who have spent time in care, including those whose experiences may not fit neatly within legal definitions but remain relevant to outcomes research (Cummings and Shelton, 2024; Carter et al., 2025). In this dissertation, the primary focus is on </w:t>
      </w:r>
      <w:r w:rsidRPr="00DA1464">
        <w:rPr>
          <w:rStyle w:val="s2"/>
          <w:rFonts w:ascii="Arial" w:hAnsi="Arial" w:cs="Arial"/>
        </w:rPr>
        <w:t>care leavers aged 16–24</w:t>
      </w:r>
      <w:r w:rsidRPr="00DA1464">
        <w:rPr>
          <w:rStyle w:val="s1"/>
          <w:rFonts w:ascii="Arial" w:hAnsi="Arial" w:cs="Arial"/>
        </w:rPr>
        <w:t>, as this is the period in which transition from care to adulthood, and from child to adult services, becomes most significant.</w:t>
      </w:r>
    </w:p>
    <w:p w14:paraId="3AC4509F" w14:textId="77777777" w:rsidR="00212155" w:rsidRPr="00DA1464" w:rsidRDefault="00212155" w:rsidP="00DA1464">
      <w:pPr>
        <w:pStyle w:val="p1"/>
        <w:spacing w:line="360" w:lineRule="auto"/>
        <w:jc w:val="both"/>
        <w:rPr>
          <w:rStyle w:val="s1"/>
          <w:rFonts w:ascii="Arial" w:hAnsi="Arial" w:cs="Arial"/>
        </w:rPr>
      </w:pPr>
      <w:r w:rsidRPr="00DA1464">
        <w:rPr>
          <w:rStyle w:val="s2"/>
          <w:rFonts w:ascii="Arial" w:hAnsi="Arial" w:cs="Arial"/>
        </w:rPr>
        <w:t>Mental health inequalities</w:t>
      </w:r>
      <w:r w:rsidRPr="00DA1464">
        <w:rPr>
          <w:rStyle w:val="s1"/>
          <w:rFonts w:ascii="Arial" w:hAnsi="Arial" w:cs="Arial"/>
        </w:rPr>
        <w:t xml:space="preserve"> </w:t>
      </w:r>
      <w:proofErr w:type="gramStart"/>
      <w:r w:rsidRPr="00DA1464">
        <w:rPr>
          <w:rStyle w:val="s1"/>
          <w:rFonts w:ascii="Arial" w:hAnsi="Arial" w:cs="Arial"/>
        </w:rPr>
        <w:t>refers</w:t>
      </w:r>
      <w:proofErr w:type="gramEnd"/>
      <w:r w:rsidRPr="00DA1464">
        <w:rPr>
          <w:rStyle w:val="s1"/>
          <w:rFonts w:ascii="Arial" w:hAnsi="Arial" w:cs="Arial"/>
        </w:rPr>
        <w:t xml:space="preserve"> to avoidable and unfair differences in mental health outcomes, access to support, and service quality between social groups and geographic areas (Addison et al., 2019; Centre for Mental Health, 2023). Here, the term is used specifically to examine how care experience intersects with regional disadvantage in Northern England. </w:t>
      </w:r>
      <w:r w:rsidRPr="00DA1464">
        <w:rPr>
          <w:rStyle w:val="s2"/>
          <w:rFonts w:ascii="Arial" w:hAnsi="Arial" w:cs="Arial"/>
        </w:rPr>
        <w:t>Social services</w:t>
      </w:r>
      <w:r w:rsidRPr="00DA1464">
        <w:rPr>
          <w:rStyle w:val="s1"/>
          <w:rFonts w:ascii="Arial" w:hAnsi="Arial" w:cs="Arial"/>
        </w:rPr>
        <w:t xml:space="preserve"> </w:t>
      </w:r>
      <w:proofErr w:type="gramStart"/>
      <w:r w:rsidRPr="00DA1464">
        <w:rPr>
          <w:rStyle w:val="s1"/>
          <w:rFonts w:ascii="Arial" w:hAnsi="Arial" w:cs="Arial"/>
        </w:rPr>
        <w:t>refers</w:t>
      </w:r>
      <w:proofErr w:type="gramEnd"/>
      <w:r w:rsidRPr="00DA1464">
        <w:rPr>
          <w:rStyle w:val="s1"/>
          <w:rFonts w:ascii="Arial" w:hAnsi="Arial" w:cs="Arial"/>
        </w:rPr>
        <w:t xml:space="preserve"> primarily to local authority children’s social care and leaving care services, including the statutory, practical and multi-agency support intended to promote wellbeing, safeguard young people, and support independence (Department for Education, 2025; Foley et al., 2025).</w:t>
      </w:r>
    </w:p>
    <w:p w14:paraId="5026858B" w14:textId="58DC0001" w:rsidR="00435F92" w:rsidRPr="00DA1464" w:rsidRDefault="005C359A" w:rsidP="00DA1464">
      <w:pPr>
        <w:pStyle w:val="p1"/>
        <w:spacing w:line="360" w:lineRule="auto"/>
        <w:jc w:val="both"/>
        <w:rPr>
          <w:rFonts w:ascii="Arial" w:hAnsi="Arial" w:cs="Arial"/>
        </w:rPr>
      </w:pPr>
      <w:r w:rsidRPr="00DA1464">
        <w:rPr>
          <w:rStyle w:val="s1"/>
          <w:rFonts w:ascii="Arial" w:hAnsi="Arial" w:cs="Arial"/>
        </w:rPr>
        <w:t xml:space="preserve">Northern England is used in this dissertation as a geographical term referring to the English regions of the </w:t>
      </w:r>
      <w:proofErr w:type="gramStart"/>
      <w:r w:rsidRPr="00DA1464">
        <w:rPr>
          <w:rStyle w:val="s1"/>
          <w:rFonts w:ascii="Arial" w:hAnsi="Arial" w:cs="Arial"/>
        </w:rPr>
        <w:t>North East</w:t>
      </w:r>
      <w:proofErr w:type="gramEnd"/>
      <w:r w:rsidRPr="00DA1464">
        <w:rPr>
          <w:rStyle w:val="s1"/>
          <w:rFonts w:ascii="Arial" w:hAnsi="Arial" w:cs="Arial"/>
        </w:rPr>
        <w:t xml:space="preserve">, </w:t>
      </w:r>
      <w:proofErr w:type="gramStart"/>
      <w:r w:rsidRPr="00DA1464">
        <w:rPr>
          <w:rStyle w:val="s1"/>
          <w:rFonts w:ascii="Arial" w:hAnsi="Arial" w:cs="Arial"/>
        </w:rPr>
        <w:t>North West</w:t>
      </w:r>
      <w:proofErr w:type="gramEnd"/>
      <w:r w:rsidRPr="00DA1464">
        <w:rPr>
          <w:rStyle w:val="s1"/>
          <w:rFonts w:ascii="Arial" w:hAnsi="Arial" w:cs="Arial"/>
        </w:rPr>
        <w:t xml:space="preserve">, and Yorkshire and the Humber, as </w:t>
      </w:r>
      <w:r w:rsidRPr="00DA1464">
        <w:rPr>
          <w:rStyle w:val="s1"/>
          <w:rFonts w:ascii="Arial" w:hAnsi="Arial" w:cs="Arial"/>
        </w:rPr>
        <w:lastRenderedPageBreak/>
        <w:t>defined by official regional boundary classifications (Office for National Statistics, 2023). Within this study, this includes local authority areas such as Cumberland, Westmorland and Furness, Northumberland, Newcastle upon Tyne, County Durham, Lancashire, Yorkshire, and Cheshire, which are examined as part of the wider northern context of deprivation, service inequality, and mental health need among care leavers (Bennett et al., 2024; Pickett et al., 2021).</w:t>
      </w:r>
    </w:p>
    <w:p w14:paraId="1FD7273F" w14:textId="5B010CC5" w:rsidR="00BD2909" w:rsidRPr="00DA1464" w:rsidRDefault="00BD2909" w:rsidP="00DA1464">
      <w:pPr>
        <w:pStyle w:val="paragraph"/>
        <w:tabs>
          <w:tab w:val="num" w:pos="0"/>
        </w:tabs>
        <w:spacing w:before="0" w:beforeAutospacing="0" w:after="0" w:afterAutospacing="0" w:line="360" w:lineRule="auto"/>
        <w:ind w:left="360"/>
        <w:jc w:val="both"/>
        <w:textAlignment w:val="baseline"/>
        <w:rPr>
          <w:rFonts w:ascii="Arial" w:hAnsi="Arial" w:cs="Arial"/>
          <w:sz w:val="22"/>
          <w:szCs w:val="22"/>
        </w:rPr>
      </w:pPr>
    </w:p>
    <w:p w14:paraId="1C096159" w14:textId="77777777" w:rsidR="00BD2909" w:rsidRPr="00DA1464" w:rsidRDefault="00BD2909" w:rsidP="00DA1464">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DA1464">
        <w:rPr>
          <w:rStyle w:val="normaltextrun"/>
          <w:rFonts w:ascii="Arial" w:hAnsi="Arial" w:cs="Arial"/>
          <w:b/>
          <w:bCs/>
          <w:sz w:val="22"/>
          <w:szCs w:val="22"/>
        </w:rPr>
        <w:t>Acronyms and Abbreviations:</w:t>
      </w:r>
      <w:r w:rsidRPr="00DA1464">
        <w:rPr>
          <w:rStyle w:val="eop"/>
          <w:rFonts w:ascii="Arial" w:hAnsi="Arial" w:cs="Arial"/>
          <w:sz w:val="22"/>
          <w:szCs w:val="22"/>
        </w:rPr>
        <w:t> </w:t>
      </w:r>
    </w:p>
    <w:p w14:paraId="4BC66D2F" w14:textId="3EF5A98D" w:rsidR="00BD2909" w:rsidRPr="00DA1464" w:rsidRDefault="00AF616D" w:rsidP="00DA1464">
      <w:pPr>
        <w:pStyle w:val="p1"/>
        <w:spacing w:line="360" w:lineRule="auto"/>
        <w:jc w:val="both"/>
        <w:rPr>
          <w:rFonts w:ascii="Arial" w:hAnsi="Arial" w:cs="Arial"/>
        </w:rPr>
      </w:pPr>
      <w:r w:rsidRPr="00DA1464">
        <w:rPr>
          <w:rStyle w:val="s1"/>
          <w:rFonts w:ascii="Arial" w:hAnsi="Arial" w:cs="Arial"/>
        </w:rPr>
        <w:t xml:space="preserve">Key acronyms used throughout include </w:t>
      </w:r>
      <w:r w:rsidRPr="00DA1464">
        <w:rPr>
          <w:rStyle w:val="s2"/>
          <w:rFonts w:ascii="Arial" w:hAnsi="Arial" w:cs="Arial"/>
        </w:rPr>
        <w:t>DfE</w:t>
      </w:r>
      <w:r w:rsidRPr="00DA1464">
        <w:rPr>
          <w:rStyle w:val="s1"/>
          <w:rFonts w:ascii="Arial" w:hAnsi="Arial" w:cs="Arial"/>
        </w:rPr>
        <w:t xml:space="preserve"> (Department for Education), </w:t>
      </w:r>
      <w:r w:rsidRPr="00DA1464">
        <w:rPr>
          <w:rStyle w:val="s2"/>
          <w:rFonts w:ascii="Arial" w:hAnsi="Arial" w:cs="Arial"/>
        </w:rPr>
        <w:t>NHS</w:t>
      </w:r>
      <w:r w:rsidRPr="00DA1464">
        <w:rPr>
          <w:rStyle w:val="s1"/>
          <w:rFonts w:ascii="Arial" w:hAnsi="Arial" w:cs="Arial"/>
        </w:rPr>
        <w:t xml:space="preserve"> (National Health Service) and </w:t>
      </w:r>
      <w:r w:rsidRPr="00DA1464">
        <w:rPr>
          <w:rStyle w:val="s2"/>
          <w:rFonts w:ascii="Arial" w:hAnsi="Arial" w:cs="Arial"/>
        </w:rPr>
        <w:t>NICE</w:t>
      </w:r>
      <w:r w:rsidRPr="00DA1464">
        <w:rPr>
          <w:rStyle w:val="s1"/>
          <w:rFonts w:ascii="Arial" w:hAnsi="Arial" w:cs="Arial"/>
        </w:rPr>
        <w:t xml:space="preserve"> (National Institute for Health and Care Excellence). These definitions establish the conceptual boundaries of the dissertation and ensure that subsequent analysis remains clear, precise and consistent</w:t>
      </w:r>
      <w:r w:rsidR="00BD2909" w:rsidRPr="00DA1464">
        <w:rPr>
          <w:rStyle w:val="eop"/>
          <w:rFonts w:ascii="Arial" w:hAnsi="Arial" w:cs="Arial"/>
          <w:sz w:val="22"/>
          <w:szCs w:val="22"/>
        </w:rPr>
        <w:t>  </w:t>
      </w:r>
    </w:p>
    <w:p w14:paraId="2F4E6707" w14:textId="77777777" w:rsidR="009835E4" w:rsidRPr="00DA1464" w:rsidRDefault="009835E4" w:rsidP="00DA1464">
      <w:pPr>
        <w:pStyle w:val="p1"/>
        <w:spacing w:line="360" w:lineRule="auto"/>
        <w:jc w:val="both"/>
        <w:rPr>
          <w:rFonts w:ascii="Arial" w:hAnsi="Arial" w:cs="Arial"/>
        </w:rPr>
      </w:pPr>
      <w:r w:rsidRPr="00DA1464">
        <w:rPr>
          <w:rStyle w:val="s1"/>
          <w:rFonts w:ascii="Arial" w:hAnsi="Arial" w:cs="Arial"/>
        </w:rPr>
        <w:t>This dissertation is driven by the need to interrogate whether social services are reducing mental health inequalities among care leavers or merely managing the consequences of wider structural disadvantage (Bennett et al., 2022; Bennett et al., 2024a; Phillips et al., 2023). The topic was selected because care-experienced young people are consistently identified as experiencing disproportionately poor mental health outcomes, yet the persistence of these outcomes suggests that statutory recognition has not translated into consistently effective support (Carter et al., 2025; Cummings and Shelton, 2024; Rice and O’Connor, 2023). This concern is especially significant in Northern England, where higher levels of deprivation, greater care-entry rates and sustained pressure on local services indicate that geography is not a neutral backdrop but a factor actively shaping need, access and outcomes (Bennett et al., 2022; Bennett et al., 2024b; Pickett et al., 2021).</w:t>
      </w:r>
    </w:p>
    <w:p w14:paraId="6DD33FEC" w14:textId="72B41923" w:rsidR="009835E4" w:rsidRPr="00DA1464" w:rsidRDefault="00617F04" w:rsidP="00DA1464">
      <w:pPr>
        <w:pStyle w:val="p2"/>
        <w:spacing w:line="360" w:lineRule="auto"/>
        <w:jc w:val="both"/>
        <w:rPr>
          <w:rFonts w:ascii="Arial" w:hAnsi="Arial" w:cs="Arial"/>
        </w:rPr>
      </w:pPr>
      <w:r w:rsidRPr="00DA1464">
        <w:rPr>
          <w:rFonts w:ascii="Arial" w:eastAsia="Times New Roman" w:hAnsi="Arial" w:cs="Arial"/>
          <w:color w:val="0F4761"/>
          <w:sz w:val="27"/>
          <w:szCs w:val="27"/>
        </w:rPr>
        <w:t>1.3 Rationale for Research</w:t>
      </w:r>
    </w:p>
    <w:p w14:paraId="5C482C68" w14:textId="77777777" w:rsidR="009835E4" w:rsidRPr="00DA1464" w:rsidRDefault="009835E4" w:rsidP="00DA1464">
      <w:pPr>
        <w:pStyle w:val="p1"/>
        <w:spacing w:line="360" w:lineRule="auto"/>
        <w:jc w:val="both"/>
        <w:rPr>
          <w:rFonts w:ascii="Arial" w:hAnsi="Arial" w:cs="Arial"/>
        </w:rPr>
      </w:pPr>
      <w:r w:rsidRPr="00DA1464">
        <w:rPr>
          <w:rStyle w:val="s1"/>
          <w:rFonts w:ascii="Arial" w:hAnsi="Arial" w:cs="Arial"/>
        </w:rPr>
        <w:t xml:space="preserve">The broader significance of this research lies in the tension between policy ambition and practice reality. Government guidance and reform documents present an increasingly robust framework of corporate parenting, extended support and transition planning, implying that the needs of care leavers are being addressed through coherent statutory provision (Department for Education, 2025b; Department for </w:t>
      </w:r>
      <w:r w:rsidRPr="00DA1464">
        <w:rPr>
          <w:rStyle w:val="s1"/>
          <w:rFonts w:ascii="Arial" w:hAnsi="Arial" w:cs="Arial"/>
        </w:rPr>
        <w:lastRenderedPageBreak/>
        <w:t xml:space="preserve">Education, 2025d; HM Government, 2016). However, these sources are normative and aspirational in </w:t>
      </w:r>
      <w:proofErr w:type="gramStart"/>
      <w:r w:rsidRPr="00DA1464">
        <w:rPr>
          <w:rStyle w:val="s1"/>
          <w:rFonts w:ascii="Arial" w:hAnsi="Arial" w:cs="Arial"/>
        </w:rPr>
        <w:t>character, and</w:t>
      </w:r>
      <w:proofErr w:type="gramEnd"/>
      <w:r w:rsidRPr="00DA1464">
        <w:rPr>
          <w:rStyle w:val="s1"/>
          <w:rFonts w:ascii="Arial" w:hAnsi="Arial" w:cs="Arial"/>
        </w:rPr>
        <w:t xml:space="preserve"> therefore cannot be treated as evidence of effectiveness in themselves (Department for Education, 2025a; MacAlister, 2022; Ofsted, 2025d). By contrast, systematic reviews, qualitative studies and inspection findings suggest that service access remains fragmented, transitions remain insecure, and outcomes remain strongly patterned by instability, local capacity and unequal resource distribution (Butterworth et al., 2017; Ofsted, 2022; Prendergast et al., 2024; Young et al., 2024).</w:t>
      </w:r>
    </w:p>
    <w:p w14:paraId="57DC6C5E" w14:textId="0569B815" w:rsidR="009835E4" w:rsidRPr="00DA1464" w:rsidRDefault="00410CB5" w:rsidP="00DA1464">
      <w:pPr>
        <w:pStyle w:val="p2"/>
        <w:spacing w:line="360" w:lineRule="auto"/>
        <w:jc w:val="both"/>
        <w:rPr>
          <w:rFonts w:ascii="Arial" w:hAnsi="Arial" w:cs="Arial"/>
        </w:rPr>
      </w:pPr>
      <w:proofErr w:type="gramStart"/>
      <w:r w:rsidRPr="00DA1464">
        <w:rPr>
          <w:rFonts w:ascii="Arial" w:hAnsi="Arial" w:cs="Arial"/>
        </w:rPr>
        <w:t>Moreover,  practical</w:t>
      </w:r>
      <w:proofErr w:type="gramEnd"/>
      <w:r w:rsidRPr="00DA1464">
        <w:rPr>
          <w:rFonts w:ascii="Arial" w:hAnsi="Arial" w:cs="Arial"/>
        </w:rPr>
        <w:t xml:space="preserve"> importance of this study is reinforced by official inspection data showing substantial regional variation in the quality of local authority children’s services. As </w:t>
      </w:r>
      <w:proofErr w:type="gramStart"/>
      <w:r w:rsidRPr="00DA1464">
        <w:rPr>
          <w:rFonts w:ascii="Arial" w:hAnsi="Arial" w:cs="Arial"/>
        </w:rPr>
        <w:t>at</w:t>
      </w:r>
      <w:proofErr w:type="gramEnd"/>
      <w:r w:rsidRPr="00DA1464">
        <w:rPr>
          <w:rFonts w:ascii="Arial" w:hAnsi="Arial" w:cs="Arial"/>
        </w:rPr>
        <w:t xml:space="preserve"> 31 March 2025, the </w:t>
      </w:r>
      <w:proofErr w:type="gramStart"/>
      <w:r w:rsidRPr="00DA1464">
        <w:rPr>
          <w:rFonts w:ascii="Arial" w:hAnsi="Arial" w:cs="Arial"/>
        </w:rPr>
        <w:t>North West</w:t>
      </w:r>
      <w:proofErr w:type="gramEnd"/>
      <w:r w:rsidRPr="00DA1464">
        <w:rPr>
          <w:rFonts w:ascii="Arial" w:hAnsi="Arial" w:cs="Arial"/>
        </w:rPr>
        <w:t xml:space="preserve"> had the lowest proportion of local authorities judged good or outstanding (46%), and no local authority in that region was judged outstanding, indicating that service quality remains uneven despite a national framework of statutory duties (Ofsted, 2025d).</w:t>
      </w:r>
    </w:p>
    <w:p w14:paraId="3E364324" w14:textId="705064BC" w:rsidR="009835E4" w:rsidRPr="00DA1464" w:rsidRDefault="009835E4" w:rsidP="00DA1464">
      <w:pPr>
        <w:pStyle w:val="p1"/>
        <w:spacing w:line="360" w:lineRule="auto"/>
        <w:jc w:val="both"/>
        <w:rPr>
          <w:rFonts w:ascii="Arial" w:hAnsi="Arial" w:cs="Arial"/>
        </w:rPr>
      </w:pPr>
      <w:r w:rsidRPr="00DA1464">
        <w:rPr>
          <w:rStyle w:val="s1"/>
          <w:rFonts w:ascii="Arial" w:hAnsi="Arial" w:cs="Arial"/>
        </w:rPr>
        <w:t>A clear gap therefore emerges in the literature. Existing research has examined care-experienced young people, mental health need and transition separately with greater frequency than it has critically examined how these issues intersect within the specific regional context of Northern England (Brown et al., 2024; Cummings and Shelton, 2024; Phillips et al., 2023). This dissertation addresses that gap by bringing together evidence on mental health, regional inequality and leaving-care support to evaluate whether current social service responses are sufficiently equitable, credible and effective for care leavers aged 16–25</w:t>
      </w:r>
      <w:r w:rsidR="0089296C" w:rsidRPr="00DA1464">
        <w:rPr>
          <w:rStyle w:val="s1"/>
          <w:rFonts w:ascii="Arial" w:hAnsi="Arial" w:cs="Arial"/>
        </w:rPr>
        <w:t>.</w:t>
      </w:r>
    </w:p>
    <w:p w14:paraId="75E17D56" w14:textId="77777777" w:rsidR="00BD2909" w:rsidRPr="00DA1464" w:rsidRDefault="00BD2909" w:rsidP="00DA1464">
      <w:pPr>
        <w:pStyle w:val="paragraph"/>
        <w:spacing w:before="0" w:beforeAutospacing="0" w:after="0" w:afterAutospacing="0" w:line="360" w:lineRule="auto"/>
        <w:ind w:left="1080"/>
        <w:jc w:val="both"/>
        <w:textAlignment w:val="baseline"/>
        <w:rPr>
          <w:rFonts w:ascii="Arial" w:hAnsi="Arial" w:cs="Arial"/>
          <w:sz w:val="16"/>
          <w:szCs w:val="16"/>
        </w:rPr>
      </w:pPr>
      <w:r w:rsidRPr="00DA1464">
        <w:rPr>
          <w:rStyle w:val="eop"/>
          <w:rFonts w:ascii="Arial" w:hAnsi="Arial" w:cs="Arial"/>
          <w:sz w:val="22"/>
          <w:szCs w:val="22"/>
        </w:rPr>
        <w:t> </w:t>
      </w:r>
    </w:p>
    <w:p w14:paraId="669241A7" w14:textId="69C4B154" w:rsidR="00BD2909" w:rsidRPr="00DA1464" w:rsidRDefault="00BD2909" w:rsidP="00DA1464">
      <w:pPr>
        <w:pStyle w:val="paragraph"/>
        <w:spacing w:before="0" w:beforeAutospacing="0" w:after="0" w:afterAutospacing="0" w:line="360" w:lineRule="auto"/>
        <w:jc w:val="both"/>
        <w:textAlignment w:val="baseline"/>
        <w:rPr>
          <w:rFonts w:ascii="Arial" w:hAnsi="Arial" w:cs="Arial"/>
          <w:color w:val="0F4761"/>
          <w:sz w:val="16"/>
          <w:szCs w:val="16"/>
        </w:rPr>
      </w:pPr>
      <w:r w:rsidRPr="00DA1464">
        <w:rPr>
          <w:rStyle w:val="normaltextrun"/>
          <w:rFonts w:ascii="Arial" w:hAnsi="Arial" w:cs="Arial"/>
          <w:color w:val="0F4761"/>
        </w:rPr>
        <w:t>1.4 Aim and Objectives</w:t>
      </w:r>
    </w:p>
    <w:p w14:paraId="5AB3E8DB" w14:textId="6E924CE0" w:rsidR="007C6864" w:rsidRPr="00DA1464" w:rsidRDefault="007C6864" w:rsidP="00DA1464">
      <w:pPr>
        <w:pStyle w:val="p1"/>
        <w:spacing w:line="360" w:lineRule="auto"/>
        <w:jc w:val="both"/>
        <w:rPr>
          <w:rFonts w:ascii="Arial" w:hAnsi="Arial" w:cs="Arial"/>
        </w:rPr>
      </w:pPr>
      <w:r w:rsidRPr="00DA1464">
        <w:rPr>
          <w:rStyle w:val="s1"/>
          <w:rFonts w:ascii="Arial" w:hAnsi="Arial" w:cs="Arial"/>
        </w:rPr>
        <w:t xml:space="preserve">This study is grounded in evidence that care-experienced young people face complex and overlapping disadvantages, including poorer mental health, disrupted transitions and unequal access to support, and that these challenges may be intensified in areas marked by deprivation and service pressure (Bennett et al., 2022; Cummings and Shelton, 2024; Phillips et al., 2023). Within this context, the dissertation focuses specifically on Northern England </w:t>
      </w:r>
      <w:proofErr w:type="gramStart"/>
      <w:r w:rsidRPr="00DA1464">
        <w:rPr>
          <w:rStyle w:val="s1"/>
          <w:rFonts w:ascii="Arial" w:hAnsi="Arial" w:cs="Arial"/>
        </w:rPr>
        <w:t>in order to</w:t>
      </w:r>
      <w:proofErr w:type="gramEnd"/>
      <w:r w:rsidRPr="00DA1464">
        <w:rPr>
          <w:rStyle w:val="s1"/>
          <w:rFonts w:ascii="Arial" w:hAnsi="Arial" w:cs="Arial"/>
        </w:rPr>
        <w:t xml:space="preserve"> examine whether current social service responses are sufficiently effective, equitable and coordinated for care leavers aged </w:t>
      </w:r>
      <w:r w:rsidRPr="00DA1464">
        <w:rPr>
          <w:rStyle w:val="s1"/>
          <w:rFonts w:ascii="Arial" w:hAnsi="Arial" w:cs="Arial"/>
        </w:rPr>
        <w:lastRenderedPageBreak/>
        <w:t>16–24 in a region shaped by persistent structural inequality (Bennett et al., 2024a; Foley et al., 2025; Pickett et al., 2021). The aim and objectives below provide the framework for the study and identify the key areas of enquiry that guide the subsequent chapters.</w:t>
      </w:r>
    </w:p>
    <w:p w14:paraId="42F8F2F3" w14:textId="23316205" w:rsidR="007C6864" w:rsidRPr="00DA1464" w:rsidRDefault="00AA125D" w:rsidP="00DA1464">
      <w:pPr>
        <w:pStyle w:val="p1"/>
        <w:spacing w:line="360" w:lineRule="auto"/>
        <w:jc w:val="both"/>
        <w:rPr>
          <w:rFonts w:ascii="Arial" w:hAnsi="Arial" w:cs="Arial"/>
        </w:rPr>
      </w:pPr>
      <w:r w:rsidRPr="00DA1464">
        <w:rPr>
          <w:rStyle w:val="s2"/>
          <w:rFonts w:ascii="Arial" w:hAnsi="Arial" w:cs="Arial"/>
        </w:rPr>
        <w:t xml:space="preserve">1.4.1 </w:t>
      </w:r>
      <w:r w:rsidR="007C6864" w:rsidRPr="00DA1464">
        <w:rPr>
          <w:rStyle w:val="s2"/>
          <w:rFonts w:ascii="Arial" w:hAnsi="Arial" w:cs="Arial"/>
        </w:rPr>
        <w:t>Research aim</w:t>
      </w:r>
    </w:p>
    <w:p w14:paraId="38717A9E" w14:textId="7D9C17EB" w:rsidR="007C6864" w:rsidRPr="00DA1464" w:rsidRDefault="007C6864" w:rsidP="00DA1464">
      <w:pPr>
        <w:pStyle w:val="p1"/>
        <w:spacing w:line="360" w:lineRule="auto"/>
        <w:jc w:val="both"/>
        <w:rPr>
          <w:rFonts w:ascii="Arial" w:hAnsi="Arial" w:cs="Arial"/>
        </w:rPr>
      </w:pPr>
      <w:r w:rsidRPr="00DA1464">
        <w:rPr>
          <w:rStyle w:val="s1"/>
          <w:rFonts w:ascii="Arial" w:hAnsi="Arial" w:cs="Arial"/>
        </w:rPr>
        <w:t>The aim of this dissertation is to evaluate how effectively social services reduce mental health inequalities among care leavers aged 16–24 in Northern England.</w:t>
      </w:r>
    </w:p>
    <w:p w14:paraId="7479CB5F" w14:textId="40AC1071" w:rsidR="007C6864" w:rsidRPr="00DA1464" w:rsidRDefault="00AA125D" w:rsidP="00DA1464">
      <w:pPr>
        <w:pStyle w:val="p1"/>
        <w:spacing w:line="360" w:lineRule="auto"/>
        <w:jc w:val="both"/>
        <w:rPr>
          <w:rFonts w:ascii="Arial" w:hAnsi="Arial" w:cs="Arial"/>
        </w:rPr>
      </w:pPr>
      <w:r w:rsidRPr="00DA1464">
        <w:rPr>
          <w:rStyle w:val="s2"/>
          <w:rFonts w:ascii="Arial" w:hAnsi="Arial" w:cs="Arial"/>
        </w:rPr>
        <w:t xml:space="preserve">1.4.2 </w:t>
      </w:r>
      <w:r w:rsidR="007C6864" w:rsidRPr="00DA1464">
        <w:rPr>
          <w:rStyle w:val="s2"/>
          <w:rFonts w:ascii="Arial" w:hAnsi="Arial" w:cs="Arial"/>
        </w:rPr>
        <w:t>Research objectives</w:t>
      </w:r>
    </w:p>
    <w:p w14:paraId="7F7C02C1" w14:textId="68275505" w:rsidR="007C6864" w:rsidRPr="00DA1464" w:rsidRDefault="00D97E83" w:rsidP="00DA1464">
      <w:pPr>
        <w:pStyle w:val="p1"/>
        <w:numPr>
          <w:ilvl w:val="0"/>
          <w:numId w:val="108"/>
        </w:numPr>
        <w:spacing w:line="360" w:lineRule="auto"/>
        <w:jc w:val="both"/>
        <w:rPr>
          <w:rFonts w:ascii="Arial" w:hAnsi="Arial" w:cs="Arial"/>
        </w:rPr>
      </w:pPr>
      <w:r w:rsidRPr="00DA1464">
        <w:rPr>
          <w:rStyle w:val="s1"/>
          <w:rFonts w:ascii="Arial" w:hAnsi="Arial" w:cs="Arial"/>
        </w:rPr>
        <w:t xml:space="preserve">Objective 1: </w:t>
      </w:r>
      <w:r w:rsidR="007C6864" w:rsidRPr="00DA1464">
        <w:rPr>
          <w:rStyle w:val="s1"/>
          <w:rFonts w:ascii="Arial" w:hAnsi="Arial" w:cs="Arial"/>
        </w:rPr>
        <w:t>To define and explore the mental health challenges and inequalities experienced by care leavers aged 16–24 in Northern England.</w:t>
      </w:r>
    </w:p>
    <w:p w14:paraId="5382A112" w14:textId="1961D443" w:rsidR="007C6864" w:rsidRPr="00DA1464" w:rsidRDefault="00D97E83" w:rsidP="00DA1464">
      <w:pPr>
        <w:pStyle w:val="p1"/>
        <w:numPr>
          <w:ilvl w:val="0"/>
          <w:numId w:val="108"/>
        </w:numPr>
        <w:spacing w:line="360" w:lineRule="auto"/>
        <w:jc w:val="both"/>
        <w:rPr>
          <w:rFonts w:ascii="Arial" w:hAnsi="Arial" w:cs="Arial"/>
        </w:rPr>
      </w:pPr>
      <w:r w:rsidRPr="00DA1464">
        <w:rPr>
          <w:rStyle w:val="s1"/>
          <w:rFonts w:ascii="Arial" w:hAnsi="Arial" w:cs="Arial"/>
        </w:rPr>
        <w:t xml:space="preserve">Objective 2: </w:t>
      </w:r>
      <w:r w:rsidR="007C6864" w:rsidRPr="00DA1464">
        <w:rPr>
          <w:rStyle w:val="s1"/>
          <w:rFonts w:ascii="Arial" w:hAnsi="Arial" w:cs="Arial"/>
        </w:rPr>
        <w:t>To analyse the current role and effectiveness of social services in supporting care leavers’ mental health and wellbeing.</w:t>
      </w:r>
    </w:p>
    <w:p w14:paraId="556A0C39" w14:textId="084FD3F4" w:rsidR="007C6864" w:rsidRPr="00DA1464" w:rsidRDefault="00D97E83" w:rsidP="00DA1464">
      <w:pPr>
        <w:pStyle w:val="p1"/>
        <w:numPr>
          <w:ilvl w:val="0"/>
          <w:numId w:val="108"/>
        </w:numPr>
        <w:spacing w:line="360" w:lineRule="auto"/>
        <w:jc w:val="both"/>
        <w:rPr>
          <w:rFonts w:ascii="Arial" w:hAnsi="Arial" w:cs="Arial"/>
        </w:rPr>
      </w:pPr>
      <w:r w:rsidRPr="00DA1464">
        <w:rPr>
          <w:rStyle w:val="s1"/>
          <w:rFonts w:ascii="Arial" w:hAnsi="Arial" w:cs="Arial"/>
        </w:rPr>
        <w:t xml:space="preserve">Objective 3: </w:t>
      </w:r>
      <w:r w:rsidR="007C6864" w:rsidRPr="00DA1464">
        <w:rPr>
          <w:rStyle w:val="s1"/>
          <w:rFonts w:ascii="Arial" w:hAnsi="Arial" w:cs="Arial"/>
        </w:rPr>
        <w:t>To assess the extent to which existing frameworks (e.g. Care Act 2014, NHS Long Term Plan, NICE 2021) promote equality of access and outcomes.</w:t>
      </w:r>
    </w:p>
    <w:p w14:paraId="7FA3F3C5" w14:textId="31877EAD" w:rsidR="00BD2909" w:rsidRPr="00DA1464" w:rsidRDefault="00D97E83" w:rsidP="00DA1464">
      <w:pPr>
        <w:pStyle w:val="p1"/>
        <w:numPr>
          <w:ilvl w:val="0"/>
          <w:numId w:val="108"/>
        </w:numPr>
        <w:spacing w:line="360" w:lineRule="auto"/>
        <w:jc w:val="both"/>
        <w:rPr>
          <w:rFonts w:ascii="Arial" w:hAnsi="Arial" w:cs="Arial"/>
        </w:rPr>
      </w:pPr>
      <w:r w:rsidRPr="00DA1464">
        <w:rPr>
          <w:rStyle w:val="s1"/>
          <w:rFonts w:ascii="Arial" w:hAnsi="Arial" w:cs="Arial"/>
        </w:rPr>
        <w:t xml:space="preserve">Objective 4: </w:t>
      </w:r>
      <w:r w:rsidR="007C6864" w:rsidRPr="00DA1464">
        <w:rPr>
          <w:rStyle w:val="s1"/>
          <w:rFonts w:ascii="Arial" w:hAnsi="Arial" w:cs="Arial"/>
        </w:rPr>
        <w:t>To provide evidence-based recommendations for improving social care coordination, continuity of mental health support, and integration between child and adult services for care-experienced young people.</w:t>
      </w:r>
      <w:r w:rsidR="00BD2909" w:rsidRPr="00DA1464">
        <w:rPr>
          <w:rStyle w:val="eop"/>
          <w:rFonts w:ascii="Arial" w:hAnsi="Arial" w:cs="Arial"/>
          <w:sz w:val="22"/>
          <w:szCs w:val="22"/>
        </w:rPr>
        <w:t> </w:t>
      </w:r>
    </w:p>
    <w:p w14:paraId="4FCBBEC2" w14:textId="35363B67" w:rsidR="00BD2909" w:rsidRPr="00DA1464" w:rsidRDefault="00BD2909" w:rsidP="00DA1464">
      <w:pPr>
        <w:pStyle w:val="paragraph"/>
        <w:spacing w:before="0" w:beforeAutospacing="0" w:after="0" w:afterAutospacing="0" w:line="360" w:lineRule="auto"/>
        <w:jc w:val="both"/>
        <w:textAlignment w:val="baseline"/>
        <w:rPr>
          <w:rFonts w:ascii="Arial" w:hAnsi="Arial" w:cs="Arial"/>
          <w:color w:val="0F4761"/>
          <w:sz w:val="16"/>
          <w:szCs w:val="16"/>
        </w:rPr>
      </w:pPr>
      <w:r w:rsidRPr="00DA1464">
        <w:rPr>
          <w:rStyle w:val="normaltextrun"/>
          <w:rFonts w:ascii="Arial" w:hAnsi="Arial" w:cs="Arial"/>
          <w:color w:val="0F4761"/>
        </w:rPr>
        <w:t>1.5 Conclusion</w:t>
      </w:r>
    </w:p>
    <w:p w14:paraId="335E56AB" w14:textId="77777777" w:rsidR="000514AD" w:rsidRPr="00DA1464" w:rsidRDefault="000514AD" w:rsidP="00DA1464">
      <w:pPr>
        <w:pStyle w:val="p1"/>
        <w:spacing w:line="360" w:lineRule="auto"/>
        <w:jc w:val="both"/>
        <w:rPr>
          <w:rFonts w:ascii="Arial" w:hAnsi="Arial" w:cs="Arial"/>
        </w:rPr>
      </w:pPr>
      <w:r w:rsidRPr="00DA1464">
        <w:rPr>
          <w:rStyle w:val="s1"/>
          <w:rFonts w:ascii="Arial" w:hAnsi="Arial" w:cs="Arial"/>
        </w:rPr>
        <w:t xml:space="preserve">This chapter has established the intellectual and practical basis for examining mental health inequalities among care leavers in Northern England. It has shown that care-experienced young people experience disproportionately poor outcomes and that these outcomes are shaped not only by care history, but by wider structural inequalities linked to deprivation, regional disadvantage and uneven service provision (Bennett et al., 2022; Cummings and Shelton, 2024; Phillips et al., 2023). The chapter has clarified the key concepts used throughout the dissertation, justified the focus on Northern England, and identified a clear gap between policy ambition and the realities of service delivery for care leavers (MacAlister, 2022; Ofsted, 2025d). The research aim and objectives have provided a focused framework for critically evaluating the role </w:t>
      </w:r>
      <w:r w:rsidRPr="00DA1464">
        <w:rPr>
          <w:rStyle w:val="s1"/>
          <w:rFonts w:ascii="Arial" w:hAnsi="Arial" w:cs="Arial"/>
        </w:rPr>
        <w:lastRenderedPageBreak/>
        <w:t xml:space="preserve">of social services in this area. The following chapter builds on this foundation by examining the historical, theoretical, international and UK context of the topic in greater depth, </w:t>
      </w:r>
      <w:proofErr w:type="gramStart"/>
      <w:r w:rsidRPr="00DA1464">
        <w:rPr>
          <w:rStyle w:val="s1"/>
          <w:rFonts w:ascii="Arial" w:hAnsi="Arial" w:cs="Arial"/>
        </w:rPr>
        <w:t>in order to</w:t>
      </w:r>
      <w:proofErr w:type="gramEnd"/>
      <w:r w:rsidRPr="00DA1464">
        <w:rPr>
          <w:rStyle w:val="s1"/>
          <w:rFonts w:ascii="Arial" w:hAnsi="Arial" w:cs="Arial"/>
        </w:rPr>
        <w:t xml:space="preserve"> situate the dissertation within the wider literature and policy landscape.</w:t>
      </w:r>
    </w:p>
    <w:p w14:paraId="115C9163" w14:textId="77777777" w:rsidR="00730C3C" w:rsidRPr="00DA1464" w:rsidRDefault="00730C3C" w:rsidP="00DA1464">
      <w:pPr>
        <w:rPr>
          <w:rFonts w:ascii="Arial" w:hAnsi="Arial" w:cs="Arial"/>
        </w:rPr>
      </w:pPr>
    </w:p>
    <w:p w14:paraId="47D34B52" w14:textId="77777777" w:rsidR="00730C3C" w:rsidRPr="00DA1464" w:rsidRDefault="00730C3C" w:rsidP="00DA1464">
      <w:pPr>
        <w:rPr>
          <w:rFonts w:ascii="Arial" w:hAnsi="Arial" w:cs="Arial"/>
        </w:rPr>
      </w:pPr>
    </w:p>
    <w:p w14:paraId="093E8F53" w14:textId="77777777" w:rsidR="00730C3C" w:rsidRPr="00DA1464" w:rsidRDefault="00730C3C" w:rsidP="00DA1464">
      <w:pPr>
        <w:rPr>
          <w:rFonts w:ascii="Arial" w:hAnsi="Arial" w:cs="Arial"/>
        </w:rPr>
      </w:pPr>
    </w:p>
    <w:p w14:paraId="0DBC5AAB" w14:textId="77777777" w:rsidR="003135AD" w:rsidRDefault="003135AD" w:rsidP="00DA1464">
      <w:pPr>
        <w:rPr>
          <w:rFonts w:ascii="Arial" w:hAnsi="Arial" w:cs="Arial"/>
        </w:rPr>
      </w:pPr>
    </w:p>
    <w:p w14:paraId="5F1EC9F0" w14:textId="77777777" w:rsidR="0084464F" w:rsidRDefault="0084464F" w:rsidP="00DA1464">
      <w:pPr>
        <w:rPr>
          <w:rFonts w:ascii="Arial" w:hAnsi="Arial" w:cs="Arial"/>
        </w:rPr>
      </w:pPr>
    </w:p>
    <w:p w14:paraId="63CA10D7" w14:textId="77777777" w:rsidR="0084464F" w:rsidRDefault="0084464F" w:rsidP="00DA1464">
      <w:pPr>
        <w:rPr>
          <w:rFonts w:ascii="Arial" w:hAnsi="Arial" w:cs="Arial"/>
        </w:rPr>
      </w:pPr>
    </w:p>
    <w:p w14:paraId="24EE372C" w14:textId="77777777" w:rsidR="0084464F" w:rsidRDefault="0084464F" w:rsidP="00DA1464">
      <w:pPr>
        <w:rPr>
          <w:rFonts w:ascii="Arial" w:hAnsi="Arial" w:cs="Arial"/>
        </w:rPr>
      </w:pPr>
    </w:p>
    <w:p w14:paraId="36232050" w14:textId="77777777" w:rsidR="0084464F" w:rsidRDefault="0084464F" w:rsidP="00DA1464">
      <w:pPr>
        <w:rPr>
          <w:rFonts w:ascii="Arial" w:hAnsi="Arial" w:cs="Arial"/>
        </w:rPr>
      </w:pPr>
    </w:p>
    <w:p w14:paraId="742A4235" w14:textId="77777777" w:rsidR="0084464F" w:rsidRDefault="0084464F" w:rsidP="00DA1464">
      <w:pPr>
        <w:rPr>
          <w:rFonts w:ascii="Arial" w:hAnsi="Arial" w:cs="Arial"/>
        </w:rPr>
      </w:pPr>
    </w:p>
    <w:p w14:paraId="30C157C6" w14:textId="77777777" w:rsidR="0084464F" w:rsidRDefault="0084464F" w:rsidP="00DA1464">
      <w:pPr>
        <w:rPr>
          <w:rFonts w:ascii="Arial" w:hAnsi="Arial" w:cs="Arial"/>
        </w:rPr>
      </w:pPr>
    </w:p>
    <w:p w14:paraId="34A2B6ED" w14:textId="77777777" w:rsidR="0084464F" w:rsidRDefault="0084464F" w:rsidP="00DA1464">
      <w:pPr>
        <w:rPr>
          <w:rFonts w:ascii="Arial" w:hAnsi="Arial" w:cs="Arial"/>
        </w:rPr>
      </w:pPr>
    </w:p>
    <w:p w14:paraId="63B305C5" w14:textId="77777777" w:rsidR="0084464F" w:rsidRDefault="0084464F" w:rsidP="00DA1464">
      <w:pPr>
        <w:rPr>
          <w:rFonts w:ascii="Arial" w:hAnsi="Arial" w:cs="Arial"/>
        </w:rPr>
      </w:pPr>
    </w:p>
    <w:p w14:paraId="718FEF4E" w14:textId="77777777" w:rsidR="0084464F" w:rsidRDefault="0084464F" w:rsidP="00DA1464">
      <w:pPr>
        <w:rPr>
          <w:rFonts w:ascii="Arial" w:hAnsi="Arial" w:cs="Arial"/>
        </w:rPr>
      </w:pPr>
    </w:p>
    <w:p w14:paraId="57342A68" w14:textId="77777777" w:rsidR="0084464F" w:rsidRDefault="0084464F" w:rsidP="00DA1464">
      <w:pPr>
        <w:rPr>
          <w:rFonts w:ascii="Arial" w:hAnsi="Arial" w:cs="Arial"/>
        </w:rPr>
      </w:pPr>
    </w:p>
    <w:p w14:paraId="7D0C9C63" w14:textId="77777777" w:rsidR="0084464F" w:rsidRDefault="0084464F" w:rsidP="00DA1464">
      <w:pPr>
        <w:rPr>
          <w:rFonts w:ascii="Arial" w:hAnsi="Arial" w:cs="Arial"/>
        </w:rPr>
      </w:pPr>
    </w:p>
    <w:p w14:paraId="7984CC17" w14:textId="77777777" w:rsidR="0084464F" w:rsidRDefault="0084464F" w:rsidP="00DA1464">
      <w:pPr>
        <w:rPr>
          <w:rFonts w:ascii="Arial" w:hAnsi="Arial" w:cs="Arial"/>
        </w:rPr>
      </w:pPr>
    </w:p>
    <w:p w14:paraId="07300990" w14:textId="77777777" w:rsidR="0084464F" w:rsidRDefault="0084464F" w:rsidP="00DA1464">
      <w:pPr>
        <w:rPr>
          <w:rFonts w:ascii="Arial" w:hAnsi="Arial" w:cs="Arial"/>
        </w:rPr>
      </w:pPr>
    </w:p>
    <w:p w14:paraId="5E4E8105" w14:textId="77777777" w:rsidR="0084464F" w:rsidRDefault="0084464F" w:rsidP="00DA1464">
      <w:pPr>
        <w:rPr>
          <w:rFonts w:ascii="Arial" w:hAnsi="Arial" w:cs="Arial"/>
        </w:rPr>
      </w:pPr>
    </w:p>
    <w:p w14:paraId="3710F5A6" w14:textId="77777777" w:rsidR="0084464F" w:rsidRDefault="0084464F" w:rsidP="00DA1464">
      <w:pPr>
        <w:rPr>
          <w:rFonts w:ascii="Arial" w:hAnsi="Arial" w:cs="Arial"/>
        </w:rPr>
      </w:pPr>
    </w:p>
    <w:p w14:paraId="1AF96A1F" w14:textId="77777777" w:rsidR="0084464F" w:rsidRDefault="0084464F" w:rsidP="00DA1464">
      <w:pPr>
        <w:rPr>
          <w:rFonts w:ascii="Arial" w:hAnsi="Arial" w:cs="Arial"/>
        </w:rPr>
      </w:pPr>
    </w:p>
    <w:p w14:paraId="6A181C47" w14:textId="77777777" w:rsidR="0084464F" w:rsidRDefault="0084464F" w:rsidP="00DA1464">
      <w:pPr>
        <w:rPr>
          <w:rFonts w:ascii="Arial" w:hAnsi="Arial" w:cs="Arial"/>
        </w:rPr>
      </w:pPr>
    </w:p>
    <w:p w14:paraId="4F273C5B" w14:textId="77777777" w:rsidR="0084464F" w:rsidRPr="00DA1464" w:rsidRDefault="0084464F" w:rsidP="00DA1464">
      <w:pPr>
        <w:rPr>
          <w:rFonts w:ascii="Arial" w:hAnsi="Arial" w:cs="Arial"/>
        </w:rPr>
      </w:pPr>
    </w:p>
    <w:p w14:paraId="69C79371" w14:textId="77777777" w:rsidR="006A4515" w:rsidRPr="00DA1464" w:rsidRDefault="006A4515" w:rsidP="00DA1464">
      <w:pPr>
        <w:rPr>
          <w:rFonts w:ascii="Arial" w:hAnsi="Arial" w:cs="Arial"/>
        </w:rPr>
      </w:pPr>
    </w:p>
    <w:p w14:paraId="41C83A1D" w14:textId="2D362AA8" w:rsidR="00BD2909" w:rsidRPr="00DA1464" w:rsidRDefault="000D0641" w:rsidP="00DA1464">
      <w:pPr>
        <w:pStyle w:val="Heading1"/>
        <w:spacing w:line="360" w:lineRule="auto"/>
        <w:ind w:left="0"/>
        <w:jc w:val="both"/>
        <w:rPr>
          <w:rFonts w:cs="Arial"/>
        </w:rPr>
      </w:pPr>
      <w:bookmarkStart w:id="2" w:name="_Toc226533362"/>
      <w:r w:rsidRPr="00DA1464">
        <w:rPr>
          <w:rFonts w:cs="Arial"/>
        </w:rPr>
        <w:t xml:space="preserve">CHAPTER 2 – </w:t>
      </w:r>
      <w:r w:rsidR="00BD2909" w:rsidRPr="00DA1464">
        <w:rPr>
          <w:rFonts w:cs="Arial"/>
        </w:rPr>
        <w:t xml:space="preserve">Background </w:t>
      </w:r>
      <w:r w:rsidR="00F44833" w:rsidRPr="00DA1464">
        <w:rPr>
          <w:rFonts w:cs="Arial"/>
        </w:rPr>
        <w:t xml:space="preserve">Information and </w:t>
      </w:r>
      <w:r w:rsidR="00BD2909" w:rsidRPr="00DA1464">
        <w:rPr>
          <w:rFonts w:cs="Arial"/>
        </w:rPr>
        <w:t>Analysis</w:t>
      </w:r>
      <w:bookmarkEnd w:id="2"/>
      <w:r w:rsidR="00BD2909" w:rsidRPr="00DA1464">
        <w:rPr>
          <w:rFonts w:cs="Arial"/>
        </w:rPr>
        <w:t xml:space="preserve"> </w:t>
      </w:r>
    </w:p>
    <w:p w14:paraId="6BA7DF87" w14:textId="77777777" w:rsidR="00BD2909" w:rsidRPr="00DA1464" w:rsidRDefault="00BD2909" w:rsidP="00DA1464">
      <w:pPr>
        <w:pStyle w:val="paragraph"/>
        <w:spacing w:before="0" w:beforeAutospacing="0" w:after="0" w:afterAutospacing="0" w:line="360" w:lineRule="auto"/>
        <w:jc w:val="both"/>
        <w:textAlignment w:val="baseline"/>
        <w:rPr>
          <w:rFonts w:ascii="Arial" w:hAnsi="Arial" w:cs="Arial"/>
          <w:color w:val="0F4761"/>
          <w:sz w:val="18"/>
          <w:szCs w:val="18"/>
        </w:rPr>
      </w:pPr>
      <w:r w:rsidRPr="00DA1464">
        <w:rPr>
          <w:rStyle w:val="eop"/>
          <w:rFonts w:ascii="Arial" w:eastAsia="Calibri Light" w:hAnsi="Arial" w:cs="Arial"/>
          <w:color w:val="0F4761"/>
          <w:sz w:val="40"/>
          <w:szCs w:val="40"/>
        </w:rPr>
        <w:t> </w:t>
      </w:r>
    </w:p>
    <w:p w14:paraId="223734F5" w14:textId="3086975A" w:rsidR="00BD2909" w:rsidRPr="00DA1464" w:rsidRDefault="00BD2909" w:rsidP="00DA1464">
      <w:pPr>
        <w:pStyle w:val="paragraph"/>
        <w:spacing w:before="0" w:beforeAutospacing="0" w:after="0" w:afterAutospacing="0" w:line="360" w:lineRule="auto"/>
        <w:jc w:val="both"/>
        <w:textAlignment w:val="baseline"/>
        <w:rPr>
          <w:rFonts w:ascii="Arial" w:hAnsi="Arial" w:cs="Arial"/>
          <w:color w:val="0F4761"/>
          <w:sz w:val="16"/>
          <w:szCs w:val="16"/>
        </w:rPr>
      </w:pPr>
      <w:r w:rsidRPr="00DA1464">
        <w:rPr>
          <w:rStyle w:val="normaltextrun"/>
          <w:rFonts w:ascii="Arial" w:hAnsi="Arial" w:cs="Arial"/>
          <w:color w:val="0F4761"/>
        </w:rPr>
        <w:t>2.1 Introduction</w:t>
      </w:r>
    </w:p>
    <w:p w14:paraId="3AF758AC" w14:textId="77777777" w:rsidR="00BD2909" w:rsidRPr="00DA1464" w:rsidRDefault="00BD2909" w:rsidP="00DA1464">
      <w:pPr>
        <w:pStyle w:val="paragraph"/>
        <w:spacing w:before="0" w:beforeAutospacing="0" w:after="0" w:afterAutospacing="0" w:line="360" w:lineRule="auto"/>
        <w:jc w:val="both"/>
        <w:textAlignment w:val="baseline"/>
        <w:rPr>
          <w:rFonts w:ascii="Arial" w:hAnsi="Arial" w:cs="Arial"/>
          <w:sz w:val="16"/>
          <w:szCs w:val="16"/>
        </w:rPr>
      </w:pPr>
      <w:r w:rsidRPr="00DA1464">
        <w:rPr>
          <w:rStyle w:val="eop"/>
          <w:rFonts w:ascii="Arial" w:eastAsia="Calibri Light" w:hAnsi="Arial" w:cs="Arial"/>
          <w:sz w:val="22"/>
          <w:szCs w:val="22"/>
        </w:rPr>
        <w:t> </w:t>
      </w:r>
    </w:p>
    <w:p w14:paraId="383A0A07" w14:textId="77777777" w:rsidR="005F6A67" w:rsidRPr="00DA1464" w:rsidRDefault="005F6A67" w:rsidP="00DA1464">
      <w:pPr>
        <w:pStyle w:val="p1"/>
        <w:spacing w:line="360" w:lineRule="auto"/>
        <w:jc w:val="both"/>
        <w:rPr>
          <w:rFonts w:ascii="Arial" w:hAnsi="Arial" w:cs="Arial"/>
        </w:rPr>
      </w:pPr>
      <w:r w:rsidRPr="00DA1464">
        <w:rPr>
          <w:rStyle w:val="s1"/>
          <w:rFonts w:ascii="Arial" w:hAnsi="Arial" w:cs="Arial"/>
        </w:rPr>
        <w:t>This chapter provides the broader foundation for the dissertation by situating mental health inequalities among care leavers within their historical, theoretical and policy context. It moves beyond the introductory outline presented in Chapter 1 and examines how current concerns about care leaving, mental health and regional inequality have developed over time. In doing so, the chapter establishes the background necessary for understanding why care leavers in Northern England represent a particularly important group for investigation.</w:t>
      </w:r>
    </w:p>
    <w:p w14:paraId="259F6F82" w14:textId="77777777" w:rsidR="005F6A67" w:rsidRPr="00DA1464" w:rsidRDefault="005F6A67" w:rsidP="00DA1464">
      <w:pPr>
        <w:pStyle w:val="p2"/>
        <w:spacing w:line="360" w:lineRule="auto"/>
        <w:jc w:val="both"/>
        <w:rPr>
          <w:rFonts w:ascii="Arial" w:hAnsi="Arial" w:cs="Arial"/>
        </w:rPr>
      </w:pPr>
    </w:p>
    <w:p w14:paraId="70859435" w14:textId="77777777" w:rsidR="005F6A67" w:rsidRPr="00DA1464" w:rsidRDefault="005F6A67" w:rsidP="00DA1464">
      <w:pPr>
        <w:pStyle w:val="p1"/>
        <w:spacing w:line="360" w:lineRule="auto"/>
        <w:jc w:val="both"/>
        <w:rPr>
          <w:rFonts w:ascii="Arial" w:hAnsi="Arial" w:cs="Arial"/>
        </w:rPr>
      </w:pPr>
      <w:r w:rsidRPr="00DA1464">
        <w:rPr>
          <w:rStyle w:val="s1"/>
          <w:rFonts w:ascii="Arial" w:hAnsi="Arial" w:cs="Arial"/>
        </w:rPr>
        <w:t>The chapter will first consider the historical development of support for children in care and care leavers, before examining relevant theoretical perspectives that help explain inequality, transition and service response. It will then locate the topic within international, national and local UK contexts, with particular attention to Northern England. This wider contextual analysis is necessary because mental health outcomes are shaped not only by individual care experiences, but by legislation, policy priorities, socio-economic conditions and regional variation in service provision. Together, these sections create the conceptual and contextual base for the later methodological chapter and for the critical thematic discussion presented in Chapter 4.</w:t>
      </w:r>
    </w:p>
    <w:p w14:paraId="1ADF7C27" w14:textId="77777777" w:rsidR="00BD2909" w:rsidRPr="00DA1464" w:rsidRDefault="00BD2909" w:rsidP="00DA1464">
      <w:pPr>
        <w:pStyle w:val="paragraph"/>
        <w:spacing w:before="0" w:beforeAutospacing="0" w:after="0" w:afterAutospacing="0" w:line="360" w:lineRule="auto"/>
        <w:ind w:left="1080"/>
        <w:jc w:val="both"/>
        <w:textAlignment w:val="baseline"/>
        <w:rPr>
          <w:rFonts w:ascii="Arial" w:hAnsi="Arial" w:cs="Arial"/>
          <w:sz w:val="16"/>
          <w:szCs w:val="16"/>
        </w:rPr>
      </w:pPr>
      <w:r w:rsidRPr="00DA1464">
        <w:rPr>
          <w:rStyle w:val="eop"/>
          <w:rFonts w:ascii="Arial" w:eastAsia="Calibri Light" w:hAnsi="Arial" w:cs="Arial"/>
          <w:sz w:val="22"/>
          <w:szCs w:val="22"/>
        </w:rPr>
        <w:t> </w:t>
      </w:r>
    </w:p>
    <w:p w14:paraId="0AAAB744" w14:textId="57ECBB6D" w:rsidR="00BD2909" w:rsidRPr="00DA1464" w:rsidRDefault="00BD2909" w:rsidP="00DA1464">
      <w:pPr>
        <w:pStyle w:val="paragraph"/>
        <w:spacing w:before="0" w:beforeAutospacing="0" w:after="0" w:afterAutospacing="0" w:line="360" w:lineRule="auto"/>
        <w:jc w:val="both"/>
        <w:textAlignment w:val="baseline"/>
        <w:rPr>
          <w:rFonts w:ascii="Arial" w:hAnsi="Arial" w:cs="Arial"/>
          <w:color w:val="0F4761"/>
          <w:sz w:val="16"/>
          <w:szCs w:val="16"/>
        </w:rPr>
      </w:pPr>
      <w:r w:rsidRPr="00DA1464">
        <w:rPr>
          <w:rStyle w:val="normaltextrun"/>
          <w:rFonts w:ascii="Arial" w:hAnsi="Arial" w:cs="Arial"/>
          <w:color w:val="0F4761"/>
        </w:rPr>
        <w:t>2.2 Historical Background</w:t>
      </w:r>
    </w:p>
    <w:p w14:paraId="002AA799" w14:textId="77777777" w:rsidR="00AB7998" w:rsidRPr="00DA1464" w:rsidRDefault="00AB7998" w:rsidP="00DA1464">
      <w:pPr>
        <w:pStyle w:val="p1"/>
        <w:spacing w:line="360" w:lineRule="auto"/>
        <w:jc w:val="both"/>
        <w:rPr>
          <w:rFonts w:ascii="Arial" w:hAnsi="Arial" w:cs="Arial"/>
        </w:rPr>
      </w:pPr>
      <w:r w:rsidRPr="00DA1464">
        <w:rPr>
          <w:rStyle w:val="s1"/>
          <w:rFonts w:ascii="Arial" w:hAnsi="Arial" w:cs="Arial"/>
        </w:rPr>
        <w:t xml:space="preserve">The historical development of care leaving in England shows that concerns about poor outcomes after care are longstanding rather than recent (Ward, 2021). Ward’s study is particularly significant because it traces anxieties about young people leaving care back to the mid-nineteenth century, when pauper children and those placed in voluntary children’s homes were expected to enter adulthood rapidly, with limited </w:t>
      </w:r>
      <w:r w:rsidRPr="00DA1464">
        <w:rPr>
          <w:rStyle w:val="s1"/>
          <w:rFonts w:ascii="Arial" w:hAnsi="Arial" w:cs="Arial"/>
        </w:rPr>
        <w:lastRenderedPageBreak/>
        <w:t>preparation and weak continuing support (Ward, 2021). This challenges any assumption that contemporary difficulties are new. Instead, it suggests that compressed transitions, insecure employment and inadequate aftercare have long shaped care-leaving experiences in England (Ward, 2021).</w:t>
      </w:r>
    </w:p>
    <w:p w14:paraId="7F6C5BF1" w14:textId="77777777" w:rsidR="00AB7998" w:rsidRPr="00DA1464" w:rsidRDefault="00AB7998" w:rsidP="00DA1464">
      <w:pPr>
        <w:pStyle w:val="p2"/>
        <w:spacing w:line="360" w:lineRule="auto"/>
        <w:jc w:val="both"/>
        <w:rPr>
          <w:rFonts w:ascii="Arial" w:hAnsi="Arial" w:cs="Arial"/>
        </w:rPr>
      </w:pPr>
    </w:p>
    <w:p w14:paraId="7B101D33" w14:textId="77777777" w:rsidR="00AB7998" w:rsidRPr="00DA1464" w:rsidRDefault="00AB7998" w:rsidP="00DA1464">
      <w:pPr>
        <w:pStyle w:val="p1"/>
        <w:spacing w:line="360" w:lineRule="auto"/>
        <w:jc w:val="both"/>
        <w:rPr>
          <w:rFonts w:ascii="Arial" w:hAnsi="Arial" w:cs="Arial"/>
        </w:rPr>
      </w:pPr>
      <w:r w:rsidRPr="00DA1464">
        <w:rPr>
          <w:rStyle w:val="s1"/>
          <w:rFonts w:ascii="Arial" w:hAnsi="Arial" w:cs="Arial"/>
        </w:rPr>
        <w:t xml:space="preserve">Ward (2021) further argues that early child welfare responses were shaped by humanitarian concern, social control and economic calculation. Poor Law institutions and voluntary rescue societies claimed to protect children, yet support was often constrained by assumptions about dependency, deservingness and cost containment rather than by sustained commitment to wellbeing (Ward, 2021). Her discussion of </w:t>
      </w:r>
      <w:r w:rsidRPr="00DA1464">
        <w:rPr>
          <w:rStyle w:val="s2"/>
          <w:rFonts w:ascii="Arial" w:hAnsi="Arial" w:cs="Arial"/>
        </w:rPr>
        <w:t>less eligibility</w:t>
      </w:r>
      <w:r w:rsidRPr="00DA1464">
        <w:rPr>
          <w:rStyle w:val="s1"/>
          <w:rFonts w:ascii="Arial" w:hAnsi="Arial" w:cs="Arial"/>
        </w:rPr>
        <w:t xml:space="preserve"> is especially important, because it shows how children in care were historically denied support that might appear more generous than that available to the poorest children in the community (Ward, 2021). Although rooted in Poor Law thinking, this logic continued to influence later debates about how much support care leavers should receive.</w:t>
      </w:r>
    </w:p>
    <w:p w14:paraId="343D306E" w14:textId="77777777" w:rsidR="00AB7998" w:rsidRPr="00DA1464" w:rsidRDefault="00AB7998" w:rsidP="00DA1464">
      <w:pPr>
        <w:pStyle w:val="p2"/>
        <w:spacing w:line="360" w:lineRule="auto"/>
        <w:jc w:val="both"/>
        <w:rPr>
          <w:rFonts w:ascii="Arial" w:hAnsi="Arial" w:cs="Arial"/>
        </w:rPr>
      </w:pPr>
    </w:p>
    <w:p w14:paraId="2A77AC07" w14:textId="77777777" w:rsidR="00AB7998" w:rsidRPr="00DA1464" w:rsidRDefault="00AB7998" w:rsidP="00DA1464">
      <w:pPr>
        <w:pStyle w:val="p1"/>
        <w:spacing w:line="360" w:lineRule="auto"/>
        <w:jc w:val="both"/>
        <w:rPr>
          <w:rFonts w:ascii="Arial" w:hAnsi="Arial" w:cs="Arial"/>
        </w:rPr>
      </w:pPr>
      <w:r w:rsidRPr="00DA1464">
        <w:rPr>
          <w:rStyle w:val="s1"/>
          <w:rFonts w:ascii="Arial" w:hAnsi="Arial" w:cs="Arial"/>
        </w:rPr>
        <w:t xml:space="preserve">The </w:t>
      </w:r>
      <w:r w:rsidRPr="00DA1464">
        <w:rPr>
          <w:rStyle w:val="s2"/>
          <w:rFonts w:ascii="Arial" w:hAnsi="Arial" w:cs="Arial"/>
        </w:rPr>
        <w:t>Children Act 1989</w:t>
      </w:r>
      <w:r w:rsidRPr="00DA1464">
        <w:rPr>
          <w:rStyle w:val="s1"/>
          <w:rFonts w:ascii="Arial" w:hAnsi="Arial" w:cs="Arial"/>
        </w:rPr>
        <w:t xml:space="preserve"> marked a major turning point in the wider legal framework for children’s welfare by strengthening local authority duties towards children in need and looked-after children (Children Act 1989). However, it did not specifically recognise care leavers as a distinct group with separate transitional needs. That recognition came with the </w:t>
      </w:r>
      <w:r w:rsidRPr="00DA1464">
        <w:rPr>
          <w:rStyle w:val="s2"/>
          <w:rFonts w:ascii="Arial" w:hAnsi="Arial" w:cs="Arial"/>
        </w:rPr>
        <w:t>Children (Leaving Care) Act 2000</w:t>
      </w:r>
      <w:r w:rsidRPr="00DA1464">
        <w:rPr>
          <w:rStyle w:val="s1"/>
          <w:rFonts w:ascii="Arial" w:hAnsi="Arial" w:cs="Arial"/>
        </w:rPr>
        <w:t>, which formally identified care leavers as requiring structured and continuing support through mechanisms such as pathway plans and personal advisers (Children (Leaving Care) Act 2000). This was historically significant because it reframed care leaving as a vulnerable transition rather than a simple administrative endpoint.</w:t>
      </w:r>
    </w:p>
    <w:p w14:paraId="4C0F47A2" w14:textId="77777777" w:rsidR="00AB7998" w:rsidRPr="00DA1464" w:rsidRDefault="00AB7998" w:rsidP="00DA1464">
      <w:pPr>
        <w:pStyle w:val="p2"/>
        <w:spacing w:line="360" w:lineRule="auto"/>
        <w:jc w:val="both"/>
        <w:rPr>
          <w:rFonts w:ascii="Arial" w:hAnsi="Arial" w:cs="Arial"/>
        </w:rPr>
      </w:pPr>
    </w:p>
    <w:p w14:paraId="013BE972" w14:textId="77777777" w:rsidR="00AB7998" w:rsidRPr="00DA1464" w:rsidRDefault="00AB7998" w:rsidP="00DA1464">
      <w:pPr>
        <w:pStyle w:val="p1"/>
        <w:spacing w:line="360" w:lineRule="auto"/>
        <w:jc w:val="both"/>
        <w:rPr>
          <w:rFonts w:ascii="Arial" w:hAnsi="Arial" w:cs="Arial"/>
        </w:rPr>
      </w:pPr>
      <w:r w:rsidRPr="00DA1464">
        <w:rPr>
          <w:rStyle w:val="s1"/>
          <w:rFonts w:ascii="Arial" w:hAnsi="Arial" w:cs="Arial"/>
        </w:rPr>
        <w:t xml:space="preserve">Subsequent reforms reinforced that shift. The </w:t>
      </w:r>
      <w:r w:rsidRPr="00DA1464">
        <w:rPr>
          <w:rStyle w:val="s2"/>
          <w:rFonts w:ascii="Arial" w:hAnsi="Arial" w:cs="Arial"/>
        </w:rPr>
        <w:t>Care Leavers (England) Regulations 2010</w:t>
      </w:r>
      <w:r w:rsidRPr="00DA1464">
        <w:rPr>
          <w:rStyle w:val="s1"/>
          <w:rFonts w:ascii="Arial" w:hAnsi="Arial" w:cs="Arial"/>
        </w:rPr>
        <w:t xml:space="preserve">, </w:t>
      </w:r>
      <w:r w:rsidRPr="00DA1464">
        <w:rPr>
          <w:rStyle w:val="s2"/>
          <w:rFonts w:ascii="Arial" w:hAnsi="Arial" w:cs="Arial"/>
        </w:rPr>
        <w:t>Staying Put</w:t>
      </w:r>
      <w:r w:rsidRPr="00DA1464">
        <w:rPr>
          <w:rStyle w:val="s1"/>
          <w:rFonts w:ascii="Arial" w:hAnsi="Arial" w:cs="Arial"/>
        </w:rPr>
        <w:t xml:space="preserve">, </w:t>
      </w:r>
      <w:r w:rsidRPr="00DA1464">
        <w:rPr>
          <w:rStyle w:val="s2"/>
          <w:rFonts w:ascii="Arial" w:hAnsi="Arial" w:cs="Arial"/>
        </w:rPr>
        <w:t>Keep on Caring</w:t>
      </w:r>
      <w:r w:rsidRPr="00DA1464">
        <w:rPr>
          <w:rStyle w:val="s1"/>
          <w:rFonts w:ascii="Arial" w:hAnsi="Arial" w:cs="Arial"/>
        </w:rPr>
        <w:t xml:space="preserve">, and the </w:t>
      </w:r>
      <w:r w:rsidRPr="00DA1464">
        <w:rPr>
          <w:rStyle w:val="s2"/>
          <w:rFonts w:ascii="Arial" w:hAnsi="Arial" w:cs="Arial"/>
        </w:rPr>
        <w:t>Children and Social Work Act 2017</w:t>
      </w:r>
      <w:r w:rsidRPr="00DA1464">
        <w:rPr>
          <w:rStyle w:val="s1"/>
          <w:rFonts w:ascii="Arial" w:hAnsi="Arial" w:cs="Arial"/>
        </w:rPr>
        <w:t xml:space="preserve"> all extended the emphasis on continuity, corporate parenting and support beyond age 18 </w:t>
      </w:r>
      <w:r w:rsidRPr="00DA1464">
        <w:rPr>
          <w:rStyle w:val="s1"/>
          <w:rFonts w:ascii="Arial" w:hAnsi="Arial" w:cs="Arial"/>
        </w:rPr>
        <w:lastRenderedPageBreak/>
        <w:t>(Children and Social Work Act 2017; HM Government, 2013; HM Government, 2016; The Care Leavers (England) Regulations 2010). Yet their repeated focus on preparation and support suggests that the core problem remained unresolved. Historically, therefore, care leaving in England is best understood not as a story of steady progress, but as one of repeated recognition followed by partial reform, in which support has been acknowledged more readily than fully delivered (MacAlister, 2022; Ofsted, 2022; Ward, 2021).</w:t>
      </w:r>
    </w:p>
    <w:p w14:paraId="4D42201B" w14:textId="0721E3FD" w:rsidR="00BD2909" w:rsidRPr="00DA1464" w:rsidRDefault="00BD2909" w:rsidP="00DA1464">
      <w:pPr>
        <w:pStyle w:val="paragraph"/>
        <w:spacing w:before="0" w:beforeAutospacing="0" w:after="0" w:afterAutospacing="0" w:line="360" w:lineRule="auto"/>
        <w:ind w:left="1440"/>
        <w:jc w:val="both"/>
        <w:textAlignment w:val="baseline"/>
        <w:rPr>
          <w:rFonts w:ascii="Arial" w:hAnsi="Arial" w:cs="Arial"/>
          <w:sz w:val="16"/>
          <w:szCs w:val="16"/>
        </w:rPr>
      </w:pPr>
      <w:r w:rsidRPr="00DA1464">
        <w:rPr>
          <w:rStyle w:val="eop"/>
          <w:rFonts w:ascii="Arial" w:eastAsia="Calibri Light" w:hAnsi="Arial" w:cs="Arial"/>
          <w:sz w:val="22"/>
          <w:szCs w:val="22"/>
        </w:rPr>
        <w:t>  </w:t>
      </w:r>
    </w:p>
    <w:p w14:paraId="7CD6820C" w14:textId="45D33F07" w:rsidR="00BD2909" w:rsidRPr="00DA1464" w:rsidRDefault="00BD2909" w:rsidP="00DA1464">
      <w:pPr>
        <w:pStyle w:val="paragraph"/>
        <w:spacing w:before="0" w:beforeAutospacing="0" w:after="0" w:afterAutospacing="0" w:line="360" w:lineRule="auto"/>
        <w:jc w:val="both"/>
        <w:textAlignment w:val="baseline"/>
        <w:rPr>
          <w:rFonts w:ascii="Arial" w:hAnsi="Arial" w:cs="Arial"/>
          <w:color w:val="0F4761"/>
          <w:sz w:val="16"/>
          <w:szCs w:val="16"/>
        </w:rPr>
      </w:pPr>
      <w:r w:rsidRPr="00DA1464">
        <w:rPr>
          <w:rStyle w:val="normaltextrun"/>
          <w:rFonts w:ascii="Arial" w:hAnsi="Arial" w:cs="Arial"/>
          <w:color w:val="0F4761"/>
        </w:rPr>
        <w:t>2.3 Theoretical Background</w:t>
      </w:r>
    </w:p>
    <w:p w14:paraId="4C48092F" w14:textId="77777777" w:rsidR="00BD2909" w:rsidRPr="00DA1464" w:rsidRDefault="00BD2909" w:rsidP="00DA1464">
      <w:pPr>
        <w:pStyle w:val="paragraph"/>
        <w:spacing w:before="0" w:beforeAutospacing="0" w:after="0" w:afterAutospacing="0" w:line="360" w:lineRule="auto"/>
        <w:jc w:val="both"/>
        <w:textAlignment w:val="baseline"/>
        <w:rPr>
          <w:rFonts w:ascii="Arial" w:hAnsi="Arial" w:cs="Arial"/>
          <w:sz w:val="16"/>
          <w:szCs w:val="16"/>
        </w:rPr>
      </w:pPr>
      <w:r w:rsidRPr="00DA1464">
        <w:rPr>
          <w:rStyle w:val="eop"/>
          <w:rFonts w:ascii="Arial" w:eastAsia="Calibri Light" w:hAnsi="Arial" w:cs="Arial"/>
          <w:sz w:val="22"/>
          <w:szCs w:val="22"/>
        </w:rPr>
        <w:t> </w:t>
      </w:r>
    </w:p>
    <w:p w14:paraId="5AEB96F4" w14:textId="2FCB8A23" w:rsidR="00356F06" w:rsidRPr="00DA1464" w:rsidRDefault="00BA674F" w:rsidP="00DA1464">
      <w:pPr>
        <w:pStyle w:val="p1"/>
        <w:spacing w:line="360" w:lineRule="auto"/>
        <w:jc w:val="both"/>
        <w:rPr>
          <w:rFonts w:ascii="Arial" w:hAnsi="Arial" w:cs="Arial"/>
        </w:rPr>
      </w:pPr>
      <w:r w:rsidRPr="00DA1464">
        <w:rPr>
          <w:rStyle w:val="s1"/>
          <w:rFonts w:ascii="Arial" w:hAnsi="Arial" w:cs="Arial"/>
        </w:rPr>
        <w:t>Mental health inequalities among care leavers cannot be explained adequately through a single theoretical lens, because the issue is shaped by disrupted relationships, accelerated transitions, weak support networks and structural disadvantage (Bennett et al., 2022; Prendergast et al., 2024; Sharma, 2025; Varnish et al., 2025).</w:t>
      </w:r>
      <w:r w:rsidRPr="00DA1464">
        <w:rPr>
          <w:rFonts w:ascii="Arial" w:hAnsi="Arial" w:cs="Arial"/>
        </w:rPr>
        <w:t xml:space="preserve"> </w:t>
      </w:r>
      <w:r w:rsidR="00356F06" w:rsidRPr="00DA1464">
        <w:rPr>
          <w:rStyle w:val="s1"/>
          <w:rFonts w:ascii="Arial" w:hAnsi="Arial" w:cs="Arial"/>
        </w:rPr>
        <w:t xml:space="preserve">The most relevant theories for this dissertation are therefore </w:t>
      </w:r>
      <w:r w:rsidR="00356F06" w:rsidRPr="00DA1464">
        <w:rPr>
          <w:rStyle w:val="s2"/>
          <w:rFonts w:ascii="Arial" w:hAnsi="Arial" w:cs="Arial"/>
        </w:rPr>
        <w:t>attachment theory</w:t>
      </w:r>
      <w:r w:rsidR="00356F06" w:rsidRPr="00DA1464">
        <w:rPr>
          <w:rStyle w:val="s1"/>
          <w:rFonts w:ascii="Arial" w:hAnsi="Arial" w:cs="Arial"/>
        </w:rPr>
        <w:t xml:space="preserve">, </w:t>
      </w:r>
      <w:r w:rsidR="00356F06" w:rsidRPr="00DA1464">
        <w:rPr>
          <w:rStyle w:val="s2"/>
          <w:rFonts w:ascii="Arial" w:hAnsi="Arial" w:cs="Arial"/>
        </w:rPr>
        <w:t>resilience theory</w:t>
      </w:r>
      <w:r w:rsidR="00356F06" w:rsidRPr="00DA1464">
        <w:rPr>
          <w:rStyle w:val="s1"/>
          <w:rFonts w:ascii="Arial" w:hAnsi="Arial" w:cs="Arial"/>
        </w:rPr>
        <w:t xml:space="preserve">, </w:t>
      </w:r>
      <w:r w:rsidR="00356F06" w:rsidRPr="00DA1464">
        <w:rPr>
          <w:rStyle w:val="s2"/>
          <w:rFonts w:ascii="Arial" w:hAnsi="Arial" w:cs="Arial"/>
        </w:rPr>
        <w:t>emerging adulthood/life course perspectives</w:t>
      </w:r>
      <w:r w:rsidR="00356F06" w:rsidRPr="00DA1464">
        <w:rPr>
          <w:rStyle w:val="s1"/>
          <w:rFonts w:ascii="Arial" w:hAnsi="Arial" w:cs="Arial"/>
        </w:rPr>
        <w:t xml:space="preserve">, </w:t>
      </w:r>
      <w:r w:rsidR="00356F06" w:rsidRPr="00DA1464">
        <w:rPr>
          <w:rStyle w:val="s2"/>
          <w:rFonts w:ascii="Arial" w:hAnsi="Arial" w:cs="Arial"/>
        </w:rPr>
        <w:t>social capital theory</w:t>
      </w:r>
      <w:r w:rsidR="00356F06" w:rsidRPr="00DA1464">
        <w:rPr>
          <w:rStyle w:val="s1"/>
          <w:rFonts w:ascii="Arial" w:hAnsi="Arial" w:cs="Arial"/>
        </w:rPr>
        <w:t xml:space="preserve">, and the </w:t>
      </w:r>
      <w:r w:rsidR="00356F06" w:rsidRPr="00DA1464">
        <w:rPr>
          <w:rStyle w:val="s2"/>
          <w:rFonts w:ascii="Arial" w:hAnsi="Arial" w:cs="Arial"/>
        </w:rPr>
        <w:t>capabilities approach</w:t>
      </w:r>
      <w:r w:rsidR="00356F06" w:rsidRPr="00DA1464">
        <w:rPr>
          <w:rStyle w:val="s1"/>
          <w:rFonts w:ascii="Arial" w:hAnsi="Arial" w:cs="Arial"/>
        </w:rPr>
        <w:t xml:space="preserve">, all of which appear within Sharma’s integrated model for care leavers (Sharma, 2025). Sharma’s contribution is useful because it rejects narrow, single-cause explanation and recognises that outcomes are produced through interaction between psychological, social and systemic factors (Sharma, 2025). However, the model is conceptual rather than empirically validated, which means it is more useful as an organising framework than as </w:t>
      </w:r>
      <w:proofErr w:type="gramStart"/>
      <w:r w:rsidR="00356F06" w:rsidRPr="00DA1464">
        <w:rPr>
          <w:rStyle w:val="s1"/>
          <w:rFonts w:ascii="Arial" w:hAnsi="Arial" w:cs="Arial"/>
        </w:rPr>
        <w:t>proof in itself</w:t>
      </w:r>
      <w:proofErr w:type="gramEnd"/>
      <w:r w:rsidR="00356F06" w:rsidRPr="00DA1464">
        <w:rPr>
          <w:rStyle w:val="s1"/>
          <w:rFonts w:ascii="Arial" w:hAnsi="Arial" w:cs="Arial"/>
        </w:rPr>
        <w:t xml:space="preserve"> (Devaney et al., 2023; Sharma, 2025).</w:t>
      </w:r>
    </w:p>
    <w:p w14:paraId="1B0AE436" w14:textId="77777777" w:rsidR="00356F06" w:rsidRPr="00DA1464" w:rsidRDefault="00356F06" w:rsidP="00DA1464">
      <w:pPr>
        <w:pStyle w:val="p2"/>
        <w:spacing w:line="360" w:lineRule="auto"/>
        <w:jc w:val="both"/>
        <w:rPr>
          <w:rFonts w:ascii="Arial" w:hAnsi="Arial" w:cs="Arial"/>
        </w:rPr>
      </w:pPr>
    </w:p>
    <w:p w14:paraId="0BE1AFBB" w14:textId="77777777" w:rsidR="00356F06" w:rsidRPr="00DA1464" w:rsidRDefault="00356F06" w:rsidP="00DA1464">
      <w:pPr>
        <w:pStyle w:val="p1"/>
        <w:spacing w:line="360" w:lineRule="auto"/>
        <w:jc w:val="both"/>
        <w:rPr>
          <w:rFonts w:ascii="Arial" w:hAnsi="Arial" w:cs="Arial"/>
        </w:rPr>
      </w:pPr>
      <w:r w:rsidRPr="00DA1464">
        <w:rPr>
          <w:rStyle w:val="s2"/>
          <w:rFonts w:ascii="Arial" w:hAnsi="Arial" w:cs="Arial"/>
        </w:rPr>
        <w:t>Attachment theory</w:t>
      </w:r>
      <w:r w:rsidRPr="00DA1464">
        <w:rPr>
          <w:rStyle w:val="s1"/>
          <w:rFonts w:ascii="Arial" w:hAnsi="Arial" w:cs="Arial"/>
        </w:rPr>
        <w:t xml:space="preserve"> helps explain why disrupted caregiving, placement instability and separation may shape later mistrust, emotional dysregulation and difficulty seeking help (Sharma, 2025). This perspective is supported by evidence linking instability with poorer mental health outcomes among care-experienced children and young people (Carter et al., 2025; Varnish et al., 2025). Qualitative studies similarly show that care leavers often approach support cautiously, with guardedness and self-reliance (Appleton et al., 2021; Young et al., 2024). Yet attachment theory can become </w:t>
      </w:r>
      <w:r w:rsidRPr="00DA1464">
        <w:rPr>
          <w:rStyle w:val="s1"/>
          <w:rFonts w:ascii="Arial" w:hAnsi="Arial" w:cs="Arial"/>
        </w:rPr>
        <w:lastRenderedPageBreak/>
        <w:t>reductive if it locates distress primarily in early relationships while underplaying poverty, service fragmentation and regional inequality (Bennett et al., 2022; Brown et al., 2024; Sharma, 2025).</w:t>
      </w:r>
    </w:p>
    <w:p w14:paraId="6C1F50AE" w14:textId="77777777" w:rsidR="00356F06" w:rsidRPr="00DA1464" w:rsidRDefault="00356F06" w:rsidP="00DA1464">
      <w:pPr>
        <w:pStyle w:val="p2"/>
        <w:spacing w:line="360" w:lineRule="auto"/>
        <w:jc w:val="both"/>
        <w:rPr>
          <w:rFonts w:ascii="Arial" w:hAnsi="Arial" w:cs="Arial"/>
        </w:rPr>
      </w:pPr>
    </w:p>
    <w:p w14:paraId="08670273" w14:textId="77777777" w:rsidR="00356F06" w:rsidRPr="00DA1464" w:rsidRDefault="00356F06" w:rsidP="00DA1464">
      <w:pPr>
        <w:pStyle w:val="p1"/>
        <w:spacing w:line="360" w:lineRule="auto"/>
        <w:jc w:val="both"/>
        <w:rPr>
          <w:rFonts w:ascii="Arial" w:hAnsi="Arial" w:cs="Arial"/>
        </w:rPr>
      </w:pPr>
      <w:r w:rsidRPr="00DA1464">
        <w:rPr>
          <w:rStyle w:val="s2"/>
          <w:rFonts w:ascii="Arial" w:hAnsi="Arial" w:cs="Arial"/>
        </w:rPr>
        <w:t>Resilience theory</w:t>
      </w:r>
      <w:r w:rsidRPr="00DA1464">
        <w:rPr>
          <w:rStyle w:val="s1"/>
          <w:rFonts w:ascii="Arial" w:hAnsi="Arial" w:cs="Arial"/>
        </w:rPr>
        <w:t xml:space="preserve"> has been widely used to explain why some care leavers cope better than others during transition (Sharma, 2025). Its strength lies in resisting purely deficit-based views. Its weakness is that resilience discourse can become ideologically convenient, implying that young people should adapt to adversity rather than questioning why adversity is so entrenched in the first place (Prendergast et al., 2025; Sharma, 2025).</w:t>
      </w:r>
    </w:p>
    <w:p w14:paraId="72D5A428" w14:textId="77777777" w:rsidR="00356F06" w:rsidRPr="00DA1464" w:rsidRDefault="00356F06" w:rsidP="00DA1464">
      <w:pPr>
        <w:pStyle w:val="p2"/>
        <w:spacing w:line="360" w:lineRule="auto"/>
        <w:jc w:val="both"/>
        <w:rPr>
          <w:rFonts w:ascii="Arial" w:hAnsi="Arial" w:cs="Arial"/>
        </w:rPr>
      </w:pPr>
    </w:p>
    <w:p w14:paraId="09077D15" w14:textId="77777777" w:rsidR="00356F06" w:rsidRPr="00DA1464" w:rsidRDefault="00356F06" w:rsidP="00DA1464">
      <w:pPr>
        <w:pStyle w:val="p1"/>
        <w:spacing w:line="360" w:lineRule="auto"/>
        <w:jc w:val="both"/>
        <w:rPr>
          <w:rFonts w:ascii="Arial" w:hAnsi="Arial" w:cs="Arial"/>
        </w:rPr>
      </w:pPr>
      <w:r w:rsidRPr="00DA1464">
        <w:rPr>
          <w:rStyle w:val="s2"/>
          <w:rFonts w:ascii="Arial" w:hAnsi="Arial" w:cs="Arial"/>
        </w:rPr>
        <w:t>Emerging adulthood</w:t>
      </w:r>
      <w:r w:rsidRPr="00DA1464">
        <w:rPr>
          <w:rStyle w:val="s1"/>
          <w:rFonts w:ascii="Arial" w:hAnsi="Arial" w:cs="Arial"/>
        </w:rPr>
        <w:t xml:space="preserve"> and the </w:t>
      </w:r>
      <w:r w:rsidRPr="00DA1464">
        <w:rPr>
          <w:rStyle w:val="s2"/>
          <w:rFonts w:ascii="Arial" w:hAnsi="Arial" w:cs="Arial"/>
        </w:rPr>
        <w:t>life course perspective</w:t>
      </w:r>
      <w:r w:rsidRPr="00DA1464">
        <w:rPr>
          <w:rStyle w:val="s1"/>
          <w:rFonts w:ascii="Arial" w:hAnsi="Arial" w:cs="Arial"/>
        </w:rPr>
        <w:t xml:space="preserve"> are particularly relevant because care leaving is not a single event but a transition process. These frameworks have been applied to show that care leavers are frequently pushed into adult responsibility earlier than their peers and with less support (Atkinson and Hyde, 2019; Baker, 2017; Butterworth et al., 2017; Sharma, 2025). Their limitation is that they often rest on relatively normative assumptions of delayed, choice-based independence that fit middle-class trajectories better than the constrained realities of many care leavers (Brown et al., 2024).</w:t>
      </w:r>
    </w:p>
    <w:p w14:paraId="7F564D57" w14:textId="77777777" w:rsidR="00356F06" w:rsidRPr="00DA1464" w:rsidRDefault="00356F06" w:rsidP="00DA1464">
      <w:pPr>
        <w:pStyle w:val="p2"/>
        <w:spacing w:line="360" w:lineRule="auto"/>
        <w:jc w:val="both"/>
        <w:rPr>
          <w:rFonts w:ascii="Arial" w:hAnsi="Arial" w:cs="Arial"/>
        </w:rPr>
      </w:pPr>
    </w:p>
    <w:p w14:paraId="2CE20415" w14:textId="77777777" w:rsidR="00356F06" w:rsidRPr="00DA1464" w:rsidRDefault="00356F06" w:rsidP="00DA1464">
      <w:pPr>
        <w:pStyle w:val="p1"/>
        <w:spacing w:line="360" w:lineRule="auto"/>
        <w:jc w:val="both"/>
        <w:rPr>
          <w:rFonts w:ascii="Arial" w:hAnsi="Arial" w:cs="Arial"/>
        </w:rPr>
      </w:pPr>
      <w:r w:rsidRPr="00DA1464">
        <w:rPr>
          <w:rStyle w:val="s2"/>
          <w:rFonts w:ascii="Arial" w:hAnsi="Arial" w:cs="Arial"/>
        </w:rPr>
        <w:t>Social capital theory</w:t>
      </w:r>
      <w:r w:rsidRPr="00DA1464">
        <w:rPr>
          <w:rStyle w:val="s1"/>
          <w:rFonts w:ascii="Arial" w:hAnsi="Arial" w:cs="Arial"/>
        </w:rPr>
        <w:t xml:space="preserve"> and the </w:t>
      </w:r>
      <w:r w:rsidRPr="00DA1464">
        <w:rPr>
          <w:rStyle w:val="s2"/>
          <w:rFonts w:ascii="Arial" w:hAnsi="Arial" w:cs="Arial"/>
        </w:rPr>
        <w:t>capabilities approach</w:t>
      </w:r>
      <w:r w:rsidRPr="00DA1464">
        <w:rPr>
          <w:rStyle w:val="s1"/>
          <w:rFonts w:ascii="Arial" w:hAnsi="Arial" w:cs="Arial"/>
        </w:rPr>
        <w:t xml:space="preserve"> are especially important for this dissertation because they connect wellbeing to relationships, resources and real opportunities (Sharma, 2025). Research shows that trusted networks, continuity and informal support improve transitions, while fragmented support intensifies risk (Prendergast et al., 2024; Stubbs et al., 2023). The capabilities approach is particularly valuable in a study of Northern England because it asks not whether support formally exists, but whether care leavers have genuine opportunities to achieve wellbeing in contexts marked by deprivation and uneven service quality (Bennett et al., 2024a; McCabe et al., 2024; Sharma, 2025). Taken together, these theories suggest that </w:t>
      </w:r>
      <w:r w:rsidRPr="00DA1464">
        <w:rPr>
          <w:rStyle w:val="s1"/>
          <w:rFonts w:ascii="Arial" w:hAnsi="Arial" w:cs="Arial"/>
        </w:rPr>
        <w:lastRenderedPageBreak/>
        <w:t>mental health inequalities among care leavers are best understood through a plural but critical framework that links emotional vulnerability to structural inequality rather than treating them as separate problems.</w:t>
      </w:r>
    </w:p>
    <w:p w14:paraId="1787DF7C" w14:textId="77777777" w:rsidR="00BD2909" w:rsidRPr="00DA1464" w:rsidRDefault="00BD2909" w:rsidP="00DA1464">
      <w:pPr>
        <w:pStyle w:val="paragraph"/>
        <w:spacing w:before="0" w:beforeAutospacing="0" w:after="0" w:afterAutospacing="0" w:line="360" w:lineRule="auto"/>
        <w:jc w:val="both"/>
        <w:textAlignment w:val="baseline"/>
        <w:rPr>
          <w:rFonts w:ascii="Arial" w:hAnsi="Arial" w:cs="Arial"/>
          <w:sz w:val="16"/>
          <w:szCs w:val="16"/>
        </w:rPr>
      </w:pPr>
      <w:r w:rsidRPr="00DA1464">
        <w:rPr>
          <w:rStyle w:val="eop"/>
          <w:rFonts w:ascii="Arial" w:eastAsia="Calibri Light" w:hAnsi="Arial" w:cs="Arial"/>
          <w:sz w:val="22"/>
          <w:szCs w:val="22"/>
        </w:rPr>
        <w:t> </w:t>
      </w:r>
    </w:p>
    <w:p w14:paraId="529565AC" w14:textId="38C731FA" w:rsidR="00BD2909" w:rsidRPr="00DA1464" w:rsidRDefault="00BD2909" w:rsidP="00DA1464">
      <w:pPr>
        <w:pStyle w:val="paragraph"/>
        <w:spacing w:before="0" w:beforeAutospacing="0" w:after="0" w:afterAutospacing="0" w:line="360" w:lineRule="auto"/>
        <w:jc w:val="both"/>
        <w:textAlignment w:val="baseline"/>
        <w:rPr>
          <w:rFonts w:ascii="Arial" w:hAnsi="Arial" w:cs="Arial"/>
          <w:color w:val="0F4761"/>
          <w:sz w:val="16"/>
          <w:szCs w:val="16"/>
        </w:rPr>
      </w:pPr>
      <w:r w:rsidRPr="00DA1464">
        <w:rPr>
          <w:rStyle w:val="normaltextrun"/>
          <w:rFonts w:ascii="Arial" w:hAnsi="Arial" w:cs="Arial"/>
          <w:color w:val="0F4761"/>
        </w:rPr>
        <w:t>2.4 International Context</w:t>
      </w:r>
    </w:p>
    <w:p w14:paraId="486A5837" w14:textId="77777777" w:rsidR="00BD2909" w:rsidRPr="00DA1464" w:rsidRDefault="00BD2909" w:rsidP="00DA1464">
      <w:pPr>
        <w:pStyle w:val="paragraph"/>
        <w:spacing w:before="0" w:beforeAutospacing="0" w:after="0" w:afterAutospacing="0" w:line="360" w:lineRule="auto"/>
        <w:jc w:val="both"/>
        <w:textAlignment w:val="baseline"/>
        <w:rPr>
          <w:rFonts w:ascii="Arial" w:hAnsi="Arial" w:cs="Arial"/>
          <w:sz w:val="16"/>
          <w:szCs w:val="16"/>
        </w:rPr>
      </w:pPr>
      <w:r w:rsidRPr="00DA1464">
        <w:rPr>
          <w:rStyle w:val="eop"/>
          <w:rFonts w:ascii="Arial" w:eastAsia="Calibri Light" w:hAnsi="Arial" w:cs="Arial"/>
          <w:sz w:val="22"/>
          <w:szCs w:val="22"/>
        </w:rPr>
        <w:t> </w:t>
      </w:r>
    </w:p>
    <w:p w14:paraId="40ED599E" w14:textId="77777777" w:rsidR="009C1363" w:rsidRPr="00DA1464" w:rsidRDefault="009C1363" w:rsidP="00DA1464">
      <w:pPr>
        <w:pStyle w:val="p1"/>
        <w:spacing w:line="360" w:lineRule="auto"/>
        <w:jc w:val="both"/>
        <w:rPr>
          <w:rFonts w:ascii="Arial" w:hAnsi="Arial" w:cs="Arial"/>
        </w:rPr>
      </w:pPr>
      <w:r w:rsidRPr="00DA1464">
        <w:rPr>
          <w:rStyle w:val="s1"/>
          <w:rFonts w:ascii="Arial" w:hAnsi="Arial" w:cs="Arial"/>
        </w:rPr>
        <w:t xml:space="preserve">Internationally, care leaving is increasingly framed as a transition-to-adulthood issue requiring continuing support beyond the age of formal discharge, rather than as a simple endpoint of state responsibility (Sharma, 2025; van Breda et al., 2020). A major international trend is the growth of </w:t>
      </w:r>
      <w:r w:rsidRPr="00DA1464">
        <w:rPr>
          <w:rStyle w:val="s2"/>
          <w:rFonts w:ascii="Arial" w:hAnsi="Arial" w:cs="Arial"/>
        </w:rPr>
        <w:t>extended care</w:t>
      </w:r>
      <w:r w:rsidRPr="00DA1464">
        <w:rPr>
          <w:rStyle w:val="s1"/>
          <w:rFonts w:ascii="Arial" w:hAnsi="Arial" w:cs="Arial"/>
        </w:rPr>
        <w:t xml:space="preserve"> arrangements, based on the recognition that most young people are not prepared for independent living at 18 and that care leavers generally fare worse than peers leaving family homes more gradually (Butterworth et al., 2017; Sharma, 2025; van Breda et al., 2020). However, this apparent consensus is more fragile than it first appears. Van Breda et al. (2020) show that countries differ sharply in how extended care is conceptualised, legislated, funded and implemented, while research on its effectiveness remains limited and geographically uneven. This is a significant weakness in the field, because policy enthusiasm has advanced faster than robust comparative evidence.</w:t>
      </w:r>
    </w:p>
    <w:p w14:paraId="6C93C801" w14:textId="77777777" w:rsidR="009C1363" w:rsidRPr="00DA1464" w:rsidRDefault="009C1363" w:rsidP="00DA1464">
      <w:pPr>
        <w:pStyle w:val="p2"/>
        <w:spacing w:line="360" w:lineRule="auto"/>
        <w:jc w:val="both"/>
        <w:rPr>
          <w:rFonts w:ascii="Arial" w:hAnsi="Arial" w:cs="Arial"/>
        </w:rPr>
      </w:pPr>
    </w:p>
    <w:p w14:paraId="7C6CC4BF" w14:textId="77777777" w:rsidR="009C1363" w:rsidRPr="00DA1464" w:rsidRDefault="009C1363" w:rsidP="00DA1464">
      <w:pPr>
        <w:pStyle w:val="p1"/>
        <w:spacing w:line="360" w:lineRule="auto"/>
        <w:jc w:val="both"/>
        <w:rPr>
          <w:rFonts w:ascii="Arial" w:hAnsi="Arial" w:cs="Arial"/>
        </w:rPr>
      </w:pPr>
      <w:r w:rsidRPr="00DA1464">
        <w:rPr>
          <w:rStyle w:val="s1"/>
          <w:rFonts w:ascii="Arial" w:hAnsi="Arial" w:cs="Arial"/>
        </w:rPr>
        <w:t xml:space="preserve">A critical international issue is </w:t>
      </w:r>
      <w:r w:rsidRPr="00DA1464">
        <w:rPr>
          <w:rStyle w:val="s2"/>
          <w:rFonts w:ascii="Arial" w:hAnsi="Arial" w:cs="Arial"/>
        </w:rPr>
        <w:t>definitional ambiguity</w:t>
      </w:r>
      <w:r w:rsidRPr="00DA1464">
        <w:rPr>
          <w:rStyle w:val="s1"/>
          <w:rFonts w:ascii="Arial" w:hAnsi="Arial" w:cs="Arial"/>
        </w:rPr>
        <w:t xml:space="preserve">. In some contexts, extended care means remaining in a foster or residential placement beyond 18, whereas elsewhere it refers to aftercare, financial allowances, supported accommodation or continuing professional contact after leaving placement (Sharma, 2025; van Breda et al., 2020). This matters because countries may appear to offer similar support while in practice delivering very different forms of assistance. England’s </w:t>
      </w:r>
      <w:r w:rsidRPr="00DA1464">
        <w:rPr>
          <w:rStyle w:val="s2"/>
          <w:rFonts w:ascii="Arial" w:hAnsi="Arial" w:cs="Arial"/>
        </w:rPr>
        <w:t>Staying Put</w:t>
      </w:r>
      <w:r w:rsidRPr="00DA1464">
        <w:rPr>
          <w:rStyle w:val="s1"/>
          <w:rFonts w:ascii="Arial" w:hAnsi="Arial" w:cs="Arial"/>
        </w:rPr>
        <w:t xml:space="preserve"> model is centred on continuation of foster placements, whereas Argentina’s approach is closer to aftercare through mentoring and financial support after discharge (HM Government, 2013; van Breda et al., 2020). Norway and the Netherlands allow more flexible continuations of support, yet implementation is heavily shaped by local interpretation and resources, producing territorial inconsistency rather than uniform entitlement (van Breda et al., 2020). Romania appears comparatively generous in law, but practical </w:t>
      </w:r>
      <w:r w:rsidRPr="00DA1464">
        <w:rPr>
          <w:rStyle w:val="s1"/>
          <w:rFonts w:ascii="Arial" w:hAnsi="Arial" w:cs="Arial"/>
        </w:rPr>
        <w:lastRenderedPageBreak/>
        <w:t>access is constrained by bureaucracy, weak local capacity and socio-economic deprivation, illustrating the gap between formal rights and lived reality (van Breda et al., 2020).</w:t>
      </w:r>
    </w:p>
    <w:p w14:paraId="73C4D349" w14:textId="77777777" w:rsidR="009C1363" w:rsidRPr="00DA1464" w:rsidRDefault="009C1363" w:rsidP="00DA1464">
      <w:pPr>
        <w:pStyle w:val="p2"/>
        <w:spacing w:line="360" w:lineRule="auto"/>
        <w:jc w:val="both"/>
        <w:rPr>
          <w:rFonts w:ascii="Arial" w:hAnsi="Arial" w:cs="Arial"/>
        </w:rPr>
      </w:pPr>
    </w:p>
    <w:p w14:paraId="60EA9A1E" w14:textId="77777777" w:rsidR="009C1363" w:rsidRPr="00DA1464" w:rsidRDefault="009C1363" w:rsidP="00DA1464">
      <w:pPr>
        <w:pStyle w:val="p1"/>
        <w:spacing w:line="360" w:lineRule="auto"/>
        <w:jc w:val="both"/>
        <w:rPr>
          <w:rFonts w:ascii="Arial" w:hAnsi="Arial" w:cs="Arial"/>
        </w:rPr>
      </w:pPr>
      <w:r w:rsidRPr="00DA1464">
        <w:rPr>
          <w:rStyle w:val="s1"/>
          <w:rFonts w:ascii="Arial" w:hAnsi="Arial" w:cs="Arial"/>
        </w:rPr>
        <w:t>A further international concern is that eligibility rules may reproduce inequality. Van Breda et al. (2020) show that access to extended care is often conditional on education, training, placement type or perceived “readiness”, which may exclude young people with the most complex needs. This is especially problematic because the young people most likely to need continuity are often least able to satisfy normative eligibility criteria. Reviews of mental health and wellbeing support similarly suggest that interventions remain uneven in quality and that evidence of effectiveness is still limited, particularly across diverse contexts (Bogen-Johnston et al., 2024; Rice and O’Connor, 2023). International comparison therefore offers no simple model for transfer. Its value lies in demonstrating that while care leaving is globally recognised as a vulnerable period, responses remain uneven, selectively resourced and insufficiently evidenced.</w:t>
      </w:r>
    </w:p>
    <w:p w14:paraId="302C6B72" w14:textId="0508DDB2" w:rsidR="00BD2909" w:rsidRPr="00DA1464" w:rsidRDefault="00410A81" w:rsidP="00DA1464">
      <w:pPr>
        <w:pStyle w:val="paragraph"/>
        <w:spacing w:before="0" w:beforeAutospacing="0" w:after="0" w:afterAutospacing="0" w:line="360" w:lineRule="auto"/>
        <w:ind w:left="1080"/>
        <w:jc w:val="both"/>
        <w:textAlignment w:val="baseline"/>
        <w:rPr>
          <w:rFonts w:ascii="Arial" w:hAnsi="Arial" w:cs="Arial"/>
          <w:sz w:val="16"/>
          <w:szCs w:val="16"/>
        </w:rPr>
      </w:pPr>
      <w:r w:rsidRPr="00DA1464">
        <w:rPr>
          <w:rFonts w:ascii="Arial" w:hAnsi="Arial" w:cs="Arial"/>
          <w:color w:val="0F4761"/>
          <w:sz w:val="27"/>
          <w:szCs w:val="27"/>
        </w:rPr>
        <w:t>2.5 National/Local UK Context</w:t>
      </w:r>
      <w:r w:rsidRPr="00DA1464">
        <w:rPr>
          <w:rStyle w:val="apple-converted-space"/>
          <w:rFonts w:ascii="Arial" w:hAnsi="Arial" w:cs="Arial"/>
          <w:color w:val="0F4761"/>
          <w:sz w:val="27"/>
          <w:szCs w:val="27"/>
        </w:rPr>
        <w:t> </w:t>
      </w:r>
      <w:r w:rsidR="00BD2909" w:rsidRPr="00DA1464">
        <w:rPr>
          <w:rStyle w:val="eop"/>
          <w:rFonts w:ascii="Arial" w:eastAsia="Calibri Light" w:hAnsi="Arial" w:cs="Arial"/>
          <w:sz w:val="22"/>
          <w:szCs w:val="22"/>
        </w:rPr>
        <w:t> </w:t>
      </w:r>
    </w:p>
    <w:p w14:paraId="7E65B32F" w14:textId="77777777" w:rsidR="000E53B5" w:rsidRPr="00DA1464" w:rsidRDefault="000E53B5" w:rsidP="00DA1464">
      <w:pPr>
        <w:pStyle w:val="p1"/>
        <w:spacing w:line="360" w:lineRule="auto"/>
        <w:jc w:val="both"/>
        <w:rPr>
          <w:rFonts w:ascii="Arial" w:hAnsi="Arial" w:cs="Arial"/>
        </w:rPr>
      </w:pPr>
      <w:r w:rsidRPr="00DA1464">
        <w:rPr>
          <w:rStyle w:val="s1"/>
          <w:rFonts w:ascii="Arial" w:hAnsi="Arial" w:cs="Arial"/>
        </w:rPr>
        <w:t xml:space="preserve">Within the UK context, this dissertation is concerned primarily with </w:t>
      </w:r>
      <w:r w:rsidRPr="00DA1464">
        <w:rPr>
          <w:rStyle w:val="s2"/>
          <w:rFonts w:ascii="Arial" w:hAnsi="Arial" w:cs="Arial"/>
        </w:rPr>
        <w:t>England</w:t>
      </w:r>
      <w:r w:rsidRPr="00DA1464">
        <w:rPr>
          <w:rStyle w:val="s1"/>
          <w:rFonts w:ascii="Arial" w:hAnsi="Arial" w:cs="Arial"/>
        </w:rPr>
        <w:t>, where care leaving is addressed through a layered framework of legislation, statutory guidance, inspection and local authority delivery. Nationally, care leavers are viewed less as young people who have simply exited care and more as a group to whom the state retains continuing corporate parenting responsibilities, particularly during the transition to adulthood (Children (Leaving Care) Act 2000; Children and Social Work Act 2017; HM Government, 2016). This framing is significant because it recognises that care leavers frequently enter adulthood earlier, and with fewer relational and material supports, than their non-care-experienced peers (Department for Education, 2025a; Department for Education, 2025b; Foley et al., 2025).</w:t>
      </w:r>
    </w:p>
    <w:p w14:paraId="1E980E28" w14:textId="77777777" w:rsidR="000E53B5" w:rsidRPr="00DA1464" w:rsidRDefault="000E53B5" w:rsidP="00DA1464">
      <w:pPr>
        <w:pStyle w:val="p2"/>
        <w:spacing w:line="360" w:lineRule="auto"/>
        <w:jc w:val="both"/>
        <w:rPr>
          <w:rFonts w:ascii="Arial" w:hAnsi="Arial" w:cs="Arial"/>
        </w:rPr>
      </w:pPr>
    </w:p>
    <w:p w14:paraId="4A63E694" w14:textId="77777777" w:rsidR="000E53B5" w:rsidRPr="00DA1464" w:rsidRDefault="000E53B5" w:rsidP="00DA1464">
      <w:pPr>
        <w:pStyle w:val="p1"/>
        <w:spacing w:line="360" w:lineRule="auto"/>
        <w:jc w:val="both"/>
        <w:rPr>
          <w:rFonts w:ascii="Arial" w:hAnsi="Arial" w:cs="Arial"/>
        </w:rPr>
      </w:pPr>
      <w:r w:rsidRPr="00DA1464">
        <w:rPr>
          <w:rStyle w:val="s1"/>
          <w:rFonts w:ascii="Arial" w:hAnsi="Arial" w:cs="Arial"/>
        </w:rPr>
        <w:lastRenderedPageBreak/>
        <w:t xml:space="preserve">The principal regulatory framework is now well established. The </w:t>
      </w:r>
      <w:r w:rsidRPr="00DA1464">
        <w:rPr>
          <w:rStyle w:val="s2"/>
          <w:rFonts w:ascii="Arial" w:hAnsi="Arial" w:cs="Arial"/>
        </w:rPr>
        <w:t>Children Act 1989</w:t>
      </w:r>
      <w:r w:rsidRPr="00DA1464">
        <w:rPr>
          <w:rStyle w:val="s1"/>
          <w:rFonts w:ascii="Arial" w:hAnsi="Arial" w:cs="Arial"/>
        </w:rPr>
        <w:t xml:space="preserve"> provides the broader welfare foundation; the </w:t>
      </w:r>
      <w:r w:rsidRPr="00DA1464">
        <w:rPr>
          <w:rStyle w:val="s2"/>
          <w:rFonts w:ascii="Arial" w:hAnsi="Arial" w:cs="Arial"/>
        </w:rPr>
        <w:t>Children (Leaving Care) Act 2000</w:t>
      </w:r>
      <w:r w:rsidRPr="00DA1464">
        <w:rPr>
          <w:rStyle w:val="s1"/>
          <w:rFonts w:ascii="Arial" w:hAnsi="Arial" w:cs="Arial"/>
        </w:rPr>
        <w:t xml:space="preserve"> creates specific duties around pathway planning, personal advisers and ongoing support; the </w:t>
      </w:r>
      <w:r w:rsidRPr="00DA1464">
        <w:rPr>
          <w:rStyle w:val="s2"/>
          <w:rFonts w:ascii="Arial" w:hAnsi="Arial" w:cs="Arial"/>
        </w:rPr>
        <w:t>Care Leavers (England) Regulations 2010</w:t>
      </w:r>
      <w:r w:rsidRPr="00DA1464">
        <w:rPr>
          <w:rStyle w:val="s1"/>
          <w:rFonts w:ascii="Arial" w:hAnsi="Arial" w:cs="Arial"/>
        </w:rPr>
        <w:t xml:space="preserve"> clarify entitlements; and the </w:t>
      </w:r>
      <w:r w:rsidRPr="00DA1464">
        <w:rPr>
          <w:rStyle w:val="s2"/>
          <w:rFonts w:ascii="Arial" w:hAnsi="Arial" w:cs="Arial"/>
        </w:rPr>
        <w:t>Children and Social Work Act 2017</w:t>
      </w:r>
      <w:r w:rsidRPr="00DA1464">
        <w:rPr>
          <w:rStyle w:val="s1"/>
          <w:rFonts w:ascii="Arial" w:hAnsi="Arial" w:cs="Arial"/>
        </w:rPr>
        <w:t xml:space="preserve"> strengthens corporate parenting duties and support to age 25 (Children (Leaving Care) Act 2000; Children Act 1989; Children and Social Work Act 2017; The Care Leavers (England) Regulations 2010). These frameworks are reinforced by </w:t>
      </w:r>
      <w:r w:rsidRPr="00DA1464">
        <w:rPr>
          <w:rStyle w:val="s2"/>
          <w:rFonts w:ascii="Arial" w:hAnsi="Arial" w:cs="Arial"/>
        </w:rPr>
        <w:t>Staying Put</w:t>
      </w:r>
      <w:r w:rsidRPr="00DA1464">
        <w:rPr>
          <w:rStyle w:val="s1"/>
          <w:rFonts w:ascii="Arial" w:hAnsi="Arial" w:cs="Arial"/>
        </w:rPr>
        <w:t xml:space="preserve">, </w:t>
      </w:r>
      <w:r w:rsidRPr="00DA1464">
        <w:rPr>
          <w:rStyle w:val="s2"/>
          <w:rFonts w:ascii="Arial" w:hAnsi="Arial" w:cs="Arial"/>
        </w:rPr>
        <w:t>Local Offer guidance</w:t>
      </w:r>
      <w:r w:rsidRPr="00DA1464">
        <w:rPr>
          <w:rStyle w:val="s1"/>
          <w:rFonts w:ascii="Arial" w:hAnsi="Arial" w:cs="Arial"/>
        </w:rPr>
        <w:t xml:space="preserve">, the </w:t>
      </w:r>
      <w:r w:rsidRPr="00DA1464">
        <w:rPr>
          <w:rStyle w:val="s2"/>
          <w:rFonts w:ascii="Arial" w:hAnsi="Arial" w:cs="Arial"/>
        </w:rPr>
        <w:t>Homelessness Reduction Act 2017</w:t>
      </w:r>
      <w:r w:rsidRPr="00DA1464">
        <w:rPr>
          <w:rStyle w:val="s1"/>
          <w:rFonts w:ascii="Arial" w:hAnsi="Arial" w:cs="Arial"/>
        </w:rPr>
        <w:t xml:space="preserve">, and joint housing protocols intended to improve inter-agency transition planning and accommodation security (Department for Education, 2025d; Department for Levelling Up, Housing and Communities and Department for Education, 2024; HM Government, 2013; Homelessness Reduction Act 2017). In mental health terms, the </w:t>
      </w:r>
      <w:r w:rsidRPr="00DA1464">
        <w:rPr>
          <w:rStyle w:val="s2"/>
          <w:rFonts w:ascii="Arial" w:hAnsi="Arial" w:cs="Arial"/>
        </w:rPr>
        <w:t>NHS Long Term Plan</w:t>
      </w:r>
      <w:r w:rsidRPr="00DA1464">
        <w:rPr>
          <w:rStyle w:val="s1"/>
          <w:rFonts w:ascii="Arial" w:hAnsi="Arial" w:cs="Arial"/>
        </w:rPr>
        <w:t xml:space="preserve"> and </w:t>
      </w:r>
      <w:r w:rsidRPr="00DA1464">
        <w:rPr>
          <w:rStyle w:val="s2"/>
          <w:rFonts w:ascii="Arial" w:hAnsi="Arial" w:cs="Arial"/>
        </w:rPr>
        <w:t>NICE guidance</w:t>
      </w:r>
      <w:r w:rsidRPr="00DA1464">
        <w:rPr>
          <w:rStyle w:val="s1"/>
          <w:rFonts w:ascii="Arial" w:hAnsi="Arial" w:cs="Arial"/>
        </w:rPr>
        <w:t xml:space="preserve"> provide an additional policy expectation that looked-after children and care leavers should receive better coordinated emotional wellbeing and mental health support (National Institute for Health and Care Excellence, 2021; NHS England, 2019). Yet the existence of policy architecture should not be mistaken for policy success. Review and inspection evidence indicates that statutory clarity has not eliminated fragmented delivery, weak transitions or postcode variation in support quality (MacAlister, 2022; Ofsted, 2022; Ofsted, 2025d).</w:t>
      </w:r>
    </w:p>
    <w:p w14:paraId="759191A1" w14:textId="77777777" w:rsidR="000E53B5" w:rsidRPr="00DA1464" w:rsidRDefault="000E53B5" w:rsidP="00DA1464">
      <w:pPr>
        <w:pStyle w:val="p2"/>
        <w:spacing w:line="360" w:lineRule="auto"/>
        <w:jc w:val="both"/>
        <w:rPr>
          <w:rFonts w:ascii="Arial" w:hAnsi="Arial" w:cs="Arial"/>
        </w:rPr>
      </w:pPr>
    </w:p>
    <w:p w14:paraId="6C8CD3D5" w14:textId="77777777" w:rsidR="000E53B5" w:rsidRDefault="000E53B5" w:rsidP="00DA1464">
      <w:pPr>
        <w:pStyle w:val="p1"/>
        <w:spacing w:line="360" w:lineRule="auto"/>
        <w:jc w:val="both"/>
        <w:rPr>
          <w:rStyle w:val="s1"/>
          <w:rFonts w:ascii="Arial" w:hAnsi="Arial" w:cs="Arial"/>
        </w:rPr>
      </w:pPr>
      <w:r w:rsidRPr="00DA1464">
        <w:rPr>
          <w:rStyle w:val="s1"/>
          <w:rFonts w:ascii="Arial" w:hAnsi="Arial" w:cs="Arial"/>
        </w:rPr>
        <w:t xml:space="preserve">At local level, national duties are mediated through highly uneven institutional and regional conditions. Northern authorities face higher levels of poverty, greater care-entry risk and stronger pressure on children’s services, which means that local delivery is shaped by need as well as by formal entitlement (Bennett et al., 2022; Bennett et al., 2024a; Pickett et al., 2021). Recent Ofsted data demonstrate this unevenness sharply: as </w:t>
      </w:r>
      <w:proofErr w:type="gramStart"/>
      <w:r w:rsidRPr="00DA1464">
        <w:rPr>
          <w:rStyle w:val="s1"/>
          <w:rFonts w:ascii="Arial" w:hAnsi="Arial" w:cs="Arial"/>
        </w:rPr>
        <w:t>at</w:t>
      </w:r>
      <w:proofErr w:type="gramEnd"/>
      <w:r w:rsidRPr="00DA1464">
        <w:rPr>
          <w:rStyle w:val="s1"/>
          <w:rFonts w:ascii="Arial" w:hAnsi="Arial" w:cs="Arial"/>
        </w:rPr>
        <w:t xml:space="preserve"> 31 March 2025, </w:t>
      </w:r>
      <w:r w:rsidRPr="00DA1464">
        <w:rPr>
          <w:rStyle w:val="s2"/>
          <w:rFonts w:ascii="Arial" w:hAnsi="Arial" w:cs="Arial"/>
        </w:rPr>
        <w:t>no</w:t>
      </w:r>
      <w:r w:rsidRPr="00DA1464">
        <w:rPr>
          <w:rStyle w:val="s1"/>
          <w:rFonts w:ascii="Arial" w:hAnsi="Arial" w:cs="Arial"/>
        </w:rPr>
        <w:t xml:space="preserve"> local authority in the </w:t>
      </w:r>
      <w:proofErr w:type="gramStart"/>
      <w:r w:rsidRPr="00DA1464">
        <w:rPr>
          <w:rStyle w:val="s2"/>
          <w:rFonts w:ascii="Arial" w:hAnsi="Arial" w:cs="Arial"/>
        </w:rPr>
        <w:t>North West</w:t>
      </w:r>
      <w:proofErr w:type="gramEnd"/>
      <w:r w:rsidRPr="00DA1464">
        <w:rPr>
          <w:rStyle w:val="s1"/>
          <w:rFonts w:ascii="Arial" w:hAnsi="Arial" w:cs="Arial"/>
        </w:rPr>
        <w:t xml:space="preserve"> was judged outstanding, while </w:t>
      </w:r>
      <w:r w:rsidRPr="00DA1464">
        <w:rPr>
          <w:rStyle w:val="s2"/>
          <w:rFonts w:ascii="Arial" w:hAnsi="Arial" w:cs="Arial"/>
        </w:rPr>
        <w:t>25%</w:t>
      </w:r>
      <w:r w:rsidRPr="00DA1464">
        <w:rPr>
          <w:rStyle w:val="s1"/>
          <w:rFonts w:ascii="Arial" w:hAnsi="Arial" w:cs="Arial"/>
        </w:rPr>
        <w:t xml:space="preserve"> were judged requires improvement to be good and </w:t>
      </w:r>
      <w:r w:rsidRPr="00DA1464">
        <w:rPr>
          <w:rStyle w:val="s2"/>
          <w:rFonts w:ascii="Arial" w:hAnsi="Arial" w:cs="Arial"/>
        </w:rPr>
        <w:t>29%</w:t>
      </w:r>
      <w:r w:rsidRPr="00DA1464">
        <w:rPr>
          <w:rStyle w:val="s1"/>
          <w:rFonts w:ascii="Arial" w:hAnsi="Arial" w:cs="Arial"/>
        </w:rPr>
        <w:t xml:space="preserve"> inadequate; by contrast, the </w:t>
      </w:r>
      <w:proofErr w:type="gramStart"/>
      <w:r w:rsidRPr="00DA1464">
        <w:rPr>
          <w:rStyle w:val="s2"/>
          <w:rFonts w:ascii="Arial" w:hAnsi="Arial" w:cs="Arial"/>
        </w:rPr>
        <w:t>South East</w:t>
      </w:r>
      <w:proofErr w:type="gramEnd"/>
      <w:r w:rsidRPr="00DA1464">
        <w:rPr>
          <w:rStyle w:val="s1"/>
          <w:rFonts w:ascii="Arial" w:hAnsi="Arial" w:cs="Arial"/>
        </w:rPr>
        <w:t xml:space="preserve"> had </w:t>
      </w:r>
      <w:r w:rsidRPr="00DA1464">
        <w:rPr>
          <w:rStyle w:val="s2"/>
          <w:rFonts w:ascii="Arial" w:hAnsi="Arial" w:cs="Arial"/>
        </w:rPr>
        <w:t>no</w:t>
      </w:r>
      <w:r w:rsidRPr="00DA1464">
        <w:rPr>
          <w:rStyle w:val="s1"/>
          <w:rFonts w:ascii="Arial" w:hAnsi="Arial" w:cs="Arial"/>
        </w:rPr>
        <w:t xml:space="preserve"> inadequate authorities, with </w:t>
      </w:r>
      <w:r w:rsidRPr="00DA1464">
        <w:rPr>
          <w:rStyle w:val="s2"/>
          <w:rFonts w:ascii="Arial" w:hAnsi="Arial" w:cs="Arial"/>
        </w:rPr>
        <w:t>21%</w:t>
      </w:r>
      <w:r w:rsidRPr="00DA1464">
        <w:rPr>
          <w:rStyle w:val="s1"/>
          <w:rFonts w:ascii="Arial" w:hAnsi="Arial" w:cs="Arial"/>
        </w:rPr>
        <w:t xml:space="preserve"> judged outstanding and </w:t>
      </w:r>
      <w:r w:rsidRPr="00DA1464">
        <w:rPr>
          <w:rStyle w:val="s2"/>
          <w:rFonts w:ascii="Arial" w:hAnsi="Arial" w:cs="Arial"/>
        </w:rPr>
        <w:t>53%</w:t>
      </w:r>
      <w:r w:rsidRPr="00DA1464">
        <w:rPr>
          <w:rStyle w:val="s1"/>
          <w:rFonts w:ascii="Arial" w:hAnsi="Arial" w:cs="Arial"/>
        </w:rPr>
        <w:t xml:space="preserve"> good (Ofsted, 2025d).</w:t>
      </w:r>
    </w:p>
    <w:p w14:paraId="606DBCF4" w14:textId="3D14DA16" w:rsidR="00621332" w:rsidRPr="00DA1464" w:rsidRDefault="009A09F5" w:rsidP="00DA1464">
      <w:pPr>
        <w:pStyle w:val="p1"/>
        <w:spacing w:line="360" w:lineRule="auto"/>
        <w:jc w:val="both"/>
        <w:rPr>
          <w:rStyle w:val="s1"/>
          <w:rFonts w:ascii="Arial" w:hAnsi="Arial" w:cs="Arial"/>
        </w:rPr>
      </w:pPr>
      <w:r w:rsidRPr="009A09F5">
        <w:rPr>
          <w:rStyle w:val="s1"/>
          <w:rFonts w:ascii="Arial" w:hAnsi="Arial" w:cs="Arial"/>
        </w:rPr>
        <w:t xml:space="preserve">This wider regional inequality is not only visible in statistical data but in young people’s own accounts. Fairbrother et al. (2024) found that young people in the </w:t>
      </w:r>
      <w:proofErr w:type="gramStart"/>
      <w:r w:rsidRPr="009A09F5">
        <w:rPr>
          <w:rStyle w:val="s1"/>
          <w:rFonts w:ascii="Arial" w:hAnsi="Arial" w:cs="Arial"/>
        </w:rPr>
        <w:t>North East</w:t>
      </w:r>
      <w:proofErr w:type="gramEnd"/>
      <w:r w:rsidRPr="009A09F5">
        <w:rPr>
          <w:rStyle w:val="s1"/>
          <w:rFonts w:ascii="Arial" w:hAnsi="Arial" w:cs="Arial"/>
        </w:rPr>
        <w:t xml:space="preserve"> explicitly linked poorer opportunities and health disadvantage to place, suggesting that </w:t>
      </w:r>
      <w:r w:rsidRPr="009A09F5">
        <w:rPr>
          <w:rStyle w:val="s1"/>
          <w:rFonts w:ascii="Arial" w:hAnsi="Arial" w:cs="Arial"/>
        </w:rPr>
        <w:lastRenderedPageBreak/>
        <w:t>regional inequality is experienced as a lived reality rather than merely an abstract policy concern.</w:t>
      </w:r>
    </w:p>
    <w:p w14:paraId="785CC722" w14:textId="77777777" w:rsidR="00E51212" w:rsidRPr="00DA1464" w:rsidRDefault="00E51212" w:rsidP="00DA1464">
      <w:pPr>
        <w:pStyle w:val="p1"/>
        <w:spacing w:line="360" w:lineRule="auto"/>
        <w:jc w:val="both"/>
        <w:rPr>
          <w:rFonts w:ascii="Arial" w:hAnsi="Arial" w:cs="Arial"/>
        </w:rPr>
      </w:pPr>
      <w:r w:rsidRPr="00DA1464">
        <w:rPr>
          <w:rStyle w:val="s1"/>
          <w:rFonts w:ascii="Arial" w:hAnsi="Arial" w:cs="Arial"/>
        </w:rPr>
        <w:t>Local offers and inspection evidence from Durham, Liverpool and Newcastle, all in Northern England, show that nationally defined duties do not produce a uniform level of support. Newcastle’s offer is especially explicit, detailing a personal adviser to age 25, housing support, Staying Put and Staying Close, a £3,000 leaving care grant, bursaries and mental health support, while Durham and Liverpool set out broader support across housing, education, employment, finance and wellbeing (Durham County Council, 2026; Liverpool City Council, 2026; Newcastle City Council, 2026). These local differences are reflected in inspection outcomes: Durham was judged outstanding overall and for care leavers, Newcastle good overall but requires improvement to be good for care leavers, and Liverpool inadequate overall and for care leavers (Ofsted, 2023; Ofsted, 2025b; Ofsted, 2025c). This suggests that, even within Northern England, care leavers’ rights are nationally articulated but locally delivered in uneven ways (Foley et al., 2025; Ofsted, 2025d).</w:t>
      </w:r>
    </w:p>
    <w:p w14:paraId="01A22D9D" w14:textId="77777777" w:rsidR="00E51212" w:rsidRPr="00DA1464" w:rsidRDefault="00E51212" w:rsidP="00DA1464">
      <w:pPr>
        <w:pStyle w:val="p1"/>
        <w:spacing w:line="360" w:lineRule="auto"/>
        <w:jc w:val="both"/>
        <w:rPr>
          <w:rFonts w:ascii="Arial" w:hAnsi="Arial" w:cs="Arial"/>
        </w:rPr>
      </w:pPr>
    </w:p>
    <w:p w14:paraId="508BC363" w14:textId="28AD84F6" w:rsidR="00BD2909" w:rsidRPr="00DA1464" w:rsidRDefault="00BD2909" w:rsidP="00DA1464">
      <w:pPr>
        <w:pStyle w:val="paragraph"/>
        <w:spacing w:before="0" w:beforeAutospacing="0" w:after="0" w:afterAutospacing="0" w:line="360" w:lineRule="auto"/>
        <w:jc w:val="both"/>
        <w:textAlignment w:val="baseline"/>
        <w:rPr>
          <w:rFonts w:ascii="Arial" w:hAnsi="Arial" w:cs="Arial"/>
          <w:color w:val="0F4761"/>
          <w:sz w:val="16"/>
          <w:szCs w:val="16"/>
        </w:rPr>
      </w:pPr>
      <w:r w:rsidRPr="00DA1464">
        <w:rPr>
          <w:rStyle w:val="normaltextrun"/>
          <w:rFonts w:ascii="Arial" w:hAnsi="Arial" w:cs="Arial"/>
          <w:color w:val="0F4761"/>
        </w:rPr>
        <w:t>2.6 Conclusion</w:t>
      </w:r>
    </w:p>
    <w:p w14:paraId="1CD397E1" w14:textId="77777777" w:rsidR="00BD2909" w:rsidRPr="00DA1464" w:rsidRDefault="00BD2909" w:rsidP="00DA1464">
      <w:pPr>
        <w:pStyle w:val="paragraph"/>
        <w:spacing w:before="0" w:beforeAutospacing="0" w:after="0" w:afterAutospacing="0" w:line="360" w:lineRule="auto"/>
        <w:jc w:val="both"/>
        <w:textAlignment w:val="baseline"/>
        <w:rPr>
          <w:rFonts w:ascii="Arial" w:hAnsi="Arial" w:cs="Arial"/>
          <w:sz w:val="16"/>
          <w:szCs w:val="16"/>
        </w:rPr>
      </w:pPr>
      <w:r w:rsidRPr="00DA1464">
        <w:rPr>
          <w:rStyle w:val="eop"/>
          <w:rFonts w:ascii="Arial" w:eastAsia="Calibri Light" w:hAnsi="Arial" w:cs="Arial"/>
          <w:sz w:val="22"/>
          <w:szCs w:val="22"/>
        </w:rPr>
        <w:t> </w:t>
      </w:r>
    </w:p>
    <w:p w14:paraId="2909396F" w14:textId="77777777" w:rsidR="00921F2A" w:rsidRPr="00DA1464" w:rsidRDefault="00921F2A" w:rsidP="00DA1464">
      <w:pPr>
        <w:pStyle w:val="p1"/>
        <w:spacing w:line="360" w:lineRule="auto"/>
        <w:jc w:val="both"/>
        <w:rPr>
          <w:rFonts w:ascii="Arial" w:hAnsi="Arial" w:cs="Arial"/>
        </w:rPr>
      </w:pPr>
      <w:r w:rsidRPr="00DA1464">
        <w:rPr>
          <w:rStyle w:val="s1"/>
          <w:rFonts w:ascii="Arial" w:hAnsi="Arial" w:cs="Arial"/>
        </w:rPr>
        <w:t xml:space="preserve">This chapter has examined the background to mental health inequalities among care leavers in Northern England through four key lenses. It first traced the historical development of care leaving, then explored the main theories used to interpret transition, vulnerability and support. It next considered the international context, showing that responses to care leaving vary across countries, before narrowing to the national and local context in England, where statutory duties are </w:t>
      </w:r>
      <w:proofErr w:type="gramStart"/>
      <w:r w:rsidRPr="00DA1464">
        <w:rPr>
          <w:rStyle w:val="s1"/>
          <w:rFonts w:ascii="Arial" w:hAnsi="Arial" w:cs="Arial"/>
        </w:rPr>
        <w:t>clear</w:t>
      </w:r>
      <w:proofErr w:type="gramEnd"/>
      <w:r w:rsidRPr="00DA1464">
        <w:rPr>
          <w:rStyle w:val="s1"/>
          <w:rFonts w:ascii="Arial" w:hAnsi="Arial" w:cs="Arial"/>
        </w:rPr>
        <w:t xml:space="preserve"> but delivery remains uneven. Together, these discussions establish the foundation for the dissertation. The following chapter outlines the methodology used to investigate the research question.</w:t>
      </w:r>
    </w:p>
    <w:p w14:paraId="407ABDAE" w14:textId="4F32BB8B" w:rsidR="00880B2D" w:rsidRPr="00DA1464" w:rsidRDefault="00880B2D" w:rsidP="00DA1464">
      <w:pPr>
        <w:rPr>
          <w:rFonts w:ascii="Arial" w:hAnsi="Arial" w:cs="Arial"/>
        </w:rPr>
        <w:sectPr w:rsidR="00880B2D" w:rsidRPr="00DA1464">
          <w:footerReference w:type="default" r:id="rId9"/>
          <w:pgSz w:w="11906" w:h="16838"/>
          <w:pgMar w:top="1440" w:right="1440" w:bottom="1440" w:left="1440" w:header="708" w:footer="708" w:gutter="0"/>
          <w:cols w:space="708"/>
          <w:docGrid w:linePitch="360"/>
        </w:sectPr>
      </w:pPr>
    </w:p>
    <w:p w14:paraId="2DBF0529" w14:textId="1435D3DC" w:rsidR="00035867" w:rsidRPr="00DA1464" w:rsidRDefault="00292A36" w:rsidP="00DA1464">
      <w:pPr>
        <w:pStyle w:val="Heading1"/>
        <w:spacing w:line="360" w:lineRule="auto"/>
        <w:ind w:left="0"/>
        <w:jc w:val="both"/>
        <w:rPr>
          <w:rFonts w:cs="Arial"/>
        </w:rPr>
      </w:pPr>
      <w:bookmarkStart w:id="3" w:name="_Toc226533363"/>
      <w:r w:rsidRPr="00DA1464">
        <w:rPr>
          <w:rFonts w:cs="Arial"/>
        </w:rPr>
        <w:lastRenderedPageBreak/>
        <w:t xml:space="preserve">CHAPTER 3 – </w:t>
      </w:r>
      <w:r w:rsidR="00E325CF" w:rsidRPr="00DA1464">
        <w:rPr>
          <w:rFonts w:cs="Arial"/>
        </w:rPr>
        <w:t>Methods and Search Strategy (1,000 words approx.)</w:t>
      </w:r>
      <w:bookmarkEnd w:id="3"/>
      <w:r w:rsidR="00E325CF" w:rsidRPr="00DA1464">
        <w:rPr>
          <w:rFonts w:cs="Arial"/>
        </w:rPr>
        <w:t xml:space="preserve"> </w:t>
      </w:r>
    </w:p>
    <w:p w14:paraId="5C2EC55E" w14:textId="77777777" w:rsidR="00B7073C" w:rsidRPr="00DA1464" w:rsidRDefault="00B7073C" w:rsidP="00DA1464">
      <w:pPr>
        <w:rPr>
          <w:rFonts w:ascii="Arial" w:hAnsi="Arial" w:cs="Arial"/>
        </w:rPr>
      </w:pPr>
    </w:p>
    <w:p w14:paraId="5A7AB555" w14:textId="0145D60D" w:rsidR="003A66FD" w:rsidRPr="00DA1464" w:rsidRDefault="00292A36" w:rsidP="00DA1464">
      <w:pPr>
        <w:pStyle w:val="Heading2"/>
        <w:rPr>
          <w:rFonts w:ascii="Arial" w:hAnsi="Arial" w:cs="Arial"/>
        </w:rPr>
      </w:pPr>
      <w:bookmarkStart w:id="4" w:name="_Toc226533364"/>
      <w:r w:rsidRPr="00DA1464">
        <w:rPr>
          <w:rFonts w:ascii="Arial" w:hAnsi="Arial" w:cs="Arial"/>
        </w:rPr>
        <w:t>3.</w:t>
      </w:r>
      <w:r w:rsidR="005D7A1E" w:rsidRPr="00DA1464">
        <w:rPr>
          <w:rFonts w:ascii="Arial" w:hAnsi="Arial" w:cs="Arial"/>
        </w:rPr>
        <w:t>1</w:t>
      </w:r>
      <w:r w:rsidRPr="00DA1464">
        <w:rPr>
          <w:rFonts w:ascii="Arial" w:hAnsi="Arial" w:cs="Arial"/>
        </w:rPr>
        <w:t xml:space="preserve"> –</w:t>
      </w:r>
      <w:r w:rsidR="0021364B" w:rsidRPr="00DA1464">
        <w:rPr>
          <w:rFonts w:ascii="Arial" w:hAnsi="Arial" w:cs="Arial"/>
        </w:rPr>
        <w:t xml:space="preserve"> </w:t>
      </w:r>
      <w:r w:rsidRPr="00DA1464">
        <w:rPr>
          <w:rFonts w:ascii="Arial" w:hAnsi="Arial" w:cs="Arial"/>
        </w:rPr>
        <w:t>Introduction</w:t>
      </w:r>
      <w:bookmarkEnd w:id="4"/>
    </w:p>
    <w:p w14:paraId="78E69D6C" w14:textId="77777777" w:rsidR="0055560D" w:rsidRPr="00DA1464" w:rsidRDefault="0055560D" w:rsidP="00DA1464">
      <w:pPr>
        <w:pStyle w:val="p1"/>
        <w:spacing w:line="360" w:lineRule="auto"/>
        <w:jc w:val="both"/>
        <w:rPr>
          <w:rFonts w:ascii="Arial" w:hAnsi="Arial" w:cs="Arial"/>
        </w:rPr>
      </w:pPr>
      <w:r w:rsidRPr="00DA1464">
        <w:rPr>
          <w:rStyle w:val="s1"/>
          <w:rFonts w:ascii="Arial" w:hAnsi="Arial" w:cs="Arial"/>
        </w:rPr>
        <w:t>This chapter explains how the dissertation was conducted using a desk-based, literature-based methodology. While the academic methodology poster provided a concise visual overview of the research design, this chapter expands that summary by detailing the search strategy, source selection process, inclusion and exclusion criteria, evaluation of evidence quality, and the coding procedures used to analyse the literature systematically (Aveyard, 2014; Braun and Clarke, 2012). These methodological steps are essential because they determine how the evidence base was constructed and how key patterns were identified. In turn, this process underpins the thematic findings presented in Chapter 4 and strengthens the transparency, rigour and credibility of the dissertation.</w:t>
      </w:r>
    </w:p>
    <w:p w14:paraId="644CE1D2" w14:textId="2E30D67E" w:rsidR="009E5B14" w:rsidRPr="00DA1464" w:rsidRDefault="00292A36" w:rsidP="00DA1464">
      <w:pPr>
        <w:pStyle w:val="Heading2"/>
        <w:rPr>
          <w:rFonts w:ascii="Arial" w:hAnsi="Arial" w:cs="Arial"/>
        </w:rPr>
      </w:pPr>
      <w:bookmarkStart w:id="5" w:name="_Toc226533365"/>
      <w:r w:rsidRPr="00DA1464">
        <w:rPr>
          <w:rFonts w:ascii="Arial" w:hAnsi="Arial" w:cs="Arial"/>
        </w:rPr>
        <w:t>3.</w:t>
      </w:r>
      <w:r w:rsidR="00E40B0D" w:rsidRPr="00DA1464">
        <w:rPr>
          <w:rFonts w:ascii="Arial" w:hAnsi="Arial" w:cs="Arial"/>
        </w:rPr>
        <w:t>2</w:t>
      </w:r>
      <w:r w:rsidRPr="00DA1464">
        <w:rPr>
          <w:rFonts w:ascii="Arial" w:hAnsi="Arial" w:cs="Arial"/>
        </w:rPr>
        <w:t xml:space="preserve"> – Search Strategy</w:t>
      </w:r>
      <w:bookmarkEnd w:id="5"/>
      <w:r w:rsidRPr="00DA1464">
        <w:rPr>
          <w:rFonts w:ascii="Arial" w:hAnsi="Arial" w:cs="Arial"/>
        </w:rPr>
        <w:t xml:space="preserve"> </w:t>
      </w:r>
    </w:p>
    <w:p w14:paraId="084EF0CB" w14:textId="5CCF6E15" w:rsidR="001B39AE" w:rsidRPr="00DA1464" w:rsidRDefault="00B7073C" w:rsidP="00DA1464">
      <w:pPr>
        <w:pStyle w:val="p1"/>
        <w:spacing w:line="360" w:lineRule="auto"/>
        <w:jc w:val="both"/>
        <w:rPr>
          <w:rFonts w:ascii="Arial" w:hAnsi="Arial" w:cs="Arial"/>
        </w:rPr>
      </w:pPr>
      <w:r w:rsidRPr="00DA1464">
        <w:rPr>
          <w:rFonts w:ascii="Arial" w:hAnsi="Arial" w:cs="Arial"/>
        </w:rPr>
        <w:br/>
      </w:r>
      <w:r w:rsidR="00AB6D78" w:rsidRPr="00DA1464">
        <w:rPr>
          <w:rStyle w:val="s1"/>
          <w:rFonts w:ascii="Arial" w:hAnsi="Arial" w:cs="Arial"/>
        </w:rPr>
        <w:t xml:space="preserve">A search strategy is a structured and systematic plan used to identify relevant literature efficiently and consistently (Aveyard, 2014). For this dissertation, searches were conducted using the </w:t>
      </w:r>
      <w:r w:rsidR="00AB6D78" w:rsidRPr="00DA1464">
        <w:rPr>
          <w:rStyle w:val="s2"/>
          <w:rFonts w:ascii="Arial" w:hAnsi="Arial" w:cs="Arial"/>
        </w:rPr>
        <w:t>UWTSD Library</w:t>
      </w:r>
      <w:r w:rsidR="00AB6D78" w:rsidRPr="00DA1464">
        <w:rPr>
          <w:rStyle w:val="s1"/>
          <w:rFonts w:ascii="Arial" w:hAnsi="Arial" w:cs="Arial"/>
        </w:rPr>
        <w:t xml:space="preserve">, </w:t>
      </w:r>
      <w:r w:rsidR="00AB6D78" w:rsidRPr="00DA1464">
        <w:rPr>
          <w:rStyle w:val="s2"/>
          <w:rFonts w:ascii="Arial" w:hAnsi="Arial" w:cs="Arial"/>
        </w:rPr>
        <w:t>Google Scholar</w:t>
      </w:r>
      <w:r w:rsidR="00AB6D78" w:rsidRPr="00DA1464">
        <w:rPr>
          <w:rStyle w:val="s1"/>
          <w:rFonts w:ascii="Arial" w:hAnsi="Arial" w:cs="Arial"/>
        </w:rPr>
        <w:t xml:space="preserve">, </w:t>
      </w:r>
      <w:r w:rsidR="00AB6D78" w:rsidRPr="00DA1464">
        <w:rPr>
          <w:rStyle w:val="s2"/>
          <w:rFonts w:ascii="Arial" w:hAnsi="Arial" w:cs="Arial"/>
        </w:rPr>
        <w:t>PubMed</w:t>
      </w:r>
      <w:r w:rsidR="00AB6D78" w:rsidRPr="00DA1464">
        <w:rPr>
          <w:rStyle w:val="s1"/>
          <w:rFonts w:ascii="Arial" w:hAnsi="Arial" w:cs="Arial"/>
        </w:rPr>
        <w:t xml:space="preserve">, and </w:t>
      </w:r>
      <w:r w:rsidR="00AB6D78" w:rsidRPr="00DA1464">
        <w:rPr>
          <w:rStyle w:val="s2"/>
          <w:rFonts w:ascii="Arial" w:hAnsi="Arial" w:cs="Arial"/>
        </w:rPr>
        <w:t>ProQuest</w:t>
      </w:r>
      <w:r w:rsidR="00AB6D78" w:rsidRPr="00DA1464">
        <w:rPr>
          <w:rStyle w:val="s1"/>
          <w:rFonts w:ascii="Arial" w:hAnsi="Arial" w:cs="Arial"/>
        </w:rPr>
        <w:t xml:space="preserve"> </w:t>
      </w:r>
      <w:proofErr w:type="gramStart"/>
      <w:r w:rsidR="00AB6D78" w:rsidRPr="00DA1464">
        <w:rPr>
          <w:rStyle w:val="s1"/>
          <w:rFonts w:ascii="Arial" w:hAnsi="Arial" w:cs="Arial"/>
        </w:rPr>
        <w:t>in order to</w:t>
      </w:r>
      <w:proofErr w:type="gramEnd"/>
      <w:r w:rsidR="00AB6D78" w:rsidRPr="00DA1464">
        <w:rPr>
          <w:rStyle w:val="s1"/>
          <w:rFonts w:ascii="Arial" w:hAnsi="Arial" w:cs="Arial"/>
        </w:rPr>
        <w:t xml:space="preserve"> access both peer-reviewed academic research and relevant policy-based material. Keywords were developed from the research question and included </w:t>
      </w:r>
      <w:r w:rsidR="00AB6D78" w:rsidRPr="00DA1464">
        <w:rPr>
          <w:rStyle w:val="s2"/>
          <w:rFonts w:ascii="Arial" w:hAnsi="Arial" w:cs="Arial"/>
        </w:rPr>
        <w:t>care leavers</w:t>
      </w:r>
      <w:r w:rsidR="00AB6D78" w:rsidRPr="00DA1464">
        <w:rPr>
          <w:rStyle w:val="s1"/>
          <w:rFonts w:ascii="Arial" w:hAnsi="Arial" w:cs="Arial"/>
        </w:rPr>
        <w:t xml:space="preserve">, </w:t>
      </w:r>
      <w:r w:rsidR="00AB6D78" w:rsidRPr="00DA1464">
        <w:rPr>
          <w:rStyle w:val="s2"/>
          <w:rFonts w:ascii="Arial" w:hAnsi="Arial" w:cs="Arial"/>
        </w:rPr>
        <w:t>care-experienced young people</w:t>
      </w:r>
      <w:r w:rsidR="00AB6D78" w:rsidRPr="00DA1464">
        <w:rPr>
          <w:rStyle w:val="s1"/>
          <w:rFonts w:ascii="Arial" w:hAnsi="Arial" w:cs="Arial"/>
        </w:rPr>
        <w:t xml:space="preserve">, </w:t>
      </w:r>
      <w:r w:rsidR="00AB6D78" w:rsidRPr="00DA1464">
        <w:rPr>
          <w:rStyle w:val="s2"/>
          <w:rFonts w:ascii="Arial" w:hAnsi="Arial" w:cs="Arial"/>
        </w:rPr>
        <w:t>mental health inequalities</w:t>
      </w:r>
      <w:r w:rsidR="00AB6D78" w:rsidRPr="00DA1464">
        <w:rPr>
          <w:rStyle w:val="s1"/>
          <w:rFonts w:ascii="Arial" w:hAnsi="Arial" w:cs="Arial"/>
        </w:rPr>
        <w:t xml:space="preserve">, </w:t>
      </w:r>
      <w:r w:rsidR="00AB6D78" w:rsidRPr="00DA1464">
        <w:rPr>
          <w:rStyle w:val="s2"/>
          <w:rFonts w:ascii="Arial" w:hAnsi="Arial" w:cs="Arial"/>
        </w:rPr>
        <w:t>social services</w:t>
      </w:r>
      <w:r w:rsidR="00AB6D78" w:rsidRPr="00DA1464">
        <w:rPr>
          <w:rStyle w:val="s1"/>
          <w:rFonts w:ascii="Arial" w:hAnsi="Arial" w:cs="Arial"/>
        </w:rPr>
        <w:t xml:space="preserve">, </w:t>
      </w:r>
      <w:r w:rsidR="00AB6D78" w:rsidRPr="00DA1464">
        <w:rPr>
          <w:rStyle w:val="s2"/>
          <w:rFonts w:ascii="Arial" w:hAnsi="Arial" w:cs="Arial"/>
        </w:rPr>
        <w:t>transition to adulthood</w:t>
      </w:r>
      <w:r w:rsidR="00AB6D78" w:rsidRPr="00DA1464">
        <w:rPr>
          <w:rStyle w:val="s1"/>
          <w:rFonts w:ascii="Arial" w:hAnsi="Arial" w:cs="Arial"/>
        </w:rPr>
        <w:t xml:space="preserve">, and </w:t>
      </w:r>
      <w:r w:rsidR="00AB6D78" w:rsidRPr="00DA1464">
        <w:rPr>
          <w:rStyle w:val="s2"/>
          <w:rFonts w:ascii="Arial" w:hAnsi="Arial" w:cs="Arial"/>
        </w:rPr>
        <w:t>Northern England</w:t>
      </w:r>
      <w:r w:rsidR="00AB6D78" w:rsidRPr="00DA1464">
        <w:rPr>
          <w:rStyle w:val="s1"/>
          <w:rFonts w:ascii="Arial" w:hAnsi="Arial" w:cs="Arial"/>
        </w:rPr>
        <w:t xml:space="preserve">. These terms were combined using Boolean operators: </w:t>
      </w:r>
      <w:r w:rsidR="00AB6D78" w:rsidRPr="00DA1464">
        <w:rPr>
          <w:rStyle w:val="s2"/>
          <w:rFonts w:ascii="Arial" w:hAnsi="Arial" w:cs="Arial"/>
        </w:rPr>
        <w:t>AND</w:t>
      </w:r>
      <w:r w:rsidR="00AB6D78" w:rsidRPr="00DA1464">
        <w:rPr>
          <w:rStyle w:val="s1"/>
          <w:rFonts w:ascii="Arial" w:hAnsi="Arial" w:cs="Arial"/>
        </w:rPr>
        <w:t xml:space="preserve"> to connect core concepts, </w:t>
      </w:r>
      <w:r w:rsidR="00AB6D78" w:rsidRPr="00DA1464">
        <w:rPr>
          <w:rStyle w:val="s2"/>
          <w:rFonts w:ascii="Arial" w:hAnsi="Arial" w:cs="Arial"/>
        </w:rPr>
        <w:t>OR</w:t>
      </w:r>
      <w:r w:rsidR="00AB6D78" w:rsidRPr="00DA1464">
        <w:rPr>
          <w:rStyle w:val="s1"/>
          <w:rFonts w:ascii="Arial" w:hAnsi="Arial" w:cs="Arial"/>
        </w:rPr>
        <w:t xml:space="preserve"> to include synonyms, and </w:t>
      </w:r>
      <w:r w:rsidR="00AB6D78" w:rsidRPr="00DA1464">
        <w:rPr>
          <w:rStyle w:val="s2"/>
          <w:rFonts w:ascii="Arial" w:hAnsi="Arial" w:cs="Arial"/>
        </w:rPr>
        <w:t>NOT</w:t>
      </w:r>
      <w:r w:rsidR="00AB6D78" w:rsidRPr="00DA1464">
        <w:rPr>
          <w:rStyle w:val="s1"/>
          <w:rFonts w:ascii="Arial" w:hAnsi="Arial" w:cs="Arial"/>
        </w:rPr>
        <w:t xml:space="preserve"> to remove irrelevant results where necessary. Filters such as </w:t>
      </w:r>
      <w:r w:rsidR="00AB6D78" w:rsidRPr="00DA1464">
        <w:rPr>
          <w:rStyle w:val="s2"/>
          <w:rFonts w:ascii="Arial" w:hAnsi="Arial" w:cs="Arial"/>
        </w:rPr>
        <w:t>publication date</w:t>
      </w:r>
      <w:r w:rsidR="00AB6D78" w:rsidRPr="00DA1464">
        <w:rPr>
          <w:rStyle w:val="s1"/>
          <w:rFonts w:ascii="Arial" w:hAnsi="Arial" w:cs="Arial"/>
        </w:rPr>
        <w:t xml:space="preserve">, </w:t>
      </w:r>
      <w:r w:rsidR="00AB6D78" w:rsidRPr="00DA1464">
        <w:rPr>
          <w:rStyle w:val="s2"/>
          <w:rFonts w:ascii="Arial" w:hAnsi="Arial" w:cs="Arial"/>
        </w:rPr>
        <w:t>English language</w:t>
      </w:r>
      <w:r w:rsidR="00AB6D78" w:rsidRPr="00DA1464">
        <w:rPr>
          <w:rStyle w:val="s1"/>
          <w:rFonts w:ascii="Arial" w:hAnsi="Arial" w:cs="Arial"/>
        </w:rPr>
        <w:t xml:space="preserve">, </w:t>
      </w:r>
      <w:r w:rsidR="00AB6D78" w:rsidRPr="00DA1464">
        <w:rPr>
          <w:rStyle w:val="s2"/>
          <w:rFonts w:ascii="Arial" w:hAnsi="Arial" w:cs="Arial"/>
        </w:rPr>
        <w:t>peer-reviewed status</w:t>
      </w:r>
      <w:r w:rsidR="00AB6D78" w:rsidRPr="00DA1464">
        <w:rPr>
          <w:rStyle w:val="s1"/>
          <w:rFonts w:ascii="Arial" w:hAnsi="Arial" w:cs="Arial"/>
        </w:rPr>
        <w:t xml:space="preserve">, and </w:t>
      </w:r>
      <w:r w:rsidR="00AB6D78" w:rsidRPr="00DA1464">
        <w:rPr>
          <w:rStyle w:val="s2"/>
          <w:rFonts w:ascii="Arial" w:hAnsi="Arial" w:cs="Arial"/>
        </w:rPr>
        <w:t>UK relevance</w:t>
      </w:r>
      <w:r w:rsidR="00AB6D78" w:rsidRPr="00DA1464">
        <w:rPr>
          <w:rStyle w:val="s1"/>
          <w:rFonts w:ascii="Arial" w:hAnsi="Arial" w:cs="Arial"/>
        </w:rPr>
        <w:t xml:space="preserve"> were applied to improve quality and focus. This structured approach supported a clear, purposeful and transparent literature search.</w:t>
      </w:r>
      <w:r w:rsidR="001B39AE" w:rsidRPr="00DA1464">
        <w:rPr>
          <w:rStyle w:val="s1"/>
          <w:rFonts w:ascii="Arial" w:hAnsi="Arial" w:cs="Arial"/>
        </w:rPr>
        <w:t xml:space="preserve"> Following the initial search process, sources were later screened for quality and relevance using the CRAAP test.</w:t>
      </w:r>
    </w:p>
    <w:p w14:paraId="40968FCC" w14:textId="5778603B" w:rsidR="00AB6D78" w:rsidRPr="00DA1464" w:rsidRDefault="00AB6D78" w:rsidP="00DA1464">
      <w:pPr>
        <w:pStyle w:val="p1"/>
        <w:spacing w:line="360" w:lineRule="auto"/>
        <w:jc w:val="both"/>
        <w:rPr>
          <w:rFonts w:ascii="Arial" w:hAnsi="Arial" w:cs="Arial"/>
        </w:rPr>
      </w:pPr>
    </w:p>
    <w:p w14:paraId="0293381E" w14:textId="6B174CAA" w:rsidR="00D13A82" w:rsidRPr="00DA1464" w:rsidRDefault="00D13A82" w:rsidP="00DA1464">
      <w:pPr>
        <w:rPr>
          <w:rFonts w:ascii="Arial" w:hAnsi="Arial" w:cs="Arial"/>
        </w:rPr>
      </w:pPr>
    </w:p>
    <w:p w14:paraId="57AFDE7A" w14:textId="4E77886F" w:rsidR="00B575E2" w:rsidRPr="00DA1464" w:rsidRDefault="00292A36" w:rsidP="00DA1464">
      <w:pPr>
        <w:pStyle w:val="Heading2"/>
        <w:numPr>
          <w:ilvl w:val="1"/>
          <w:numId w:val="81"/>
        </w:numPr>
        <w:rPr>
          <w:rFonts w:ascii="Arial" w:hAnsi="Arial" w:cs="Arial"/>
        </w:rPr>
      </w:pPr>
      <w:bookmarkStart w:id="6" w:name="_Toc226533366"/>
      <w:r w:rsidRPr="00DA1464">
        <w:rPr>
          <w:rFonts w:ascii="Arial" w:hAnsi="Arial" w:cs="Arial"/>
        </w:rPr>
        <w:t>– Searching for Information</w:t>
      </w:r>
      <w:bookmarkEnd w:id="6"/>
    </w:p>
    <w:p w14:paraId="025C2FCA" w14:textId="327DD33F" w:rsidR="00865956" w:rsidRPr="00DA1464" w:rsidRDefault="00865956" w:rsidP="00DA1464">
      <w:pPr>
        <w:pStyle w:val="p1"/>
        <w:spacing w:line="360" w:lineRule="auto"/>
        <w:ind w:left="360"/>
        <w:jc w:val="both"/>
        <w:rPr>
          <w:rFonts w:ascii="Arial" w:hAnsi="Arial" w:cs="Arial"/>
        </w:rPr>
      </w:pPr>
      <w:r w:rsidRPr="00DA1464">
        <w:rPr>
          <w:rStyle w:val="s1"/>
          <w:rFonts w:ascii="Arial" w:hAnsi="Arial" w:cs="Arial"/>
        </w:rPr>
        <w:t xml:space="preserve">Information was searched systematically through the </w:t>
      </w:r>
      <w:r w:rsidRPr="00DA1464">
        <w:rPr>
          <w:rStyle w:val="s2"/>
          <w:rFonts w:ascii="Arial" w:hAnsi="Arial" w:cs="Arial"/>
        </w:rPr>
        <w:t>UWTSD Library</w:t>
      </w:r>
      <w:r w:rsidRPr="00DA1464">
        <w:rPr>
          <w:rStyle w:val="s1"/>
          <w:rFonts w:ascii="Arial" w:hAnsi="Arial" w:cs="Arial"/>
        </w:rPr>
        <w:t xml:space="preserve">, </w:t>
      </w:r>
      <w:r w:rsidRPr="00DA1464">
        <w:rPr>
          <w:rStyle w:val="s2"/>
          <w:rFonts w:ascii="Arial" w:hAnsi="Arial" w:cs="Arial"/>
        </w:rPr>
        <w:t>Google Scholar</w:t>
      </w:r>
      <w:r w:rsidRPr="00DA1464">
        <w:rPr>
          <w:rStyle w:val="s1"/>
          <w:rFonts w:ascii="Arial" w:hAnsi="Arial" w:cs="Arial"/>
        </w:rPr>
        <w:t xml:space="preserve">, </w:t>
      </w:r>
      <w:r w:rsidRPr="00DA1464">
        <w:rPr>
          <w:rStyle w:val="s2"/>
          <w:rFonts w:ascii="Arial" w:hAnsi="Arial" w:cs="Arial"/>
        </w:rPr>
        <w:t>PubMed</w:t>
      </w:r>
      <w:r w:rsidRPr="00DA1464">
        <w:rPr>
          <w:rStyle w:val="s1"/>
          <w:rFonts w:ascii="Arial" w:hAnsi="Arial" w:cs="Arial"/>
        </w:rPr>
        <w:t xml:space="preserve">, and </w:t>
      </w:r>
      <w:r w:rsidRPr="00DA1464">
        <w:rPr>
          <w:rStyle w:val="s2"/>
          <w:rFonts w:ascii="Arial" w:hAnsi="Arial" w:cs="Arial"/>
        </w:rPr>
        <w:t>ProQuest</w:t>
      </w:r>
      <w:r w:rsidRPr="00DA1464">
        <w:rPr>
          <w:rStyle w:val="s1"/>
          <w:rFonts w:ascii="Arial" w:hAnsi="Arial" w:cs="Arial"/>
        </w:rPr>
        <w:t xml:space="preserve">, alongside authoritative policy websites including </w:t>
      </w:r>
      <w:r w:rsidRPr="00DA1464">
        <w:rPr>
          <w:rStyle w:val="s2"/>
          <w:rFonts w:ascii="Arial" w:hAnsi="Arial" w:cs="Arial"/>
        </w:rPr>
        <w:t>GOV.UK</w:t>
      </w:r>
      <w:r w:rsidRPr="00DA1464">
        <w:rPr>
          <w:rStyle w:val="s1"/>
          <w:rFonts w:ascii="Arial" w:hAnsi="Arial" w:cs="Arial"/>
        </w:rPr>
        <w:t xml:space="preserve">, the </w:t>
      </w:r>
      <w:r w:rsidRPr="00DA1464">
        <w:rPr>
          <w:rStyle w:val="s2"/>
          <w:rFonts w:ascii="Arial" w:hAnsi="Arial" w:cs="Arial"/>
        </w:rPr>
        <w:t>Department for Education</w:t>
      </w:r>
      <w:r w:rsidRPr="00DA1464">
        <w:rPr>
          <w:rStyle w:val="s1"/>
          <w:rFonts w:ascii="Arial" w:hAnsi="Arial" w:cs="Arial"/>
        </w:rPr>
        <w:t xml:space="preserve">, </w:t>
      </w:r>
      <w:r w:rsidRPr="00DA1464">
        <w:rPr>
          <w:rStyle w:val="s2"/>
          <w:rFonts w:ascii="Arial" w:hAnsi="Arial" w:cs="Arial"/>
        </w:rPr>
        <w:t>Ofsted</w:t>
      </w:r>
      <w:r w:rsidRPr="00DA1464">
        <w:rPr>
          <w:rStyle w:val="s1"/>
          <w:rFonts w:ascii="Arial" w:hAnsi="Arial" w:cs="Arial"/>
        </w:rPr>
        <w:t xml:space="preserve">, </w:t>
      </w:r>
      <w:r w:rsidRPr="00DA1464">
        <w:rPr>
          <w:rStyle w:val="s2"/>
          <w:rFonts w:ascii="Arial" w:hAnsi="Arial" w:cs="Arial"/>
        </w:rPr>
        <w:t>NHS England</w:t>
      </w:r>
      <w:r w:rsidRPr="00DA1464">
        <w:rPr>
          <w:rStyle w:val="s1"/>
          <w:rFonts w:ascii="Arial" w:hAnsi="Arial" w:cs="Arial"/>
        </w:rPr>
        <w:t>, and relevant local authority websites. These sources were selected because the dissertation required both peer-reviewed academic literature and current legislative, inspection and practice-based material. The academic databases offered breadth across health, social care and policy research, while government and local authority sources provided the most relevant evidence for statutory guidance, inspection outcomes, local offers and national policy context (Aveyard, 2014).</w:t>
      </w:r>
    </w:p>
    <w:p w14:paraId="525AC35E" w14:textId="79404AAD" w:rsidR="00865956" w:rsidRPr="00DA1464" w:rsidRDefault="00865956" w:rsidP="00DA1464">
      <w:pPr>
        <w:pStyle w:val="p1"/>
        <w:spacing w:line="360" w:lineRule="auto"/>
        <w:ind w:left="360"/>
        <w:jc w:val="both"/>
        <w:rPr>
          <w:rFonts w:ascii="Arial" w:hAnsi="Arial" w:cs="Arial"/>
        </w:rPr>
      </w:pPr>
      <w:r w:rsidRPr="00DA1464">
        <w:rPr>
          <w:rStyle w:val="s1"/>
          <w:rFonts w:ascii="Arial" w:hAnsi="Arial" w:cs="Arial"/>
        </w:rPr>
        <w:t xml:space="preserve">Filters were applied to improve relevance and manageability. These included </w:t>
      </w:r>
      <w:r w:rsidRPr="00DA1464">
        <w:rPr>
          <w:rStyle w:val="s2"/>
          <w:rFonts w:ascii="Arial" w:hAnsi="Arial" w:cs="Arial"/>
        </w:rPr>
        <w:t>English language</w:t>
      </w:r>
      <w:r w:rsidRPr="00DA1464">
        <w:rPr>
          <w:rStyle w:val="s1"/>
          <w:rFonts w:ascii="Arial" w:hAnsi="Arial" w:cs="Arial"/>
        </w:rPr>
        <w:t xml:space="preserve">, </w:t>
      </w:r>
      <w:r w:rsidRPr="00DA1464">
        <w:rPr>
          <w:rStyle w:val="s2"/>
          <w:rFonts w:ascii="Arial" w:hAnsi="Arial" w:cs="Arial"/>
        </w:rPr>
        <w:t>peer-reviewed status</w:t>
      </w:r>
      <w:r w:rsidRPr="00DA1464">
        <w:rPr>
          <w:rStyle w:val="s1"/>
          <w:rFonts w:ascii="Arial" w:hAnsi="Arial" w:cs="Arial"/>
        </w:rPr>
        <w:t xml:space="preserve"> where appropriate, </w:t>
      </w:r>
      <w:r w:rsidRPr="00DA1464">
        <w:rPr>
          <w:rStyle w:val="s2"/>
          <w:rFonts w:ascii="Arial" w:hAnsi="Arial" w:cs="Arial"/>
        </w:rPr>
        <w:t>full-text availability</w:t>
      </w:r>
      <w:r w:rsidRPr="00DA1464">
        <w:rPr>
          <w:rStyle w:val="s1"/>
          <w:rFonts w:ascii="Arial" w:hAnsi="Arial" w:cs="Arial"/>
        </w:rPr>
        <w:t xml:space="preserve">, and a </w:t>
      </w:r>
      <w:r w:rsidRPr="00DA1464">
        <w:rPr>
          <w:rStyle w:val="s2"/>
          <w:rFonts w:ascii="Arial" w:hAnsi="Arial" w:cs="Arial"/>
        </w:rPr>
        <w:t>date range focused mainly on recent literature</w:t>
      </w:r>
      <w:r w:rsidRPr="00DA1464">
        <w:rPr>
          <w:rStyle w:val="s1"/>
          <w:rFonts w:ascii="Arial" w:hAnsi="Arial" w:cs="Arial"/>
        </w:rPr>
        <w:t xml:space="preserve"> </w:t>
      </w:r>
      <w:proofErr w:type="gramStart"/>
      <w:r w:rsidRPr="00DA1464">
        <w:rPr>
          <w:rStyle w:val="s1"/>
          <w:rFonts w:ascii="Arial" w:hAnsi="Arial" w:cs="Arial"/>
        </w:rPr>
        <w:t>in order to</w:t>
      </w:r>
      <w:proofErr w:type="gramEnd"/>
      <w:r w:rsidRPr="00DA1464">
        <w:rPr>
          <w:rStyle w:val="s1"/>
          <w:rFonts w:ascii="Arial" w:hAnsi="Arial" w:cs="Arial"/>
        </w:rPr>
        <w:t xml:space="preserve"> capture current policy and practice. A </w:t>
      </w:r>
      <w:r w:rsidRPr="00DA1464">
        <w:rPr>
          <w:rStyle w:val="s2"/>
          <w:rFonts w:ascii="Arial" w:hAnsi="Arial" w:cs="Arial"/>
        </w:rPr>
        <w:t>UK, England, or Northern England focus</w:t>
      </w:r>
      <w:r w:rsidRPr="00DA1464">
        <w:rPr>
          <w:rStyle w:val="s1"/>
          <w:rFonts w:ascii="Arial" w:hAnsi="Arial" w:cs="Arial"/>
        </w:rPr>
        <w:t xml:space="preserve"> was used where possible. Earlier historical or legal sources were retained only where they were foundational to the development of care leaving policy.</w:t>
      </w:r>
    </w:p>
    <w:p w14:paraId="7F05C03E" w14:textId="17BDC75F" w:rsidR="00865956" w:rsidRPr="00DA1464" w:rsidRDefault="00865956" w:rsidP="00DA1464">
      <w:pPr>
        <w:pStyle w:val="p1"/>
        <w:spacing w:line="360" w:lineRule="auto"/>
        <w:ind w:left="360"/>
        <w:jc w:val="both"/>
        <w:rPr>
          <w:rFonts w:ascii="Arial" w:hAnsi="Arial" w:cs="Arial"/>
        </w:rPr>
      </w:pPr>
      <w:r w:rsidRPr="00DA1464">
        <w:rPr>
          <w:rStyle w:val="s1"/>
          <w:rFonts w:ascii="Arial" w:hAnsi="Arial" w:cs="Arial"/>
        </w:rPr>
        <w:t xml:space="preserve">The search process was refined as it progressed. Initial broad searches produced material that was either too international or insufficiently focused on care leavers, so terms were adjusted by adding combinations such as </w:t>
      </w:r>
      <w:r w:rsidRPr="00DA1464">
        <w:rPr>
          <w:rStyle w:val="s2"/>
          <w:rFonts w:ascii="Arial" w:hAnsi="Arial" w:cs="Arial"/>
        </w:rPr>
        <w:t>mental health</w:t>
      </w:r>
      <w:r w:rsidRPr="00DA1464">
        <w:rPr>
          <w:rStyle w:val="s1"/>
          <w:rFonts w:ascii="Arial" w:hAnsi="Arial" w:cs="Arial"/>
        </w:rPr>
        <w:t xml:space="preserve">, </w:t>
      </w:r>
      <w:r w:rsidRPr="00DA1464">
        <w:rPr>
          <w:rStyle w:val="s2"/>
          <w:rFonts w:ascii="Arial" w:hAnsi="Arial" w:cs="Arial"/>
        </w:rPr>
        <w:t>social services</w:t>
      </w:r>
      <w:r w:rsidRPr="00DA1464">
        <w:rPr>
          <w:rStyle w:val="s1"/>
          <w:rFonts w:ascii="Arial" w:hAnsi="Arial" w:cs="Arial"/>
        </w:rPr>
        <w:t xml:space="preserve">, </w:t>
      </w:r>
      <w:r w:rsidRPr="00DA1464">
        <w:rPr>
          <w:rStyle w:val="s2"/>
          <w:rFonts w:ascii="Arial" w:hAnsi="Arial" w:cs="Arial"/>
        </w:rPr>
        <w:t>transition to adulthood</w:t>
      </w:r>
      <w:r w:rsidRPr="00DA1464">
        <w:rPr>
          <w:rStyle w:val="s1"/>
          <w:rFonts w:ascii="Arial" w:hAnsi="Arial" w:cs="Arial"/>
        </w:rPr>
        <w:t xml:space="preserve">, </w:t>
      </w:r>
      <w:r w:rsidRPr="00DA1464">
        <w:rPr>
          <w:rStyle w:val="s2"/>
          <w:rFonts w:ascii="Arial" w:hAnsi="Arial" w:cs="Arial"/>
        </w:rPr>
        <w:t>regional inequality</w:t>
      </w:r>
      <w:r w:rsidRPr="00DA1464">
        <w:rPr>
          <w:rStyle w:val="s1"/>
          <w:rFonts w:ascii="Arial" w:hAnsi="Arial" w:cs="Arial"/>
        </w:rPr>
        <w:t xml:space="preserve">, and </w:t>
      </w:r>
      <w:r w:rsidRPr="00DA1464">
        <w:rPr>
          <w:rStyle w:val="s2"/>
          <w:rFonts w:ascii="Arial" w:hAnsi="Arial" w:cs="Arial"/>
        </w:rPr>
        <w:t>Northern England</w:t>
      </w:r>
      <w:r w:rsidRPr="00DA1464">
        <w:rPr>
          <w:rStyle w:val="s1"/>
          <w:rFonts w:ascii="Arial" w:hAnsi="Arial" w:cs="Arial"/>
        </w:rPr>
        <w:t>. A source-tracking table was used throughout to record database, search terms, filters, relevance and key findings, which supported transparency and consistency in source selection</w:t>
      </w:r>
      <w:r w:rsidR="00AC1C62" w:rsidRPr="00DA1464">
        <w:rPr>
          <w:rStyle w:val="s1"/>
          <w:rFonts w:ascii="Arial" w:hAnsi="Arial" w:cs="Arial"/>
        </w:rPr>
        <w:t>.</w:t>
      </w:r>
    </w:p>
    <w:p w14:paraId="0BEB0164" w14:textId="3CC9BD24" w:rsidR="00E325CF" w:rsidRPr="00DA1464" w:rsidRDefault="00292A36" w:rsidP="00DA1464">
      <w:pPr>
        <w:pStyle w:val="Heading2"/>
        <w:numPr>
          <w:ilvl w:val="1"/>
          <w:numId w:val="81"/>
        </w:numPr>
        <w:rPr>
          <w:rFonts w:ascii="Arial" w:hAnsi="Arial" w:cs="Arial"/>
        </w:rPr>
      </w:pPr>
      <w:bookmarkStart w:id="7" w:name="_Toc226533367"/>
      <w:r w:rsidRPr="00DA1464">
        <w:rPr>
          <w:rFonts w:ascii="Arial" w:hAnsi="Arial" w:cs="Arial"/>
        </w:rPr>
        <w:t>– Research Validation</w:t>
      </w:r>
      <w:bookmarkEnd w:id="7"/>
    </w:p>
    <w:p w14:paraId="36A31295" w14:textId="3F93A176" w:rsidR="00D3788A" w:rsidRPr="00DA1464" w:rsidRDefault="00D3788A" w:rsidP="00DA1464">
      <w:pPr>
        <w:pStyle w:val="p1"/>
        <w:spacing w:line="360" w:lineRule="auto"/>
        <w:ind w:left="360"/>
        <w:jc w:val="both"/>
        <w:rPr>
          <w:rFonts w:ascii="Arial" w:hAnsi="Arial" w:cs="Arial"/>
        </w:rPr>
      </w:pPr>
      <w:r w:rsidRPr="00DA1464">
        <w:rPr>
          <w:rStyle w:val="s1"/>
          <w:rFonts w:ascii="Arial" w:hAnsi="Arial" w:cs="Arial"/>
        </w:rPr>
        <w:t xml:space="preserve">Sources were screened initially through rapid skimming </w:t>
      </w:r>
      <w:proofErr w:type="gramStart"/>
      <w:r w:rsidRPr="00DA1464">
        <w:rPr>
          <w:rStyle w:val="s1"/>
          <w:rFonts w:ascii="Arial" w:hAnsi="Arial" w:cs="Arial"/>
        </w:rPr>
        <w:t>in order to</w:t>
      </w:r>
      <w:proofErr w:type="gramEnd"/>
      <w:r w:rsidRPr="00DA1464">
        <w:rPr>
          <w:rStyle w:val="s1"/>
          <w:rFonts w:ascii="Arial" w:hAnsi="Arial" w:cs="Arial"/>
        </w:rPr>
        <w:t xml:space="preserve"> determine relevance before full reading. This involved checking the title, abstract, introduction and conclusion, and where necessary the methods section, to identify whether the source addressed care leavers, mental health, social services, inequality, or the Northern England/UK context (Aveyard, 2014). This process reduced the risk of </w:t>
      </w:r>
      <w:r w:rsidRPr="00DA1464">
        <w:rPr>
          <w:rStyle w:val="s1"/>
          <w:rFonts w:ascii="Arial" w:hAnsi="Arial" w:cs="Arial"/>
        </w:rPr>
        <w:lastRenderedPageBreak/>
        <w:t>including material that appeared relevant by title but did not answer the research question in substance.</w:t>
      </w:r>
    </w:p>
    <w:p w14:paraId="4F26A468" w14:textId="77777777" w:rsidR="004D1BFF" w:rsidRPr="00DA1464" w:rsidRDefault="00D3788A" w:rsidP="00DA1464">
      <w:pPr>
        <w:pStyle w:val="p1"/>
        <w:spacing w:line="360" w:lineRule="auto"/>
        <w:jc w:val="both"/>
        <w:rPr>
          <w:rFonts w:ascii="Arial" w:hAnsi="Arial" w:cs="Arial"/>
        </w:rPr>
      </w:pPr>
      <w:r w:rsidRPr="00DA1464">
        <w:rPr>
          <w:rStyle w:val="s1"/>
          <w:rFonts w:ascii="Arial" w:hAnsi="Arial" w:cs="Arial"/>
        </w:rPr>
        <w:t xml:space="preserve">Following this first screen, sources were assessed using the CRAAP test: Currency, Relevance, Authority, Accuracy and Purpose. </w:t>
      </w:r>
      <w:proofErr w:type="gramStart"/>
      <w:r w:rsidRPr="00DA1464">
        <w:rPr>
          <w:rStyle w:val="s1"/>
          <w:rFonts w:ascii="Arial" w:hAnsi="Arial" w:cs="Arial"/>
        </w:rPr>
        <w:t>Particular weight</w:t>
      </w:r>
      <w:proofErr w:type="gramEnd"/>
      <w:r w:rsidRPr="00DA1464">
        <w:rPr>
          <w:rStyle w:val="s1"/>
          <w:rFonts w:ascii="Arial" w:hAnsi="Arial" w:cs="Arial"/>
        </w:rPr>
        <w:t xml:space="preserve"> was given to Currency, Relevance and Authority, as these were most important for a study examining current policy and practice. Not every source met all five criteria equally; however, sources were prioritised when they were recent, directly relevant, and produced by credible academic, governmental or professional bodies.</w:t>
      </w:r>
      <w:r w:rsidRPr="00DA1464">
        <w:rPr>
          <w:rStyle w:val="apple-converted-space"/>
          <w:rFonts w:ascii="Arial" w:hAnsi="Arial" w:cs="Arial"/>
        </w:rPr>
        <w:t> </w:t>
      </w:r>
      <w:r w:rsidR="004D1BFF" w:rsidRPr="00DA1464">
        <w:rPr>
          <w:rStyle w:val="s1"/>
          <w:rFonts w:ascii="Arial" w:hAnsi="Arial" w:cs="Arial"/>
        </w:rPr>
        <w:t>For example, Cummings and Shelton (2024) was retained because it is a recent peer-reviewed systematic review focused specifically on the UK, with clear relevance to care-experienced young people’s mental health. By contrast, sources lacking peer review, clear authorship, or sufficient relevance to care leavers, mental health, or the UK context were excluded.</w:t>
      </w:r>
    </w:p>
    <w:p w14:paraId="290CA829" w14:textId="187E0426" w:rsidR="00D3788A" w:rsidRPr="00DA1464" w:rsidRDefault="00D3788A" w:rsidP="00DA1464">
      <w:pPr>
        <w:pStyle w:val="p1"/>
        <w:spacing w:line="360" w:lineRule="auto"/>
        <w:ind w:left="360"/>
        <w:jc w:val="both"/>
        <w:rPr>
          <w:rFonts w:ascii="Arial" w:hAnsi="Arial" w:cs="Arial"/>
        </w:rPr>
      </w:pPr>
    </w:p>
    <w:p w14:paraId="1C1CD00C" w14:textId="4D0B307C" w:rsidR="00B575E2" w:rsidRPr="00DA1464" w:rsidRDefault="0068398E" w:rsidP="00DA1464">
      <w:pPr>
        <w:rPr>
          <w:rFonts w:ascii="Arial" w:hAnsi="Arial" w:cs="Arial"/>
        </w:rPr>
      </w:pPr>
      <w:r w:rsidRPr="00DA1464">
        <w:rPr>
          <w:rFonts w:ascii="Arial" w:hAnsi="Arial" w:cs="Arial"/>
          <w:noProof/>
        </w:rPr>
        <w:lastRenderedPageBreak/>
        <w:drawing>
          <wp:anchor distT="0" distB="0" distL="114300" distR="114300" simplePos="0" relativeHeight="251660288" behindDoc="0" locked="0" layoutInCell="1" allowOverlap="1" wp14:anchorId="106A2E10" wp14:editId="77D30DAD">
            <wp:simplePos x="0" y="0"/>
            <wp:positionH relativeFrom="column">
              <wp:posOffset>-289560</wp:posOffset>
            </wp:positionH>
            <wp:positionV relativeFrom="paragraph">
              <wp:posOffset>232410</wp:posOffset>
            </wp:positionV>
            <wp:extent cx="3102610" cy="5808345"/>
            <wp:effectExtent l="0" t="0" r="0" b="0"/>
            <wp:wrapTopAndBottom/>
            <wp:docPr id="318586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58626" name="Picture 31858626"/>
                    <pic:cNvPicPr/>
                  </pic:nvPicPr>
                  <pic:blipFill rotWithShape="1">
                    <a:blip r:embed="rId10" cstate="print">
                      <a:extLst>
                        <a:ext uri="{28A0092B-C50C-407E-A947-70E740481C1C}">
                          <a14:useLocalDpi xmlns:a14="http://schemas.microsoft.com/office/drawing/2010/main" val="0"/>
                        </a:ext>
                      </a:extLst>
                    </a:blip>
                    <a:srcRect t="9356" b="4265"/>
                    <a:stretch>
                      <a:fillRect/>
                    </a:stretch>
                  </pic:blipFill>
                  <pic:spPr bwMode="auto">
                    <a:xfrm>
                      <a:off x="0" y="0"/>
                      <a:ext cx="3102610" cy="5808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A1464">
        <w:rPr>
          <w:rFonts w:ascii="Arial" w:hAnsi="Arial" w:cs="Arial"/>
          <w:noProof/>
        </w:rPr>
        <w:drawing>
          <wp:anchor distT="0" distB="0" distL="114300" distR="114300" simplePos="0" relativeHeight="251659264" behindDoc="0" locked="0" layoutInCell="1" allowOverlap="1" wp14:anchorId="4DAA1876" wp14:editId="3EBD1B74">
            <wp:simplePos x="0" y="0"/>
            <wp:positionH relativeFrom="column">
              <wp:posOffset>2820670</wp:posOffset>
            </wp:positionH>
            <wp:positionV relativeFrom="paragraph">
              <wp:posOffset>238125</wp:posOffset>
            </wp:positionV>
            <wp:extent cx="3235325" cy="5913120"/>
            <wp:effectExtent l="0" t="0" r="3175" b="5080"/>
            <wp:wrapTopAndBottom/>
            <wp:docPr id="1691082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082335" name="Picture 1691082335"/>
                    <pic:cNvPicPr/>
                  </pic:nvPicPr>
                  <pic:blipFill rotWithShape="1">
                    <a:blip r:embed="rId11" cstate="print">
                      <a:extLst>
                        <a:ext uri="{28A0092B-C50C-407E-A947-70E740481C1C}">
                          <a14:useLocalDpi xmlns:a14="http://schemas.microsoft.com/office/drawing/2010/main" val="0"/>
                        </a:ext>
                      </a:extLst>
                    </a:blip>
                    <a:srcRect t="15673"/>
                    <a:stretch>
                      <a:fillRect/>
                    </a:stretch>
                  </pic:blipFill>
                  <pic:spPr bwMode="auto">
                    <a:xfrm>
                      <a:off x="0" y="0"/>
                      <a:ext cx="3235325" cy="5913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7E3997" w14:textId="74448937" w:rsidR="0021364B" w:rsidRPr="00DA1464" w:rsidRDefault="00292A36" w:rsidP="00DA1464">
      <w:pPr>
        <w:pStyle w:val="Heading2"/>
        <w:numPr>
          <w:ilvl w:val="1"/>
          <w:numId w:val="81"/>
        </w:numPr>
        <w:rPr>
          <w:rFonts w:ascii="Arial" w:hAnsi="Arial" w:cs="Arial"/>
        </w:rPr>
      </w:pPr>
      <w:bookmarkStart w:id="8" w:name="_Toc226533368"/>
      <w:r w:rsidRPr="00DA1464">
        <w:rPr>
          <w:rStyle w:val="Heading2Char"/>
          <w:rFonts w:ascii="Arial" w:hAnsi="Arial" w:cs="Arial"/>
        </w:rPr>
        <w:t>- Inclusion and Exclusion Criteria</w:t>
      </w:r>
      <w:bookmarkEnd w:id="8"/>
    </w:p>
    <w:p w14:paraId="42CDCE61" w14:textId="737B4D17" w:rsidR="001B42B1" w:rsidRPr="00DA1464" w:rsidRDefault="001B42B1" w:rsidP="00DA1464">
      <w:pPr>
        <w:pStyle w:val="p1"/>
        <w:spacing w:line="360" w:lineRule="auto"/>
        <w:ind w:left="360"/>
        <w:jc w:val="both"/>
        <w:rPr>
          <w:rStyle w:val="s1"/>
          <w:rFonts w:ascii="Arial" w:hAnsi="Arial" w:cs="Arial"/>
        </w:rPr>
      </w:pPr>
      <w:r w:rsidRPr="00DA1464">
        <w:rPr>
          <w:rStyle w:val="s1"/>
          <w:rFonts w:ascii="Arial" w:hAnsi="Arial" w:cs="Arial"/>
        </w:rPr>
        <w:t xml:space="preserve">Inclusion criteria were used to retain sources that were directly relevant to the research question. These included </w:t>
      </w:r>
      <w:r w:rsidRPr="00DA1464">
        <w:rPr>
          <w:rStyle w:val="s2"/>
          <w:rFonts w:ascii="Arial" w:hAnsi="Arial" w:cs="Arial"/>
        </w:rPr>
        <w:t>peer-reviewed journal articles</w:t>
      </w:r>
      <w:r w:rsidRPr="00DA1464">
        <w:rPr>
          <w:rStyle w:val="s1"/>
          <w:rFonts w:ascii="Arial" w:hAnsi="Arial" w:cs="Arial"/>
        </w:rPr>
        <w:t xml:space="preserve">, key </w:t>
      </w:r>
      <w:r w:rsidRPr="00DA1464">
        <w:rPr>
          <w:rStyle w:val="s2"/>
          <w:rFonts w:ascii="Arial" w:hAnsi="Arial" w:cs="Arial"/>
        </w:rPr>
        <w:t>government and statutory publications</w:t>
      </w:r>
      <w:r w:rsidRPr="00DA1464">
        <w:rPr>
          <w:rStyle w:val="s1"/>
          <w:rFonts w:ascii="Arial" w:hAnsi="Arial" w:cs="Arial"/>
        </w:rPr>
        <w:t xml:space="preserve">, and </w:t>
      </w:r>
      <w:r w:rsidRPr="00DA1464">
        <w:rPr>
          <w:rStyle w:val="s2"/>
          <w:rFonts w:ascii="Arial" w:hAnsi="Arial" w:cs="Arial"/>
        </w:rPr>
        <w:t>inspection or policy documents</w:t>
      </w:r>
      <w:r w:rsidRPr="00DA1464">
        <w:rPr>
          <w:rStyle w:val="s1"/>
          <w:rFonts w:ascii="Arial" w:hAnsi="Arial" w:cs="Arial"/>
        </w:rPr>
        <w:t xml:space="preserve"> focused on care leavers, mental health,</w:t>
      </w:r>
      <w:r w:rsidR="00B137CD" w:rsidRPr="00DA1464">
        <w:rPr>
          <w:rStyle w:val="s1"/>
          <w:rFonts w:ascii="Arial" w:hAnsi="Arial" w:cs="Arial"/>
        </w:rPr>
        <w:t xml:space="preserve"> </w:t>
      </w:r>
      <w:r w:rsidRPr="00DA1464">
        <w:rPr>
          <w:rStyle w:val="s1"/>
          <w:rFonts w:ascii="Arial" w:hAnsi="Arial" w:cs="Arial"/>
        </w:rPr>
        <w:t xml:space="preserve">social services, inequality, and the </w:t>
      </w:r>
      <w:r w:rsidRPr="00DA1464">
        <w:rPr>
          <w:rStyle w:val="s2"/>
          <w:rFonts w:ascii="Arial" w:hAnsi="Arial" w:cs="Arial"/>
        </w:rPr>
        <w:t>UK or Northern England</w:t>
      </w:r>
      <w:r w:rsidRPr="00DA1464">
        <w:rPr>
          <w:rStyle w:val="s1"/>
          <w:rFonts w:ascii="Arial" w:hAnsi="Arial" w:cs="Arial"/>
        </w:rPr>
        <w:t xml:space="preserve"> context. Priority was given to material published within the last </w:t>
      </w:r>
      <w:r w:rsidRPr="00DA1464">
        <w:rPr>
          <w:rStyle w:val="s2"/>
          <w:rFonts w:ascii="Arial" w:hAnsi="Arial" w:cs="Arial"/>
        </w:rPr>
        <w:t>10 years</w:t>
      </w:r>
      <w:r w:rsidRPr="00DA1464">
        <w:rPr>
          <w:rStyle w:val="s1"/>
          <w:rFonts w:ascii="Arial" w:hAnsi="Arial" w:cs="Arial"/>
        </w:rPr>
        <w:t xml:space="preserve">, although older legislative and historical sources were included </w:t>
      </w:r>
      <w:proofErr w:type="gramStart"/>
      <w:r w:rsidRPr="00DA1464">
        <w:rPr>
          <w:rStyle w:val="s1"/>
          <w:rFonts w:ascii="Arial" w:hAnsi="Arial" w:cs="Arial"/>
        </w:rPr>
        <w:t>where</w:t>
      </w:r>
      <w:proofErr w:type="gramEnd"/>
      <w:r w:rsidRPr="00DA1464">
        <w:rPr>
          <w:rStyle w:val="s1"/>
          <w:rFonts w:ascii="Arial" w:hAnsi="Arial" w:cs="Arial"/>
        </w:rPr>
        <w:t xml:space="preserve"> foundational. </w:t>
      </w:r>
    </w:p>
    <w:p w14:paraId="6F9D0773" w14:textId="15E6656D" w:rsidR="001B42B1" w:rsidRPr="00DA1464" w:rsidRDefault="001B42B1" w:rsidP="00DA1464">
      <w:pPr>
        <w:pStyle w:val="p1"/>
        <w:spacing w:line="360" w:lineRule="auto"/>
        <w:ind w:left="360"/>
        <w:jc w:val="both"/>
        <w:rPr>
          <w:rFonts w:ascii="Arial" w:hAnsi="Arial" w:cs="Arial"/>
        </w:rPr>
      </w:pPr>
      <w:r w:rsidRPr="00DA1464">
        <w:rPr>
          <w:rStyle w:val="s1"/>
          <w:rFonts w:ascii="Arial" w:hAnsi="Arial" w:cs="Arial"/>
        </w:rPr>
        <w:t xml:space="preserve">Exclusion criteria removed </w:t>
      </w:r>
      <w:r w:rsidRPr="00DA1464">
        <w:rPr>
          <w:rStyle w:val="s2"/>
          <w:rFonts w:ascii="Arial" w:hAnsi="Arial" w:cs="Arial"/>
        </w:rPr>
        <w:t>blogs, opinion pieces, non-academic websites, non-English sources</w:t>
      </w:r>
      <w:r w:rsidRPr="00DA1464">
        <w:rPr>
          <w:rStyle w:val="s1"/>
          <w:rFonts w:ascii="Arial" w:hAnsi="Arial" w:cs="Arial"/>
        </w:rPr>
        <w:t xml:space="preserve">, and studies that were outdated or unrelated to the target </w:t>
      </w:r>
      <w:r w:rsidRPr="00DA1464">
        <w:rPr>
          <w:rStyle w:val="s1"/>
          <w:rFonts w:ascii="Arial" w:hAnsi="Arial" w:cs="Arial"/>
        </w:rPr>
        <w:lastRenderedPageBreak/>
        <w:t>population. These criteria helped maintain both relevance and academic quality by ensuring that the evidence base remained focused, credible and manageable.</w:t>
      </w:r>
    </w:p>
    <w:p w14:paraId="6E546D79" w14:textId="542A2367" w:rsidR="00B575E2" w:rsidRPr="00DA1464" w:rsidRDefault="00B575E2" w:rsidP="00DA1464">
      <w:pPr>
        <w:ind w:left="720"/>
        <w:rPr>
          <w:rFonts w:ascii="Arial" w:hAnsi="Arial" w:cs="Arial"/>
        </w:rPr>
      </w:pPr>
      <w:r w:rsidRPr="00DA1464">
        <w:rPr>
          <w:rFonts w:ascii="Arial" w:hAnsi="Arial" w:cs="Arial"/>
        </w:rPr>
        <w:t>.</w:t>
      </w:r>
    </w:p>
    <w:p w14:paraId="79EFA533" w14:textId="77777777" w:rsidR="00B575E2" w:rsidRPr="00DA1464" w:rsidRDefault="00B575E2" w:rsidP="00DA1464">
      <w:pPr>
        <w:rPr>
          <w:rFonts w:ascii="Arial" w:hAnsi="Arial" w:cs="Arial"/>
        </w:rPr>
      </w:pPr>
    </w:p>
    <w:p w14:paraId="01A5598C" w14:textId="4B43B3C3" w:rsidR="0021364B" w:rsidRPr="00DA1464" w:rsidRDefault="00292A36" w:rsidP="00DA1464">
      <w:pPr>
        <w:pStyle w:val="Heading2"/>
        <w:numPr>
          <w:ilvl w:val="1"/>
          <w:numId w:val="81"/>
        </w:numPr>
        <w:rPr>
          <w:rFonts w:ascii="Arial" w:hAnsi="Arial" w:cs="Arial"/>
        </w:rPr>
      </w:pPr>
      <w:bookmarkStart w:id="9" w:name="_Toc226533369"/>
      <w:r w:rsidRPr="00DA1464">
        <w:rPr>
          <w:rFonts w:ascii="Arial" w:hAnsi="Arial" w:cs="Arial"/>
        </w:rPr>
        <w:t>– Analysing Research</w:t>
      </w:r>
      <w:bookmarkEnd w:id="9"/>
    </w:p>
    <w:p w14:paraId="2527B73C" w14:textId="77777777" w:rsidR="00B01396" w:rsidRPr="00DA1464" w:rsidRDefault="00B01396" w:rsidP="00DA1464">
      <w:pPr>
        <w:rPr>
          <w:rFonts w:ascii="Arial" w:hAnsi="Arial" w:cs="Arial"/>
        </w:rPr>
      </w:pPr>
    </w:p>
    <w:p w14:paraId="57448764" w14:textId="77777777" w:rsidR="00E42A12" w:rsidRPr="00DA1464" w:rsidRDefault="00E42A12" w:rsidP="00DA1464">
      <w:pPr>
        <w:pStyle w:val="p1"/>
        <w:spacing w:line="360" w:lineRule="auto"/>
        <w:jc w:val="both"/>
        <w:rPr>
          <w:rFonts w:ascii="Arial" w:hAnsi="Arial" w:cs="Arial"/>
        </w:rPr>
      </w:pPr>
      <w:r w:rsidRPr="00DA1464">
        <w:rPr>
          <w:rStyle w:val="s1"/>
          <w:rFonts w:ascii="Arial" w:hAnsi="Arial" w:cs="Arial"/>
        </w:rPr>
        <w:t xml:space="preserve">The selected literature was analysed using a </w:t>
      </w:r>
      <w:r w:rsidRPr="00DA1464">
        <w:rPr>
          <w:rStyle w:val="s2"/>
          <w:rFonts w:ascii="Arial" w:hAnsi="Arial" w:cs="Arial"/>
        </w:rPr>
        <w:t>thematic coding approach</w:t>
      </w:r>
      <w:r w:rsidRPr="00DA1464">
        <w:rPr>
          <w:rStyle w:val="s1"/>
          <w:rFonts w:ascii="Arial" w:hAnsi="Arial" w:cs="Arial"/>
        </w:rPr>
        <w:t xml:space="preserve">, informed by Braun and Clarke’s framework for thematic analysis (Braun and Clarke, 2012). Each source was read in detail and examined for recurring ideas, patterns, keywords and points of tension relevant to the research question. Initial codes were then created from repeated issues within the literature, such as </w:t>
      </w:r>
      <w:r w:rsidRPr="00DA1464">
        <w:rPr>
          <w:rStyle w:val="s2"/>
          <w:rFonts w:ascii="Arial" w:hAnsi="Arial" w:cs="Arial"/>
        </w:rPr>
        <w:t>transition instability</w:t>
      </w:r>
      <w:r w:rsidRPr="00DA1464">
        <w:rPr>
          <w:rStyle w:val="s1"/>
          <w:rFonts w:ascii="Arial" w:hAnsi="Arial" w:cs="Arial"/>
        </w:rPr>
        <w:t xml:space="preserve">, </w:t>
      </w:r>
      <w:r w:rsidRPr="00DA1464">
        <w:rPr>
          <w:rStyle w:val="s2"/>
          <w:rFonts w:ascii="Arial" w:hAnsi="Arial" w:cs="Arial"/>
        </w:rPr>
        <w:t>mental health need</w:t>
      </w:r>
      <w:r w:rsidRPr="00DA1464">
        <w:rPr>
          <w:rStyle w:val="s1"/>
          <w:rFonts w:ascii="Arial" w:hAnsi="Arial" w:cs="Arial"/>
        </w:rPr>
        <w:t xml:space="preserve">, </w:t>
      </w:r>
      <w:r w:rsidRPr="00DA1464">
        <w:rPr>
          <w:rStyle w:val="s2"/>
          <w:rFonts w:ascii="Arial" w:hAnsi="Arial" w:cs="Arial"/>
        </w:rPr>
        <w:t>service fragmentation</w:t>
      </w:r>
      <w:r w:rsidRPr="00DA1464">
        <w:rPr>
          <w:rStyle w:val="s1"/>
          <w:rFonts w:ascii="Arial" w:hAnsi="Arial" w:cs="Arial"/>
        </w:rPr>
        <w:t xml:space="preserve">, </w:t>
      </w:r>
      <w:r w:rsidRPr="00DA1464">
        <w:rPr>
          <w:rStyle w:val="s2"/>
          <w:rFonts w:ascii="Arial" w:hAnsi="Arial" w:cs="Arial"/>
        </w:rPr>
        <w:t>regional inequality</w:t>
      </w:r>
      <w:r w:rsidRPr="00DA1464">
        <w:rPr>
          <w:rStyle w:val="s1"/>
          <w:rFonts w:ascii="Arial" w:hAnsi="Arial" w:cs="Arial"/>
        </w:rPr>
        <w:t xml:space="preserve">, and </w:t>
      </w:r>
      <w:r w:rsidRPr="00DA1464">
        <w:rPr>
          <w:rStyle w:val="s2"/>
          <w:rFonts w:ascii="Arial" w:hAnsi="Arial" w:cs="Arial"/>
        </w:rPr>
        <w:t>continuity of support</w:t>
      </w:r>
      <w:r w:rsidRPr="00DA1464">
        <w:rPr>
          <w:rStyle w:val="s1"/>
          <w:rFonts w:ascii="Arial" w:hAnsi="Arial" w:cs="Arial"/>
        </w:rPr>
        <w:t>.</w:t>
      </w:r>
    </w:p>
    <w:p w14:paraId="7B0AF7B8" w14:textId="77777777" w:rsidR="00E42A12" w:rsidRPr="00DA1464" w:rsidRDefault="00E42A12" w:rsidP="00DA1464">
      <w:pPr>
        <w:pStyle w:val="p2"/>
        <w:spacing w:line="360" w:lineRule="auto"/>
        <w:jc w:val="both"/>
        <w:rPr>
          <w:rFonts w:ascii="Arial" w:hAnsi="Arial" w:cs="Arial"/>
        </w:rPr>
      </w:pPr>
    </w:p>
    <w:p w14:paraId="6ECE395D" w14:textId="77777777" w:rsidR="00E42A12" w:rsidRPr="00DA1464" w:rsidRDefault="00E42A12" w:rsidP="00DA1464">
      <w:pPr>
        <w:pStyle w:val="p1"/>
        <w:spacing w:line="360" w:lineRule="auto"/>
        <w:jc w:val="both"/>
        <w:rPr>
          <w:rFonts w:ascii="Arial" w:hAnsi="Arial" w:cs="Arial"/>
        </w:rPr>
      </w:pPr>
      <w:r w:rsidRPr="00DA1464">
        <w:rPr>
          <w:rStyle w:val="s1"/>
          <w:rFonts w:ascii="Arial" w:hAnsi="Arial" w:cs="Arial"/>
        </w:rPr>
        <w:t>Following initial coding, related codes were compared and grouped into broader analytical themes that reflected the dissertation aim and objectives. This process allowed individual findings from different sources to be organised into more coherent patterns rather than treated as isolated points.</w:t>
      </w:r>
    </w:p>
    <w:p w14:paraId="787B97CC" w14:textId="77777777" w:rsidR="00E42A12" w:rsidRPr="00DA1464" w:rsidRDefault="00E42A12" w:rsidP="00DA1464">
      <w:pPr>
        <w:pStyle w:val="p2"/>
        <w:spacing w:line="360" w:lineRule="auto"/>
        <w:jc w:val="both"/>
        <w:rPr>
          <w:rFonts w:ascii="Arial" w:hAnsi="Arial" w:cs="Arial"/>
        </w:rPr>
      </w:pPr>
    </w:p>
    <w:p w14:paraId="387B666B" w14:textId="77777777" w:rsidR="00E42A12" w:rsidRPr="00DA1464" w:rsidRDefault="00E42A12" w:rsidP="00DA1464">
      <w:pPr>
        <w:pStyle w:val="p1"/>
        <w:spacing w:line="360" w:lineRule="auto"/>
        <w:jc w:val="both"/>
        <w:rPr>
          <w:rFonts w:ascii="Arial" w:hAnsi="Arial" w:cs="Arial"/>
        </w:rPr>
      </w:pPr>
      <w:r w:rsidRPr="00DA1464">
        <w:rPr>
          <w:rStyle w:val="s1"/>
          <w:rFonts w:ascii="Arial" w:hAnsi="Arial" w:cs="Arial"/>
        </w:rPr>
        <w:t>To support organisation, findings were recorded in a structured summary table and grouped using consistent labels. Colour coding and note-based categorisation were used to track similarities, differences and overlaps between studies. This created a clear audit trail from source selection to theme development and informed the findings presented in Chapter 4.</w:t>
      </w:r>
    </w:p>
    <w:p w14:paraId="701C686E" w14:textId="77777777" w:rsidR="00C17A49" w:rsidRPr="00DA1464" w:rsidRDefault="00C17A49" w:rsidP="00DA1464">
      <w:pPr>
        <w:rPr>
          <w:rFonts w:ascii="Arial" w:hAnsi="Arial" w:cs="Arial"/>
        </w:rPr>
      </w:pPr>
    </w:p>
    <w:p w14:paraId="34D844F4" w14:textId="59AC1A30" w:rsidR="00B01396" w:rsidRPr="00DA1464" w:rsidRDefault="00292A36" w:rsidP="00DA1464">
      <w:pPr>
        <w:pStyle w:val="Heading2"/>
        <w:numPr>
          <w:ilvl w:val="1"/>
          <w:numId w:val="81"/>
        </w:numPr>
        <w:rPr>
          <w:rFonts w:ascii="Arial" w:hAnsi="Arial" w:cs="Arial"/>
        </w:rPr>
      </w:pPr>
      <w:bookmarkStart w:id="10" w:name="_Toc226533370"/>
      <w:r w:rsidRPr="00DA1464">
        <w:rPr>
          <w:rFonts w:ascii="Arial" w:hAnsi="Arial" w:cs="Arial"/>
        </w:rPr>
        <w:t>– Ethical Considerations</w:t>
      </w:r>
      <w:bookmarkEnd w:id="10"/>
    </w:p>
    <w:p w14:paraId="10B92156" w14:textId="77777777" w:rsidR="00892562" w:rsidRPr="00DA1464" w:rsidRDefault="00892562" w:rsidP="00DA1464">
      <w:pPr>
        <w:pStyle w:val="p1"/>
        <w:spacing w:line="360" w:lineRule="auto"/>
        <w:ind w:left="360"/>
        <w:jc w:val="both"/>
        <w:rPr>
          <w:rFonts w:ascii="Arial" w:hAnsi="Arial" w:cs="Arial"/>
        </w:rPr>
      </w:pPr>
      <w:r w:rsidRPr="00DA1464">
        <w:rPr>
          <w:rStyle w:val="s1"/>
          <w:rFonts w:ascii="Arial" w:hAnsi="Arial" w:cs="Arial"/>
        </w:rPr>
        <w:t xml:space="preserve">This dissertation was based entirely on </w:t>
      </w:r>
      <w:r w:rsidRPr="00DA1464">
        <w:rPr>
          <w:rStyle w:val="s2"/>
          <w:rFonts w:ascii="Arial" w:hAnsi="Arial" w:cs="Arial"/>
        </w:rPr>
        <w:t>secondary research</w:t>
      </w:r>
      <w:r w:rsidRPr="00DA1464">
        <w:rPr>
          <w:rStyle w:val="s1"/>
          <w:rFonts w:ascii="Arial" w:hAnsi="Arial" w:cs="Arial"/>
        </w:rPr>
        <w:t xml:space="preserve">, so no new data were </w:t>
      </w:r>
      <w:proofErr w:type="gramStart"/>
      <w:r w:rsidRPr="00DA1464">
        <w:rPr>
          <w:rStyle w:val="s1"/>
          <w:rFonts w:ascii="Arial" w:hAnsi="Arial" w:cs="Arial"/>
        </w:rPr>
        <w:t>collected</w:t>
      </w:r>
      <w:proofErr w:type="gramEnd"/>
      <w:r w:rsidRPr="00DA1464">
        <w:rPr>
          <w:rStyle w:val="s1"/>
          <w:rFonts w:ascii="Arial" w:hAnsi="Arial" w:cs="Arial"/>
        </w:rPr>
        <w:t xml:space="preserve"> and no human participants were involved. Ethical responsibility therefore </w:t>
      </w:r>
      <w:r w:rsidRPr="00DA1464">
        <w:rPr>
          <w:rStyle w:val="s1"/>
          <w:rFonts w:ascii="Arial" w:hAnsi="Arial" w:cs="Arial"/>
        </w:rPr>
        <w:lastRenderedPageBreak/>
        <w:t xml:space="preserve">centred on the fair, accurate and transparent use of existing sources. Academic integrity was maintained through consistent </w:t>
      </w:r>
      <w:r w:rsidRPr="00DA1464">
        <w:rPr>
          <w:rStyle w:val="s2"/>
          <w:rFonts w:ascii="Arial" w:hAnsi="Arial" w:cs="Arial"/>
        </w:rPr>
        <w:t>Harvard referencing</w:t>
      </w:r>
      <w:r w:rsidRPr="00DA1464">
        <w:rPr>
          <w:rStyle w:val="s1"/>
          <w:rFonts w:ascii="Arial" w:hAnsi="Arial" w:cs="Arial"/>
        </w:rPr>
        <w:t xml:space="preserve">, careful paraphrasing, and accurate representation of authors’ findings. As the study concerns a vulnerable population, care was taken to avoid bias, misinterpretation or selective reporting. Peer-reviewed and official sources were prioritised because they provide clearer authorship, stronger editorial oversight and greater accountability. In the peer-reviewed studies included, the authors declared </w:t>
      </w:r>
      <w:r w:rsidRPr="00DA1464">
        <w:rPr>
          <w:rStyle w:val="s2"/>
          <w:rFonts w:ascii="Arial" w:hAnsi="Arial" w:cs="Arial"/>
        </w:rPr>
        <w:t>no conflicts of interest</w:t>
      </w:r>
      <w:r w:rsidRPr="00DA1464">
        <w:rPr>
          <w:rStyle w:val="s1"/>
          <w:rFonts w:ascii="Arial" w:hAnsi="Arial" w:cs="Arial"/>
        </w:rPr>
        <w:t>. No personal or financial conflict of interest influenced the selection, interpretation or presentation of the literature in this dissertation.</w:t>
      </w:r>
    </w:p>
    <w:p w14:paraId="5569F915" w14:textId="77777777" w:rsidR="001C3AF6" w:rsidRPr="00DA1464" w:rsidRDefault="001C3AF6" w:rsidP="00DA1464">
      <w:pPr>
        <w:rPr>
          <w:rFonts w:ascii="Arial" w:hAnsi="Arial" w:cs="Arial"/>
        </w:rPr>
      </w:pPr>
    </w:p>
    <w:p w14:paraId="7F51675F" w14:textId="08700BB4" w:rsidR="00292A36" w:rsidRPr="00DA1464" w:rsidRDefault="00E325CF" w:rsidP="00DA1464">
      <w:pPr>
        <w:pStyle w:val="Heading2"/>
        <w:rPr>
          <w:rFonts w:ascii="Arial" w:hAnsi="Arial" w:cs="Arial"/>
        </w:rPr>
      </w:pPr>
      <w:bookmarkStart w:id="11" w:name="_Toc226533371"/>
      <w:r w:rsidRPr="00DA1464">
        <w:rPr>
          <w:rFonts w:ascii="Arial" w:hAnsi="Arial" w:cs="Arial"/>
        </w:rPr>
        <w:t xml:space="preserve">3.8 </w:t>
      </w:r>
      <w:r w:rsidR="00292A36" w:rsidRPr="00DA1464">
        <w:rPr>
          <w:rFonts w:ascii="Arial" w:hAnsi="Arial" w:cs="Arial"/>
        </w:rPr>
        <w:t>– Chapter Conclusion (</w:t>
      </w:r>
      <w:r w:rsidR="00F67C87" w:rsidRPr="00DA1464">
        <w:rPr>
          <w:rFonts w:ascii="Arial" w:hAnsi="Arial" w:cs="Arial"/>
        </w:rPr>
        <w:t>1</w:t>
      </w:r>
      <w:r w:rsidR="00292A36" w:rsidRPr="00DA1464">
        <w:rPr>
          <w:rFonts w:ascii="Arial" w:hAnsi="Arial" w:cs="Arial"/>
        </w:rPr>
        <w:t>00 words approx.)</w:t>
      </w:r>
      <w:bookmarkEnd w:id="11"/>
    </w:p>
    <w:p w14:paraId="7F8BD393" w14:textId="77777777" w:rsidR="005446BF" w:rsidRPr="00DA1464" w:rsidRDefault="005446BF" w:rsidP="00DA1464">
      <w:pPr>
        <w:pStyle w:val="ListParagraph"/>
        <w:spacing w:line="360" w:lineRule="auto"/>
        <w:jc w:val="both"/>
        <w:rPr>
          <w:rFonts w:ascii="Arial" w:hAnsi="Arial" w:cs="Arial"/>
        </w:rPr>
      </w:pPr>
    </w:p>
    <w:p w14:paraId="0DB374F0" w14:textId="77777777" w:rsidR="007C63BE" w:rsidRPr="00DA1464" w:rsidRDefault="007C63BE" w:rsidP="00DA1464">
      <w:pPr>
        <w:pStyle w:val="p1"/>
        <w:spacing w:line="360" w:lineRule="auto"/>
        <w:jc w:val="both"/>
        <w:rPr>
          <w:rFonts w:ascii="Arial" w:hAnsi="Arial" w:cs="Arial"/>
        </w:rPr>
      </w:pPr>
      <w:r w:rsidRPr="00DA1464">
        <w:rPr>
          <w:rStyle w:val="s1"/>
          <w:rFonts w:ascii="Arial" w:hAnsi="Arial" w:cs="Arial"/>
        </w:rPr>
        <w:t xml:space="preserve">This chapter has outlined the methodological process used to conduct the dissertation through </w:t>
      </w:r>
      <w:r w:rsidRPr="00DA1464">
        <w:rPr>
          <w:rStyle w:val="s2"/>
          <w:rFonts w:ascii="Arial" w:hAnsi="Arial" w:cs="Arial"/>
        </w:rPr>
        <w:t>secondary research</w:t>
      </w:r>
      <w:r w:rsidRPr="00DA1464">
        <w:rPr>
          <w:rStyle w:val="s1"/>
          <w:rFonts w:ascii="Arial" w:hAnsi="Arial" w:cs="Arial"/>
        </w:rPr>
        <w:t>. It has explained how literature was identified through a structured search strategy, screened using clear inclusion and exclusion criteria, validated through skimming and the CRAAP test, and analysed using thematic coding. Together, these stages helped ensure that the evidence base was relevant, credible and systematically organised. The thematic analysis was particularly important in identifying recurring patterns across the literature. The following chapter presents the findings of this analysis, organised into key themes and discussed in relation to the research question and objectives.</w:t>
      </w:r>
    </w:p>
    <w:p w14:paraId="73898CB8" w14:textId="77777777" w:rsidR="001F19A6" w:rsidRDefault="001F19A6" w:rsidP="00DA1464">
      <w:pPr>
        <w:rPr>
          <w:rFonts w:ascii="Arial" w:hAnsi="Arial" w:cs="Arial"/>
        </w:rPr>
      </w:pPr>
    </w:p>
    <w:p w14:paraId="43FFC956" w14:textId="77777777" w:rsidR="0084464F" w:rsidRDefault="0084464F" w:rsidP="00DA1464">
      <w:pPr>
        <w:rPr>
          <w:rFonts w:ascii="Arial" w:hAnsi="Arial" w:cs="Arial"/>
        </w:rPr>
      </w:pPr>
    </w:p>
    <w:p w14:paraId="7A327475" w14:textId="77777777" w:rsidR="0084464F" w:rsidRDefault="0084464F" w:rsidP="00DA1464">
      <w:pPr>
        <w:rPr>
          <w:rFonts w:ascii="Arial" w:hAnsi="Arial" w:cs="Arial"/>
        </w:rPr>
      </w:pPr>
    </w:p>
    <w:p w14:paraId="61C59242" w14:textId="77777777" w:rsidR="0084464F" w:rsidRDefault="0084464F" w:rsidP="00DA1464">
      <w:pPr>
        <w:rPr>
          <w:rFonts w:ascii="Arial" w:hAnsi="Arial" w:cs="Arial"/>
        </w:rPr>
      </w:pPr>
    </w:p>
    <w:p w14:paraId="3B4DB65E" w14:textId="77777777" w:rsidR="0084464F" w:rsidRDefault="0084464F" w:rsidP="00DA1464">
      <w:pPr>
        <w:rPr>
          <w:rFonts w:ascii="Arial" w:hAnsi="Arial" w:cs="Arial"/>
        </w:rPr>
      </w:pPr>
    </w:p>
    <w:p w14:paraId="05917000" w14:textId="77777777" w:rsidR="0084464F" w:rsidRDefault="0084464F" w:rsidP="00DA1464">
      <w:pPr>
        <w:rPr>
          <w:rFonts w:ascii="Arial" w:hAnsi="Arial" w:cs="Arial"/>
        </w:rPr>
      </w:pPr>
    </w:p>
    <w:p w14:paraId="1AAE0B30" w14:textId="77777777" w:rsidR="0084464F" w:rsidRDefault="0084464F" w:rsidP="00DA1464">
      <w:pPr>
        <w:rPr>
          <w:rFonts w:ascii="Arial" w:hAnsi="Arial" w:cs="Arial"/>
        </w:rPr>
      </w:pPr>
    </w:p>
    <w:p w14:paraId="7C4C24A3" w14:textId="77777777" w:rsidR="0084464F" w:rsidRPr="00DA1464" w:rsidRDefault="0084464F" w:rsidP="00DA1464">
      <w:pPr>
        <w:rPr>
          <w:rFonts w:ascii="Arial" w:hAnsi="Arial" w:cs="Arial"/>
        </w:rPr>
      </w:pPr>
    </w:p>
    <w:p w14:paraId="3E27A013" w14:textId="30AC6E00" w:rsidR="001C3AF6" w:rsidRPr="00DA1464" w:rsidRDefault="001C3AF6" w:rsidP="00DA1464">
      <w:pPr>
        <w:pStyle w:val="Heading1"/>
        <w:spacing w:line="360" w:lineRule="auto"/>
        <w:ind w:left="0"/>
        <w:jc w:val="both"/>
        <w:rPr>
          <w:rFonts w:cs="Arial"/>
        </w:rPr>
      </w:pPr>
      <w:bookmarkStart w:id="12" w:name="_Toc226533372"/>
      <w:r w:rsidRPr="00DA1464">
        <w:rPr>
          <w:rFonts w:cs="Arial"/>
        </w:rPr>
        <w:lastRenderedPageBreak/>
        <w:t>C</w:t>
      </w:r>
      <w:r w:rsidR="00636D9A" w:rsidRPr="00DA1464">
        <w:rPr>
          <w:rFonts w:cs="Arial"/>
        </w:rPr>
        <w:t>HAPTER</w:t>
      </w:r>
      <w:r w:rsidRPr="00DA1464">
        <w:rPr>
          <w:rFonts w:cs="Arial"/>
        </w:rPr>
        <w:t xml:space="preserve"> 4 – Findings and Discussion</w:t>
      </w:r>
      <w:bookmarkEnd w:id="12"/>
    </w:p>
    <w:p w14:paraId="1134D897" w14:textId="77777777" w:rsidR="001C3AF6" w:rsidRPr="00DA1464" w:rsidRDefault="001C3AF6" w:rsidP="00DA1464">
      <w:pPr>
        <w:rPr>
          <w:rFonts w:ascii="Arial" w:hAnsi="Arial" w:cs="Arial"/>
        </w:rPr>
      </w:pPr>
    </w:p>
    <w:p w14:paraId="0CB43921" w14:textId="1FFDF9E1" w:rsidR="001C3AF6" w:rsidRPr="00DA1464" w:rsidRDefault="001C3AF6" w:rsidP="00DA1464">
      <w:pPr>
        <w:pStyle w:val="Heading2"/>
        <w:rPr>
          <w:rFonts w:ascii="Arial" w:hAnsi="Arial" w:cs="Arial"/>
        </w:rPr>
      </w:pPr>
      <w:bookmarkStart w:id="13" w:name="_Toc226533373"/>
      <w:r w:rsidRPr="00DA1464">
        <w:rPr>
          <w:rFonts w:ascii="Arial" w:hAnsi="Arial" w:cs="Arial"/>
        </w:rPr>
        <w:t>4.1 –</w:t>
      </w:r>
      <w:r w:rsidR="00636D9A" w:rsidRPr="00DA1464">
        <w:rPr>
          <w:rFonts w:ascii="Arial" w:hAnsi="Arial" w:cs="Arial"/>
        </w:rPr>
        <w:t xml:space="preserve"> </w:t>
      </w:r>
      <w:r w:rsidRPr="00DA1464">
        <w:rPr>
          <w:rFonts w:ascii="Arial" w:hAnsi="Arial" w:cs="Arial"/>
        </w:rPr>
        <w:t>Introduction</w:t>
      </w:r>
      <w:bookmarkEnd w:id="13"/>
    </w:p>
    <w:p w14:paraId="367F223F" w14:textId="77777777" w:rsidR="00636D9A" w:rsidRPr="00DA1464" w:rsidRDefault="00636D9A" w:rsidP="00DA1464">
      <w:pPr>
        <w:pStyle w:val="Heading1"/>
        <w:spacing w:line="360" w:lineRule="auto"/>
        <w:ind w:left="0"/>
        <w:jc w:val="both"/>
        <w:rPr>
          <w:rFonts w:cs="Arial"/>
        </w:rPr>
      </w:pPr>
    </w:p>
    <w:p w14:paraId="0CF6B9FB" w14:textId="0C018571" w:rsidR="00B66AF9" w:rsidRPr="00DA1464" w:rsidRDefault="00B66AF9" w:rsidP="00DA1464">
      <w:pPr>
        <w:pStyle w:val="p1"/>
        <w:spacing w:line="360" w:lineRule="auto"/>
        <w:jc w:val="both"/>
        <w:rPr>
          <w:rFonts w:ascii="Arial" w:hAnsi="Arial" w:cs="Arial"/>
        </w:rPr>
      </w:pPr>
      <w:r w:rsidRPr="00DA1464">
        <w:rPr>
          <w:rStyle w:val="s1"/>
          <w:rFonts w:ascii="Arial" w:hAnsi="Arial" w:cs="Arial"/>
        </w:rPr>
        <w:t xml:space="preserve">This chapter presents the findings of the secondary research and critically discusses what the literature reveals about mental health inequalities among care leavers in Northern England. Drawing on the thematic coding process outlined in Chapter 3, the chapter is organised into three themes, each selected because of its direct relevance to the research question and objectives. Each section examines patterns, tensions and gaps within the literature, using academic evidence, policy and statistical material to evaluate how structural inequality, service provision and transitional support shape care leavers’ mental health outcomes. The chapter therefore moves beyond summary to develop a critical </w:t>
      </w:r>
      <w:r w:rsidR="008E4CD0" w:rsidRPr="00DA1464">
        <w:rPr>
          <w:rStyle w:val="s1"/>
          <w:rFonts w:ascii="Arial" w:hAnsi="Arial" w:cs="Arial"/>
        </w:rPr>
        <w:t xml:space="preserve">thematic analysis </w:t>
      </w:r>
      <w:r w:rsidRPr="00DA1464">
        <w:rPr>
          <w:rStyle w:val="s1"/>
          <w:rFonts w:ascii="Arial" w:hAnsi="Arial" w:cs="Arial"/>
        </w:rPr>
        <w:t>of what the evidence shows and why it matters in the Northern England context.</w:t>
      </w:r>
    </w:p>
    <w:p w14:paraId="7B6D738E" w14:textId="77777777" w:rsidR="002865F5" w:rsidRPr="00DA1464" w:rsidRDefault="002865F5" w:rsidP="00DA1464">
      <w:pPr>
        <w:rPr>
          <w:rFonts w:ascii="Arial" w:hAnsi="Arial" w:cs="Arial"/>
        </w:rPr>
      </w:pPr>
    </w:p>
    <w:p w14:paraId="49AC5888" w14:textId="4859A199" w:rsidR="001C3AF6" w:rsidRPr="00DA1464" w:rsidRDefault="001C3AF6" w:rsidP="00DA1464">
      <w:pPr>
        <w:pStyle w:val="Heading2"/>
        <w:rPr>
          <w:rFonts w:ascii="Arial" w:hAnsi="Arial" w:cs="Arial"/>
        </w:rPr>
      </w:pPr>
      <w:bookmarkStart w:id="14" w:name="_Toc226533374"/>
      <w:r w:rsidRPr="00DA1464">
        <w:rPr>
          <w:rFonts w:ascii="Arial" w:hAnsi="Arial" w:cs="Arial"/>
        </w:rPr>
        <w:t>4.2 – Thematic Analysis</w:t>
      </w:r>
      <w:bookmarkEnd w:id="14"/>
      <w:r w:rsidRPr="00DA1464">
        <w:rPr>
          <w:rFonts w:ascii="Arial" w:hAnsi="Arial" w:cs="Arial"/>
        </w:rPr>
        <w:t xml:space="preserve"> </w:t>
      </w:r>
    </w:p>
    <w:p w14:paraId="2739E815" w14:textId="77777777" w:rsidR="00636D9A" w:rsidRPr="00DA1464" w:rsidRDefault="00636D9A" w:rsidP="00DA1464">
      <w:pPr>
        <w:pStyle w:val="Heading1"/>
        <w:spacing w:line="360" w:lineRule="auto"/>
        <w:jc w:val="both"/>
        <w:rPr>
          <w:rFonts w:cs="Arial"/>
        </w:rPr>
      </w:pPr>
    </w:p>
    <w:p w14:paraId="08FF0722" w14:textId="77777777" w:rsidR="006E2193" w:rsidRPr="00DA1464" w:rsidRDefault="006E2193" w:rsidP="00DA1464">
      <w:pPr>
        <w:pStyle w:val="p1"/>
        <w:spacing w:line="360" w:lineRule="auto"/>
        <w:jc w:val="both"/>
        <w:rPr>
          <w:rFonts w:ascii="Arial" w:hAnsi="Arial" w:cs="Arial"/>
        </w:rPr>
      </w:pPr>
      <w:r w:rsidRPr="00DA1464">
        <w:rPr>
          <w:rStyle w:val="s1"/>
          <w:rFonts w:ascii="Arial" w:hAnsi="Arial" w:cs="Arial"/>
        </w:rPr>
        <w:t>Thematic analysis is a method used to identify, organise and interpret patterns of meaning across a dataset (Braun and Clarke, 2012). In the context of secondary research, it enables the researcher to move beyond description by grouping repeated ideas across the literature into themes that address the research question. This approach was appropriate for the present dissertation because it allowed evidence from academic studies, policy documents, inspection reports and statutory guidance to be analysed systematically in relation to mental health inequalities among care leavers in Northern England.</w:t>
      </w:r>
    </w:p>
    <w:p w14:paraId="3AC165F7" w14:textId="77777777" w:rsidR="006E2193" w:rsidRPr="00DA1464" w:rsidRDefault="006E2193" w:rsidP="00DA1464">
      <w:pPr>
        <w:pStyle w:val="p2"/>
        <w:spacing w:line="360" w:lineRule="auto"/>
        <w:jc w:val="both"/>
        <w:rPr>
          <w:rFonts w:ascii="Arial" w:hAnsi="Arial" w:cs="Arial"/>
        </w:rPr>
      </w:pPr>
    </w:p>
    <w:p w14:paraId="28717A91" w14:textId="3EBAF749" w:rsidR="006E2193" w:rsidRPr="00DA1464" w:rsidRDefault="006E2193" w:rsidP="00DA1464">
      <w:pPr>
        <w:pStyle w:val="p1"/>
        <w:spacing w:line="360" w:lineRule="auto"/>
        <w:jc w:val="both"/>
        <w:rPr>
          <w:rFonts w:ascii="Arial" w:hAnsi="Arial" w:cs="Arial"/>
        </w:rPr>
      </w:pPr>
      <w:r w:rsidRPr="00DA1464">
        <w:rPr>
          <w:rStyle w:val="s1"/>
          <w:rFonts w:ascii="Arial" w:hAnsi="Arial" w:cs="Arial"/>
        </w:rPr>
        <w:t xml:space="preserve">This method was applied by reading the selected sources in detail and coding recurring issues, concepts and tensions relevant to the study aim. These codes were recorded in the coding/results table developed in Chapter 3 and then grouped into </w:t>
      </w:r>
      <w:r w:rsidRPr="00DA1464">
        <w:rPr>
          <w:rStyle w:val="s1"/>
          <w:rFonts w:ascii="Arial" w:hAnsi="Arial" w:cs="Arial"/>
        </w:rPr>
        <w:lastRenderedPageBreak/>
        <w:t>broader thematic categories (see Appendix). This process made it possible to identify patterns across different types of literature while retaining areas of difference and contradiction.</w:t>
      </w:r>
    </w:p>
    <w:p w14:paraId="2477CB3E" w14:textId="77777777" w:rsidR="006E2193" w:rsidRPr="00DA1464" w:rsidRDefault="006E2193" w:rsidP="00DA1464">
      <w:pPr>
        <w:pStyle w:val="p2"/>
        <w:spacing w:line="360" w:lineRule="auto"/>
        <w:jc w:val="both"/>
        <w:rPr>
          <w:rFonts w:ascii="Arial" w:hAnsi="Arial" w:cs="Arial"/>
        </w:rPr>
      </w:pPr>
    </w:p>
    <w:p w14:paraId="22BCD6B4" w14:textId="77777777" w:rsidR="006E2193" w:rsidRPr="00DA1464" w:rsidRDefault="006E2193" w:rsidP="00DA1464">
      <w:pPr>
        <w:pStyle w:val="p1"/>
        <w:spacing w:line="360" w:lineRule="auto"/>
        <w:jc w:val="both"/>
        <w:rPr>
          <w:rFonts w:ascii="Arial" w:hAnsi="Arial" w:cs="Arial"/>
        </w:rPr>
      </w:pPr>
      <w:r w:rsidRPr="00DA1464">
        <w:rPr>
          <w:rStyle w:val="s1"/>
          <w:rFonts w:ascii="Arial" w:hAnsi="Arial" w:cs="Arial"/>
        </w:rPr>
        <w:t xml:space="preserve">Three themes emerged from the analysis: </w:t>
      </w:r>
      <w:r w:rsidRPr="00DA1464">
        <w:rPr>
          <w:rStyle w:val="s2"/>
          <w:rFonts w:ascii="Arial" w:hAnsi="Arial" w:cs="Arial"/>
        </w:rPr>
        <w:t>disproportionate mental health need</w:t>
      </w:r>
      <w:r w:rsidRPr="00DA1464">
        <w:rPr>
          <w:rStyle w:val="s1"/>
          <w:rFonts w:ascii="Arial" w:hAnsi="Arial" w:cs="Arial"/>
        </w:rPr>
        <w:t xml:space="preserve">; </w:t>
      </w:r>
      <w:r w:rsidRPr="00DA1464">
        <w:rPr>
          <w:rStyle w:val="s2"/>
          <w:rFonts w:ascii="Arial" w:hAnsi="Arial" w:cs="Arial"/>
        </w:rPr>
        <w:t>fragmented and uneven service provision</w:t>
      </w:r>
      <w:r w:rsidRPr="00DA1464">
        <w:rPr>
          <w:rStyle w:val="s1"/>
          <w:rFonts w:ascii="Arial" w:hAnsi="Arial" w:cs="Arial"/>
        </w:rPr>
        <w:t xml:space="preserve">; and </w:t>
      </w:r>
      <w:r w:rsidRPr="00DA1464">
        <w:rPr>
          <w:rStyle w:val="s2"/>
          <w:rFonts w:ascii="Arial" w:hAnsi="Arial" w:cs="Arial"/>
        </w:rPr>
        <w:t>continuity and relational support as protective factors</w:t>
      </w:r>
      <w:r w:rsidRPr="00DA1464">
        <w:rPr>
          <w:rStyle w:val="s1"/>
          <w:rFonts w:ascii="Arial" w:hAnsi="Arial" w:cs="Arial"/>
        </w:rPr>
        <w:t>. Together, these themes explain the scale of mental health inequality experienced by care leavers, the limitations of current social service responses, and the forms of support most strongly associated with improved outcomes. Each theme is discussed critically in the following sections.</w:t>
      </w:r>
    </w:p>
    <w:p w14:paraId="3B39D7B4" w14:textId="77777777" w:rsidR="00636D9A" w:rsidRPr="00DA1464" w:rsidRDefault="00636D9A" w:rsidP="00DA1464">
      <w:pPr>
        <w:rPr>
          <w:rFonts w:ascii="Arial" w:hAnsi="Arial" w:cs="Arial"/>
        </w:rPr>
      </w:pPr>
    </w:p>
    <w:p w14:paraId="1E614ABD" w14:textId="219E9DD5" w:rsidR="001C3AF6" w:rsidRPr="00DA1464" w:rsidRDefault="001C3AF6" w:rsidP="00DA1464">
      <w:pPr>
        <w:pStyle w:val="Heading2"/>
        <w:rPr>
          <w:rFonts w:ascii="Arial" w:hAnsi="Arial" w:cs="Arial"/>
        </w:rPr>
      </w:pPr>
      <w:bookmarkStart w:id="15" w:name="_Toc226533375"/>
      <w:r w:rsidRPr="00DA1464">
        <w:rPr>
          <w:rFonts w:ascii="Arial" w:hAnsi="Arial" w:cs="Arial"/>
        </w:rPr>
        <w:t>4.3 – Theme 1</w:t>
      </w:r>
      <w:r w:rsidR="00410830" w:rsidRPr="00DA1464">
        <w:rPr>
          <w:rFonts w:ascii="Arial" w:hAnsi="Arial" w:cs="Arial"/>
        </w:rPr>
        <w:t xml:space="preserve"> –</w:t>
      </w:r>
      <w:r w:rsidRPr="00DA1464">
        <w:rPr>
          <w:rFonts w:ascii="Arial" w:hAnsi="Arial" w:cs="Arial"/>
        </w:rPr>
        <w:t xml:space="preserve"> </w:t>
      </w:r>
      <w:r w:rsidR="00410830" w:rsidRPr="00DA1464">
        <w:rPr>
          <w:rFonts w:ascii="Arial" w:hAnsi="Arial" w:cs="Arial"/>
        </w:rPr>
        <w:t>Disproportionate Mental Health Need</w:t>
      </w:r>
      <w:bookmarkEnd w:id="15"/>
    </w:p>
    <w:p w14:paraId="7F885927" w14:textId="77777777" w:rsidR="00636D9A" w:rsidRPr="00DA1464" w:rsidRDefault="00636D9A" w:rsidP="00DA1464">
      <w:pPr>
        <w:pStyle w:val="Heading1"/>
        <w:spacing w:line="360" w:lineRule="auto"/>
        <w:jc w:val="both"/>
        <w:rPr>
          <w:rFonts w:cs="Arial"/>
          <w:sz w:val="28"/>
          <w:szCs w:val="28"/>
        </w:rPr>
      </w:pPr>
    </w:p>
    <w:p w14:paraId="1E4E8885" w14:textId="77777777" w:rsidR="0083322C" w:rsidRPr="00DA1464" w:rsidRDefault="0083322C" w:rsidP="00DA1464">
      <w:pPr>
        <w:pStyle w:val="p1"/>
        <w:spacing w:line="360" w:lineRule="auto"/>
        <w:jc w:val="both"/>
        <w:rPr>
          <w:rFonts w:ascii="Arial" w:hAnsi="Arial" w:cs="Arial"/>
        </w:rPr>
      </w:pPr>
      <w:r w:rsidRPr="00DA1464">
        <w:rPr>
          <w:rStyle w:val="s1"/>
          <w:rFonts w:ascii="Arial" w:hAnsi="Arial" w:cs="Arial"/>
        </w:rPr>
        <w:t xml:space="preserve">This theme refers to the </w:t>
      </w:r>
      <w:r w:rsidRPr="00DA1464">
        <w:rPr>
          <w:rStyle w:val="s2"/>
          <w:rFonts w:ascii="Arial" w:hAnsi="Arial" w:cs="Arial"/>
        </w:rPr>
        <w:t>greater scale, severity and persistence of mental health difficulties experienced by care leavers compared with their non-care-experienced peers</w:t>
      </w:r>
      <w:r w:rsidRPr="00DA1464">
        <w:rPr>
          <w:rStyle w:val="s1"/>
          <w:rFonts w:ascii="Arial" w:hAnsi="Arial" w:cs="Arial"/>
        </w:rPr>
        <w:t xml:space="preserve"> (Cummings and Shelton, 2024; Parsons and Schoon, 2026). In this dissertation, </w:t>
      </w:r>
      <w:r w:rsidRPr="00DA1464">
        <w:rPr>
          <w:rStyle w:val="s2"/>
          <w:rFonts w:ascii="Arial" w:hAnsi="Arial" w:cs="Arial"/>
        </w:rPr>
        <w:t>mental health inequalities</w:t>
      </w:r>
      <w:r w:rsidRPr="00DA1464">
        <w:rPr>
          <w:rStyle w:val="s1"/>
          <w:rFonts w:ascii="Arial" w:hAnsi="Arial" w:cs="Arial"/>
        </w:rPr>
        <w:t xml:space="preserve"> </w:t>
      </w:r>
      <w:proofErr w:type="gramStart"/>
      <w:r w:rsidRPr="00DA1464">
        <w:rPr>
          <w:rStyle w:val="s1"/>
          <w:rFonts w:ascii="Arial" w:hAnsi="Arial" w:cs="Arial"/>
        </w:rPr>
        <w:t>means</w:t>
      </w:r>
      <w:proofErr w:type="gramEnd"/>
      <w:r w:rsidRPr="00DA1464">
        <w:rPr>
          <w:rStyle w:val="s1"/>
          <w:rFonts w:ascii="Arial" w:hAnsi="Arial" w:cs="Arial"/>
        </w:rPr>
        <w:t xml:space="preserve"> avoidable and unfair differences in emotional wellbeing, psychological distress, access to support and longer-term outcomes between groups and across places (Addison et al., 2019; Centre for Mental Health, 2023). The term </w:t>
      </w:r>
      <w:r w:rsidRPr="00DA1464">
        <w:rPr>
          <w:rStyle w:val="s2"/>
          <w:rFonts w:ascii="Arial" w:hAnsi="Arial" w:cs="Arial"/>
        </w:rPr>
        <w:t>disproportionate</w:t>
      </w:r>
      <w:r w:rsidRPr="00DA1464">
        <w:rPr>
          <w:rStyle w:val="s1"/>
          <w:rFonts w:ascii="Arial" w:hAnsi="Arial" w:cs="Arial"/>
        </w:rPr>
        <w:t xml:space="preserve"> is important because it indicates that care leavers are not simply experiencing the same problems as other young people at a slightly higher rate; rather, they are often encountering more complex mental health difficulties within more adverse social and institutional conditions (Phillips et al., 2023; Sharma, 2025). This theme is directly relevant to the research question because social services cannot be judged as effective unless the level and character of the inequality they are expected to address is first established (Bennett et al., 2022; Phillips et al., 2023).</w:t>
      </w:r>
    </w:p>
    <w:p w14:paraId="45D824C4" w14:textId="77777777" w:rsidR="0083322C" w:rsidRPr="00DA1464" w:rsidRDefault="0083322C" w:rsidP="00DA1464">
      <w:pPr>
        <w:pStyle w:val="p2"/>
        <w:spacing w:line="360" w:lineRule="auto"/>
        <w:jc w:val="both"/>
        <w:rPr>
          <w:rFonts w:ascii="Arial" w:hAnsi="Arial" w:cs="Arial"/>
        </w:rPr>
      </w:pPr>
    </w:p>
    <w:p w14:paraId="100753DD" w14:textId="523DE0E8" w:rsidR="0083322C" w:rsidRPr="00DA1464" w:rsidRDefault="0083322C" w:rsidP="00DA1464">
      <w:pPr>
        <w:pStyle w:val="p1"/>
        <w:spacing w:line="360" w:lineRule="auto"/>
        <w:jc w:val="both"/>
        <w:rPr>
          <w:rFonts w:ascii="Arial" w:hAnsi="Arial" w:cs="Arial"/>
        </w:rPr>
      </w:pPr>
      <w:r w:rsidRPr="00DA1464">
        <w:rPr>
          <w:rStyle w:val="s1"/>
          <w:rFonts w:ascii="Arial" w:hAnsi="Arial" w:cs="Arial"/>
        </w:rPr>
        <w:t xml:space="preserve">Historically, care leaving was framed more often through housing, employment and independence than through emotional wellbeing, despite longstanding evidence that </w:t>
      </w:r>
      <w:r w:rsidRPr="00DA1464">
        <w:rPr>
          <w:rStyle w:val="s1"/>
          <w:rFonts w:ascii="Arial" w:hAnsi="Arial" w:cs="Arial"/>
        </w:rPr>
        <w:lastRenderedPageBreak/>
        <w:t xml:space="preserve">young people were moving into adulthood too early and with insufficient support (Ward, 2021). </w:t>
      </w:r>
      <w:r w:rsidR="00E12E7C" w:rsidRPr="00E12E7C">
        <w:rPr>
          <w:rStyle w:val="s1"/>
          <w:rFonts w:ascii="Arial" w:hAnsi="Arial" w:cs="Arial"/>
        </w:rPr>
        <w:t>This concern remains visible in more recent evidence. Fortune and Smith (20</w:t>
      </w:r>
      <w:r w:rsidR="00433240">
        <w:rPr>
          <w:rStyle w:val="s1"/>
          <w:rFonts w:ascii="Arial" w:hAnsi="Arial" w:cs="Arial"/>
        </w:rPr>
        <w:t>17</w:t>
      </w:r>
      <w:r w:rsidR="00E12E7C" w:rsidRPr="00E12E7C">
        <w:rPr>
          <w:rStyle w:val="s1"/>
          <w:rFonts w:ascii="Arial" w:hAnsi="Arial" w:cs="Arial"/>
        </w:rPr>
        <w:t>) show that young people leaving care continue to describe instability, uncertainty and weak preparation for independence, particularly in relation to housing and the loss of consistent support.</w:t>
      </w:r>
      <w:r w:rsidR="00E12E7C">
        <w:rPr>
          <w:rStyle w:val="s1"/>
          <w:rFonts w:ascii="Arial" w:hAnsi="Arial" w:cs="Arial"/>
        </w:rPr>
        <w:t xml:space="preserve"> </w:t>
      </w:r>
      <w:r w:rsidRPr="00DA1464">
        <w:rPr>
          <w:rStyle w:val="s1"/>
          <w:rFonts w:ascii="Arial" w:hAnsi="Arial" w:cs="Arial"/>
        </w:rPr>
        <w:t xml:space="preserve">The </w:t>
      </w:r>
      <w:r w:rsidRPr="00DA1464">
        <w:rPr>
          <w:rStyle w:val="s2"/>
          <w:rFonts w:ascii="Arial" w:hAnsi="Arial" w:cs="Arial"/>
        </w:rPr>
        <w:t>Children (Leaving Care) Act 2000</w:t>
      </w:r>
      <w:r w:rsidRPr="00DA1464">
        <w:rPr>
          <w:rStyle w:val="s1"/>
          <w:rFonts w:ascii="Arial" w:hAnsi="Arial" w:cs="Arial"/>
        </w:rPr>
        <w:t xml:space="preserve"> was therefore significant because it formally recognised care leavers as a group requiring continuing support during the transition to adulthood (Children (Leaving Care) Act 2000). However, legal recognition did not automatically produce adequate mental health provision, which suggests that policy acknowledgement and practical delivery have remained unevenly aligned (MacAlister, 2022; Ofsted, 2022). In the current context, the literature consistently shows that care-experienced young people are more likely than their peers to experience anxiety, depression, trauma-related distress and wider emotional difficulties, often in association with placement instability, disrupted relationships and insecure transitions (Carter et al., 2025; Cummings and Shelton, 2024; Phillips et al., 2023). Yet this evidence should not be read as proof that poor mental health is an inevitable consequence of care experience itself (Phillips et al., 2023; Sharma, 2025). A more critical interpretation is that much of this need is socially and institutionally produced, then intensified when support is fragmented, delayed or withdrawn at key transition points (Bennett et al., 2022; MacAlister, 2022; Young et al., 2024).</w:t>
      </w:r>
      <w:r w:rsidR="00D40A4E" w:rsidRPr="00D40A4E">
        <w:rPr>
          <w:rStyle w:val="s1"/>
          <w:rFonts w:ascii="Arial" w:hAnsi="Arial" w:cs="Arial"/>
        </w:rPr>
        <w:t xml:space="preserve"> This is supported by Rylance and Sharry (2023), who show that care leavers value emotional wellbeing support that is consistent, understandable and responsive, rather than fragmented or difficult to sustain.</w:t>
      </w:r>
    </w:p>
    <w:p w14:paraId="042904E7" w14:textId="77777777" w:rsidR="0083322C" w:rsidRPr="00DA1464" w:rsidRDefault="0083322C" w:rsidP="00DA1464">
      <w:pPr>
        <w:pStyle w:val="p2"/>
        <w:spacing w:line="360" w:lineRule="auto"/>
        <w:jc w:val="both"/>
        <w:rPr>
          <w:rFonts w:ascii="Arial" w:hAnsi="Arial" w:cs="Arial"/>
        </w:rPr>
      </w:pPr>
    </w:p>
    <w:p w14:paraId="34ADCD90" w14:textId="5A88E63F" w:rsidR="0083322C" w:rsidRDefault="0083322C" w:rsidP="00DA1464">
      <w:pPr>
        <w:pStyle w:val="p1"/>
        <w:spacing w:line="360" w:lineRule="auto"/>
        <w:jc w:val="both"/>
        <w:rPr>
          <w:rStyle w:val="s1"/>
          <w:rFonts w:ascii="Arial" w:hAnsi="Arial" w:cs="Arial"/>
        </w:rPr>
      </w:pPr>
      <w:r w:rsidRPr="00DA1464">
        <w:rPr>
          <w:rStyle w:val="s1"/>
          <w:rFonts w:ascii="Arial" w:hAnsi="Arial" w:cs="Arial"/>
        </w:rPr>
        <w:t xml:space="preserve">Statistical evidence strongly supports this theme, although the figures are not methodologically uniform (Cummings and Shelton, 2024). Cummings and Shelton (2024) found that estimated prevalence rates of mental health disorders among care-experienced young people in the UK ranged from </w:t>
      </w:r>
      <w:r w:rsidRPr="00DA1464">
        <w:rPr>
          <w:rStyle w:val="s2"/>
          <w:rFonts w:ascii="Arial" w:hAnsi="Arial" w:cs="Arial"/>
        </w:rPr>
        <w:t>1% to 82%</w:t>
      </w:r>
      <w:r w:rsidRPr="00DA1464">
        <w:rPr>
          <w:rStyle w:val="s1"/>
          <w:rFonts w:ascii="Arial" w:hAnsi="Arial" w:cs="Arial"/>
        </w:rPr>
        <w:t xml:space="preserve">. This </w:t>
      </w:r>
      <w:proofErr w:type="gramStart"/>
      <w:r w:rsidRPr="00DA1464">
        <w:rPr>
          <w:rStyle w:val="s1"/>
          <w:rFonts w:ascii="Arial" w:hAnsi="Arial" w:cs="Arial"/>
        </w:rPr>
        <w:t>wide spread</w:t>
      </w:r>
      <w:proofErr w:type="gramEnd"/>
      <w:r w:rsidRPr="00DA1464">
        <w:rPr>
          <w:rStyle w:val="s1"/>
          <w:rFonts w:ascii="Arial" w:hAnsi="Arial" w:cs="Arial"/>
        </w:rPr>
        <w:t xml:space="preserve"> is noteworthy because it exposes major inconsistency in samples, measures and comparator groups, even while still pointing towards elevated need overall (Cummings and Shelton, 2024). Parsons and Schoon (2026) provide sharper comparative evidence: at age 17, </w:t>
      </w:r>
      <w:r w:rsidRPr="00DA1464">
        <w:rPr>
          <w:rStyle w:val="s2"/>
          <w:rFonts w:ascii="Arial" w:hAnsi="Arial" w:cs="Arial"/>
        </w:rPr>
        <w:t>56%</w:t>
      </w:r>
      <w:r w:rsidRPr="00DA1464">
        <w:rPr>
          <w:rStyle w:val="s1"/>
          <w:rFonts w:ascii="Arial" w:hAnsi="Arial" w:cs="Arial"/>
        </w:rPr>
        <w:t xml:space="preserve"> of young people with foster or residential care experience had recently self-harmed, compared with </w:t>
      </w:r>
      <w:r w:rsidRPr="00DA1464">
        <w:rPr>
          <w:rStyle w:val="s2"/>
          <w:rFonts w:ascii="Arial" w:hAnsi="Arial" w:cs="Arial"/>
        </w:rPr>
        <w:t>24%</w:t>
      </w:r>
      <w:r w:rsidRPr="00DA1464">
        <w:rPr>
          <w:rStyle w:val="s1"/>
          <w:rFonts w:ascii="Arial" w:hAnsi="Arial" w:cs="Arial"/>
        </w:rPr>
        <w:t xml:space="preserve"> of those with no out-of-home care </w:t>
      </w:r>
      <w:r w:rsidRPr="00DA1464">
        <w:rPr>
          <w:rStyle w:val="s1"/>
          <w:rFonts w:ascii="Arial" w:hAnsi="Arial" w:cs="Arial"/>
        </w:rPr>
        <w:lastRenderedPageBreak/>
        <w:t xml:space="preserve">experience, while </w:t>
      </w:r>
      <w:r w:rsidRPr="00DA1464">
        <w:rPr>
          <w:rStyle w:val="s2"/>
          <w:rFonts w:ascii="Arial" w:hAnsi="Arial" w:cs="Arial"/>
        </w:rPr>
        <w:t>39%</w:t>
      </w:r>
      <w:r w:rsidRPr="00DA1464">
        <w:rPr>
          <w:rStyle w:val="s1"/>
          <w:rFonts w:ascii="Arial" w:hAnsi="Arial" w:cs="Arial"/>
        </w:rPr>
        <w:t xml:space="preserve"> had high levels of depression compared with </w:t>
      </w:r>
      <w:r w:rsidRPr="00DA1464">
        <w:rPr>
          <w:rStyle w:val="s2"/>
          <w:rFonts w:ascii="Arial" w:hAnsi="Arial" w:cs="Arial"/>
        </w:rPr>
        <w:t>16%</w:t>
      </w:r>
      <w:r w:rsidRPr="00DA1464">
        <w:rPr>
          <w:rStyle w:val="s1"/>
          <w:rFonts w:ascii="Arial" w:hAnsi="Arial" w:cs="Arial"/>
        </w:rPr>
        <w:t xml:space="preserve"> of peers without care experience (Parsons and Schoon, 2026). By age 20/21, </w:t>
      </w:r>
      <w:r w:rsidRPr="00DA1464">
        <w:rPr>
          <w:rStyle w:val="s2"/>
          <w:rFonts w:ascii="Arial" w:hAnsi="Arial" w:cs="Arial"/>
        </w:rPr>
        <w:t>43%</w:t>
      </w:r>
      <w:r w:rsidRPr="00DA1464">
        <w:rPr>
          <w:rStyle w:val="s1"/>
          <w:rFonts w:ascii="Arial" w:hAnsi="Arial" w:cs="Arial"/>
        </w:rPr>
        <w:t xml:space="preserve"> of those with care experience reported high psychological distress compared with </w:t>
      </w:r>
      <w:r w:rsidRPr="00DA1464">
        <w:rPr>
          <w:rStyle w:val="s2"/>
          <w:rFonts w:ascii="Arial" w:hAnsi="Arial" w:cs="Arial"/>
        </w:rPr>
        <w:t>23%</w:t>
      </w:r>
      <w:r w:rsidRPr="00DA1464">
        <w:rPr>
          <w:rStyle w:val="s1"/>
          <w:rFonts w:ascii="Arial" w:hAnsi="Arial" w:cs="Arial"/>
        </w:rPr>
        <w:t xml:space="preserve"> of those without such experience (Parsons and Schoon, 2026). These figures are significant because they suggest that inequality does not end when statutory care ends, but persists into early adulthood (Parsons and Schoon, 2026). Murray et al. (2020) reinforce the seriousness of this pattern by showing that childhood out-of-home care status is associated with elevated all-cause mortality later in life, indicating that care-related disadvantage may accumulate over time rather than resolve spontaneously (Murray et al., 2020).</w:t>
      </w:r>
      <w:r w:rsidR="00F503B1">
        <w:rPr>
          <w:rStyle w:val="s1"/>
          <w:rFonts w:ascii="Arial" w:hAnsi="Arial" w:cs="Arial"/>
        </w:rPr>
        <w:t xml:space="preserve"> </w:t>
      </w:r>
      <w:r w:rsidR="00347AAA" w:rsidRPr="00347AAA">
        <w:rPr>
          <w:rStyle w:val="s1"/>
          <w:rFonts w:ascii="Arial" w:hAnsi="Arial" w:cs="Arial"/>
        </w:rPr>
        <w:t>This wider vulnerability is especially significant in a context where deprivation remains geographically concentrated, as shown by the English Indices of Deprivation 2025, which continue to demonstrate marked spatial inequality across England (Ministry of Housing, Communities and Local Government, 2025).</w:t>
      </w:r>
    </w:p>
    <w:p w14:paraId="3343FA68" w14:textId="77777777" w:rsidR="005560F2" w:rsidRPr="00DA1464" w:rsidRDefault="005560F2" w:rsidP="00DA1464">
      <w:pPr>
        <w:pStyle w:val="p1"/>
        <w:spacing w:line="360" w:lineRule="auto"/>
        <w:jc w:val="both"/>
        <w:rPr>
          <w:rFonts w:ascii="Arial" w:hAnsi="Arial" w:cs="Arial"/>
        </w:rPr>
      </w:pPr>
    </w:p>
    <w:p w14:paraId="0AB3D745" w14:textId="77777777" w:rsidR="0083322C" w:rsidRPr="00DA1464" w:rsidRDefault="0083322C" w:rsidP="00DA1464">
      <w:pPr>
        <w:pStyle w:val="p2"/>
        <w:spacing w:line="360" w:lineRule="auto"/>
        <w:jc w:val="both"/>
        <w:rPr>
          <w:rFonts w:ascii="Arial" w:hAnsi="Arial" w:cs="Arial"/>
        </w:rPr>
      </w:pPr>
    </w:p>
    <w:p w14:paraId="30563042" w14:textId="7743E585" w:rsidR="0083322C" w:rsidRPr="00DA1464" w:rsidRDefault="0083322C" w:rsidP="00DA1464">
      <w:pPr>
        <w:pStyle w:val="p1"/>
        <w:spacing w:line="360" w:lineRule="auto"/>
        <w:jc w:val="both"/>
        <w:rPr>
          <w:rFonts w:ascii="Arial" w:hAnsi="Arial" w:cs="Arial"/>
        </w:rPr>
      </w:pPr>
      <w:r w:rsidRPr="00DA1464">
        <w:rPr>
          <w:rStyle w:val="s1"/>
          <w:rFonts w:ascii="Arial" w:hAnsi="Arial" w:cs="Arial"/>
        </w:rPr>
        <w:t>The Northern England context intensifies concern. Bennett et al. (2024a)</w:t>
      </w:r>
      <w:r w:rsidR="00796636">
        <w:rPr>
          <w:rStyle w:val="s1"/>
          <w:rFonts w:ascii="Arial" w:hAnsi="Arial" w:cs="Arial"/>
        </w:rPr>
        <w:t xml:space="preserve"> and LGA (2026) </w:t>
      </w:r>
      <w:r w:rsidRPr="00DA1464">
        <w:rPr>
          <w:rStyle w:val="s1"/>
          <w:rFonts w:ascii="Arial" w:hAnsi="Arial" w:cs="Arial"/>
        </w:rPr>
        <w:t xml:space="preserve"> report that the rate of children in care in the </w:t>
      </w:r>
      <w:r w:rsidRPr="00DA1464">
        <w:rPr>
          <w:rStyle w:val="s2"/>
          <w:rFonts w:ascii="Arial" w:hAnsi="Arial" w:cs="Arial"/>
        </w:rPr>
        <w:t>North</w:t>
      </w:r>
      <w:r w:rsidRPr="00DA1464">
        <w:rPr>
          <w:rStyle w:val="s1"/>
          <w:rFonts w:ascii="Arial" w:hAnsi="Arial" w:cs="Arial"/>
        </w:rPr>
        <w:t xml:space="preserve"> is </w:t>
      </w:r>
      <w:r w:rsidRPr="00DA1464">
        <w:rPr>
          <w:rStyle w:val="s2"/>
          <w:rFonts w:ascii="Arial" w:hAnsi="Arial" w:cs="Arial"/>
        </w:rPr>
        <w:t>93 per 10,000</w:t>
      </w:r>
      <w:r w:rsidRPr="00DA1464">
        <w:rPr>
          <w:rStyle w:val="s1"/>
          <w:rFonts w:ascii="Arial" w:hAnsi="Arial" w:cs="Arial"/>
        </w:rPr>
        <w:t xml:space="preserve">, compared with </w:t>
      </w:r>
      <w:r w:rsidRPr="00DA1464">
        <w:rPr>
          <w:rStyle w:val="s2"/>
          <w:rFonts w:ascii="Arial" w:hAnsi="Arial" w:cs="Arial"/>
        </w:rPr>
        <w:t>62 per 10,000</w:t>
      </w:r>
      <w:r w:rsidRPr="00DA1464">
        <w:rPr>
          <w:rStyle w:val="s1"/>
          <w:rFonts w:ascii="Arial" w:hAnsi="Arial" w:cs="Arial"/>
        </w:rPr>
        <w:t xml:space="preserve"> in the rest of England, while Brown et al. (2024) </w:t>
      </w:r>
      <w:r w:rsidR="00112864">
        <w:rPr>
          <w:rStyle w:val="s1"/>
          <w:rFonts w:ascii="Arial" w:hAnsi="Arial" w:cs="Arial"/>
        </w:rPr>
        <w:t xml:space="preserve">and Holding et al (2021) </w:t>
      </w:r>
      <w:r w:rsidRPr="00DA1464">
        <w:rPr>
          <w:rStyle w:val="s1"/>
          <w:rFonts w:ascii="Arial" w:hAnsi="Arial" w:cs="Arial"/>
        </w:rPr>
        <w:t>identify significantly poorer mental health among young people in the North East (Bennett et al., 2024a; Brown et al., 2024). Wright et al. (2020) likewise demonstrate substantial mental health and wellbeing need among children and young people in the North of England, while Pickett et al. (2021) situate these patterns within a broader northern landscape of deprivation and reduced life chances (Pickett et al., 2021; Wright et al., 2020). These studies are not care-leaver-specific, so they should not be treated as direct proof of care-leaver outcomes (Brown et al., 2024; Wright et al., 2020). Nevertheless, they are highly relevant because they show that care leavers in Northern England are likely to be transitioning into an already unequal mental health environment, meaning that care-related vulnerability and regional disadvantage may combine rather than operate separately (Bennett et al., 2022; Bennett et al., 2024a; Pickett et al., 2021). This makes the theme structurally significant rather than merely descriptive (Addison et al., 2019; Brown et al., 2024).</w:t>
      </w:r>
      <w:r w:rsidR="009C7782">
        <w:rPr>
          <w:rStyle w:val="s1"/>
          <w:rFonts w:ascii="Arial" w:hAnsi="Arial" w:cs="Arial"/>
        </w:rPr>
        <w:t xml:space="preserve"> </w:t>
      </w:r>
      <w:r w:rsidR="009C7782" w:rsidRPr="009C7782">
        <w:rPr>
          <w:rStyle w:val="s1"/>
          <w:rFonts w:ascii="Arial" w:hAnsi="Arial" w:cs="Arial"/>
        </w:rPr>
        <w:t xml:space="preserve">This interpretation is reinforced by Fairbrother et al. (2024), whose participants in the </w:t>
      </w:r>
      <w:proofErr w:type="gramStart"/>
      <w:r w:rsidR="009C7782" w:rsidRPr="009C7782">
        <w:rPr>
          <w:rStyle w:val="s1"/>
          <w:rFonts w:ascii="Arial" w:hAnsi="Arial" w:cs="Arial"/>
        </w:rPr>
        <w:t>North East</w:t>
      </w:r>
      <w:proofErr w:type="gramEnd"/>
      <w:r w:rsidR="009C7782" w:rsidRPr="009C7782">
        <w:rPr>
          <w:rStyle w:val="s1"/>
          <w:rFonts w:ascii="Arial" w:hAnsi="Arial" w:cs="Arial"/>
        </w:rPr>
        <w:t xml:space="preserve"> described inequality </w:t>
      </w:r>
      <w:r w:rsidR="009C7782" w:rsidRPr="009C7782">
        <w:rPr>
          <w:rStyle w:val="s1"/>
          <w:rFonts w:ascii="Arial" w:hAnsi="Arial" w:cs="Arial"/>
        </w:rPr>
        <w:lastRenderedPageBreak/>
        <w:t>as place-based and materially felt, particularly in relation to opportunity and future life chances.</w:t>
      </w:r>
    </w:p>
    <w:p w14:paraId="758624AC" w14:textId="77777777" w:rsidR="0083322C" w:rsidRPr="00DA1464" w:rsidRDefault="0083322C" w:rsidP="00DA1464">
      <w:pPr>
        <w:pStyle w:val="p2"/>
        <w:spacing w:line="360" w:lineRule="auto"/>
        <w:jc w:val="both"/>
        <w:rPr>
          <w:rFonts w:ascii="Arial" w:hAnsi="Arial" w:cs="Arial"/>
        </w:rPr>
      </w:pPr>
    </w:p>
    <w:p w14:paraId="3639CC60" w14:textId="77777777" w:rsidR="0083322C" w:rsidRPr="00DA1464" w:rsidRDefault="0083322C" w:rsidP="00DA1464">
      <w:pPr>
        <w:pStyle w:val="p1"/>
        <w:spacing w:line="360" w:lineRule="auto"/>
        <w:jc w:val="both"/>
        <w:rPr>
          <w:rFonts w:ascii="Arial" w:hAnsi="Arial" w:cs="Arial"/>
        </w:rPr>
      </w:pPr>
      <w:r w:rsidRPr="00DA1464">
        <w:rPr>
          <w:rStyle w:val="s1"/>
          <w:rFonts w:ascii="Arial" w:hAnsi="Arial" w:cs="Arial"/>
        </w:rPr>
        <w:t xml:space="preserve">From a theoretical perspective, </w:t>
      </w:r>
      <w:r w:rsidRPr="00DA1464">
        <w:rPr>
          <w:rStyle w:val="s2"/>
          <w:rFonts w:ascii="Arial" w:hAnsi="Arial" w:cs="Arial"/>
        </w:rPr>
        <w:t>attachment theory</w:t>
      </w:r>
      <w:r w:rsidRPr="00DA1464">
        <w:rPr>
          <w:rStyle w:val="s1"/>
          <w:rFonts w:ascii="Arial" w:hAnsi="Arial" w:cs="Arial"/>
        </w:rPr>
        <w:t xml:space="preserve"> is relevant because it helps explain why repeated separation, disrupted caregiving and instability may produce later mistrust, anxiety and difficulty seeking help (Sharma, 2025). This interpretation is supported by evidence linking placement instability to poorer mental health outcomes among care-experienced children and young people (Varnish et al., 2025). However, attachment theory becomes limited if used too narrowly, because it can individualise distress and imply that poor mental health is located mainly in damaged early relationships rather than in wider inequality and service failure (Brown et al., 2024; Sharma, 2025). For that reason, the </w:t>
      </w:r>
      <w:r w:rsidRPr="00DA1464">
        <w:rPr>
          <w:rStyle w:val="s2"/>
          <w:rFonts w:ascii="Arial" w:hAnsi="Arial" w:cs="Arial"/>
        </w:rPr>
        <w:t>capabilities approach</w:t>
      </w:r>
      <w:r w:rsidRPr="00DA1464">
        <w:rPr>
          <w:rStyle w:val="s1"/>
          <w:rFonts w:ascii="Arial" w:hAnsi="Arial" w:cs="Arial"/>
        </w:rPr>
        <w:t xml:space="preserve"> and </w:t>
      </w:r>
      <w:r w:rsidRPr="00DA1464">
        <w:rPr>
          <w:rStyle w:val="s2"/>
          <w:rFonts w:ascii="Arial" w:hAnsi="Arial" w:cs="Arial"/>
        </w:rPr>
        <w:t>social capital theory</w:t>
      </w:r>
      <w:r w:rsidRPr="00DA1464">
        <w:rPr>
          <w:rStyle w:val="s1"/>
          <w:rFonts w:ascii="Arial" w:hAnsi="Arial" w:cs="Arial"/>
        </w:rPr>
        <w:t xml:space="preserve"> are equally important, since they direct attention towards whether care leavers have real opportunities, stable relationships and meaningful access to support, housing, education and services (Sharma, 2025; Stubbs et al., 2023). This combination is stronger because it shows that disproportionate mental health need is simultaneously psychological, relational and structural (Bennett et al., 2022; Sharma, 2025).</w:t>
      </w:r>
    </w:p>
    <w:p w14:paraId="62625C4F" w14:textId="77777777" w:rsidR="0083322C" w:rsidRPr="00DA1464" w:rsidRDefault="0083322C" w:rsidP="00DA1464">
      <w:pPr>
        <w:pStyle w:val="p2"/>
        <w:spacing w:line="360" w:lineRule="auto"/>
        <w:jc w:val="both"/>
        <w:rPr>
          <w:rFonts w:ascii="Arial" w:hAnsi="Arial" w:cs="Arial"/>
        </w:rPr>
      </w:pPr>
    </w:p>
    <w:p w14:paraId="727C2FF1" w14:textId="77777777" w:rsidR="0083322C" w:rsidRPr="00DA1464" w:rsidRDefault="0083322C" w:rsidP="00DA1464">
      <w:pPr>
        <w:pStyle w:val="p1"/>
        <w:spacing w:line="360" w:lineRule="auto"/>
        <w:jc w:val="both"/>
        <w:rPr>
          <w:rFonts w:ascii="Arial" w:hAnsi="Arial" w:cs="Arial"/>
        </w:rPr>
      </w:pPr>
      <w:r w:rsidRPr="00DA1464">
        <w:rPr>
          <w:rStyle w:val="s1"/>
          <w:rFonts w:ascii="Arial" w:hAnsi="Arial" w:cs="Arial"/>
        </w:rPr>
        <w:t xml:space="preserve">Policy and legislation acknowledge this issue, at least in principle. The </w:t>
      </w:r>
      <w:r w:rsidRPr="00DA1464">
        <w:rPr>
          <w:rStyle w:val="s2"/>
          <w:rFonts w:ascii="Arial" w:hAnsi="Arial" w:cs="Arial"/>
        </w:rPr>
        <w:t>Children (Leaving Care) Act 2000</w:t>
      </w:r>
      <w:r w:rsidRPr="00DA1464">
        <w:rPr>
          <w:rStyle w:val="s1"/>
          <w:rFonts w:ascii="Arial" w:hAnsi="Arial" w:cs="Arial"/>
        </w:rPr>
        <w:t xml:space="preserve"> formalised ongoing duties towards care leavers, while the </w:t>
      </w:r>
      <w:r w:rsidRPr="00DA1464">
        <w:rPr>
          <w:rStyle w:val="s2"/>
          <w:rFonts w:ascii="Arial" w:hAnsi="Arial" w:cs="Arial"/>
        </w:rPr>
        <w:t>Children and Social Work Act 2017</w:t>
      </w:r>
      <w:r w:rsidRPr="00DA1464">
        <w:rPr>
          <w:rStyle w:val="s1"/>
          <w:rFonts w:ascii="Arial" w:hAnsi="Arial" w:cs="Arial"/>
        </w:rPr>
        <w:t xml:space="preserve"> strengthened corporate parenting and support up to age 25 (Children (Leaving Care) Act 2000; Children and Social Work Act 2017). More specifically, </w:t>
      </w:r>
      <w:r w:rsidRPr="00DA1464">
        <w:rPr>
          <w:rStyle w:val="s2"/>
          <w:rFonts w:ascii="Arial" w:hAnsi="Arial" w:cs="Arial"/>
        </w:rPr>
        <w:t>NICE guidance</w:t>
      </w:r>
      <w:r w:rsidRPr="00DA1464">
        <w:rPr>
          <w:rStyle w:val="s1"/>
          <w:rFonts w:ascii="Arial" w:hAnsi="Arial" w:cs="Arial"/>
        </w:rPr>
        <w:t xml:space="preserve"> and the </w:t>
      </w:r>
      <w:r w:rsidRPr="00DA1464">
        <w:rPr>
          <w:rStyle w:val="s2"/>
          <w:rFonts w:ascii="Arial" w:hAnsi="Arial" w:cs="Arial"/>
        </w:rPr>
        <w:t>NHS Long Term Plan</w:t>
      </w:r>
      <w:r w:rsidRPr="00DA1464">
        <w:rPr>
          <w:rStyle w:val="s1"/>
          <w:rFonts w:ascii="Arial" w:hAnsi="Arial" w:cs="Arial"/>
        </w:rPr>
        <w:t xml:space="preserve"> emphasise coordinated emotional wellbeing and mental health support for looked-after children and young people (National Institute for Health and Care Excellence, 2021; NHS England, 2019). </w:t>
      </w:r>
      <w:r w:rsidRPr="00DA1464">
        <w:rPr>
          <w:rStyle w:val="s2"/>
          <w:rFonts w:ascii="Arial" w:hAnsi="Arial" w:cs="Arial"/>
        </w:rPr>
        <w:t>Keep on Caring</w:t>
      </w:r>
      <w:r w:rsidRPr="00DA1464">
        <w:rPr>
          <w:rStyle w:val="s1"/>
          <w:rFonts w:ascii="Arial" w:hAnsi="Arial" w:cs="Arial"/>
        </w:rPr>
        <w:t xml:space="preserve"> and </w:t>
      </w:r>
      <w:r w:rsidRPr="00DA1464">
        <w:rPr>
          <w:rStyle w:val="s2"/>
          <w:rFonts w:ascii="Arial" w:hAnsi="Arial" w:cs="Arial"/>
        </w:rPr>
        <w:t>Children Act 1989: Transition to adulthood for care leavers</w:t>
      </w:r>
      <w:r w:rsidRPr="00DA1464">
        <w:rPr>
          <w:rStyle w:val="s1"/>
          <w:rFonts w:ascii="Arial" w:hAnsi="Arial" w:cs="Arial"/>
        </w:rPr>
        <w:t xml:space="preserve"> similarly recognise the importance of continuity and preparation (Department for Education, 2025b; HM Government, 2016). Yet the impact of this framework is mixed. These policies establish entitlement and expectation, but they do not guarantee consistent delivery, particularly where local services are overstretched or poorly coordinated (MacAlister, 2022; Ofsted, 2022; Transformation Partners in </w:t>
      </w:r>
      <w:r w:rsidRPr="00DA1464">
        <w:rPr>
          <w:rStyle w:val="s1"/>
          <w:rFonts w:ascii="Arial" w:hAnsi="Arial" w:cs="Arial"/>
        </w:rPr>
        <w:lastRenderedPageBreak/>
        <w:t>Health and Care, 2023). Mental health need may therefore be recognised in policy while remaining insufficiently met in practice, especially when transition between child and adult services is weak or delayed (Butterworth et al., 2017; Ofsted, 2022).</w:t>
      </w:r>
    </w:p>
    <w:p w14:paraId="21482A50" w14:textId="77777777" w:rsidR="0083322C" w:rsidRPr="00DA1464" w:rsidRDefault="0083322C" w:rsidP="00DA1464">
      <w:pPr>
        <w:pStyle w:val="p2"/>
        <w:spacing w:line="360" w:lineRule="auto"/>
        <w:jc w:val="both"/>
        <w:rPr>
          <w:rFonts w:ascii="Arial" w:hAnsi="Arial" w:cs="Arial"/>
        </w:rPr>
      </w:pPr>
    </w:p>
    <w:p w14:paraId="688BF8FB" w14:textId="77777777" w:rsidR="0083322C" w:rsidRPr="00DA1464" w:rsidRDefault="0083322C" w:rsidP="00DA1464">
      <w:pPr>
        <w:pStyle w:val="p1"/>
        <w:spacing w:line="360" w:lineRule="auto"/>
        <w:jc w:val="both"/>
        <w:rPr>
          <w:rFonts w:ascii="Arial" w:hAnsi="Arial" w:cs="Arial"/>
        </w:rPr>
      </w:pPr>
      <w:r w:rsidRPr="00DA1464">
        <w:rPr>
          <w:rStyle w:val="s1"/>
          <w:rFonts w:ascii="Arial" w:hAnsi="Arial" w:cs="Arial"/>
        </w:rPr>
        <w:t xml:space="preserve">Examples from the literature reinforce this theme while also showing nuance. </w:t>
      </w:r>
      <w:r w:rsidRPr="00DA1464">
        <w:rPr>
          <w:rStyle w:val="s2"/>
          <w:rFonts w:ascii="Arial" w:hAnsi="Arial" w:cs="Arial"/>
        </w:rPr>
        <w:t>Cummings and Shelton (2024)</w:t>
      </w:r>
      <w:r w:rsidRPr="00DA1464">
        <w:rPr>
          <w:rStyle w:val="s1"/>
          <w:rFonts w:ascii="Arial" w:hAnsi="Arial" w:cs="Arial"/>
        </w:rPr>
        <w:t xml:space="preserve"> provide strong UK-based review evidence that mental health disorder is disproportionately prevalent among care-experienced young people, but their contribution is stronger on prevalence than explanation (Cummings and Shelton, 2024). </w:t>
      </w:r>
      <w:r w:rsidRPr="00DA1464">
        <w:rPr>
          <w:rStyle w:val="s2"/>
          <w:rFonts w:ascii="Arial" w:hAnsi="Arial" w:cs="Arial"/>
        </w:rPr>
        <w:t>Varnish et al. (2025)</w:t>
      </w:r>
      <w:r w:rsidRPr="00DA1464">
        <w:rPr>
          <w:rStyle w:val="s1"/>
          <w:rFonts w:ascii="Arial" w:hAnsi="Arial" w:cs="Arial"/>
        </w:rPr>
        <w:t xml:space="preserve"> complement this by showing that </w:t>
      </w:r>
      <w:r w:rsidRPr="00DA1464">
        <w:rPr>
          <w:rStyle w:val="s2"/>
          <w:rFonts w:ascii="Arial" w:hAnsi="Arial" w:cs="Arial"/>
        </w:rPr>
        <w:t>placement instability</w:t>
      </w:r>
      <w:r w:rsidRPr="00DA1464">
        <w:rPr>
          <w:rStyle w:val="s1"/>
          <w:rFonts w:ascii="Arial" w:hAnsi="Arial" w:cs="Arial"/>
        </w:rPr>
        <w:t xml:space="preserve"> is associated with poorer mental health outcomes, moving the discussion from prevalence towards mechanism (Varnish et al., 2025). </w:t>
      </w:r>
      <w:r w:rsidRPr="00DA1464">
        <w:rPr>
          <w:rStyle w:val="s2"/>
          <w:rFonts w:ascii="Arial" w:hAnsi="Arial" w:cs="Arial"/>
        </w:rPr>
        <w:t>Young et al. (2024)</w:t>
      </w:r>
      <w:r w:rsidRPr="00DA1464">
        <w:rPr>
          <w:rStyle w:val="s1"/>
          <w:rFonts w:ascii="Arial" w:hAnsi="Arial" w:cs="Arial"/>
        </w:rPr>
        <w:t xml:space="preserve"> then add a qualitative dimension, showing that care leavers describe barriers to mental health support including guardedness, mistrust and difficulty engaging with services, which suggests that high need does not automatically translate into successful access (Young et al., 2024). These studies broadly agree that need is elevated, but differ in emphasis: one quantifies the problem, one identifies a system-related driver, and one shows how the problem is experienced in practice (Cummings and Shelton, 2024; Varnish et al., 2025; Young et al., 2024). This comparison helps answer the research question because it shows that social services are responding not to ordinary emotional distress, but to a concentration of vulnerability shaped by care history, instability and structural conditions (Phillips et al., 2023; Young et al., 2024).</w:t>
      </w:r>
    </w:p>
    <w:p w14:paraId="5CDB9EAE" w14:textId="77777777" w:rsidR="0083322C" w:rsidRPr="00DA1464" w:rsidRDefault="0083322C" w:rsidP="00DA1464">
      <w:pPr>
        <w:pStyle w:val="p2"/>
        <w:spacing w:line="360" w:lineRule="auto"/>
        <w:jc w:val="both"/>
        <w:rPr>
          <w:rFonts w:ascii="Arial" w:hAnsi="Arial" w:cs="Arial"/>
        </w:rPr>
      </w:pPr>
    </w:p>
    <w:p w14:paraId="70636FD2" w14:textId="77777777" w:rsidR="0083322C" w:rsidRPr="00DA1464" w:rsidRDefault="0083322C" w:rsidP="00DA1464">
      <w:pPr>
        <w:pStyle w:val="p1"/>
        <w:spacing w:line="360" w:lineRule="auto"/>
        <w:jc w:val="both"/>
        <w:rPr>
          <w:rStyle w:val="s1"/>
          <w:rFonts w:ascii="Arial" w:hAnsi="Arial" w:cs="Arial"/>
        </w:rPr>
      </w:pPr>
      <w:r w:rsidRPr="00DA1464">
        <w:rPr>
          <w:rStyle w:val="s1"/>
          <w:rFonts w:ascii="Arial" w:hAnsi="Arial" w:cs="Arial"/>
        </w:rPr>
        <w:t xml:space="preserve">The implications of this theme are substantial. Positively, the literature provides a strong justification for targeted intervention: the prevalence of self-harm, trauma-related distress and psychological vulnerability makes mental health support for care leavers a core rather than marginal responsibility of social services (Cummings and Shelton, 2024; Parsons and Schoon, 2026; Phillips et al., 2023). Negatively, the scale of need suggests that current services may be confronting a level of inequality that they are not funded, staffed or coordinated well enough to address (Bennett et al., 2022; MacAlister, 2022). This is especially significant in Northern England, where regional disadvantage may intensify both need and barriers to response (Bennett et </w:t>
      </w:r>
      <w:r w:rsidRPr="00DA1464">
        <w:rPr>
          <w:rStyle w:val="s1"/>
          <w:rFonts w:ascii="Arial" w:hAnsi="Arial" w:cs="Arial"/>
        </w:rPr>
        <w:lastRenderedPageBreak/>
        <w:t xml:space="preserve">al., 2024a; Pickett et al., 2021). This theme connects directly to the next two themes: high mental health need makes </w:t>
      </w:r>
      <w:r w:rsidRPr="00DA1464">
        <w:rPr>
          <w:rStyle w:val="s2"/>
          <w:rFonts w:ascii="Arial" w:hAnsi="Arial" w:cs="Arial"/>
        </w:rPr>
        <w:t>fragmented and uneven service provision</w:t>
      </w:r>
      <w:r w:rsidRPr="00DA1464">
        <w:rPr>
          <w:rStyle w:val="s1"/>
          <w:rFonts w:ascii="Arial" w:hAnsi="Arial" w:cs="Arial"/>
        </w:rPr>
        <w:t xml:space="preserve"> more consequential, and it explains why </w:t>
      </w:r>
      <w:r w:rsidRPr="00DA1464">
        <w:rPr>
          <w:rStyle w:val="s2"/>
          <w:rFonts w:ascii="Arial" w:hAnsi="Arial" w:cs="Arial"/>
        </w:rPr>
        <w:t>continuity and relational support</w:t>
      </w:r>
      <w:r w:rsidRPr="00DA1464">
        <w:rPr>
          <w:rStyle w:val="s1"/>
          <w:rFonts w:ascii="Arial" w:hAnsi="Arial" w:cs="Arial"/>
        </w:rPr>
        <w:t xml:space="preserve"> later emerge as protective factors. Theme 1 therefore establishes the foundation for the wider argument of this chapter: care leavers in Northern England experience not only elevated distress, but a level of need that makes the adequacy and equity of social service response a central issue of inequality rather than a secondary matter of service preference.</w:t>
      </w:r>
    </w:p>
    <w:p w14:paraId="59F07ACC" w14:textId="77777777" w:rsidR="00E20C64" w:rsidRPr="00DA1464" w:rsidRDefault="00E20C64" w:rsidP="00DA1464">
      <w:pPr>
        <w:pStyle w:val="p1"/>
        <w:spacing w:line="360" w:lineRule="auto"/>
        <w:jc w:val="both"/>
        <w:rPr>
          <w:rFonts w:ascii="Arial" w:hAnsi="Arial" w:cs="Arial"/>
        </w:rPr>
      </w:pPr>
    </w:p>
    <w:p w14:paraId="620F671D" w14:textId="2E285D17" w:rsidR="001C3AF6" w:rsidRPr="00DA1464" w:rsidRDefault="001C3AF6" w:rsidP="00DA1464">
      <w:pPr>
        <w:pStyle w:val="Heading2"/>
        <w:rPr>
          <w:rFonts w:ascii="Arial" w:hAnsi="Arial" w:cs="Arial"/>
        </w:rPr>
      </w:pPr>
      <w:bookmarkStart w:id="16" w:name="_Toc226533376"/>
      <w:r w:rsidRPr="00DA1464">
        <w:rPr>
          <w:rFonts w:ascii="Arial" w:hAnsi="Arial" w:cs="Arial"/>
        </w:rPr>
        <w:t>4.4 – Theme 2</w:t>
      </w:r>
      <w:r w:rsidR="00124763" w:rsidRPr="00DA1464">
        <w:rPr>
          <w:rFonts w:ascii="Arial" w:hAnsi="Arial" w:cs="Arial"/>
        </w:rPr>
        <w:t xml:space="preserve"> –</w:t>
      </w:r>
      <w:r w:rsidRPr="00DA1464">
        <w:rPr>
          <w:rFonts w:ascii="Arial" w:hAnsi="Arial" w:cs="Arial"/>
        </w:rPr>
        <w:t xml:space="preserve"> </w:t>
      </w:r>
      <w:r w:rsidR="00124763" w:rsidRPr="00DA1464">
        <w:rPr>
          <w:rFonts w:ascii="Arial" w:hAnsi="Arial" w:cs="Arial"/>
        </w:rPr>
        <w:t>Fragmented and Uneven Service Provision</w:t>
      </w:r>
      <w:bookmarkEnd w:id="16"/>
    </w:p>
    <w:p w14:paraId="35C7BB28" w14:textId="77777777" w:rsidR="00636D9A" w:rsidRPr="00DA1464" w:rsidRDefault="00636D9A" w:rsidP="00DA1464">
      <w:pPr>
        <w:pStyle w:val="Heading1"/>
        <w:spacing w:line="360" w:lineRule="auto"/>
        <w:jc w:val="both"/>
        <w:rPr>
          <w:rFonts w:cs="Arial"/>
          <w:sz w:val="28"/>
          <w:szCs w:val="28"/>
        </w:rPr>
      </w:pPr>
    </w:p>
    <w:p w14:paraId="1A601937" w14:textId="77777777" w:rsidR="00B729EE" w:rsidRPr="00DA1464" w:rsidRDefault="00B729EE" w:rsidP="00DA1464">
      <w:pPr>
        <w:pStyle w:val="p1"/>
        <w:spacing w:line="360" w:lineRule="auto"/>
        <w:jc w:val="both"/>
        <w:rPr>
          <w:rFonts w:ascii="Arial" w:hAnsi="Arial" w:cs="Arial"/>
        </w:rPr>
      </w:pPr>
      <w:r w:rsidRPr="00DA1464">
        <w:rPr>
          <w:rStyle w:val="s1"/>
          <w:rFonts w:ascii="Arial" w:hAnsi="Arial" w:cs="Arial"/>
        </w:rPr>
        <w:t xml:space="preserve">This theme refers to the inconsistency, discontinuity and territorial variation that characterise social service responses to care leavers’ mental health needs. In this dissertation, </w:t>
      </w:r>
      <w:r w:rsidRPr="00DA1464">
        <w:rPr>
          <w:rStyle w:val="s2"/>
          <w:rFonts w:ascii="Arial" w:hAnsi="Arial" w:cs="Arial"/>
        </w:rPr>
        <w:t>fragmented service provision</w:t>
      </w:r>
      <w:r w:rsidRPr="00DA1464">
        <w:rPr>
          <w:rStyle w:val="s1"/>
          <w:rFonts w:ascii="Arial" w:hAnsi="Arial" w:cs="Arial"/>
        </w:rPr>
        <w:t xml:space="preserve"> means support that is divided across agencies, thresholds and transition points, making care difficult to access, sustain or coordinate, while </w:t>
      </w:r>
      <w:r w:rsidRPr="00DA1464">
        <w:rPr>
          <w:rStyle w:val="s2"/>
          <w:rFonts w:ascii="Arial" w:hAnsi="Arial" w:cs="Arial"/>
        </w:rPr>
        <w:t>uneven service provision</w:t>
      </w:r>
      <w:r w:rsidRPr="00DA1464">
        <w:rPr>
          <w:rStyle w:val="s1"/>
          <w:rFonts w:ascii="Arial" w:hAnsi="Arial" w:cs="Arial"/>
        </w:rPr>
        <w:t xml:space="preserve"> refers to variation in quality and availability between local authorities and regions (Foley et al., 2025; Ofsted, 2025d; Prendergast et al., 2024). This theme is central to the research question because the issue is not only whether support exists, but whether social services in Northern England provide sufficiently coherent and equitable responses to the high level of need identified in Theme 1 (Bennett et al., 2022; MacAlister, 2022).</w:t>
      </w:r>
    </w:p>
    <w:p w14:paraId="73B40435" w14:textId="77777777" w:rsidR="00B729EE" w:rsidRPr="00DA1464" w:rsidRDefault="00B729EE" w:rsidP="00DA1464">
      <w:pPr>
        <w:pStyle w:val="p2"/>
        <w:spacing w:line="360" w:lineRule="auto"/>
        <w:jc w:val="both"/>
        <w:rPr>
          <w:rFonts w:ascii="Arial" w:hAnsi="Arial" w:cs="Arial"/>
        </w:rPr>
      </w:pPr>
    </w:p>
    <w:p w14:paraId="5C124C0E" w14:textId="77777777" w:rsidR="00B729EE" w:rsidRPr="00DA1464" w:rsidRDefault="00B729EE" w:rsidP="00DA1464">
      <w:pPr>
        <w:pStyle w:val="p1"/>
        <w:spacing w:line="360" w:lineRule="auto"/>
        <w:jc w:val="both"/>
        <w:rPr>
          <w:rFonts w:ascii="Arial" w:hAnsi="Arial" w:cs="Arial"/>
        </w:rPr>
      </w:pPr>
      <w:r w:rsidRPr="00DA1464">
        <w:rPr>
          <w:rStyle w:val="s1"/>
          <w:rFonts w:ascii="Arial" w:hAnsi="Arial" w:cs="Arial"/>
        </w:rPr>
        <w:t xml:space="preserve">Historically, support for care leavers has developed through successive reforms intended to reduce abrupt transitions and improve continuity, yet repeated policy attention itself suggests that service fragmentation has been persistent rather than exceptional (HM Government, 2016; MacAlister, 2022; Ward, 2021). The </w:t>
      </w:r>
      <w:r w:rsidRPr="00DA1464">
        <w:rPr>
          <w:rStyle w:val="s2"/>
          <w:rFonts w:ascii="Arial" w:hAnsi="Arial" w:cs="Arial"/>
        </w:rPr>
        <w:t>Children (Leaving Care) Act 2000</w:t>
      </w:r>
      <w:r w:rsidRPr="00DA1464">
        <w:rPr>
          <w:rStyle w:val="s1"/>
          <w:rFonts w:ascii="Arial" w:hAnsi="Arial" w:cs="Arial"/>
        </w:rPr>
        <w:t xml:space="preserve"> created duties around pathway planning and personal advisers, while later measures such as </w:t>
      </w:r>
      <w:r w:rsidRPr="00DA1464">
        <w:rPr>
          <w:rStyle w:val="s2"/>
          <w:rFonts w:ascii="Arial" w:hAnsi="Arial" w:cs="Arial"/>
        </w:rPr>
        <w:t>Staying Put</w:t>
      </w:r>
      <w:r w:rsidRPr="00DA1464">
        <w:rPr>
          <w:rStyle w:val="s1"/>
          <w:rFonts w:ascii="Arial" w:hAnsi="Arial" w:cs="Arial"/>
        </w:rPr>
        <w:t xml:space="preserve">, </w:t>
      </w:r>
      <w:r w:rsidRPr="00DA1464">
        <w:rPr>
          <w:rStyle w:val="s2"/>
          <w:rFonts w:ascii="Arial" w:hAnsi="Arial" w:cs="Arial"/>
        </w:rPr>
        <w:t>Local Offer guidance</w:t>
      </w:r>
      <w:r w:rsidRPr="00DA1464">
        <w:rPr>
          <w:rStyle w:val="s1"/>
          <w:rFonts w:ascii="Arial" w:hAnsi="Arial" w:cs="Arial"/>
        </w:rPr>
        <w:t xml:space="preserve">, and the </w:t>
      </w:r>
      <w:r w:rsidRPr="00DA1464">
        <w:rPr>
          <w:rStyle w:val="s2"/>
          <w:rFonts w:ascii="Arial" w:hAnsi="Arial" w:cs="Arial"/>
        </w:rPr>
        <w:t>Children and Social Work Act 2017</w:t>
      </w:r>
      <w:r w:rsidRPr="00DA1464">
        <w:rPr>
          <w:rStyle w:val="s1"/>
          <w:rFonts w:ascii="Arial" w:hAnsi="Arial" w:cs="Arial"/>
        </w:rPr>
        <w:t xml:space="preserve"> sought to strengthen ongoing support and corporate parenting responsibilities (Children (Leaving Care) Act 2000; Children and </w:t>
      </w:r>
      <w:r w:rsidRPr="00DA1464">
        <w:rPr>
          <w:rStyle w:val="s1"/>
          <w:rFonts w:ascii="Arial" w:hAnsi="Arial" w:cs="Arial"/>
        </w:rPr>
        <w:lastRenderedPageBreak/>
        <w:t>Social Work Act 2017; Department for Education, 2025c; HM Government, 2013). Yet the continuity implied by legislation has not consistently translated into continuity in practice, particularly where mental health support depends on coordination between children’s social care, leaving care teams, housing services and NHS provision (Butterworth et al., 2017; Transformation Partners in Health and Care, 2023). The significance of this theme therefore lies in the gap between statutory promise and operational reality (Foley et al., 2025; Ofsted, 2022).</w:t>
      </w:r>
    </w:p>
    <w:p w14:paraId="44FC9704" w14:textId="77777777" w:rsidR="00B729EE" w:rsidRPr="00DA1464" w:rsidRDefault="00B729EE" w:rsidP="00DA1464">
      <w:pPr>
        <w:pStyle w:val="p2"/>
        <w:spacing w:line="360" w:lineRule="auto"/>
        <w:jc w:val="both"/>
        <w:rPr>
          <w:rFonts w:ascii="Arial" w:hAnsi="Arial" w:cs="Arial"/>
        </w:rPr>
      </w:pPr>
    </w:p>
    <w:p w14:paraId="293A5DCE" w14:textId="77777777" w:rsidR="00B729EE" w:rsidRPr="00DA1464" w:rsidRDefault="00B729EE" w:rsidP="00DA1464">
      <w:pPr>
        <w:pStyle w:val="p1"/>
        <w:spacing w:line="360" w:lineRule="auto"/>
        <w:jc w:val="both"/>
        <w:rPr>
          <w:rFonts w:ascii="Arial" w:hAnsi="Arial" w:cs="Arial"/>
        </w:rPr>
      </w:pPr>
      <w:r w:rsidRPr="00DA1464">
        <w:rPr>
          <w:rStyle w:val="s1"/>
          <w:rFonts w:ascii="Arial" w:hAnsi="Arial" w:cs="Arial"/>
        </w:rPr>
        <w:t xml:space="preserve">The current evidence base suggests that fragmentation is not an incidental weakness but a structural characteristic of the system. Prendergast et al. (2024) identify barriers to care leavers’ engagement with multi-agency support, showing that navigating different services can be difficult when thresholds, eligibility rules and professional responsibilities are poorly aligned. Prendergast et al. (2025) deepen this argument by showing that practitioners themselves recognise that engagement is shaped by trust, flexibility and the capacity to work beyond rigid institutional roles. Young et al. (2024) likewise show that care leavers’ access to emotional wellbeing support is constrained not merely by individual reluctance, but by how services are experienced as difficult to trust and hard to navigate. These studies are valuable because they move the discussion away from a simplistic assumption that young people fail to </w:t>
      </w:r>
      <w:proofErr w:type="gramStart"/>
      <w:r w:rsidRPr="00DA1464">
        <w:rPr>
          <w:rStyle w:val="s1"/>
          <w:rFonts w:ascii="Arial" w:hAnsi="Arial" w:cs="Arial"/>
        </w:rPr>
        <w:t>engage, and</w:t>
      </w:r>
      <w:proofErr w:type="gramEnd"/>
      <w:r w:rsidRPr="00DA1464">
        <w:rPr>
          <w:rStyle w:val="s1"/>
          <w:rFonts w:ascii="Arial" w:hAnsi="Arial" w:cs="Arial"/>
        </w:rPr>
        <w:t xml:space="preserve"> instead locate disengagement within the organisation of support itself (Prendergast et al., 2024; Prendergast et al., 2025; Young et al., 2024). That is critical for the dissertation because it suggests that uneven outcomes may reflect system design as much as individual need.</w:t>
      </w:r>
    </w:p>
    <w:p w14:paraId="3F2D6A26" w14:textId="77777777" w:rsidR="00B729EE" w:rsidRPr="00DA1464" w:rsidRDefault="00B729EE" w:rsidP="00DA1464">
      <w:pPr>
        <w:pStyle w:val="p2"/>
        <w:spacing w:line="360" w:lineRule="auto"/>
        <w:jc w:val="both"/>
        <w:rPr>
          <w:rFonts w:ascii="Arial" w:hAnsi="Arial" w:cs="Arial"/>
        </w:rPr>
      </w:pPr>
    </w:p>
    <w:p w14:paraId="4C4E0421" w14:textId="63458B0A" w:rsidR="00B729EE" w:rsidRPr="00DA1464" w:rsidRDefault="00B729EE" w:rsidP="00DA1464">
      <w:pPr>
        <w:pStyle w:val="p1"/>
        <w:spacing w:line="360" w:lineRule="auto"/>
        <w:jc w:val="both"/>
        <w:rPr>
          <w:rFonts w:ascii="Arial" w:hAnsi="Arial" w:cs="Arial"/>
        </w:rPr>
      </w:pPr>
      <w:r w:rsidRPr="00DA1464">
        <w:rPr>
          <w:rStyle w:val="s1"/>
          <w:rFonts w:ascii="Arial" w:hAnsi="Arial" w:cs="Arial"/>
        </w:rPr>
        <w:t xml:space="preserve">Statistical and inspection evidence reinforces this point. Ofsted (2025d) reports substantial regional variation in the quality of local authority children’s services. As </w:t>
      </w:r>
      <w:proofErr w:type="gramStart"/>
      <w:r w:rsidRPr="00DA1464">
        <w:rPr>
          <w:rStyle w:val="s1"/>
          <w:rFonts w:ascii="Arial" w:hAnsi="Arial" w:cs="Arial"/>
        </w:rPr>
        <w:t>at</w:t>
      </w:r>
      <w:proofErr w:type="gramEnd"/>
      <w:r w:rsidRPr="00DA1464">
        <w:rPr>
          <w:rStyle w:val="s1"/>
          <w:rFonts w:ascii="Arial" w:hAnsi="Arial" w:cs="Arial"/>
        </w:rPr>
        <w:t xml:space="preserve"> 31 March 2025, in the </w:t>
      </w:r>
      <w:proofErr w:type="gramStart"/>
      <w:r w:rsidRPr="00DA1464">
        <w:rPr>
          <w:rStyle w:val="s2"/>
          <w:rFonts w:ascii="Arial" w:hAnsi="Arial" w:cs="Arial"/>
        </w:rPr>
        <w:t>North West</w:t>
      </w:r>
      <w:proofErr w:type="gramEnd"/>
      <w:r w:rsidRPr="00DA1464">
        <w:rPr>
          <w:rStyle w:val="s1"/>
          <w:rFonts w:ascii="Arial" w:hAnsi="Arial" w:cs="Arial"/>
        </w:rPr>
        <w:t xml:space="preserve">, </w:t>
      </w:r>
      <w:r w:rsidRPr="00DA1464">
        <w:rPr>
          <w:rStyle w:val="s2"/>
          <w:rFonts w:ascii="Arial" w:hAnsi="Arial" w:cs="Arial"/>
        </w:rPr>
        <w:t>0%</w:t>
      </w:r>
      <w:r w:rsidRPr="00DA1464">
        <w:rPr>
          <w:rStyle w:val="s1"/>
          <w:rFonts w:ascii="Arial" w:hAnsi="Arial" w:cs="Arial"/>
        </w:rPr>
        <w:t xml:space="preserve"> of local authorities were judged </w:t>
      </w:r>
      <w:r w:rsidRPr="00DA1464">
        <w:rPr>
          <w:rStyle w:val="s2"/>
          <w:rFonts w:ascii="Arial" w:hAnsi="Arial" w:cs="Arial"/>
        </w:rPr>
        <w:t>outstanding</w:t>
      </w:r>
      <w:r w:rsidRPr="00DA1464">
        <w:rPr>
          <w:rStyle w:val="s1"/>
          <w:rFonts w:ascii="Arial" w:hAnsi="Arial" w:cs="Arial"/>
        </w:rPr>
        <w:t xml:space="preserve">, </w:t>
      </w:r>
      <w:r w:rsidRPr="00DA1464">
        <w:rPr>
          <w:rStyle w:val="s2"/>
          <w:rFonts w:ascii="Arial" w:hAnsi="Arial" w:cs="Arial"/>
        </w:rPr>
        <w:t>46%</w:t>
      </w:r>
      <w:r w:rsidRPr="00DA1464">
        <w:rPr>
          <w:rStyle w:val="s1"/>
          <w:rFonts w:ascii="Arial" w:hAnsi="Arial" w:cs="Arial"/>
        </w:rPr>
        <w:t xml:space="preserve"> were judged </w:t>
      </w:r>
      <w:r w:rsidRPr="00DA1464">
        <w:rPr>
          <w:rStyle w:val="s2"/>
          <w:rFonts w:ascii="Arial" w:hAnsi="Arial" w:cs="Arial"/>
        </w:rPr>
        <w:t>good</w:t>
      </w:r>
      <w:r w:rsidRPr="00DA1464">
        <w:rPr>
          <w:rStyle w:val="s1"/>
          <w:rFonts w:ascii="Arial" w:hAnsi="Arial" w:cs="Arial"/>
        </w:rPr>
        <w:t xml:space="preserve">, </w:t>
      </w:r>
      <w:r w:rsidRPr="00DA1464">
        <w:rPr>
          <w:rStyle w:val="s2"/>
          <w:rFonts w:ascii="Arial" w:hAnsi="Arial" w:cs="Arial"/>
        </w:rPr>
        <w:t>25%</w:t>
      </w:r>
      <w:r w:rsidRPr="00DA1464">
        <w:rPr>
          <w:rStyle w:val="s1"/>
          <w:rFonts w:ascii="Arial" w:hAnsi="Arial" w:cs="Arial"/>
        </w:rPr>
        <w:t xml:space="preserve"> were judged </w:t>
      </w:r>
      <w:r w:rsidRPr="00DA1464">
        <w:rPr>
          <w:rStyle w:val="s2"/>
          <w:rFonts w:ascii="Arial" w:hAnsi="Arial" w:cs="Arial"/>
        </w:rPr>
        <w:t>requires improvement to be good</w:t>
      </w:r>
      <w:r w:rsidRPr="00DA1464">
        <w:rPr>
          <w:rStyle w:val="s1"/>
          <w:rFonts w:ascii="Arial" w:hAnsi="Arial" w:cs="Arial"/>
        </w:rPr>
        <w:t xml:space="preserve">, and </w:t>
      </w:r>
      <w:r w:rsidRPr="00DA1464">
        <w:rPr>
          <w:rStyle w:val="s2"/>
          <w:rFonts w:ascii="Arial" w:hAnsi="Arial" w:cs="Arial"/>
        </w:rPr>
        <w:t>29%</w:t>
      </w:r>
      <w:r w:rsidRPr="00DA1464">
        <w:rPr>
          <w:rStyle w:val="s1"/>
          <w:rFonts w:ascii="Arial" w:hAnsi="Arial" w:cs="Arial"/>
        </w:rPr>
        <w:t xml:space="preserve"> were judged </w:t>
      </w:r>
      <w:r w:rsidRPr="00DA1464">
        <w:rPr>
          <w:rStyle w:val="s2"/>
          <w:rFonts w:ascii="Arial" w:hAnsi="Arial" w:cs="Arial"/>
        </w:rPr>
        <w:t>inadequate</w:t>
      </w:r>
      <w:r w:rsidRPr="00DA1464">
        <w:rPr>
          <w:rStyle w:val="s1"/>
          <w:rFonts w:ascii="Arial" w:hAnsi="Arial" w:cs="Arial"/>
        </w:rPr>
        <w:t xml:space="preserve"> (Ofsted, 2025d). By contrast, in the </w:t>
      </w:r>
      <w:proofErr w:type="gramStart"/>
      <w:r w:rsidRPr="00DA1464">
        <w:rPr>
          <w:rStyle w:val="s2"/>
          <w:rFonts w:ascii="Arial" w:hAnsi="Arial" w:cs="Arial"/>
        </w:rPr>
        <w:t>South East</w:t>
      </w:r>
      <w:proofErr w:type="gramEnd"/>
      <w:r w:rsidRPr="00DA1464">
        <w:rPr>
          <w:rStyle w:val="s1"/>
          <w:rFonts w:ascii="Arial" w:hAnsi="Arial" w:cs="Arial"/>
        </w:rPr>
        <w:t xml:space="preserve">, </w:t>
      </w:r>
      <w:r w:rsidRPr="00DA1464">
        <w:rPr>
          <w:rStyle w:val="s2"/>
          <w:rFonts w:ascii="Arial" w:hAnsi="Arial" w:cs="Arial"/>
        </w:rPr>
        <w:t>21%</w:t>
      </w:r>
      <w:r w:rsidRPr="00DA1464">
        <w:rPr>
          <w:rStyle w:val="s1"/>
          <w:rFonts w:ascii="Arial" w:hAnsi="Arial" w:cs="Arial"/>
        </w:rPr>
        <w:t xml:space="preserve"> were judged </w:t>
      </w:r>
      <w:r w:rsidRPr="00DA1464">
        <w:rPr>
          <w:rStyle w:val="s2"/>
          <w:rFonts w:ascii="Arial" w:hAnsi="Arial" w:cs="Arial"/>
        </w:rPr>
        <w:t>outstanding</w:t>
      </w:r>
      <w:r w:rsidRPr="00DA1464">
        <w:rPr>
          <w:rStyle w:val="s1"/>
          <w:rFonts w:ascii="Arial" w:hAnsi="Arial" w:cs="Arial"/>
        </w:rPr>
        <w:t xml:space="preserve">, </w:t>
      </w:r>
      <w:r w:rsidRPr="00DA1464">
        <w:rPr>
          <w:rStyle w:val="s2"/>
          <w:rFonts w:ascii="Arial" w:hAnsi="Arial" w:cs="Arial"/>
        </w:rPr>
        <w:t>53%</w:t>
      </w:r>
      <w:r w:rsidRPr="00DA1464">
        <w:rPr>
          <w:rStyle w:val="s1"/>
          <w:rFonts w:ascii="Arial" w:hAnsi="Arial" w:cs="Arial"/>
        </w:rPr>
        <w:t xml:space="preserve"> </w:t>
      </w:r>
      <w:r w:rsidRPr="00DA1464">
        <w:rPr>
          <w:rStyle w:val="s2"/>
          <w:rFonts w:ascii="Arial" w:hAnsi="Arial" w:cs="Arial"/>
        </w:rPr>
        <w:t>good</w:t>
      </w:r>
      <w:r w:rsidRPr="00DA1464">
        <w:rPr>
          <w:rStyle w:val="s1"/>
          <w:rFonts w:ascii="Arial" w:hAnsi="Arial" w:cs="Arial"/>
        </w:rPr>
        <w:t xml:space="preserve">, </w:t>
      </w:r>
      <w:r w:rsidRPr="00DA1464">
        <w:rPr>
          <w:rStyle w:val="s2"/>
          <w:rFonts w:ascii="Arial" w:hAnsi="Arial" w:cs="Arial"/>
        </w:rPr>
        <w:t>26%</w:t>
      </w:r>
      <w:r w:rsidRPr="00DA1464">
        <w:rPr>
          <w:rStyle w:val="s1"/>
          <w:rFonts w:ascii="Arial" w:hAnsi="Arial" w:cs="Arial"/>
        </w:rPr>
        <w:t xml:space="preserve"> </w:t>
      </w:r>
      <w:r w:rsidRPr="00DA1464">
        <w:rPr>
          <w:rStyle w:val="s2"/>
          <w:rFonts w:ascii="Arial" w:hAnsi="Arial" w:cs="Arial"/>
        </w:rPr>
        <w:t>requires improvement to be good</w:t>
      </w:r>
      <w:r w:rsidRPr="00DA1464">
        <w:rPr>
          <w:rStyle w:val="s1"/>
          <w:rFonts w:ascii="Arial" w:hAnsi="Arial" w:cs="Arial"/>
        </w:rPr>
        <w:t xml:space="preserve">, and </w:t>
      </w:r>
      <w:r w:rsidRPr="00DA1464">
        <w:rPr>
          <w:rStyle w:val="s2"/>
          <w:rFonts w:ascii="Arial" w:hAnsi="Arial" w:cs="Arial"/>
        </w:rPr>
        <w:t>0%</w:t>
      </w:r>
      <w:r w:rsidRPr="00DA1464">
        <w:rPr>
          <w:rStyle w:val="s1"/>
          <w:rFonts w:ascii="Arial" w:hAnsi="Arial" w:cs="Arial"/>
        </w:rPr>
        <w:t xml:space="preserve"> </w:t>
      </w:r>
      <w:r w:rsidRPr="00DA1464">
        <w:rPr>
          <w:rStyle w:val="s2"/>
          <w:rFonts w:ascii="Arial" w:hAnsi="Arial" w:cs="Arial"/>
        </w:rPr>
        <w:t>inadequate</w:t>
      </w:r>
      <w:r w:rsidRPr="00DA1464">
        <w:rPr>
          <w:rStyle w:val="s1"/>
          <w:rFonts w:ascii="Arial" w:hAnsi="Arial" w:cs="Arial"/>
        </w:rPr>
        <w:t xml:space="preserve"> (Ofsted, 2025d). These figures are noteworthy because they do not prove </w:t>
      </w:r>
      <w:r w:rsidRPr="00DA1464">
        <w:rPr>
          <w:rStyle w:val="s1"/>
          <w:rFonts w:ascii="Arial" w:hAnsi="Arial" w:cs="Arial"/>
        </w:rPr>
        <w:lastRenderedPageBreak/>
        <w:t xml:space="preserve">mental health outcomes directly, yet they do indicate that children’s social care quality is territorially uneven, which is highly relevant when care leavers depend on local authority performance for pathway planning, leaving-care support and inter-agency coordination (Foley et al., 2025; Ofsted, 2025d). Within Northern England, local variation is equally striking. Durham was judged </w:t>
      </w:r>
      <w:r w:rsidRPr="00DA1464">
        <w:rPr>
          <w:rStyle w:val="s2"/>
          <w:rFonts w:ascii="Arial" w:hAnsi="Arial" w:cs="Arial"/>
        </w:rPr>
        <w:t>outstanding</w:t>
      </w:r>
      <w:r w:rsidRPr="00DA1464">
        <w:rPr>
          <w:rStyle w:val="s1"/>
          <w:rFonts w:ascii="Arial" w:hAnsi="Arial" w:cs="Arial"/>
        </w:rPr>
        <w:t xml:space="preserve"> overall and for care leavers, Newcastle was judged </w:t>
      </w:r>
      <w:r w:rsidRPr="00DA1464">
        <w:rPr>
          <w:rStyle w:val="s2"/>
          <w:rFonts w:ascii="Arial" w:hAnsi="Arial" w:cs="Arial"/>
        </w:rPr>
        <w:t>good</w:t>
      </w:r>
      <w:r w:rsidRPr="00DA1464">
        <w:rPr>
          <w:rStyle w:val="s1"/>
          <w:rFonts w:ascii="Arial" w:hAnsi="Arial" w:cs="Arial"/>
        </w:rPr>
        <w:t xml:space="preserve"> overall but </w:t>
      </w:r>
      <w:r w:rsidRPr="00DA1464">
        <w:rPr>
          <w:rStyle w:val="s2"/>
          <w:rFonts w:ascii="Arial" w:hAnsi="Arial" w:cs="Arial"/>
        </w:rPr>
        <w:t>requires improvement to be good</w:t>
      </w:r>
      <w:r w:rsidRPr="00DA1464">
        <w:rPr>
          <w:rStyle w:val="s1"/>
          <w:rFonts w:ascii="Arial" w:hAnsi="Arial" w:cs="Arial"/>
        </w:rPr>
        <w:t xml:space="preserve"> for care leavers, and Liverpool was judged </w:t>
      </w:r>
      <w:r w:rsidRPr="00DA1464">
        <w:rPr>
          <w:rStyle w:val="s2"/>
          <w:rFonts w:ascii="Arial" w:hAnsi="Arial" w:cs="Arial"/>
        </w:rPr>
        <w:t>inadequate</w:t>
      </w:r>
      <w:r w:rsidRPr="00DA1464">
        <w:rPr>
          <w:rStyle w:val="s1"/>
          <w:rFonts w:ascii="Arial" w:hAnsi="Arial" w:cs="Arial"/>
        </w:rPr>
        <w:t xml:space="preserve"> overall and for care leavers (Ofsted, 2023; Ofsted, 2025b; Ofsted, 2025c). The implication is that nationally defined rights do not yield a uniform level of service delivery even within the same region (Durham County Council, 2026; Liverpool City Council, 2026; Newcastle City Council, 2026).</w:t>
      </w:r>
      <w:r w:rsidR="00B05421" w:rsidRPr="00B05421">
        <w:rPr>
          <w:rStyle w:val="s1"/>
          <w:rFonts w:ascii="Arial" w:hAnsi="Arial" w:cs="Arial"/>
        </w:rPr>
        <w:t xml:space="preserve"> This is reinforced by Murphy et al. (2025), who identify growing complexity in care-related intervention in </w:t>
      </w:r>
      <w:proofErr w:type="gramStart"/>
      <w:r w:rsidR="00B05421" w:rsidRPr="00B05421">
        <w:rPr>
          <w:rStyle w:val="s1"/>
          <w:rFonts w:ascii="Arial" w:hAnsi="Arial" w:cs="Arial"/>
        </w:rPr>
        <w:t>North West</w:t>
      </w:r>
      <w:proofErr w:type="gramEnd"/>
      <w:r w:rsidR="00B05421" w:rsidRPr="00B05421">
        <w:rPr>
          <w:rStyle w:val="s1"/>
          <w:rFonts w:ascii="Arial" w:hAnsi="Arial" w:cs="Arial"/>
        </w:rPr>
        <w:t xml:space="preserve"> England, suggesting that regional service pressures are part of a wider landscape of instability and demand.</w:t>
      </w:r>
    </w:p>
    <w:p w14:paraId="68013509" w14:textId="77777777" w:rsidR="00B729EE" w:rsidRPr="00DA1464" w:rsidRDefault="00B729EE" w:rsidP="00DA1464">
      <w:pPr>
        <w:pStyle w:val="p2"/>
        <w:spacing w:line="360" w:lineRule="auto"/>
        <w:jc w:val="both"/>
        <w:rPr>
          <w:rFonts w:ascii="Arial" w:hAnsi="Arial" w:cs="Arial"/>
        </w:rPr>
      </w:pPr>
    </w:p>
    <w:p w14:paraId="115C8C50" w14:textId="7A6B2333" w:rsidR="00B729EE" w:rsidRPr="00DA1464" w:rsidRDefault="00B729EE" w:rsidP="00DA1464">
      <w:pPr>
        <w:pStyle w:val="p1"/>
        <w:spacing w:line="360" w:lineRule="auto"/>
        <w:jc w:val="both"/>
        <w:rPr>
          <w:rFonts w:ascii="Arial" w:hAnsi="Arial" w:cs="Arial"/>
        </w:rPr>
      </w:pPr>
      <w:r w:rsidRPr="00DA1464">
        <w:rPr>
          <w:rStyle w:val="s1"/>
          <w:rFonts w:ascii="Arial" w:hAnsi="Arial" w:cs="Arial"/>
        </w:rPr>
        <w:t xml:space="preserve">From a theoretical perspective, this theme is best explained through </w:t>
      </w:r>
      <w:r w:rsidRPr="00DA1464">
        <w:rPr>
          <w:rStyle w:val="s2"/>
          <w:rFonts w:ascii="Arial" w:hAnsi="Arial" w:cs="Arial"/>
        </w:rPr>
        <w:t>agency–structure</w:t>
      </w:r>
      <w:r w:rsidRPr="00DA1464">
        <w:rPr>
          <w:rStyle w:val="s1"/>
          <w:rFonts w:ascii="Arial" w:hAnsi="Arial" w:cs="Arial"/>
        </w:rPr>
        <w:t xml:space="preserve"> and </w:t>
      </w:r>
      <w:r w:rsidRPr="00DA1464">
        <w:rPr>
          <w:rStyle w:val="s2"/>
          <w:rFonts w:ascii="Arial" w:hAnsi="Arial" w:cs="Arial"/>
        </w:rPr>
        <w:t>capabilities</w:t>
      </w:r>
      <w:r w:rsidRPr="00DA1464">
        <w:rPr>
          <w:rStyle w:val="s1"/>
          <w:rFonts w:ascii="Arial" w:hAnsi="Arial" w:cs="Arial"/>
        </w:rPr>
        <w:t xml:space="preserve"> perspectives. Sharma (2025) is useful here because the integrated model recognises that care leavers’ outcomes are shaped not only by internal resilience or vulnerability, but by the institutional and social conditions that structure opportunity. The </w:t>
      </w:r>
      <w:r w:rsidRPr="00DA1464">
        <w:rPr>
          <w:rStyle w:val="s2"/>
          <w:rFonts w:ascii="Arial" w:hAnsi="Arial" w:cs="Arial"/>
        </w:rPr>
        <w:t>capabilities approach</w:t>
      </w:r>
      <w:r w:rsidRPr="00DA1464">
        <w:rPr>
          <w:rStyle w:val="s1"/>
          <w:rFonts w:ascii="Arial" w:hAnsi="Arial" w:cs="Arial"/>
        </w:rPr>
        <w:t xml:space="preserve"> is particularly relevant because it asks not whether support is formally available, but whether young people have genuine opportunities to use it effectively (Sharma, 2025). A local offer may exist on paper, but if thresholds are restrictive, pathways are unclear, or services are difficult to sustain, then formal entitlement does not become substantive capability (Bennett et al., 2022; Sharma, 2025). </w:t>
      </w:r>
      <w:r w:rsidRPr="00DA1464">
        <w:rPr>
          <w:rStyle w:val="s2"/>
          <w:rFonts w:ascii="Arial" w:hAnsi="Arial" w:cs="Arial"/>
        </w:rPr>
        <w:t>Social capital theory</w:t>
      </w:r>
      <w:r w:rsidRPr="00DA1464">
        <w:rPr>
          <w:rStyle w:val="s1"/>
          <w:rFonts w:ascii="Arial" w:hAnsi="Arial" w:cs="Arial"/>
        </w:rPr>
        <w:t xml:space="preserve"> is similarly helpful because fragmented services often undermine the trusting relationships and network continuity that enable young people to engage with support at all (Stubbs et al., 2023). These theories matter to the research question because they show why effectiveness must be judged by the lived coherence of provision rather than by policy architecture alone (Prendergast et al., 2024; Sharma, 2025).</w:t>
      </w:r>
      <w:r w:rsidR="00562EA0" w:rsidRPr="00562EA0">
        <w:rPr>
          <w:rStyle w:val="s1"/>
          <w:rFonts w:ascii="Arial" w:hAnsi="Arial" w:cs="Arial"/>
        </w:rPr>
        <w:t xml:space="preserve"> This concern is consistent with wider reviews of mental health services for care-experienced young people, which indicate continuing inconsistency in provision and limited clarity about what support is most effective in practice (Ott et al., 2023).</w:t>
      </w:r>
    </w:p>
    <w:p w14:paraId="267F9E13" w14:textId="77777777" w:rsidR="00B729EE" w:rsidRPr="00DA1464" w:rsidRDefault="00B729EE" w:rsidP="00DA1464">
      <w:pPr>
        <w:pStyle w:val="p2"/>
        <w:spacing w:line="360" w:lineRule="auto"/>
        <w:jc w:val="both"/>
        <w:rPr>
          <w:rFonts w:ascii="Arial" w:hAnsi="Arial" w:cs="Arial"/>
        </w:rPr>
      </w:pPr>
    </w:p>
    <w:p w14:paraId="08DFFD8C" w14:textId="77777777" w:rsidR="00B729EE" w:rsidRPr="00DA1464" w:rsidRDefault="00B729EE" w:rsidP="00DA1464">
      <w:pPr>
        <w:pStyle w:val="p1"/>
        <w:spacing w:line="360" w:lineRule="auto"/>
        <w:jc w:val="both"/>
        <w:rPr>
          <w:rFonts w:ascii="Arial" w:hAnsi="Arial" w:cs="Arial"/>
        </w:rPr>
      </w:pPr>
      <w:r w:rsidRPr="00DA1464">
        <w:rPr>
          <w:rStyle w:val="s1"/>
          <w:rFonts w:ascii="Arial" w:hAnsi="Arial" w:cs="Arial"/>
        </w:rPr>
        <w:t xml:space="preserve">The policy framework is extensive. The </w:t>
      </w:r>
      <w:r w:rsidRPr="00DA1464">
        <w:rPr>
          <w:rStyle w:val="s2"/>
          <w:rFonts w:ascii="Arial" w:hAnsi="Arial" w:cs="Arial"/>
        </w:rPr>
        <w:t>Children Act 1989</w:t>
      </w:r>
      <w:r w:rsidRPr="00DA1464">
        <w:rPr>
          <w:rStyle w:val="s1"/>
          <w:rFonts w:ascii="Arial" w:hAnsi="Arial" w:cs="Arial"/>
        </w:rPr>
        <w:t xml:space="preserve">, </w:t>
      </w:r>
      <w:r w:rsidRPr="00DA1464">
        <w:rPr>
          <w:rStyle w:val="s2"/>
          <w:rFonts w:ascii="Arial" w:hAnsi="Arial" w:cs="Arial"/>
        </w:rPr>
        <w:t>Children (Leaving Care) Act 2000</w:t>
      </w:r>
      <w:r w:rsidRPr="00DA1464">
        <w:rPr>
          <w:rStyle w:val="s1"/>
          <w:rFonts w:ascii="Arial" w:hAnsi="Arial" w:cs="Arial"/>
        </w:rPr>
        <w:t xml:space="preserve">, </w:t>
      </w:r>
      <w:r w:rsidRPr="00DA1464">
        <w:rPr>
          <w:rStyle w:val="s2"/>
          <w:rFonts w:ascii="Arial" w:hAnsi="Arial" w:cs="Arial"/>
        </w:rPr>
        <w:t>Care Leavers (England) Regulations 2010</w:t>
      </w:r>
      <w:r w:rsidRPr="00DA1464">
        <w:rPr>
          <w:rStyle w:val="s1"/>
          <w:rFonts w:ascii="Arial" w:hAnsi="Arial" w:cs="Arial"/>
        </w:rPr>
        <w:t xml:space="preserve">, and </w:t>
      </w:r>
      <w:r w:rsidRPr="00DA1464">
        <w:rPr>
          <w:rStyle w:val="s2"/>
          <w:rFonts w:ascii="Arial" w:hAnsi="Arial" w:cs="Arial"/>
        </w:rPr>
        <w:t>Children and Social Work Act 2017</w:t>
      </w:r>
      <w:r w:rsidRPr="00DA1464">
        <w:rPr>
          <w:rStyle w:val="s1"/>
          <w:rFonts w:ascii="Arial" w:hAnsi="Arial" w:cs="Arial"/>
        </w:rPr>
        <w:t xml:space="preserve"> together create a layered set of duties around support, planning and corporate parenting (Children Act 1989; Children (Leaving Care) Act 2000; Children and Social Work Act 2017; The Care Leavers (England) Regulations 2010). </w:t>
      </w:r>
      <w:r w:rsidRPr="00DA1464">
        <w:rPr>
          <w:rStyle w:val="s2"/>
          <w:rFonts w:ascii="Arial" w:hAnsi="Arial" w:cs="Arial"/>
        </w:rPr>
        <w:t>Local Offer guidance</w:t>
      </w:r>
      <w:r w:rsidRPr="00DA1464">
        <w:rPr>
          <w:rStyle w:val="s1"/>
          <w:rFonts w:ascii="Arial" w:hAnsi="Arial" w:cs="Arial"/>
        </w:rPr>
        <w:t xml:space="preserve"> requires authorities to publish what support is available, while </w:t>
      </w:r>
      <w:r w:rsidRPr="00DA1464">
        <w:rPr>
          <w:rStyle w:val="s2"/>
          <w:rFonts w:ascii="Arial" w:hAnsi="Arial" w:cs="Arial"/>
        </w:rPr>
        <w:t>joint housing protocols</w:t>
      </w:r>
      <w:r w:rsidRPr="00DA1464">
        <w:rPr>
          <w:rStyle w:val="s1"/>
          <w:rFonts w:ascii="Arial" w:hAnsi="Arial" w:cs="Arial"/>
        </w:rPr>
        <w:t xml:space="preserve"> and the </w:t>
      </w:r>
      <w:r w:rsidRPr="00DA1464">
        <w:rPr>
          <w:rStyle w:val="s2"/>
          <w:rFonts w:ascii="Arial" w:hAnsi="Arial" w:cs="Arial"/>
        </w:rPr>
        <w:t>Homelessness Reduction Act 2017</w:t>
      </w:r>
      <w:r w:rsidRPr="00DA1464">
        <w:rPr>
          <w:rStyle w:val="s1"/>
          <w:rFonts w:ascii="Arial" w:hAnsi="Arial" w:cs="Arial"/>
        </w:rPr>
        <w:t xml:space="preserve"> seek to improve accommodation security and coordination with housing services (Department for Education, 2025c; Department for Levelling Up, Housing and Communities and Department for Education, 2024; Homelessness Reduction Act 2017). Mental health policy expectations are strengthened further by </w:t>
      </w:r>
      <w:r w:rsidRPr="00DA1464">
        <w:rPr>
          <w:rStyle w:val="s2"/>
          <w:rFonts w:ascii="Arial" w:hAnsi="Arial" w:cs="Arial"/>
        </w:rPr>
        <w:t>NICE</w:t>
      </w:r>
      <w:r w:rsidRPr="00DA1464">
        <w:rPr>
          <w:rStyle w:val="s1"/>
          <w:rFonts w:ascii="Arial" w:hAnsi="Arial" w:cs="Arial"/>
        </w:rPr>
        <w:t xml:space="preserve"> and the </w:t>
      </w:r>
      <w:r w:rsidRPr="00DA1464">
        <w:rPr>
          <w:rStyle w:val="s2"/>
          <w:rFonts w:ascii="Arial" w:hAnsi="Arial" w:cs="Arial"/>
        </w:rPr>
        <w:t>NHS Long Term Plan</w:t>
      </w:r>
      <w:r w:rsidRPr="00DA1464">
        <w:rPr>
          <w:rStyle w:val="s1"/>
          <w:rFonts w:ascii="Arial" w:hAnsi="Arial" w:cs="Arial"/>
        </w:rPr>
        <w:t xml:space="preserve"> (National Institute for Health and Care Excellence, 2021; NHS England, 2019). Yet policy abundance is not the same as policy effectiveness. MacAlister (2022) argues that the system remains too reactive and inconsistent, while Ofsted (2022) shows that many care leavers still feel underprepared and unsupported. The persistence of multiple reforms and guidance documents therefore raises a critical question: if the framework is already extensive, why do fragmentation and unevenness remain so pronounced (Foley et al., 2025; MacAlister, 2022)?</w:t>
      </w:r>
    </w:p>
    <w:p w14:paraId="140E91A5" w14:textId="77777777" w:rsidR="00B729EE" w:rsidRPr="00DA1464" w:rsidRDefault="00B729EE" w:rsidP="00DA1464">
      <w:pPr>
        <w:pStyle w:val="p2"/>
        <w:spacing w:line="360" w:lineRule="auto"/>
        <w:jc w:val="both"/>
        <w:rPr>
          <w:rFonts w:ascii="Arial" w:hAnsi="Arial" w:cs="Arial"/>
        </w:rPr>
      </w:pPr>
    </w:p>
    <w:p w14:paraId="0DF619BF" w14:textId="77777777" w:rsidR="00B729EE" w:rsidRPr="00DA1464" w:rsidRDefault="00B729EE" w:rsidP="00DA1464">
      <w:pPr>
        <w:pStyle w:val="p1"/>
        <w:spacing w:line="360" w:lineRule="auto"/>
        <w:jc w:val="both"/>
        <w:rPr>
          <w:rFonts w:ascii="Arial" w:hAnsi="Arial" w:cs="Arial"/>
        </w:rPr>
      </w:pPr>
      <w:r w:rsidRPr="00DA1464">
        <w:rPr>
          <w:rStyle w:val="s1"/>
          <w:rFonts w:ascii="Arial" w:hAnsi="Arial" w:cs="Arial"/>
        </w:rPr>
        <w:t xml:space="preserve">Examples from the literature demonstrate broad agreement on this problem. </w:t>
      </w:r>
      <w:r w:rsidRPr="00DA1464">
        <w:rPr>
          <w:rStyle w:val="s2"/>
          <w:rFonts w:ascii="Arial" w:hAnsi="Arial" w:cs="Arial"/>
        </w:rPr>
        <w:t>Prendergast et al. (2024)</w:t>
      </w:r>
      <w:r w:rsidRPr="00DA1464">
        <w:rPr>
          <w:rStyle w:val="s1"/>
          <w:rFonts w:ascii="Arial" w:hAnsi="Arial" w:cs="Arial"/>
        </w:rPr>
        <w:t xml:space="preserve"> show that engagement with support is obstructed by fragmented multi-agency arrangements, making their article particularly useful for understanding system design. </w:t>
      </w:r>
      <w:r w:rsidRPr="00DA1464">
        <w:rPr>
          <w:rStyle w:val="s2"/>
          <w:rFonts w:ascii="Arial" w:hAnsi="Arial" w:cs="Arial"/>
        </w:rPr>
        <w:t>Butterworth et al. (2017)</w:t>
      </w:r>
      <w:r w:rsidRPr="00DA1464">
        <w:rPr>
          <w:rStyle w:val="s1"/>
          <w:rFonts w:ascii="Arial" w:hAnsi="Arial" w:cs="Arial"/>
        </w:rPr>
        <w:t xml:space="preserve"> provide a more specific example by showing that care leavers with mental health needs experience the transition between child and adult services as insecure and poorly coordinated. </w:t>
      </w:r>
      <w:r w:rsidRPr="00DA1464">
        <w:rPr>
          <w:rStyle w:val="s2"/>
          <w:rFonts w:ascii="Arial" w:hAnsi="Arial" w:cs="Arial"/>
        </w:rPr>
        <w:t>Ofsted (2022)</w:t>
      </w:r>
      <w:r w:rsidRPr="00DA1464">
        <w:rPr>
          <w:rStyle w:val="s1"/>
          <w:rFonts w:ascii="Arial" w:hAnsi="Arial" w:cs="Arial"/>
        </w:rPr>
        <w:t xml:space="preserve"> adds an inspection-based perspective, showing that care leavers themselves report feeling unready and insufficiently supported. These sources differ in method and emphasis, yet they converge on the same conclusion: the problem is not simply the absence of support, but the failure to organise support in ways that are accessible, relational and continuous (Butterworth et al., 2017; Ofsted, 2022; Prendergast et al., </w:t>
      </w:r>
      <w:r w:rsidRPr="00DA1464">
        <w:rPr>
          <w:rStyle w:val="s1"/>
          <w:rFonts w:ascii="Arial" w:hAnsi="Arial" w:cs="Arial"/>
        </w:rPr>
        <w:lastRenderedPageBreak/>
        <w:t>2024). This directly answers the research question by showing that social services are often limited less by lack of awareness of need than by fragmentation in response.</w:t>
      </w:r>
    </w:p>
    <w:p w14:paraId="35466DB5" w14:textId="77777777" w:rsidR="00B729EE" w:rsidRPr="00DA1464" w:rsidRDefault="00B729EE" w:rsidP="00DA1464">
      <w:pPr>
        <w:pStyle w:val="p2"/>
        <w:spacing w:line="360" w:lineRule="auto"/>
        <w:jc w:val="both"/>
        <w:rPr>
          <w:rFonts w:ascii="Arial" w:hAnsi="Arial" w:cs="Arial"/>
        </w:rPr>
      </w:pPr>
    </w:p>
    <w:p w14:paraId="69EB90DE" w14:textId="77777777" w:rsidR="00B729EE" w:rsidRPr="00DA1464" w:rsidRDefault="00B729EE" w:rsidP="00DA1464">
      <w:pPr>
        <w:pStyle w:val="p1"/>
        <w:spacing w:line="360" w:lineRule="auto"/>
        <w:jc w:val="both"/>
        <w:rPr>
          <w:rFonts w:ascii="Arial" w:hAnsi="Arial" w:cs="Arial"/>
        </w:rPr>
      </w:pPr>
      <w:r w:rsidRPr="00DA1464">
        <w:rPr>
          <w:rStyle w:val="s1"/>
          <w:rFonts w:ascii="Arial" w:hAnsi="Arial" w:cs="Arial"/>
        </w:rPr>
        <w:t>The implications of this theme are mixed. Positively, the existence of statutory duties, local offers and inspection frameworks means that care leavers’ needs are now more visible within policy than in earlier periods (Department for Education, 2025c; Foley et al., 2025). Negatively, fragmented and uneven provision means that visibility does not guarantee equity. Where support depends heavily on local authority performance, workforce capacity and successful inter-agency working, young people with identical legal entitlements may still experience materially different outcomes (Durham County Council, 2026; Liverpool City Council, 2026; Newcastle City Council, 2026; Ofsted, 2025d). This theme connects directly to Theme 1 because high mental health need becomes more damaging when services are fragmented. It connects equally to Theme 3 because continuity, trust and relational support emerge as the practical antidote to fragmentation. Theme 2 therefore shows that mental health inequalities among care leavers are not sustained only by vulnerability, but by a service landscape in which provision remains territorially uneven, organisationally divided and insufficiently coordinated.</w:t>
      </w:r>
    </w:p>
    <w:p w14:paraId="0D8B4DA0" w14:textId="3E9DEA0C" w:rsidR="00636D9A" w:rsidRPr="00DA1464" w:rsidRDefault="001C3AF6" w:rsidP="00DA1464">
      <w:pPr>
        <w:pStyle w:val="Heading2"/>
        <w:rPr>
          <w:rFonts w:ascii="Arial" w:hAnsi="Arial" w:cs="Arial"/>
          <w:sz w:val="28"/>
          <w:szCs w:val="28"/>
        </w:rPr>
      </w:pPr>
      <w:bookmarkStart w:id="17" w:name="_Toc226533377"/>
      <w:r w:rsidRPr="00DA1464">
        <w:rPr>
          <w:rFonts w:ascii="Arial" w:hAnsi="Arial" w:cs="Arial"/>
        </w:rPr>
        <w:t xml:space="preserve">4.5 – Theme 3 </w:t>
      </w:r>
      <w:r w:rsidR="00CD78E4" w:rsidRPr="00DA1464">
        <w:rPr>
          <w:rFonts w:ascii="Arial" w:hAnsi="Arial" w:cs="Arial"/>
        </w:rPr>
        <w:t>– Continuity and Relational Support as Protective Factors</w:t>
      </w:r>
      <w:bookmarkEnd w:id="17"/>
    </w:p>
    <w:p w14:paraId="3225C9A3" w14:textId="081AEFE1" w:rsidR="000B5448" w:rsidRPr="00DA1464" w:rsidRDefault="000B5448" w:rsidP="00DA1464">
      <w:pPr>
        <w:pStyle w:val="p1"/>
        <w:spacing w:line="360" w:lineRule="auto"/>
        <w:jc w:val="both"/>
        <w:rPr>
          <w:rFonts w:ascii="Arial" w:hAnsi="Arial" w:cs="Arial"/>
        </w:rPr>
      </w:pPr>
      <w:r w:rsidRPr="00DA1464">
        <w:rPr>
          <w:rStyle w:val="s1"/>
          <w:rFonts w:ascii="Arial" w:hAnsi="Arial" w:cs="Arial"/>
        </w:rPr>
        <w:t xml:space="preserve">This theme refers to the importance of </w:t>
      </w:r>
      <w:r w:rsidRPr="00DA1464">
        <w:rPr>
          <w:rStyle w:val="s2"/>
          <w:rFonts w:ascii="Arial" w:hAnsi="Arial" w:cs="Arial"/>
        </w:rPr>
        <w:t>stable relationships, extended support and coordinated continuity across services</w:t>
      </w:r>
      <w:r w:rsidRPr="00DA1464">
        <w:rPr>
          <w:rStyle w:val="s1"/>
          <w:rFonts w:ascii="Arial" w:hAnsi="Arial" w:cs="Arial"/>
        </w:rPr>
        <w:t xml:space="preserve"> in protecting care leavers from worsening mental health inequalities during the transition to adulthood (Allen, 2023; Sharma, 2025; Stubbs et al., 2023). In this dissertation, </w:t>
      </w:r>
      <w:r w:rsidRPr="00DA1464">
        <w:rPr>
          <w:rStyle w:val="s2"/>
          <w:rFonts w:ascii="Arial" w:hAnsi="Arial" w:cs="Arial"/>
        </w:rPr>
        <w:t>continuity</w:t>
      </w:r>
      <w:r w:rsidRPr="00DA1464">
        <w:rPr>
          <w:rStyle w:val="s1"/>
          <w:rFonts w:ascii="Arial" w:hAnsi="Arial" w:cs="Arial"/>
        </w:rPr>
        <w:t xml:space="preserve"> means more than the formal existence of services. It refers to sustained emotional, practical and professional support over time, including trusted adults, consistent personal advisers, stable accommodation and smoother transition between child and adult provision (Butterworth et al., 2017; Department for Education, 2025a; HM Government, 2013). This theme is directly relevant to the research question because, if social services are to reduce mental health inequalities effectively, they must not only recognise need but provide support that is relationally secure and maintained long enough to be useful (MacAlister, 2022; Ofsted, 2022).</w:t>
      </w:r>
      <w:r w:rsidR="008C2CE9">
        <w:rPr>
          <w:rStyle w:val="s1"/>
          <w:rFonts w:ascii="Arial" w:hAnsi="Arial" w:cs="Arial"/>
        </w:rPr>
        <w:t xml:space="preserve"> </w:t>
      </w:r>
      <w:r w:rsidR="00CC0E44" w:rsidRPr="00CC0E44">
        <w:rPr>
          <w:rStyle w:val="s1"/>
          <w:rFonts w:ascii="Arial" w:hAnsi="Arial" w:cs="Arial"/>
        </w:rPr>
        <w:t xml:space="preserve">This concern remains visible in more recent </w:t>
      </w:r>
      <w:r w:rsidR="00CC0E44" w:rsidRPr="00CC0E44">
        <w:rPr>
          <w:rStyle w:val="s1"/>
          <w:rFonts w:ascii="Arial" w:hAnsi="Arial" w:cs="Arial"/>
        </w:rPr>
        <w:lastRenderedPageBreak/>
        <w:t>evidence. Fortune and Smith (20</w:t>
      </w:r>
      <w:r w:rsidR="00E4557E">
        <w:rPr>
          <w:rStyle w:val="s1"/>
          <w:rFonts w:ascii="Arial" w:hAnsi="Arial" w:cs="Arial"/>
        </w:rPr>
        <w:t>17</w:t>
      </w:r>
      <w:r w:rsidR="00CC0E44" w:rsidRPr="00CC0E44">
        <w:rPr>
          <w:rStyle w:val="s1"/>
          <w:rFonts w:ascii="Arial" w:hAnsi="Arial" w:cs="Arial"/>
        </w:rPr>
        <w:t>) show that young people leaving care continue to describe instability, uncertainty and weak preparation for independence, particularly in relation to housing and the loss of consistent support.</w:t>
      </w:r>
    </w:p>
    <w:p w14:paraId="6EB5319A" w14:textId="77777777" w:rsidR="000B5448" w:rsidRPr="00DA1464" w:rsidRDefault="000B5448" w:rsidP="00DA1464">
      <w:pPr>
        <w:pStyle w:val="p2"/>
        <w:spacing w:line="360" w:lineRule="auto"/>
        <w:jc w:val="both"/>
        <w:rPr>
          <w:rFonts w:ascii="Arial" w:hAnsi="Arial" w:cs="Arial"/>
        </w:rPr>
      </w:pPr>
    </w:p>
    <w:p w14:paraId="383CD469" w14:textId="5558CAFF" w:rsidR="000B5448" w:rsidRPr="00DA1464" w:rsidRDefault="000B5448" w:rsidP="00DA1464">
      <w:pPr>
        <w:pStyle w:val="p1"/>
        <w:spacing w:line="360" w:lineRule="auto"/>
        <w:jc w:val="both"/>
        <w:rPr>
          <w:rFonts w:ascii="Arial" w:hAnsi="Arial" w:cs="Arial"/>
        </w:rPr>
      </w:pPr>
      <w:r w:rsidRPr="00DA1464">
        <w:rPr>
          <w:rStyle w:val="s1"/>
          <w:rFonts w:ascii="Arial" w:hAnsi="Arial" w:cs="Arial"/>
        </w:rPr>
        <w:t xml:space="preserve">Historically, care leaving in England has been characterised by </w:t>
      </w:r>
      <w:r w:rsidRPr="00DA1464">
        <w:rPr>
          <w:rStyle w:val="s2"/>
          <w:rFonts w:ascii="Arial" w:hAnsi="Arial" w:cs="Arial"/>
        </w:rPr>
        <w:t>compressed and accelerated transitions</w:t>
      </w:r>
      <w:r w:rsidRPr="00DA1464">
        <w:rPr>
          <w:rStyle w:val="s1"/>
          <w:rFonts w:ascii="Arial" w:hAnsi="Arial" w:cs="Arial"/>
        </w:rPr>
        <w:t xml:space="preserve">, in which young people were expected to assume adult responsibilities earlier than their peers and often with fewer protective relationships (Ward, 2021). More recent policy developments have attempted to correct this pattern. </w:t>
      </w:r>
      <w:r w:rsidRPr="00DA1464">
        <w:rPr>
          <w:rStyle w:val="s2"/>
          <w:rFonts w:ascii="Arial" w:hAnsi="Arial" w:cs="Arial"/>
        </w:rPr>
        <w:t>Staying Put</w:t>
      </w:r>
      <w:r w:rsidRPr="00DA1464">
        <w:rPr>
          <w:rStyle w:val="s1"/>
          <w:rFonts w:ascii="Arial" w:hAnsi="Arial" w:cs="Arial"/>
        </w:rPr>
        <w:t xml:space="preserve"> was introduced to enable some young people in foster care to remain with carers beyond 18, while </w:t>
      </w:r>
      <w:r w:rsidRPr="00DA1464">
        <w:rPr>
          <w:rStyle w:val="s2"/>
          <w:rFonts w:ascii="Arial" w:hAnsi="Arial" w:cs="Arial"/>
        </w:rPr>
        <w:t>Staying Close</w:t>
      </w:r>
      <w:r w:rsidRPr="00DA1464">
        <w:rPr>
          <w:rStyle w:val="s1"/>
          <w:rFonts w:ascii="Arial" w:hAnsi="Arial" w:cs="Arial"/>
        </w:rPr>
        <w:t xml:space="preserve"> sought to preserve supportive relationships for young people leaving residential care (Allen, 2023; HM Government, 2013). These developments are important because they signal a shift from viewing independence as rapid separation towards understanding it as supported interdependence (Allen, 2023; HM Government, 2016). However, the very need for these schemes suggests that earlier systems did not offer sufficient continuity in the first place (</w:t>
      </w:r>
      <w:r w:rsidR="0002706A">
        <w:rPr>
          <w:rStyle w:val="s1"/>
          <w:rFonts w:ascii="Arial" w:hAnsi="Arial" w:cs="Arial"/>
        </w:rPr>
        <w:t xml:space="preserve">Dixon et al., 2020; </w:t>
      </w:r>
      <w:r w:rsidRPr="00DA1464">
        <w:rPr>
          <w:rStyle w:val="s1"/>
          <w:rFonts w:ascii="Arial" w:hAnsi="Arial" w:cs="Arial"/>
        </w:rPr>
        <w:t>MacAlister, 2022; Ward, 202</w:t>
      </w:r>
      <w:r w:rsidR="008626CA">
        <w:rPr>
          <w:rStyle w:val="s1"/>
          <w:rFonts w:ascii="Arial" w:hAnsi="Arial" w:cs="Arial"/>
        </w:rPr>
        <w:t>1</w:t>
      </w:r>
      <w:r w:rsidRPr="00DA1464">
        <w:rPr>
          <w:rStyle w:val="s1"/>
          <w:rFonts w:ascii="Arial" w:hAnsi="Arial" w:cs="Arial"/>
        </w:rPr>
        <w:t>).</w:t>
      </w:r>
    </w:p>
    <w:p w14:paraId="10AD968A" w14:textId="77777777" w:rsidR="000B5448" w:rsidRPr="00DA1464" w:rsidRDefault="000B5448" w:rsidP="00DA1464">
      <w:pPr>
        <w:pStyle w:val="p2"/>
        <w:spacing w:line="360" w:lineRule="auto"/>
        <w:jc w:val="both"/>
        <w:rPr>
          <w:rFonts w:ascii="Arial" w:hAnsi="Arial" w:cs="Arial"/>
        </w:rPr>
      </w:pPr>
    </w:p>
    <w:p w14:paraId="6E74F02A" w14:textId="77777777" w:rsidR="000B5448" w:rsidRPr="00DA1464" w:rsidRDefault="000B5448" w:rsidP="00DA1464">
      <w:pPr>
        <w:pStyle w:val="p1"/>
        <w:spacing w:line="360" w:lineRule="auto"/>
        <w:jc w:val="both"/>
        <w:rPr>
          <w:rFonts w:ascii="Arial" w:hAnsi="Arial" w:cs="Arial"/>
        </w:rPr>
      </w:pPr>
      <w:r w:rsidRPr="00DA1464">
        <w:rPr>
          <w:rStyle w:val="s1"/>
          <w:rFonts w:ascii="Arial" w:hAnsi="Arial" w:cs="Arial"/>
        </w:rPr>
        <w:t xml:space="preserve">The significance of this theme lies in its direct connection to mental health inequality. Where Theme 1 established that need is high, and Theme 2 showed that provision is fragmented, Theme 3 identifies what appears most protective within the literature: </w:t>
      </w:r>
      <w:r w:rsidRPr="00DA1464">
        <w:rPr>
          <w:rStyle w:val="s2"/>
          <w:rFonts w:ascii="Arial" w:hAnsi="Arial" w:cs="Arial"/>
        </w:rPr>
        <w:t>stable, trusting and sustained support</w:t>
      </w:r>
      <w:r w:rsidRPr="00DA1464">
        <w:rPr>
          <w:rStyle w:val="s1"/>
          <w:rFonts w:ascii="Arial" w:hAnsi="Arial" w:cs="Arial"/>
        </w:rPr>
        <w:t xml:space="preserve"> (Appleton et al., 2021; Prendergast et al., 2025; Stubbs et al., 2023). This matters because mental health support is less likely to be effective when it is short term, impersonal or repeatedly interrupted (Butterworth et al., 2017; Young et al., 2024). Relational continuity can therefore be understood not as an optional enhancement, but as a central mechanism through which social services may reduce inequality rather than merely respond to crisis (Allen, 2023; Sharma, 2025).</w:t>
      </w:r>
    </w:p>
    <w:p w14:paraId="172E78C4" w14:textId="77777777" w:rsidR="000B5448" w:rsidRPr="00DA1464" w:rsidRDefault="000B5448" w:rsidP="00DA1464">
      <w:pPr>
        <w:pStyle w:val="p2"/>
        <w:spacing w:line="360" w:lineRule="auto"/>
        <w:jc w:val="both"/>
        <w:rPr>
          <w:rFonts w:ascii="Arial" w:hAnsi="Arial" w:cs="Arial"/>
        </w:rPr>
      </w:pPr>
    </w:p>
    <w:p w14:paraId="6CDBB444" w14:textId="77777777" w:rsidR="000B5448" w:rsidRPr="00DA1464" w:rsidRDefault="000B5448" w:rsidP="00DA1464">
      <w:pPr>
        <w:pStyle w:val="p1"/>
        <w:spacing w:line="360" w:lineRule="auto"/>
        <w:jc w:val="both"/>
        <w:rPr>
          <w:rFonts w:ascii="Arial" w:hAnsi="Arial" w:cs="Arial"/>
        </w:rPr>
      </w:pPr>
      <w:r w:rsidRPr="00DA1464">
        <w:rPr>
          <w:rStyle w:val="s1"/>
          <w:rFonts w:ascii="Arial" w:hAnsi="Arial" w:cs="Arial"/>
        </w:rPr>
        <w:t xml:space="preserve">Some statistics reinforce this argument. The </w:t>
      </w:r>
      <w:r w:rsidRPr="00DA1464">
        <w:rPr>
          <w:rStyle w:val="s2"/>
          <w:rFonts w:ascii="Arial" w:hAnsi="Arial" w:cs="Arial"/>
        </w:rPr>
        <w:t>Children and Social Work Act 2017</w:t>
      </w:r>
      <w:r w:rsidRPr="00DA1464">
        <w:rPr>
          <w:rStyle w:val="s1"/>
          <w:rFonts w:ascii="Arial" w:hAnsi="Arial" w:cs="Arial"/>
        </w:rPr>
        <w:t xml:space="preserve"> extended personal adviser support to </w:t>
      </w:r>
      <w:r w:rsidRPr="00DA1464">
        <w:rPr>
          <w:rStyle w:val="s2"/>
          <w:rFonts w:ascii="Arial" w:hAnsi="Arial" w:cs="Arial"/>
        </w:rPr>
        <w:t>age 25</w:t>
      </w:r>
      <w:r w:rsidRPr="00DA1464">
        <w:rPr>
          <w:rStyle w:val="s1"/>
          <w:rFonts w:ascii="Arial" w:hAnsi="Arial" w:cs="Arial"/>
        </w:rPr>
        <w:t xml:space="preserve">, reflecting formal recognition that </w:t>
      </w:r>
      <w:r w:rsidRPr="00DA1464">
        <w:rPr>
          <w:rStyle w:val="s1"/>
          <w:rFonts w:ascii="Arial" w:hAnsi="Arial" w:cs="Arial"/>
        </w:rPr>
        <w:lastRenderedPageBreak/>
        <w:t xml:space="preserve">transition support should continue well beyond 18 (Children and Social Work Act 2017). National inspection evidence also suggests that continuity remains uneven in practice. Ofsted (2025d) reported that among the </w:t>
      </w:r>
      <w:r w:rsidRPr="00DA1464">
        <w:rPr>
          <w:rStyle w:val="s2"/>
          <w:rFonts w:ascii="Arial" w:hAnsi="Arial" w:cs="Arial"/>
        </w:rPr>
        <w:t>103</w:t>
      </w:r>
      <w:r w:rsidRPr="00DA1464">
        <w:rPr>
          <w:rStyle w:val="s1"/>
          <w:rFonts w:ascii="Arial" w:hAnsi="Arial" w:cs="Arial"/>
        </w:rPr>
        <w:t xml:space="preserve"> local authorities with a graded care leaver judgement, </w:t>
      </w:r>
      <w:r w:rsidRPr="00DA1464">
        <w:rPr>
          <w:rStyle w:val="s2"/>
          <w:rFonts w:ascii="Arial" w:hAnsi="Arial" w:cs="Arial"/>
        </w:rPr>
        <w:t>26%</w:t>
      </w:r>
      <w:r w:rsidRPr="00DA1464">
        <w:rPr>
          <w:rStyle w:val="s1"/>
          <w:rFonts w:ascii="Arial" w:hAnsi="Arial" w:cs="Arial"/>
        </w:rPr>
        <w:t xml:space="preserve"> were judged </w:t>
      </w:r>
      <w:r w:rsidRPr="00DA1464">
        <w:rPr>
          <w:rStyle w:val="s2"/>
          <w:rFonts w:ascii="Arial" w:hAnsi="Arial" w:cs="Arial"/>
        </w:rPr>
        <w:t>outstanding</w:t>
      </w:r>
      <w:r w:rsidRPr="00DA1464">
        <w:rPr>
          <w:rStyle w:val="s1"/>
          <w:rFonts w:ascii="Arial" w:hAnsi="Arial" w:cs="Arial"/>
        </w:rPr>
        <w:t xml:space="preserve">, </w:t>
      </w:r>
      <w:r w:rsidRPr="00DA1464">
        <w:rPr>
          <w:rStyle w:val="s2"/>
          <w:rFonts w:ascii="Arial" w:hAnsi="Arial" w:cs="Arial"/>
        </w:rPr>
        <w:t>42%</w:t>
      </w:r>
      <w:r w:rsidRPr="00DA1464">
        <w:rPr>
          <w:rStyle w:val="s1"/>
          <w:rFonts w:ascii="Arial" w:hAnsi="Arial" w:cs="Arial"/>
        </w:rPr>
        <w:t xml:space="preserve"> </w:t>
      </w:r>
      <w:r w:rsidRPr="00DA1464">
        <w:rPr>
          <w:rStyle w:val="s2"/>
          <w:rFonts w:ascii="Arial" w:hAnsi="Arial" w:cs="Arial"/>
        </w:rPr>
        <w:t>good</w:t>
      </w:r>
      <w:r w:rsidRPr="00DA1464">
        <w:rPr>
          <w:rStyle w:val="s1"/>
          <w:rFonts w:ascii="Arial" w:hAnsi="Arial" w:cs="Arial"/>
        </w:rPr>
        <w:t xml:space="preserve">, </w:t>
      </w:r>
      <w:r w:rsidRPr="00DA1464">
        <w:rPr>
          <w:rStyle w:val="s2"/>
          <w:rFonts w:ascii="Arial" w:hAnsi="Arial" w:cs="Arial"/>
        </w:rPr>
        <w:t>25%</w:t>
      </w:r>
      <w:r w:rsidRPr="00DA1464">
        <w:rPr>
          <w:rStyle w:val="s1"/>
          <w:rFonts w:ascii="Arial" w:hAnsi="Arial" w:cs="Arial"/>
        </w:rPr>
        <w:t xml:space="preserve"> </w:t>
      </w:r>
      <w:r w:rsidRPr="00DA1464">
        <w:rPr>
          <w:rStyle w:val="s2"/>
          <w:rFonts w:ascii="Arial" w:hAnsi="Arial" w:cs="Arial"/>
        </w:rPr>
        <w:t>requires improvement to be good</w:t>
      </w:r>
      <w:r w:rsidRPr="00DA1464">
        <w:rPr>
          <w:rStyle w:val="s1"/>
          <w:rFonts w:ascii="Arial" w:hAnsi="Arial" w:cs="Arial"/>
        </w:rPr>
        <w:t xml:space="preserve">, and </w:t>
      </w:r>
      <w:r w:rsidRPr="00DA1464">
        <w:rPr>
          <w:rStyle w:val="s2"/>
          <w:rFonts w:ascii="Arial" w:hAnsi="Arial" w:cs="Arial"/>
        </w:rPr>
        <w:t>7%</w:t>
      </w:r>
      <w:r w:rsidRPr="00DA1464">
        <w:rPr>
          <w:rStyle w:val="s1"/>
          <w:rFonts w:ascii="Arial" w:hAnsi="Arial" w:cs="Arial"/>
        </w:rPr>
        <w:t xml:space="preserve"> </w:t>
      </w:r>
      <w:r w:rsidRPr="00DA1464">
        <w:rPr>
          <w:rStyle w:val="s2"/>
          <w:rFonts w:ascii="Arial" w:hAnsi="Arial" w:cs="Arial"/>
        </w:rPr>
        <w:t>inadequate</w:t>
      </w:r>
      <w:r w:rsidRPr="00DA1464">
        <w:rPr>
          <w:rStyle w:val="s1"/>
          <w:rFonts w:ascii="Arial" w:hAnsi="Arial" w:cs="Arial"/>
        </w:rPr>
        <w:t xml:space="preserve">, while </w:t>
      </w:r>
      <w:r w:rsidRPr="00DA1464">
        <w:rPr>
          <w:rStyle w:val="s2"/>
          <w:rFonts w:ascii="Arial" w:hAnsi="Arial" w:cs="Arial"/>
        </w:rPr>
        <w:t>69%</w:t>
      </w:r>
      <w:r w:rsidRPr="00DA1464">
        <w:rPr>
          <w:rStyle w:val="s1"/>
          <w:rFonts w:ascii="Arial" w:hAnsi="Arial" w:cs="Arial"/>
        </w:rPr>
        <w:t xml:space="preserve"> had a care leaver judgement that was the same as or better than their children in care judgement (Ofsted, 2025d). These figures are noteworthy because they show that continuity and quality of leaving-care support are not secure national achievements but variable local realities (Foley et al., 2025; Ofsted, 2025d). At local level, Newcastle’s published offer includes a </w:t>
      </w:r>
      <w:r w:rsidRPr="00DA1464">
        <w:rPr>
          <w:rStyle w:val="s2"/>
          <w:rFonts w:ascii="Arial" w:hAnsi="Arial" w:cs="Arial"/>
        </w:rPr>
        <w:t>£3,000</w:t>
      </w:r>
      <w:r w:rsidRPr="00DA1464">
        <w:rPr>
          <w:rStyle w:val="s1"/>
          <w:rFonts w:ascii="Arial" w:hAnsi="Arial" w:cs="Arial"/>
        </w:rPr>
        <w:t xml:space="preserve"> leaving care grant alongside housing, bursaries and adviser support up to 25, illustrating how continuity may be translated into practical entitlements, though not uniformly across authorities (Newcastle City Council, 2026).</w:t>
      </w:r>
    </w:p>
    <w:p w14:paraId="439F9654" w14:textId="77777777" w:rsidR="000B5448" w:rsidRPr="00DA1464" w:rsidRDefault="000B5448" w:rsidP="00DA1464">
      <w:pPr>
        <w:pStyle w:val="p2"/>
        <w:spacing w:line="360" w:lineRule="auto"/>
        <w:jc w:val="both"/>
        <w:rPr>
          <w:rFonts w:ascii="Arial" w:hAnsi="Arial" w:cs="Arial"/>
        </w:rPr>
      </w:pPr>
    </w:p>
    <w:p w14:paraId="5C56F77F" w14:textId="77777777" w:rsidR="000B5448" w:rsidRPr="00DA1464" w:rsidRDefault="000B5448" w:rsidP="00DA1464">
      <w:pPr>
        <w:pStyle w:val="p1"/>
        <w:spacing w:line="360" w:lineRule="auto"/>
        <w:jc w:val="both"/>
        <w:rPr>
          <w:rFonts w:ascii="Arial" w:hAnsi="Arial" w:cs="Arial"/>
        </w:rPr>
      </w:pPr>
      <w:r w:rsidRPr="00DA1464">
        <w:rPr>
          <w:rStyle w:val="s1"/>
          <w:rFonts w:ascii="Arial" w:hAnsi="Arial" w:cs="Arial"/>
        </w:rPr>
        <w:t xml:space="preserve">From a theoretical perspective, this theme is well supported by </w:t>
      </w:r>
      <w:r w:rsidRPr="00DA1464">
        <w:rPr>
          <w:rStyle w:val="s2"/>
          <w:rFonts w:ascii="Arial" w:hAnsi="Arial" w:cs="Arial"/>
        </w:rPr>
        <w:t>attachment theory</w:t>
      </w:r>
      <w:r w:rsidRPr="00DA1464">
        <w:rPr>
          <w:rStyle w:val="s1"/>
          <w:rFonts w:ascii="Arial" w:hAnsi="Arial" w:cs="Arial"/>
        </w:rPr>
        <w:t xml:space="preserve">, </w:t>
      </w:r>
      <w:r w:rsidRPr="00DA1464">
        <w:rPr>
          <w:rStyle w:val="s2"/>
          <w:rFonts w:ascii="Arial" w:hAnsi="Arial" w:cs="Arial"/>
        </w:rPr>
        <w:t>social capital theory</w:t>
      </w:r>
      <w:r w:rsidRPr="00DA1464">
        <w:rPr>
          <w:rStyle w:val="s1"/>
          <w:rFonts w:ascii="Arial" w:hAnsi="Arial" w:cs="Arial"/>
        </w:rPr>
        <w:t xml:space="preserve"> and the </w:t>
      </w:r>
      <w:r w:rsidRPr="00DA1464">
        <w:rPr>
          <w:rStyle w:val="s2"/>
          <w:rFonts w:ascii="Arial" w:hAnsi="Arial" w:cs="Arial"/>
        </w:rPr>
        <w:t>convoy model</w:t>
      </w:r>
      <w:r w:rsidRPr="00DA1464">
        <w:rPr>
          <w:rStyle w:val="s1"/>
          <w:rFonts w:ascii="Arial" w:hAnsi="Arial" w:cs="Arial"/>
        </w:rPr>
        <w:t>, all of which appear in Sharma’s (2025) integrated framework. Attachment theory helps explain why stable and dependable relationships matter for young people who have experienced repeated disruption and loss (Sharma, 2025). Social capital theory adds that access to supportive networks provides practical and emotional resources that can improve wellbeing and transition outcomes (</w:t>
      </w:r>
      <w:proofErr w:type="spellStart"/>
      <w:r w:rsidRPr="00DA1464">
        <w:rPr>
          <w:rStyle w:val="s1"/>
          <w:rFonts w:ascii="Arial" w:hAnsi="Arial" w:cs="Arial"/>
        </w:rPr>
        <w:t>Martikke</w:t>
      </w:r>
      <w:proofErr w:type="spellEnd"/>
      <w:r w:rsidRPr="00DA1464">
        <w:rPr>
          <w:rStyle w:val="s1"/>
          <w:rFonts w:ascii="Arial" w:hAnsi="Arial" w:cs="Arial"/>
        </w:rPr>
        <w:t xml:space="preserve"> et al., 2019; Stubbs et al., 2023). The convoy model is especially useful because it frames support as a changing but continuous network of significant relationships across the life course, rather than as a single service intervention (Sharma, 2025). These theories apply directly to the research question because they show that effective social services must offer more than procedural compliance; they must help preserve the relational and networked conditions that protect wellbeing (Appleton et al., 2021; Sharma, 2025).</w:t>
      </w:r>
    </w:p>
    <w:p w14:paraId="0F619AF5" w14:textId="77777777" w:rsidR="000B5448" w:rsidRPr="00DA1464" w:rsidRDefault="000B5448" w:rsidP="00DA1464">
      <w:pPr>
        <w:pStyle w:val="p2"/>
        <w:spacing w:line="360" w:lineRule="auto"/>
        <w:jc w:val="both"/>
        <w:rPr>
          <w:rFonts w:ascii="Arial" w:hAnsi="Arial" w:cs="Arial"/>
        </w:rPr>
      </w:pPr>
    </w:p>
    <w:p w14:paraId="2E8257FC" w14:textId="37148F13" w:rsidR="000B5448" w:rsidRPr="00DA1464" w:rsidRDefault="000B5448" w:rsidP="00DA1464">
      <w:pPr>
        <w:pStyle w:val="p1"/>
        <w:spacing w:line="360" w:lineRule="auto"/>
        <w:jc w:val="both"/>
        <w:rPr>
          <w:rFonts w:ascii="Arial" w:hAnsi="Arial" w:cs="Arial"/>
        </w:rPr>
      </w:pPr>
      <w:r w:rsidRPr="00DA1464">
        <w:rPr>
          <w:rStyle w:val="s1"/>
          <w:rFonts w:ascii="Arial" w:hAnsi="Arial" w:cs="Arial"/>
        </w:rPr>
        <w:t xml:space="preserve">Relevant policy and legislation support this interpretation. </w:t>
      </w:r>
      <w:r w:rsidRPr="00DA1464">
        <w:rPr>
          <w:rStyle w:val="s2"/>
          <w:rFonts w:ascii="Arial" w:hAnsi="Arial" w:cs="Arial"/>
        </w:rPr>
        <w:t>Staying Put</w:t>
      </w:r>
      <w:r w:rsidRPr="00DA1464">
        <w:rPr>
          <w:rStyle w:val="s1"/>
          <w:rFonts w:ascii="Arial" w:hAnsi="Arial" w:cs="Arial"/>
        </w:rPr>
        <w:t xml:space="preserve"> is perhaps the clearest example, because it challenges the expectation of abrupt independence and attempts to preserve stable relationships beyond the legal threshold of adulthood (HM Government, 2013). </w:t>
      </w:r>
      <w:r w:rsidRPr="00DA1464">
        <w:rPr>
          <w:rStyle w:val="s2"/>
          <w:rFonts w:ascii="Arial" w:hAnsi="Arial" w:cs="Arial"/>
        </w:rPr>
        <w:t>Children Act 1989: Transition to adulthood for care leavers</w:t>
      </w:r>
      <w:r w:rsidRPr="00DA1464">
        <w:rPr>
          <w:rStyle w:val="s1"/>
          <w:rFonts w:ascii="Arial" w:hAnsi="Arial" w:cs="Arial"/>
        </w:rPr>
        <w:t xml:space="preserve">, </w:t>
      </w:r>
      <w:r w:rsidRPr="00DA1464">
        <w:rPr>
          <w:rStyle w:val="s2"/>
          <w:rFonts w:ascii="Arial" w:hAnsi="Arial" w:cs="Arial"/>
        </w:rPr>
        <w:t xml:space="preserve">Keep </w:t>
      </w:r>
      <w:r w:rsidRPr="00DA1464">
        <w:rPr>
          <w:rStyle w:val="s2"/>
          <w:rFonts w:ascii="Arial" w:hAnsi="Arial" w:cs="Arial"/>
        </w:rPr>
        <w:lastRenderedPageBreak/>
        <w:t>on Caring</w:t>
      </w:r>
      <w:r w:rsidRPr="00DA1464">
        <w:rPr>
          <w:rStyle w:val="s1"/>
          <w:rFonts w:ascii="Arial" w:hAnsi="Arial" w:cs="Arial"/>
        </w:rPr>
        <w:t xml:space="preserve">, and </w:t>
      </w:r>
      <w:r w:rsidRPr="00DA1464">
        <w:rPr>
          <w:rStyle w:val="s2"/>
          <w:rFonts w:ascii="Arial" w:hAnsi="Arial" w:cs="Arial"/>
        </w:rPr>
        <w:t>Local Offer guidance</w:t>
      </w:r>
      <w:r w:rsidRPr="00DA1464">
        <w:rPr>
          <w:rStyle w:val="s1"/>
          <w:rFonts w:ascii="Arial" w:hAnsi="Arial" w:cs="Arial"/>
        </w:rPr>
        <w:t xml:space="preserve"> likewise emphasise preparation, continuity and clear entitlements (Department for Education, 2025a; Department for Education, 2025c; HM Government, 2016). </w:t>
      </w:r>
      <w:r w:rsidRPr="00DA1464">
        <w:rPr>
          <w:rStyle w:val="s2"/>
          <w:rFonts w:ascii="Arial" w:hAnsi="Arial" w:cs="Arial"/>
        </w:rPr>
        <w:t>Joint housing protocols</w:t>
      </w:r>
      <w:r w:rsidRPr="00DA1464">
        <w:rPr>
          <w:rStyle w:val="s1"/>
          <w:rFonts w:ascii="Arial" w:hAnsi="Arial" w:cs="Arial"/>
        </w:rPr>
        <w:t xml:space="preserve"> are also relevant because unstable housing can rapidly undermine mental health and disrupt support networks (Department for Levelling Up, Housing and Communities and Department for Education, 2024). Yet the impact of these policies is uneven. Staying Put is not available on equal terms to all care leavers, particularly those leaving residential care, which raises concerns about the persistence of an inverse care logic in which those with greater need may receive less continuity rather than more (Allen, 2023; Centre for Homelessness Impact, 2025; </w:t>
      </w:r>
      <w:r w:rsidR="00423D52">
        <w:rPr>
          <w:rStyle w:val="s1"/>
          <w:rFonts w:ascii="Arial" w:hAnsi="Arial" w:cs="Arial"/>
        </w:rPr>
        <w:t xml:space="preserve">van </w:t>
      </w:r>
      <w:proofErr w:type="spellStart"/>
      <w:r w:rsidR="00423D52">
        <w:rPr>
          <w:rStyle w:val="s1"/>
          <w:rFonts w:ascii="Arial" w:hAnsi="Arial" w:cs="Arial"/>
        </w:rPr>
        <w:t>Bedra</w:t>
      </w:r>
      <w:proofErr w:type="spellEnd"/>
      <w:r w:rsidR="00423D52">
        <w:rPr>
          <w:rStyle w:val="s1"/>
          <w:rFonts w:ascii="Arial" w:hAnsi="Arial" w:cs="Arial"/>
        </w:rPr>
        <w:t xml:space="preserve"> et al., </w:t>
      </w:r>
      <w:r w:rsidR="00231565">
        <w:rPr>
          <w:rStyle w:val="s1"/>
          <w:rFonts w:ascii="Arial" w:hAnsi="Arial" w:cs="Arial"/>
        </w:rPr>
        <w:t>2020</w:t>
      </w:r>
      <w:r w:rsidRPr="00DA1464">
        <w:rPr>
          <w:rStyle w:val="s1"/>
          <w:rFonts w:ascii="Arial" w:hAnsi="Arial" w:cs="Arial"/>
        </w:rPr>
        <w:t>).</w:t>
      </w:r>
    </w:p>
    <w:p w14:paraId="5976341D" w14:textId="77777777" w:rsidR="000B5448" w:rsidRPr="00DA1464" w:rsidRDefault="000B5448" w:rsidP="00DA1464">
      <w:pPr>
        <w:pStyle w:val="p2"/>
        <w:spacing w:line="360" w:lineRule="auto"/>
        <w:jc w:val="both"/>
        <w:rPr>
          <w:rFonts w:ascii="Arial" w:hAnsi="Arial" w:cs="Arial"/>
        </w:rPr>
      </w:pPr>
    </w:p>
    <w:p w14:paraId="26BA2703" w14:textId="77777777" w:rsidR="000B5448" w:rsidRPr="00DA1464" w:rsidRDefault="000B5448" w:rsidP="00DA1464">
      <w:pPr>
        <w:pStyle w:val="p1"/>
        <w:spacing w:line="360" w:lineRule="auto"/>
        <w:jc w:val="both"/>
        <w:rPr>
          <w:rFonts w:ascii="Arial" w:hAnsi="Arial" w:cs="Arial"/>
        </w:rPr>
      </w:pPr>
      <w:r w:rsidRPr="00DA1464">
        <w:rPr>
          <w:rStyle w:val="s1"/>
          <w:rFonts w:ascii="Arial" w:hAnsi="Arial" w:cs="Arial"/>
        </w:rPr>
        <w:t xml:space="preserve">Examples from the literature illustrate broad agreement on the protective value of continuity, although they differ in emphasis. </w:t>
      </w:r>
      <w:r w:rsidRPr="00DA1464">
        <w:rPr>
          <w:rStyle w:val="s2"/>
          <w:rFonts w:ascii="Arial" w:hAnsi="Arial" w:cs="Arial"/>
        </w:rPr>
        <w:t>Allen (2023)</w:t>
      </w:r>
      <w:r w:rsidRPr="00DA1464">
        <w:rPr>
          <w:rStyle w:val="s1"/>
          <w:rFonts w:ascii="Arial" w:hAnsi="Arial" w:cs="Arial"/>
        </w:rPr>
        <w:t xml:space="preserve"> argues that Staying Close can enable </w:t>
      </w:r>
      <w:r w:rsidRPr="00DA1464">
        <w:rPr>
          <w:rStyle w:val="s2"/>
          <w:rFonts w:ascii="Arial" w:hAnsi="Arial" w:cs="Arial"/>
        </w:rPr>
        <w:t>social interdependence</w:t>
      </w:r>
      <w:r w:rsidRPr="00DA1464">
        <w:rPr>
          <w:rStyle w:val="s1"/>
          <w:rFonts w:ascii="Arial" w:hAnsi="Arial" w:cs="Arial"/>
        </w:rPr>
        <w:t xml:space="preserve">, which is important because it challenges policy assumptions that success means separation from support. </w:t>
      </w:r>
      <w:r w:rsidRPr="00DA1464">
        <w:rPr>
          <w:rStyle w:val="s2"/>
          <w:rFonts w:ascii="Arial" w:hAnsi="Arial" w:cs="Arial"/>
        </w:rPr>
        <w:t>Stubbs et al. (2023)</w:t>
      </w:r>
      <w:r w:rsidRPr="00DA1464">
        <w:rPr>
          <w:rStyle w:val="s1"/>
          <w:rFonts w:ascii="Arial" w:hAnsi="Arial" w:cs="Arial"/>
        </w:rPr>
        <w:t xml:space="preserve"> similarly show, through a scoping review, that informal support is central to the experience of young people transitioning from out-of-home care. </w:t>
      </w:r>
      <w:r w:rsidRPr="00DA1464">
        <w:rPr>
          <w:rStyle w:val="s2"/>
          <w:rFonts w:ascii="Arial" w:hAnsi="Arial" w:cs="Arial"/>
        </w:rPr>
        <w:t>Prendergast et al. (2025)</w:t>
      </w:r>
      <w:r w:rsidRPr="00DA1464">
        <w:rPr>
          <w:rStyle w:val="s1"/>
          <w:rFonts w:ascii="Arial" w:hAnsi="Arial" w:cs="Arial"/>
        </w:rPr>
        <w:t xml:space="preserve"> add a practitioner perspective, showing that care leavers’ engagement often depends on relational credibility and flexibility rather than on formal status alone. These sources broadly agree that trusted and sustained relationships are protective, though Allen (2023) is more explicitly policy-facing, Stubbs et al. (2023) focus on informal support, and Prendergast et al. (2025) emphasise professional practice. Together, they help answer the research question by suggesting that social services are most effective when they support continuity rather than reproduce rupture.</w:t>
      </w:r>
    </w:p>
    <w:p w14:paraId="4E7755D6" w14:textId="77777777" w:rsidR="000B5448" w:rsidRPr="00DA1464" w:rsidRDefault="000B5448" w:rsidP="00DA1464">
      <w:pPr>
        <w:pStyle w:val="p2"/>
        <w:spacing w:line="360" w:lineRule="auto"/>
        <w:jc w:val="both"/>
        <w:rPr>
          <w:rFonts w:ascii="Arial" w:hAnsi="Arial" w:cs="Arial"/>
        </w:rPr>
      </w:pPr>
    </w:p>
    <w:p w14:paraId="5324D1FA" w14:textId="77777777" w:rsidR="000B5448" w:rsidRPr="00DA1464" w:rsidRDefault="000B5448" w:rsidP="00DA1464">
      <w:pPr>
        <w:pStyle w:val="p1"/>
        <w:spacing w:line="360" w:lineRule="auto"/>
        <w:jc w:val="both"/>
        <w:rPr>
          <w:rFonts w:ascii="Arial" w:hAnsi="Arial" w:cs="Arial"/>
        </w:rPr>
      </w:pPr>
      <w:r w:rsidRPr="00DA1464">
        <w:rPr>
          <w:rStyle w:val="s1"/>
          <w:rFonts w:ascii="Arial" w:hAnsi="Arial" w:cs="Arial"/>
        </w:rPr>
        <w:t xml:space="preserve">The implications of this theme are both positive and critical. Positively, it identifies a clear direction for more effective practice: </w:t>
      </w:r>
      <w:r w:rsidRPr="00DA1464">
        <w:rPr>
          <w:rStyle w:val="s2"/>
          <w:rFonts w:ascii="Arial" w:hAnsi="Arial" w:cs="Arial"/>
        </w:rPr>
        <w:t>extended, relational and coordinated support</w:t>
      </w:r>
      <w:r w:rsidRPr="00DA1464">
        <w:rPr>
          <w:rStyle w:val="s1"/>
          <w:rFonts w:ascii="Arial" w:hAnsi="Arial" w:cs="Arial"/>
        </w:rPr>
        <w:t xml:space="preserve"> appears more likely to protect mental health than abrupt, standardised or fragmented responses (Allen, 2023; Stubbs et al., 2023). Negatively, continuity is resource-intensive and unevenly available, meaning that its benefits may be distributed selectively rather than equitably (Foley et al., 2025; Ofsted, 2025d). This </w:t>
      </w:r>
      <w:r w:rsidRPr="00DA1464">
        <w:rPr>
          <w:rStyle w:val="s1"/>
          <w:rFonts w:ascii="Arial" w:hAnsi="Arial" w:cs="Arial"/>
        </w:rPr>
        <w:lastRenderedPageBreak/>
        <w:t>theme connects directly to Theme 1 because high mental health need makes continuity especially important, and to Theme 2 because fragmented provision is precisely what continuity seeks to overcome. Theme 3 therefore completes the chapter’s wider argument: social services reduce mental health inequalities most effectively not when they merely exist, but when they provide stable relationships, practical continuity and coordinated support over time.</w:t>
      </w:r>
    </w:p>
    <w:p w14:paraId="262F5D7C" w14:textId="0F916CB5" w:rsidR="00636D9A" w:rsidRPr="00DA1464" w:rsidRDefault="001C3AF6" w:rsidP="00DA1464">
      <w:pPr>
        <w:pStyle w:val="Heading2"/>
        <w:rPr>
          <w:rFonts w:ascii="Arial" w:hAnsi="Arial" w:cs="Arial"/>
        </w:rPr>
      </w:pPr>
      <w:bookmarkStart w:id="18" w:name="_Toc226533378"/>
      <w:r w:rsidRPr="00DA1464">
        <w:rPr>
          <w:rFonts w:ascii="Arial" w:hAnsi="Arial" w:cs="Arial"/>
        </w:rPr>
        <w:t>4.6 – Chapter Conclusion</w:t>
      </w:r>
      <w:bookmarkEnd w:id="18"/>
    </w:p>
    <w:p w14:paraId="7EFF57D1" w14:textId="77777777" w:rsidR="00B81F4F" w:rsidRPr="00DA1464" w:rsidRDefault="00B81F4F" w:rsidP="00DA1464">
      <w:pPr>
        <w:pStyle w:val="p1"/>
        <w:spacing w:line="360" w:lineRule="auto"/>
        <w:jc w:val="both"/>
        <w:rPr>
          <w:rStyle w:val="s1"/>
          <w:rFonts w:ascii="Arial" w:hAnsi="Arial" w:cs="Arial"/>
        </w:rPr>
      </w:pPr>
      <w:r w:rsidRPr="00DA1464">
        <w:rPr>
          <w:rStyle w:val="s1"/>
          <w:rFonts w:ascii="Arial" w:hAnsi="Arial" w:cs="Arial"/>
        </w:rPr>
        <w:t>This chapter has critically examined three interrelated themes shaping mental health inequalities among care leavers in Northern England. It showed that care leavers experience disproportionately high mental health need, that social service responses remain fragmented and uneven, and that continuity and relational support function as important protective factors. Taken together, the findings suggest that inequality is produced not only by individual vulnerability, but by wider structural, regional and service-level conditions. The chapter therefore indicates that social services can reduce inequality only where support is sustained, coordinated and equitable. The following chapter draws these findings together through final conclusions and recommendations.</w:t>
      </w:r>
    </w:p>
    <w:p w14:paraId="071CF242" w14:textId="77777777" w:rsidR="006934CE" w:rsidRDefault="006934CE" w:rsidP="00DA1464">
      <w:pPr>
        <w:pStyle w:val="p1"/>
        <w:spacing w:line="360" w:lineRule="auto"/>
        <w:jc w:val="both"/>
        <w:rPr>
          <w:rFonts w:ascii="Arial" w:hAnsi="Arial" w:cs="Arial"/>
        </w:rPr>
      </w:pPr>
    </w:p>
    <w:p w14:paraId="5872BE76" w14:textId="77777777" w:rsidR="00900BD3" w:rsidRDefault="00900BD3" w:rsidP="00DA1464">
      <w:pPr>
        <w:pStyle w:val="p1"/>
        <w:spacing w:line="360" w:lineRule="auto"/>
        <w:jc w:val="both"/>
        <w:rPr>
          <w:rFonts w:ascii="Arial" w:hAnsi="Arial" w:cs="Arial"/>
        </w:rPr>
      </w:pPr>
    </w:p>
    <w:p w14:paraId="6728AECC" w14:textId="77777777" w:rsidR="00900BD3" w:rsidRDefault="00900BD3" w:rsidP="00DA1464">
      <w:pPr>
        <w:pStyle w:val="p1"/>
        <w:spacing w:line="360" w:lineRule="auto"/>
        <w:jc w:val="both"/>
        <w:rPr>
          <w:rFonts w:ascii="Arial" w:hAnsi="Arial" w:cs="Arial"/>
        </w:rPr>
      </w:pPr>
    </w:p>
    <w:p w14:paraId="45E39194" w14:textId="77777777" w:rsidR="00900BD3" w:rsidRDefault="00900BD3" w:rsidP="00DA1464">
      <w:pPr>
        <w:pStyle w:val="p1"/>
        <w:spacing w:line="360" w:lineRule="auto"/>
        <w:jc w:val="both"/>
        <w:rPr>
          <w:rFonts w:ascii="Arial" w:hAnsi="Arial" w:cs="Arial"/>
        </w:rPr>
      </w:pPr>
    </w:p>
    <w:p w14:paraId="39DB18E8" w14:textId="77777777" w:rsidR="00900BD3" w:rsidRDefault="00900BD3" w:rsidP="00DA1464">
      <w:pPr>
        <w:pStyle w:val="p1"/>
        <w:spacing w:line="360" w:lineRule="auto"/>
        <w:jc w:val="both"/>
        <w:rPr>
          <w:rFonts w:ascii="Arial" w:hAnsi="Arial" w:cs="Arial"/>
        </w:rPr>
      </w:pPr>
    </w:p>
    <w:p w14:paraId="1F1D3CA4" w14:textId="77777777" w:rsidR="00900BD3" w:rsidRDefault="00900BD3" w:rsidP="00DA1464">
      <w:pPr>
        <w:pStyle w:val="p1"/>
        <w:spacing w:line="360" w:lineRule="auto"/>
        <w:jc w:val="both"/>
        <w:rPr>
          <w:rFonts w:ascii="Arial" w:hAnsi="Arial" w:cs="Arial"/>
        </w:rPr>
      </w:pPr>
    </w:p>
    <w:p w14:paraId="4732F3F5" w14:textId="77777777" w:rsidR="00900BD3" w:rsidRDefault="00900BD3" w:rsidP="00DA1464">
      <w:pPr>
        <w:pStyle w:val="p1"/>
        <w:spacing w:line="360" w:lineRule="auto"/>
        <w:jc w:val="both"/>
        <w:rPr>
          <w:rFonts w:ascii="Arial" w:hAnsi="Arial" w:cs="Arial"/>
        </w:rPr>
      </w:pPr>
    </w:p>
    <w:p w14:paraId="27E5376E" w14:textId="77777777" w:rsidR="00900BD3" w:rsidRDefault="00900BD3" w:rsidP="00DA1464">
      <w:pPr>
        <w:pStyle w:val="p1"/>
        <w:spacing w:line="360" w:lineRule="auto"/>
        <w:jc w:val="both"/>
        <w:rPr>
          <w:rFonts w:ascii="Arial" w:hAnsi="Arial" w:cs="Arial"/>
        </w:rPr>
      </w:pPr>
    </w:p>
    <w:p w14:paraId="609817FB" w14:textId="77777777" w:rsidR="00900BD3" w:rsidRDefault="00900BD3" w:rsidP="00DA1464">
      <w:pPr>
        <w:pStyle w:val="p1"/>
        <w:spacing w:line="360" w:lineRule="auto"/>
        <w:jc w:val="both"/>
        <w:rPr>
          <w:rFonts w:ascii="Arial" w:hAnsi="Arial" w:cs="Arial"/>
        </w:rPr>
      </w:pPr>
    </w:p>
    <w:p w14:paraId="4391A06E" w14:textId="77777777" w:rsidR="00900BD3" w:rsidRPr="00DA1464" w:rsidRDefault="00900BD3" w:rsidP="00DA1464">
      <w:pPr>
        <w:pStyle w:val="p1"/>
        <w:spacing w:line="360" w:lineRule="auto"/>
        <w:jc w:val="both"/>
        <w:rPr>
          <w:rFonts w:ascii="Arial" w:hAnsi="Arial" w:cs="Arial"/>
        </w:rPr>
      </w:pPr>
    </w:p>
    <w:p w14:paraId="519EB35A" w14:textId="6B1A14A8" w:rsidR="00636D9A" w:rsidRPr="00DA1464" w:rsidRDefault="00636D9A" w:rsidP="00DA1464">
      <w:pPr>
        <w:pStyle w:val="Heading1"/>
        <w:spacing w:line="360" w:lineRule="auto"/>
        <w:ind w:left="0"/>
        <w:jc w:val="both"/>
        <w:rPr>
          <w:rFonts w:cs="Arial"/>
        </w:rPr>
      </w:pPr>
      <w:bookmarkStart w:id="19" w:name="_Toc226533379"/>
      <w:r w:rsidRPr="00DA1464">
        <w:rPr>
          <w:rFonts w:cs="Arial"/>
        </w:rPr>
        <w:t>CHAPTER 5 – Conclusion and Recommendations</w:t>
      </w:r>
      <w:bookmarkEnd w:id="19"/>
    </w:p>
    <w:p w14:paraId="5053749D" w14:textId="77777777" w:rsidR="00636D9A" w:rsidRPr="00DA1464" w:rsidRDefault="00636D9A" w:rsidP="00DA1464">
      <w:pPr>
        <w:rPr>
          <w:rFonts w:ascii="Arial" w:hAnsi="Arial" w:cs="Arial"/>
        </w:rPr>
      </w:pPr>
    </w:p>
    <w:p w14:paraId="2C633CBA" w14:textId="6AE4F4B7" w:rsidR="00636D9A" w:rsidRPr="00DA1464" w:rsidRDefault="00636D9A" w:rsidP="00DA1464">
      <w:pPr>
        <w:pStyle w:val="Heading2"/>
        <w:rPr>
          <w:rFonts w:ascii="Arial" w:hAnsi="Arial" w:cs="Arial"/>
        </w:rPr>
      </w:pPr>
      <w:bookmarkStart w:id="20" w:name="_Toc226533380"/>
      <w:r w:rsidRPr="00DA1464">
        <w:rPr>
          <w:rFonts w:ascii="Arial" w:hAnsi="Arial" w:cs="Arial"/>
        </w:rPr>
        <w:t>5.1 – Overall Conclusion</w:t>
      </w:r>
      <w:bookmarkEnd w:id="20"/>
      <w:r w:rsidRPr="00DA1464">
        <w:rPr>
          <w:rFonts w:ascii="Arial" w:hAnsi="Arial" w:cs="Arial"/>
        </w:rPr>
        <w:t xml:space="preserve"> </w:t>
      </w:r>
    </w:p>
    <w:p w14:paraId="3628F6DF" w14:textId="77777777" w:rsidR="00292A36" w:rsidRPr="00DA1464" w:rsidRDefault="00292A36" w:rsidP="00DA1464">
      <w:pPr>
        <w:rPr>
          <w:rFonts w:ascii="Arial" w:hAnsi="Arial" w:cs="Arial"/>
        </w:rPr>
      </w:pPr>
    </w:p>
    <w:p w14:paraId="3BBC6582" w14:textId="77777777" w:rsidR="00A45AB6" w:rsidRPr="00DA1464" w:rsidRDefault="00A45AB6" w:rsidP="00DA1464">
      <w:pPr>
        <w:pStyle w:val="p1"/>
        <w:spacing w:line="360" w:lineRule="auto"/>
        <w:jc w:val="both"/>
        <w:rPr>
          <w:rFonts w:ascii="Arial" w:hAnsi="Arial" w:cs="Arial"/>
        </w:rPr>
      </w:pPr>
      <w:r w:rsidRPr="00DA1464">
        <w:rPr>
          <w:rStyle w:val="s1"/>
          <w:rFonts w:ascii="Arial" w:hAnsi="Arial" w:cs="Arial"/>
        </w:rPr>
        <w:t>This dissertation set out to evaluate how effectively social services reduce mental health inequalities among care leavers aged 16–24 in Northern England. Overall, the study found that social services do not reduce these inequalities consistently or sufficiently. Although the legal and policy framework in England is extensive, the findings showed that care leavers continue to experience disproportionately high mental health need, shaped by trauma, instability, insecure transitions and wider structural disadvantage. In Northern England, this need is further intensified by regional inequality, deprivation and uneven service capacity.</w:t>
      </w:r>
    </w:p>
    <w:p w14:paraId="458EF5E2" w14:textId="77777777" w:rsidR="00A45AB6" w:rsidRPr="00DA1464" w:rsidRDefault="00A45AB6" w:rsidP="00DA1464">
      <w:pPr>
        <w:pStyle w:val="p2"/>
        <w:spacing w:line="360" w:lineRule="auto"/>
        <w:jc w:val="both"/>
        <w:rPr>
          <w:rFonts w:ascii="Arial" w:hAnsi="Arial" w:cs="Arial"/>
        </w:rPr>
      </w:pPr>
    </w:p>
    <w:p w14:paraId="187BA7C9" w14:textId="77777777" w:rsidR="00A45AB6" w:rsidRPr="00DA1464" w:rsidRDefault="00A45AB6" w:rsidP="00DA1464">
      <w:pPr>
        <w:pStyle w:val="p1"/>
        <w:spacing w:line="360" w:lineRule="auto"/>
        <w:jc w:val="both"/>
        <w:rPr>
          <w:rFonts w:ascii="Arial" w:hAnsi="Arial" w:cs="Arial"/>
        </w:rPr>
      </w:pPr>
      <w:r w:rsidRPr="00DA1464">
        <w:rPr>
          <w:rStyle w:val="s1"/>
          <w:rFonts w:ascii="Arial" w:hAnsi="Arial" w:cs="Arial"/>
        </w:rPr>
        <w:t>The dissertation also found that current social service responses remain fragmented and variable, meaning that entitlement in law does not guarantee equality in practice. At the same time, the findings showed that continuity, trusted relationships and coordinated support can function as important protective factors. The research aim was therefore met. Objective 1 was fully met through analysis of the nature and scale of mental health inequalities. Objective 2 was fully met through evaluation of the role and effectiveness of social services. Objective 3 was partially to fully met, since the dissertation showed that existing frameworks create entitlement but do not ensure equal outcomes. Objective 4 is addressed through the recommendations below.</w:t>
      </w:r>
    </w:p>
    <w:p w14:paraId="48005ABF" w14:textId="02F0AC9E" w:rsidR="00636D9A" w:rsidRPr="00DA1464" w:rsidRDefault="00636D9A" w:rsidP="00DA1464">
      <w:pPr>
        <w:pStyle w:val="Heading2"/>
        <w:rPr>
          <w:rFonts w:ascii="Arial" w:hAnsi="Arial" w:cs="Arial"/>
        </w:rPr>
      </w:pPr>
      <w:bookmarkStart w:id="21" w:name="_Toc226533381"/>
      <w:r w:rsidRPr="00DA1464">
        <w:rPr>
          <w:rFonts w:ascii="Arial" w:hAnsi="Arial" w:cs="Arial"/>
        </w:rPr>
        <w:t>5.</w:t>
      </w:r>
      <w:r w:rsidR="005C5E80" w:rsidRPr="00DA1464">
        <w:rPr>
          <w:rFonts w:ascii="Arial" w:hAnsi="Arial" w:cs="Arial"/>
        </w:rPr>
        <w:t>2</w:t>
      </w:r>
      <w:r w:rsidRPr="00DA1464">
        <w:rPr>
          <w:rFonts w:ascii="Arial" w:hAnsi="Arial" w:cs="Arial"/>
        </w:rPr>
        <w:t xml:space="preserve"> – </w:t>
      </w:r>
      <w:r w:rsidR="005C5E80" w:rsidRPr="00DA1464">
        <w:rPr>
          <w:rFonts w:ascii="Arial" w:hAnsi="Arial" w:cs="Arial"/>
        </w:rPr>
        <w:t>Recommendations</w:t>
      </w:r>
      <w:bookmarkEnd w:id="21"/>
      <w:r w:rsidRPr="00DA1464">
        <w:rPr>
          <w:rFonts w:ascii="Arial" w:hAnsi="Arial" w:cs="Arial"/>
        </w:rPr>
        <w:t xml:space="preserve"> </w:t>
      </w:r>
    </w:p>
    <w:p w14:paraId="71010707" w14:textId="77777777" w:rsidR="00636D9A" w:rsidRPr="00DA1464" w:rsidRDefault="00636D9A" w:rsidP="00DA1464">
      <w:pPr>
        <w:rPr>
          <w:rFonts w:ascii="Arial" w:hAnsi="Arial" w:cs="Arial"/>
        </w:rPr>
      </w:pPr>
    </w:p>
    <w:p w14:paraId="48D6A36B" w14:textId="4DE00D98" w:rsidR="005C5E80" w:rsidRPr="00DA1464" w:rsidRDefault="005C5E80" w:rsidP="00DA1464">
      <w:pPr>
        <w:rPr>
          <w:rFonts w:ascii="Arial" w:hAnsi="Arial" w:cs="Arial"/>
        </w:rPr>
      </w:pPr>
      <w:r w:rsidRPr="00DA1464">
        <w:rPr>
          <w:rFonts w:ascii="Arial" w:hAnsi="Arial" w:cs="Arial"/>
        </w:rPr>
        <w:t xml:space="preserve">Below you will provide at least 3 recommendations for future practice in relation to your topic area. Your recommendations need to be practical and achievable within theory and/or practice. You will also demonstrate the </w:t>
      </w:r>
      <w:r w:rsidRPr="00DA1464">
        <w:rPr>
          <w:rFonts w:ascii="Arial" w:hAnsi="Arial" w:cs="Arial"/>
          <w:b/>
          <w:bCs/>
          <w:u w:val="single"/>
        </w:rPr>
        <w:t>barriers and limitations</w:t>
      </w:r>
      <w:r w:rsidRPr="00DA1464">
        <w:rPr>
          <w:rFonts w:ascii="Arial" w:hAnsi="Arial" w:cs="Arial"/>
        </w:rPr>
        <w:t xml:space="preserve"> to your recommendations and how this can be overcome. </w:t>
      </w:r>
    </w:p>
    <w:p w14:paraId="6599D6CF" w14:textId="77777777" w:rsidR="005C5E80" w:rsidRPr="00DA1464" w:rsidRDefault="005C5E80" w:rsidP="00DA1464">
      <w:pPr>
        <w:rPr>
          <w:rFonts w:ascii="Arial" w:hAnsi="Arial" w:cs="Arial"/>
        </w:rPr>
      </w:pPr>
    </w:p>
    <w:p w14:paraId="559B6CF8" w14:textId="10E979EF" w:rsidR="00AC3E33" w:rsidRPr="00DA1464" w:rsidRDefault="005C5E80" w:rsidP="00DA1464">
      <w:pPr>
        <w:pStyle w:val="Heading1"/>
        <w:spacing w:line="360" w:lineRule="auto"/>
        <w:jc w:val="both"/>
        <w:rPr>
          <w:rFonts w:cs="Arial"/>
          <w:sz w:val="28"/>
          <w:szCs w:val="28"/>
        </w:rPr>
      </w:pPr>
      <w:bookmarkStart w:id="22" w:name="_Toc226533382"/>
      <w:r w:rsidRPr="00DA1464">
        <w:rPr>
          <w:rFonts w:cs="Arial"/>
          <w:sz w:val="28"/>
          <w:szCs w:val="28"/>
        </w:rPr>
        <w:t xml:space="preserve">5.2.1 – Recommendation 1 </w:t>
      </w:r>
      <w:r w:rsidR="00AC3E33" w:rsidRPr="00DA1464">
        <w:rPr>
          <w:rFonts w:cs="Arial"/>
          <w:sz w:val="28"/>
          <w:szCs w:val="28"/>
        </w:rPr>
        <w:t>– Create integrated 16–25 mental health transition pathways</w:t>
      </w:r>
      <w:bookmarkEnd w:id="22"/>
    </w:p>
    <w:p w14:paraId="28FD134C" w14:textId="5C362A05" w:rsidR="00352D7C" w:rsidRPr="00DA1464" w:rsidRDefault="00BF1B62" w:rsidP="00DA1464">
      <w:pPr>
        <w:pStyle w:val="p1"/>
        <w:spacing w:line="360" w:lineRule="auto"/>
        <w:jc w:val="both"/>
        <w:rPr>
          <w:rFonts w:ascii="Arial" w:hAnsi="Arial" w:cs="Arial"/>
        </w:rPr>
      </w:pPr>
      <w:r w:rsidRPr="00DA1464">
        <w:rPr>
          <w:rStyle w:val="s1"/>
          <w:rFonts w:ascii="Arial" w:hAnsi="Arial" w:cs="Arial"/>
        </w:rPr>
        <w:t xml:space="preserve">A key recommendation is the development of integrated </w:t>
      </w:r>
      <w:r w:rsidRPr="00DA1464">
        <w:rPr>
          <w:rStyle w:val="s2"/>
          <w:rFonts w:ascii="Arial" w:hAnsi="Arial" w:cs="Arial"/>
        </w:rPr>
        <w:t>16–25 mental health transition pathways</w:t>
      </w:r>
      <w:r w:rsidRPr="00DA1464">
        <w:rPr>
          <w:rStyle w:val="s1"/>
          <w:rFonts w:ascii="Arial" w:hAnsi="Arial" w:cs="Arial"/>
        </w:rPr>
        <w:t xml:space="preserve"> for care leavers, jointly delivered by leaving-care teams, CAMHS, adult mental health services, housing and primary care. This is justified by the dissertation’s finding that one of the weakest points in current provision is the transition between services, particularly at age 18, when thresholds, responsibilities and relationships often change abruptly (Butterworth et al., 2017; Ofsted, 2022; Prendergast et al., 2024). A named lead practitioner and shared transition protocol would reduce duplication and make support easier to navigate (Prendergast et al., 2024; Transformation Partners in Health and Care, 2023). This recommendation is practical because it builds on duties already established through the </w:t>
      </w:r>
      <w:r w:rsidRPr="00DA1464">
        <w:rPr>
          <w:rStyle w:val="s2"/>
          <w:rFonts w:ascii="Arial" w:hAnsi="Arial" w:cs="Arial"/>
        </w:rPr>
        <w:t>Children (Leaving Care) Act 2000</w:t>
      </w:r>
      <w:r w:rsidRPr="00DA1464">
        <w:rPr>
          <w:rStyle w:val="s1"/>
          <w:rFonts w:ascii="Arial" w:hAnsi="Arial" w:cs="Arial"/>
        </w:rPr>
        <w:t xml:space="preserve">, the </w:t>
      </w:r>
      <w:r w:rsidRPr="00DA1464">
        <w:rPr>
          <w:rStyle w:val="s2"/>
          <w:rFonts w:ascii="Arial" w:hAnsi="Arial" w:cs="Arial"/>
        </w:rPr>
        <w:t>Children and Social Work Act 2017</w:t>
      </w:r>
      <w:r w:rsidRPr="00DA1464">
        <w:rPr>
          <w:rStyle w:val="s1"/>
          <w:rFonts w:ascii="Arial" w:hAnsi="Arial" w:cs="Arial"/>
        </w:rPr>
        <w:t xml:space="preserve">, </w:t>
      </w:r>
      <w:r w:rsidRPr="00DA1464">
        <w:rPr>
          <w:rStyle w:val="s2"/>
          <w:rFonts w:ascii="Arial" w:hAnsi="Arial" w:cs="Arial"/>
        </w:rPr>
        <w:t>NICE guidance</w:t>
      </w:r>
      <w:r w:rsidRPr="00DA1464">
        <w:rPr>
          <w:rStyle w:val="s1"/>
          <w:rFonts w:ascii="Arial" w:hAnsi="Arial" w:cs="Arial"/>
        </w:rPr>
        <w:t xml:space="preserve"> and the </w:t>
      </w:r>
      <w:r w:rsidRPr="00DA1464">
        <w:rPr>
          <w:rStyle w:val="s2"/>
          <w:rFonts w:ascii="Arial" w:hAnsi="Arial" w:cs="Arial"/>
        </w:rPr>
        <w:t>NHS Long Term Plan</w:t>
      </w:r>
      <w:r w:rsidRPr="00DA1464">
        <w:rPr>
          <w:rStyle w:val="s1"/>
          <w:rFonts w:ascii="Arial" w:hAnsi="Arial" w:cs="Arial"/>
        </w:rPr>
        <w:t xml:space="preserve"> (Children (Leaving Care) Act 2000; Children and Social Work Act 2017; National Institute for Health and Care Excellence, 2021; NHS England, 2019). The main barriers are workforce pressure, weak inter-agency communication and restrictive thresholds, but these could be reduced through formal local protocols and joint accountability between local authorities and NHS partners (MacAlister, 2022; Prendergast et al., 2024).</w:t>
      </w:r>
      <w:r w:rsidR="008801DC">
        <w:rPr>
          <w:rStyle w:val="s1"/>
          <w:rFonts w:ascii="Arial" w:hAnsi="Arial" w:cs="Arial"/>
        </w:rPr>
        <w:t xml:space="preserve"> </w:t>
      </w:r>
      <w:r w:rsidR="00545576" w:rsidRPr="00545576">
        <w:rPr>
          <w:rStyle w:val="s1"/>
          <w:rFonts w:ascii="Arial" w:hAnsi="Arial" w:cs="Arial"/>
        </w:rPr>
        <w:t>This recommendation is further supported by parliamentary scrutiny indicating continuing concern about the capacity, consistency and effectiveness of children’s social care services, despite repeated reform efforts (Education Committee, 2025).</w:t>
      </w:r>
      <w:r w:rsidR="00D82C1E">
        <w:rPr>
          <w:rStyle w:val="s1"/>
          <w:rFonts w:ascii="Arial" w:hAnsi="Arial" w:cs="Arial"/>
        </w:rPr>
        <w:t xml:space="preserve"> </w:t>
      </w:r>
      <w:r w:rsidR="00084512" w:rsidRPr="00084512">
        <w:rPr>
          <w:rStyle w:val="s1"/>
          <w:rFonts w:ascii="Arial" w:hAnsi="Arial" w:cs="Arial"/>
        </w:rPr>
        <w:t>This is important because effectiveness should not be judged only through service contact or procedural compliance, but through outcomes that reflect care leavers’ own wellbeing and lived experience (McGrane et al., 2024).</w:t>
      </w:r>
    </w:p>
    <w:p w14:paraId="4263DD9E" w14:textId="77777777" w:rsidR="005C5E80" w:rsidRPr="00DA1464" w:rsidRDefault="005C5E80" w:rsidP="00DA1464">
      <w:pPr>
        <w:pStyle w:val="Heading1"/>
        <w:spacing w:line="360" w:lineRule="auto"/>
        <w:jc w:val="both"/>
        <w:rPr>
          <w:rFonts w:cs="Arial"/>
          <w:sz w:val="28"/>
          <w:szCs w:val="28"/>
        </w:rPr>
      </w:pPr>
    </w:p>
    <w:p w14:paraId="1019826B" w14:textId="2F80EDD1" w:rsidR="005C5E80" w:rsidRPr="00DA1464" w:rsidRDefault="005C5E80" w:rsidP="00DA1464">
      <w:pPr>
        <w:pStyle w:val="Heading1"/>
        <w:spacing w:line="360" w:lineRule="auto"/>
        <w:jc w:val="both"/>
        <w:rPr>
          <w:rFonts w:cs="Arial"/>
          <w:sz w:val="28"/>
          <w:szCs w:val="28"/>
        </w:rPr>
      </w:pPr>
      <w:bookmarkStart w:id="23" w:name="_Toc226533383"/>
      <w:r w:rsidRPr="00DA1464">
        <w:rPr>
          <w:rFonts w:cs="Arial"/>
          <w:sz w:val="28"/>
          <w:szCs w:val="28"/>
        </w:rPr>
        <w:t xml:space="preserve">5.2.2 – Recommendation 2 </w:t>
      </w:r>
      <w:r w:rsidR="00F603C6" w:rsidRPr="00DA1464">
        <w:rPr>
          <w:rFonts w:cs="Arial"/>
          <w:sz w:val="28"/>
          <w:szCs w:val="28"/>
        </w:rPr>
        <w:t xml:space="preserve">- </w:t>
      </w:r>
      <w:r w:rsidR="00897EB9" w:rsidRPr="00DA1464">
        <w:rPr>
          <w:rFonts w:cs="Arial"/>
          <w:sz w:val="28"/>
          <w:szCs w:val="28"/>
        </w:rPr>
        <w:t>Strengthen continuity and relational support beyond age 18</w:t>
      </w:r>
      <w:bookmarkEnd w:id="23"/>
    </w:p>
    <w:p w14:paraId="1F80D6A6" w14:textId="068111A7" w:rsidR="005C5E80" w:rsidRPr="00DA1464" w:rsidRDefault="001D1F11" w:rsidP="00DA1464">
      <w:pPr>
        <w:pStyle w:val="p1"/>
        <w:spacing w:line="360" w:lineRule="auto"/>
        <w:jc w:val="both"/>
        <w:rPr>
          <w:rFonts w:ascii="Arial" w:hAnsi="Arial" w:cs="Arial"/>
        </w:rPr>
      </w:pPr>
      <w:r w:rsidRPr="00DA1464">
        <w:rPr>
          <w:rStyle w:val="s1"/>
          <w:rFonts w:ascii="Arial" w:hAnsi="Arial" w:cs="Arial"/>
        </w:rPr>
        <w:t xml:space="preserve">The second recommendation is to strengthen </w:t>
      </w:r>
      <w:r w:rsidRPr="00DA1464">
        <w:rPr>
          <w:rStyle w:val="s2"/>
          <w:rFonts w:ascii="Arial" w:hAnsi="Arial" w:cs="Arial"/>
        </w:rPr>
        <w:t>continuity and relational support</w:t>
      </w:r>
      <w:r w:rsidRPr="00DA1464">
        <w:rPr>
          <w:rStyle w:val="s1"/>
          <w:rFonts w:ascii="Arial" w:hAnsi="Arial" w:cs="Arial"/>
        </w:rPr>
        <w:t xml:space="preserve"> beyond age 18, particularly through stable adviser relationships, extended practical support </w:t>
      </w:r>
      <w:r w:rsidRPr="00DA1464">
        <w:rPr>
          <w:rStyle w:val="s1"/>
          <w:rFonts w:ascii="Arial" w:hAnsi="Arial" w:cs="Arial"/>
        </w:rPr>
        <w:lastRenderedPageBreak/>
        <w:t xml:space="preserve">and greater parity for young people leaving residential care. The findings showed that continuity, trusted relationships and sustained support are among the strongest protective factors identified in the literature, while abrupt endings often intensify distress and disengagement (Allen, 2023; Stubbs et al., 2023; Young et al., 2024). Existing policy already points in this direction through </w:t>
      </w:r>
      <w:r w:rsidRPr="00DA1464">
        <w:rPr>
          <w:rStyle w:val="s2"/>
          <w:rFonts w:ascii="Arial" w:hAnsi="Arial" w:cs="Arial"/>
        </w:rPr>
        <w:t>Staying Put</w:t>
      </w:r>
      <w:r w:rsidRPr="00DA1464">
        <w:rPr>
          <w:rStyle w:val="s1"/>
          <w:rFonts w:ascii="Arial" w:hAnsi="Arial" w:cs="Arial"/>
        </w:rPr>
        <w:t xml:space="preserve">, </w:t>
      </w:r>
      <w:r w:rsidRPr="00DA1464">
        <w:rPr>
          <w:rStyle w:val="s2"/>
          <w:rFonts w:ascii="Arial" w:hAnsi="Arial" w:cs="Arial"/>
        </w:rPr>
        <w:t>Keep on Caring</w:t>
      </w:r>
      <w:r w:rsidRPr="00DA1464">
        <w:rPr>
          <w:rStyle w:val="s1"/>
          <w:rFonts w:ascii="Arial" w:hAnsi="Arial" w:cs="Arial"/>
        </w:rPr>
        <w:t xml:space="preserve">, and wider corporate parenting duties, but implementation remains </w:t>
      </w:r>
      <w:proofErr w:type="gramStart"/>
      <w:r w:rsidRPr="00DA1464">
        <w:rPr>
          <w:rStyle w:val="s1"/>
          <w:rFonts w:ascii="Arial" w:hAnsi="Arial" w:cs="Arial"/>
        </w:rPr>
        <w:t>uneven</w:t>
      </w:r>
      <w:proofErr w:type="gramEnd"/>
      <w:r w:rsidRPr="00DA1464">
        <w:rPr>
          <w:rStyle w:val="s1"/>
          <w:rFonts w:ascii="Arial" w:hAnsi="Arial" w:cs="Arial"/>
        </w:rPr>
        <w:t xml:space="preserve"> and continuity is not equally available across placement types (HM Government, 2013; HM Government, 2016; Children and Social Work Act 2017). This is especially problematic for young people leaving residential care, where continuity is often weaker despite higher levels of need (Allen, 2023; Centre for Homelessness Impact, 2025; Munro, 2019). The main barrier is cost, because sustained relational support is resource-intensive, but the dissertation suggests that discontinuity is also costly through crisis, instability and worsening mental health (Butterworth et al., 2017; MacAlister, 2022). This barrier could be addressed by treating continuity as preventive investment and specifying minimum relational entitlements within local offers up to age 25 (Department for Education, 2025c; Foley et al., 2025).</w:t>
      </w:r>
    </w:p>
    <w:p w14:paraId="6DEFF1C6" w14:textId="6D8107D5" w:rsidR="005C5E80" w:rsidRPr="00DA1464" w:rsidRDefault="005C5E80" w:rsidP="00DA1464">
      <w:pPr>
        <w:pStyle w:val="Heading1"/>
        <w:spacing w:line="360" w:lineRule="auto"/>
        <w:jc w:val="both"/>
        <w:rPr>
          <w:rFonts w:cs="Arial"/>
          <w:sz w:val="28"/>
          <w:szCs w:val="28"/>
        </w:rPr>
      </w:pPr>
      <w:bookmarkStart w:id="24" w:name="_Toc226533384"/>
      <w:r w:rsidRPr="00DA1464">
        <w:rPr>
          <w:rFonts w:cs="Arial"/>
          <w:sz w:val="28"/>
          <w:szCs w:val="28"/>
        </w:rPr>
        <w:t xml:space="preserve">5.2.3 – Recommendation 3 </w:t>
      </w:r>
      <w:r w:rsidR="00EB49DE" w:rsidRPr="00DA1464">
        <w:rPr>
          <w:rFonts w:cs="Arial"/>
          <w:sz w:val="28"/>
          <w:szCs w:val="28"/>
        </w:rPr>
        <w:t>- Introduce a Northern England care leaver mental health equity framework</w:t>
      </w:r>
      <w:bookmarkEnd w:id="24"/>
    </w:p>
    <w:p w14:paraId="61CD43C9" w14:textId="77777777" w:rsidR="00211184" w:rsidRPr="00DA1464" w:rsidRDefault="00211184" w:rsidP="00DA1464">
      <w:pPr>
        <w:rPr>
          <w:rFonts w:ascii="Arial" w:hAnsi="Arial" w:cs="Arial"/>
        </w:rPr>
      </w:pPr>
    </w:p>
    <w:p w14:paraId="020B1B1C" w14:textId="785FE3E6" w:rsidR="000400E4" w:rsidRPr="00DA1464" w:rsidRDefault="00237D43" w:rsidP="00DA1464">
      <w:pPr>
        <w:pStyle w:val="p1"/>
        <w:spacing w:line="360" w:lineRule="auto"/>
        <w:jc w:val="both"/>
        <w:rPr>
          <w:rFonts w:ascii="Arial" w:hAnsi="Arial" w:cs="Arial"/>
        </w:rPr>
      </w:pPr>
      <w:r w:rsidRPr="00DA1464">
        <w:rPr>
          <w:rStyle w:val="s1"/>
          <w:rFonts w:ascii="Arial" w:hAnsi="Arial" w:cs="Arial"/>
        </w:rPr>
        <w:t xml:space="preserve">The final recommendation is the introduction of a </w:t>
      </w:r>
      <w:r w:rsidRPr="00DA1464">
        <w:rPr>
          <w:rStyle w:val="s2"/>
          <w:rFonts w:ascii="Arial" w:hAnsi="Arial" w:cs="Arial"/>
        </w:rPr>
        <w:t>Northern England care leaver mental health equity framework</w:t>
      </w:r>
      <w:r w:rsidRPr="00DA1464">
        <w:rPr>
          <w:rStyle w:val="s1"/>
          <w:rFonts w:ascii="Arial" w:hAnsi="Arial" w:cs="Arial"/>
        </w:rPr>
        <w:t xml:space="preserve">, focused on reducing postcode variation through targeted monitoring, minimum expectations and improvement support. This recommendation follows directly from the dissertation’s finding that care leavers in Northern England experience both care-related vulnerability and wider regional disadvantage, while service quality varies substantially across and within northern authorities (Bennett et al., 2022; Bennett et al., 2024a; Ofsted, 2023; Ofsted, 2025b; Ofsted, 2025c; Ofsted, 2025d). A regional framework should monitor indicators such as access to mental health support, waiting times, housing stability and continuity of adviser support, so that formal entitlement can be assessed against actual delivery (Foley et al., 2025; Ofsted, 2025d). This would build on existing inspection and local-offer mechanisms rather than replacing them (Department for Education, 2025c; Foley et al., 2025). The main barriers are variation in local data systems, implementation capacity and funding, </w:t>
      </w:r>
      <w:r w:rsidRPr="00DA1464">
        <w:rPr>
          <w:rStyle w:val="s1"/>
          <w:rFonts w:ascii="Arial" w:hAnsi="Arial" w:cs="Arial"/>
        </w:rPr>
        <w:lastRenderedPageBreak/>
        <w:t>but these could be reduced by using a limited set of common indicators and linking monitoring to targeted improvement support for weaker authorities (MacAlister, 2022; Ofsted, 2025d). The purpose should be the reduction of avoidable regional inequality rather than simple comparison.</w:t>
      </w:r>
    </w:p>
    <w:p w14:paraId="770A88CF" w14:textId="77777777" w:rsidR="00F43BE2" w:rsidRPr="00DA1464" w:rsidRDefault="00F43BE2" w:rsidP="00DA1464">
      <w:pPr>
        <w:pStyle w:val="p1"/>
        <w:spacing w:line="360" w:lineRule="auto"/>
        <w:jc w:val="both"/>
        <w:rPr>
          <w:rFonts w:ascii="Arial" w:hAnsi="Arial" w:cs="Arial"/>
        </w:rPr>
      </w:pPr>
      <w:r w:rsidRPr="00DA1464">
        <w:rPr>
          <w:rStyle w:val="s1"/>
          <w:rFonts w:ascii="Arial" w:hAnsi="Arial" w:cs="Arial"/>
        </w:rPr>
        <w:t>Taken together, these recommendations reflect the central conclusion of the dissertation: social services are most likely to reduce mental health inequalities among care leavers in Northern England when support is integrated, sustained and equitable, rather than fragmented, short term or dependent on local chance</w:t>
      </w:r>
      <w:r w:rsidRPr="00DA1464">
        <w:rPr>
          <w:rStyle w:val="s2"/>
          <w:rFonts w:ascii="Arial" w:hAnsi="Arial" w:cs="Arial"/>
        </w:rPr>
        <w:t xml:space="preserve"> (Bennett et al., 2022; Foley et al., 2025; MacAlister, 2022).</w:t>
      </w:r>
    </w:p>
    <w:p w14:paraId="65F969F3" w14:textId="77777777" w:rsidR="000400E4" w:rsidRPr="00DA1464" w:rsidRDefault="000400E4" w:rsidP="00DA1464">
      <w:pPr>
        <w:rPr>
          <w:rFonts w:ascii="Arial" w:hAnsi="Arial" w:cs="Arial"/>
        </w:rPr>
      </w:pPr>
    </w:p>
    <w:p w14:paraId="59D70DFF" w14:textId="77777777" w:rsidR="000400E4" w:rsidRPr="00DA1464" w:rsidRDefault="000400E4" w:rsidP="00DA1464">
      <w:pPr>
        <w:rPr>
          <w:rFonts w:ascii="Arial" w:hAnsi="Arial" w:cs="Arial"/>
        </w:rPr>
      </w:pPr>
    </w:p>
    <w:p w14:paraId="132A973C" w14:textId="77777777" w:rsidR="000400E4" w:rsidRPr="00DA1464" w:rsidRDefault="000400E4" w:rsidP="00DA1464">
      <w:pPr>
        <w:rPr>
          <w:rFonts w:ascii="Arial" w:hAnsi="Arial" w:cs="Arial"/>
        </w:rPr>
      </w:pPr>
    </w:p>
    <w:p w14:paraId="54494726" w14:textId="77777777" w:rsidR="000400E4" w:rsidRPr="00DA1464" w:rsidRDefault="000400E4" w:rsidP="00DA1464">
      <w:pPr>
        <w:rPr>
          <w:rFonts w:ascii="Arial" w:hAnsi="Arial" w:cs="Arial"/>
        </w:rPr>
      </w:pPr>
    </w:p>
    <w:p w14:paraId="722FC155" w14:textId="77777777" w:rsidR="000400E4" w:rsidRPr="00DA1464" w:rsidRDefault="000400E4" w:rsidP="00DA1464">
      <w:pPr>
        <w:rPr>
          <w:rFonts w:ascii="Arial" w:hAnsi="Arial" w:cs="Arial"/>
        </w:rPr>
      </w:pPr>
    </w:p>
    <w:p w14:paraId="2E19E1E0" w14:textId="77777777" w:rsidR="000400E4" w:rsidRPr="00DA1464" w:rsidRDefault="000400E4" w:rsidP="00DA1464">
      <w:pPr>
        <w:rPr>
          <w:rFonts w:ascii="Arial" w:hAnsi="Arial" w:cs="Arial"/>
        </w:rPr>
      </w:pPr>
    </w:p>
    <w:p w14:paraId="0AE97BAA" w14:textId="77777777" w:rsidR="000400E4" w:rsidRPr="00DA1464" w:rsidRDefault="000400E4" w:rsidP="00DA1464">
      <w:pPr>
        <w:rPr>
          <w:rFonts w:ascii="Arial" w:hAnsi="Arial" w:cs="Arial"/>
        </w:rPr>
      </w:pPr>
    </w:p>
    <w:p w14:paraId="5A974663" w14:textId="77777777" w:rsidR="000400E4" w:rsidRPr="00DA1464" w:rsidRDefault="000400E4" w:rsidP="00DA1464">
      <w:pPr>
        <w:rPr>
          <w:rFonts w:ascii="Arial" w:hAnsi="Arial" w:cs="Arial"/>
        </w:rPr>
      </w:pPr>
    </w:p>
    <w:p w14:paraId="1C6879D3" w14:textId="77777777" w:rsidR="000400E4" w:rsidRPr="00DA1464" w:rsidRDefault="000400E4" w:rsidP="00DA1464">
      <w:pPr>
        <w:rPr>
          <w:rFonts w:ascii="Arial" w:hAnsi="Arial" w:cs="Arial"/>
        </w:rPr>
      </w:pPr>
    </w:p>
    <w:p w14:paraId="4890622C" w14:textId="77777777" w:rsidR="000400E4" w:rsidRPr="00DA1464" w:rsidRDefault="000400E4" w:rsidP="00DA1464">
      <w:pPr>
        <w:rPr>
          <w:rFonts w:ascii="Arial" w:hAnsi="Arial" w:cs="Arial"/>
        </w:rPr>
      </w:pPr>
    </w:p>
    <w:p w14:paraId="03F2ECBE" w14:textId="77777777" w:rsidR="000400E4" w:rsidRPr="00DA1464" w:rsidRDefault="000400E4" w:rsidP="00DA1464">
      <w:pPr>
        <w:rPr>
          <w:rFonts w:ascii="Arial" w:hAnsi="Arial" w:cs="Arial"/>
        </w:rPr>
      </w:pPr>
    </w:p>
    <w:p w14:paraId="1AA892C7" w14:textId="77777777" w:rsidR="000400E4" w:rsidRPr="00DA1464" w:rsidRDefault="000400E4" w:rsidP="00DA1464">
      <w:pPr>
        <w:rPr>
          <w:rFonts w:ascii="Arial" w:hAnsi="Arial" w:cs="Arial"/>
        </w:rPr>
      </w:pPr>
    </w:p>
    <w:p w14:paraId="1E14157A" w14:textId="77777777" w:rsidR="000400E4" w:rsidRPr="00DA1464" w:rsidRDefault="000400E4" w:rsidP="00DA1464">
      <w:pPr>
        <w:rPr>
          <w:rFonts w:ascii="Arial" w:hAnsi="Arial" w:cs="Arial"/>
        </w:rPr>
      </w:pPr>
    </w:p>
    <w:p w14:paraId="2BDFC52E" w14:textId="77777777" w:rsidR="000400E4" w:rsidRPr="00DA1464" w:rsidRDefault="000400E4" w:rsidP="00DA1464">
      <w:pPr>
        <w:rPr>
          <w:rFonts w:ascii="Arial" w:hAnsi="Arial" w:cs="Arial"/>
        </w:rPr>
      </w:pPr>
    </w:p>
    <w:p w14:paraId="3D3F3B28" w14:textId="1662D714" w:rsidR="00211184" w:rsidRPr="00DA1464" w:rsidRDefault="00211184" w:rsidP="00DA1464">
      <w:pPr>
        <w:pStyle w:val="Heading1"/>
        <w:spacing w:line="360" w:lineRule="auto"/>
        <w:ind w:left="0"/>
        <w:jc w:val="both"/>
        <w:rPr>
          <w:rFonts w:cs="Arial"/>
        </w:rPr>
      </w:pPr>
      <w:bookmarkStart w:id="25" w:name="_Toc226533385"/>
      <w:r w:rsidRPr="00DA1464">
        <w:rPr>
          <w:rFonts w:cs="Arial"/>
        </w:rPr>
        <w:t>CHAPTER 6 – References and Appendices</w:t>
      </w:r>
      <w:bookmarkEnd w:id="25"/>
      <w:r w:rsidRPr="00DA1464">
        <w:rPr>
          <w:rFonts w:cs="Arial"/>
        </w:rPr>
        <w:t xml:space="preserve"> </w:t>
      </w:r>
    </w:p>
    <w:p w14:paraId="2EE69DD1" w14:textId="77777777" w:rsidR="00211184" w:rsidRPr="00DA1464" w:rsidRDefault="00211184" w:rsidP="00DA1464">
      <w:pPr>
        <w:rPr>
          <w:rFonts w:ascii="Arial" w:hAnsi="Arial" w:cs="Arial"/>
        </w:rPr>
      </w:pPr>
    </w:p>
    <w:p w14:paraId="020975DD" w14:textId="16A395E8" w:rsidR="00621776" w:rsidRPr="00DA1464" w:rsidRDefault="00621776" w:rsidP="00DA1464">
      <w:pPr>
        <w:pStyle w:val="Heading1"/>
        <w:spacing w:line="360" w:lineRule="auto"/>
        <w:ind w:left="0"/>
        <w:jc w:val="both"/>
        <w:rPr>
          <w:rFonts w:cs="Arial"/>
          <w:sz w:val="28"/>
          <w:szCs w:val="28"/>
        </w:rPr>
      </w:pPr>
      <w:bookmarkStart w:id="26" w:name="_Toc226533386"/>
      <w:r w:rsidRPr="00DA1464">
        <w:rPr>
          <w:rFonts w:cs="Arial"/>
          <w:sz w:val="28"/>
          <w:szCs w:val="28"/>
        </w:rPr>
        <w:t>6.1 – References</w:t>
      </w:r>
      <w:bookmarkEnd w:id="26"/>
      <w:r w:rsidRPr="00DA1464">
        <w:rPr>
          <w:rFonts w:cs="Arial"/>
          <w:sz w:val="28"/>
          <w:szCs w:val="28"/>
        </w:rPr>
        <w:t xml:space="preserve"> </w:t>
      </w:r>
    </w:p>
    <w:p w14:paraId="3A8281F8" w14:textId="77777777" w:rsidR="001020D8" w:rsidRPr="001020D8" w:rsidRDefault="001020D8" w:rsidP="001020D8">
      <w:pPr>
        <w:rPr>
          <w:rFonts w:ascii="Arial" w:hAnsi="Arial" w:cs="Arial"/>
        </w:rPr>
      </w:pPr>
      <w:r w:rsidRPr="001020D8">
        <w:rPr>
          <w:rFonts w:ascii="Arial" w:hAnsi="Arial" w:cs="Arial"/>
        </w:rPr>
        <w:lastRenderedPageBreak/>
        <w:t>Addison, M., Kaner, E., Johnstone, P., Hillier-Brown, F., Moffatt, S., Russell, S., Barr, B., Holland, P., Salway, S., Whitehead, M. and Bambra, C. (2019) ‘Equal North: how can we reduce health inequalities in the North of England? A prioritisation exercise with researchers, policymakers and practitioners’, Journal of Public Health (</w:t>
      </w:r>
      <w:proofErr w:type="spellStart"/>
      <w:r w:rsidRPr="001020D8">
        <w:rPr>
          <w:rFonts w:ascii="Arial" w:hAnsi="Arial" w:cs="Arial"/>
        </w:rPr>
        <w:t>Oxf</w:t>
      </w:r>
      <w:proofErr w:type="spellEnd"/>
      <w:r w:rsidRPr="001020D8">
        <w:rPr>
          <w:rFonts w:ascii="Arial" w:hAnsi="Arial" w:cs="Arial"/>
        </w:rPr>
        <w:t xml:space="preserve">), 41(4), pp. 652–664. Available at: </w:t>
      </w:r>
      <w:proofErr w:type="spellStart"/>
      <w:r w:rsidRPr="001020D8">
        <w:rPr>
          <w:rFonts w:ascii="Arial" w:hAnsi="Arial" w:cs="Arial"/>
        </w:rPr>
        <w:t>doi</w:t>
      </w:r>
      <w:proofErr w:type="spellEnd"/>
      <w:r w:rsidRPr="001020D8">
        <w:rPr>
          <w:rFonts w:ascii="Arial" w:hAnsi="Arial" w:cs="Arial"/>
        </w:rPr>
        <w:t>: 10.1093/</w:t>
      </w:r>
      <w:proofErr w:type="spellStart"/>
      <w:r w:rsidRPr="001020D8">
        <w:rPr>
          <w:rFonts w:ascii="Arial" w:hAnsi="Arial" w:cs="Arial"/>
        </w:rPr>
        <w:t>pubmed</w:t>
      </w:r>
      <w:proofErr w:type="spellEnd"/>
      <w:r w:rsidRPr="001020D8">
        <w:rPr>
          <w:rFonts w:ascii="Arial" w:hAnsi="Arial" w:cs="Arial"/>
        </w:rPr>
        <w:t>/fdy170.</w:t>
      </w:r>
    </w:p>
    <w:p w14:paraId="3BC0E774" w14:textId="77777777" w:rsidR="001020D8" w:rsidRPr="001020D8" w:rsidRDefault="001020D8" w:rsidP="001020D8">
      <w:pPr>
        <w:rPr>
          <w:rFonts w:ascii="Arial" w:hAnsi="Arial" w:cs="Arial"/>
        </w:rPr>
      </w:pPr>
      <w:r w:rsidRPr="001020D8">
        <w:rPr>
          <w:rFonts w:ascii="Arial" w:hAnsi="Arial" w:cs="Arial"/>
        </w:rPr>
        <w:t>Allen, D. (2023) ‘“Staying Close”: Enabling social interdependence for young people leaving residential care in England’, Children &amp; Society. Available at: https://doi.org/10.1111/chso.12769</w:t>
      </w:r>
    </w:p>
    <w:p w14:paraId="727C173E" w14:textId="77777777" w:rsidR="001020D8" w:rsidRPr="001020D8" w:rsidRDefault="001020D8" w:rsidP="001020D8">
      <w:pPr>
        <w:rPr>
          <w:rFonts w:ascii="Arial" w:hAnsi="Arial" w:cs="Arial"/>
        </w:rPr>
      </w:pPr>
      <w:r w:rsidRPr="001020D8">
        <w:rPr>
          <w:rFonts w:ascii="Arial" w:hAnsi="Arial" w:cs="Arial"/>
        </w:rPr>
        <w:t>Appleton, P., Hung, I. and Barratt, C. (2021) ‘Internal conversations, self-reliance and social support in emerging adults transitioning from out-of-home care: An interpretative phenomenological study’, Clinical Child Psychology and Psychiatry, 26(3), pp. 882–893. Available at: https://doi.org/10.1177/13591045211005827</w:t>
      </w:r>
    </w:p>
    <w:p w14:paraId="1D949804" w14:textId="77777777" w:rsidR="001020D8" w:rsidRPr="001020D8" w:rsidRDefault="001020D8" w:rsidP="001020D8">
      <w:pPr>
        <w:rPr>
          <w:rFonts w:ascii="Arial" w:hAnsi="Arial" w:cs="Arial"/>
        </w:rPr>
      </w:pPr>
      <w:r w:rsidRPr="001020D8">
        <w:rPr>
          <w:rFonts w:ascii="Arial" w:hAnsi="Arial" w:cs="Arial"/>
        </w:rPr>
        <w:t>Atkinson, C. and Hyde, R. (2019) ‘Care leavers’ views about transition: A literature review’, Journal of Children’s Services, 14(1), pp. 42–58. Available at: https://doi.org/10.1108/JCS-05-2018-0013</w:t>
      </w:r>
    </w:p>
    <w:p w14:paraId="689899E8" w14:textId="77777777" w:rsidR="001020D8" w:rsidRPr="001020D8" w:rsidRDefault="001020D8" w:rsidP="001020D8">
      <w:pPr>
        <w:rPr>
          <w:rFonts w:ascii="Arial" w:hAnsi="Arial" w:cs="Arial"/>
        </w:rPr>
      </w:pPr>
      <w:r w:rsidRPr="001020D8">
        <w:rPr>
          <w:rFonts w:ascii="Arial" w:hAnsi="Arial" w:cs="Arial"/>
        </w:rPr>
        <w:t xml:space="preserve">Aveyard, H. (2014) Doing a literature review in health and social care: A practical guide. 3rd </w:t>
      </w:r>
      <w:proofErr w:type="spellStart"/>
      <w:r w:rsidRPr="001020D8">
        <w:rPr>
          <w:rFonts w:ascii="Arial" w:hAnsi="Arial" w:cs="Arial"/>
        </w:rPr>
        <w:t>edn</w:t>
      </w:r>
      <w:proofErr w:type="spellEnd"/>
      <w:r w:rsidRPr="001020D8">
        <w:rPr>
          <w:rFonts w:ascii="Arial" w:hAnsi="Arial" w:cs="Arial"/>
        </w:rPr>
        <w:t>. Maidenhead: Open University Press.</w:t>
      </w:r>
    </w:p>
    <w:p w14:paraId="41554BEC" w14:textId="77777777" w:rsidR="001020D8" w:rsidRPr="001020D8" w:rsidRDefault="001020D8" w:rsidP="001020D8">
      <w:pPr>
        <w:rPr>
          <w:rFonts w:ascii="Arial" w:hAnsi="Arial" w:cs="Arial"/>
        </w:rPr>
      </w:pPr>
      <w:r w:rsidRPr="001020D8">
        <w:rPr>
          <w:rFonts w:ascii="Arial" w:hAnsi="Arial" w:cs="Arial"/>
        </w:rPr>
        <w:t xml:space="preserve">Baker, C. (2017) Care leavers’ views on their transition to adulthood: A rapid review of the evidence. London: Coram Voice. Available at: https://coramvoice.org.uk/wp-content/uploads/sites/2/2025/02/Care-Leaver-Rapid-Review-24.10.17-final-proof-2.pdf (Accessed: 7 April 2026).  </w:t>
      </w:r>
    </w:p>
    <w:p w14:paraId="004E7322" w14:textId="77777777" w:rsidR="001020D8" w:rsidRPr="001020D8" w:rsidRDefault="001020D8" w:rsidP="001020D8">
      <w:pPr>
        <w:rPr>
          <w:rFonts w:ascii="Arial" w:hAnsi="Arial" w:cs="Arial"/>
        </w:rPr>
      </w:pPr>
      <w:r w:rsidRPr="001020D8">
        <w:rPr>
          <w:rFonts w:ascii="Arial" w:hAnsi="Arial" w:cs="Arial"/>
        </w:rPr>
        <w:t>Barratt, C., Appleton, P. and Pearson, M. (2020) ‘Exploring internal conversations to understand the experience of young adults transitioning out of care’, Journal of Youth Studies, 23(7), pp. 869–885. Available at: https://doi.org/10.1080/13676261.2019.1645310</w:t>
      </w:r>
    </w:p>
    <w:p w14:paraId="5CA37D06" w14:textId="77777777" w:rsidR="001020D8" w:rsidRPr="001020D8" w:rsidRDefault="001020D8" w:rsidP="001020D8">
      <w:pPr>
        <w:rPr>
          <w:rFonts w:ascii="Arial" w:hAnsi="Arial" w:cs="Arial"/>
        </w:rPr>
      </w:pPr>
      <w:r w:rsidRPr="001020D8">
        <w:rPr>
          <w:rFonts w:ascii="Arial" w:hAnsi="Arial" w:cs="Arial"/>
        </w:rPr>
        <w:t>Bennett, D., Lee, P., Doebler, S., Pickett, K., Taylor-Robinson, D., Darby, A., Davies, H., Van Zyl, A., Hankinson, M., Kay, K., Walmsley, P. and Broadhurst, K. (2024) Children in the North at greater risk of entering care. Health Equity North. Available at: https://www.healthequitynorth.co.uk/children-in-the-north-at-greater-risk-of-entering-care/ (Accessed: 7 April 2026).</w:t>
      </w:r>
    </w:p>
    <w:p w14:paraId="07002654" w14:textId="77777777" w:rsidR="001020D8" w:rsidRPr="001020D8" w:rsidRDefault="001020D8" w:rsidP="001020D8">
      <w:pPr>
        <w:rPr>
          <w:rFonts w:ascii="Arial" w:hAnsi="Arial" w:cs="Arial"/>
        </w:rPr>
      </w:pPr>
      <w:r w:rsidRPr="001020D8">
        <w:rPr>
          <w:rFonts w:ascii="Arial" w:hAnsi="Arial" w:cs="Arial"/>
        </w:rPr>
        <w:t>Bennett, D.L., Schluter, D.K., Melis, G., Bywaters, P., Alexiou, A., Barr, B., Wickham, S. and Taylor-Robinson, D. (2022) ‘Child poverty and children entering care in England, 2015–20: A longitudinal ecological study at the local area level’, The Lancet Public Health, 7(6), pp. e496–e503. Available at: https://doi.org/10.1016/S2468-2667(22)00065-2</w:t>
      </w:r>
    </w:p>
    <w:p w14:paraId="2BCB0988" w14:textId="77777777" w:rsidR="001020D8" w:rsidRPr="001020D8" w:rsidRDefault="001020D8" w:rsidP="001020D8">
      <w:pPr>
        <w:rPr>
          <w:rFonts w:ascii="Arial" w:hAnsi="Arial" w:cs="Arial"/>
        </w:rPr>
      </w:pPr>
      <w:r w:rsidRPr="001020D8">
        <w:rPr>
          <w:rFonts w:ascii="Arial" w:hAnsi="Arial" w:cs="Arial"/>
        </w:rPr>
        <w:lastRenderedPageBreak/>
        <w:t>Bennett, D.L., Wickham, S., Barr, B. and Taylor-Robinson, D. (2024a) ‘Poverty and children entering care in England: A qualitative study of local authority policymakers’ perspectives of challenges in children’s services’, Children and Youth Services Review, 162, 107689. Available at: https://doi.org/10.1016/j.childyouth.2024.107689</w:t>
      </w:r>
    </w:p>
    <w:p w14:paraId="273975E8" w14:textId="77777777" w:rsidR="001020D8" w:rsidRPr="001020D8" w:rsidRDefault="001020D8" w:rsidP="001020D8">
      <w:pPr>
        <w:rPr>
          <w:rFonts w:ascii="Arial" w:hAnsi="Arial" w:cs="Arial"/>
        </w:rPr>
      </w:pPr>
      <w:r w:rsidRPr="001020D8">
        <w:rPr>
          <w:rFonts w:ascii="Arial" w:hAnsi="Arial" w:cs="Arial"/>
        </w:rPr>
        <w:t>Bogen-Johnston, L., Edelman, N. and Sellers, R. (2024) ‘Interventions to support reproductive and mental health among care leavers: A systematic review’, International Journal of Social Psychiatry, 48(1). Available at: https://doi.org/10.1177/03085759231212496</w:t>
      </w:r>
    </w:p>
    <w:p w14:paraId="626D1467" w14:textId="77777777" w:rsidR="001020D8" w:rsidRPr="001020D8" w:rsidRDefault="001020D8" w:rsidP="001020D8">
      <w:pPr>
        <w:rPr>
          <w:rFonts w:ascii="Arial" w:hAnsi="Arial" w:cs="Arial"/>
        </w:rPr>
      </w:pPr>
      <w:r w:rsidRPr="001020D8">
        <w:rPr>
          <w:rFonts w:ascii="Arial" w:hAnsi="Arial" w:cs="Arial"/>
        </w:rPr>
        <w:t xml:space="preserve">Braun, V., &amp; Clarke, V. (2012). Thematic analysis. In H. Cooper, P. M. Camic, D. L. Long, A. T. Panter, D. </w:t>
      </w:r>
      <w:proofErr w:type="spellStart"/>
      <w:r w:rsidRPr="001020D8">
        <w:rPr>
          <w:rFonts w:ascii="Arial" w:hAnsi="Arial" w:cs="Arial"/>
        </w:rPr>
        <w:t>Rindskopf</w:t>
      </w:r>
      <w:proofErr w:type="spellEnd"/>
      <w:r w:rsidRPr="001020D8">
        <w:rPr>
          <w:rFonts w:ascii="Arial" w:hAnsi="Arial" w:cs="Arial"/>
        </w:rPr>
        <w:t>, &amp; K. J. Sher (Eds.), APA handbook of research methods in psychology, Vol. 2. Research designs: Quantitative, qualitative, neuropsychological, and biological (pp. 57–71). American Psychological Association. https://doi.org/10.1037/13620-004</w:t>
      </w:r>
    </w:p>
    <w:p w14:paraId="0DB4AC6E" w14:textId="77777777" w:rsidR="001020D8" w:rsidRPr="001020D8" w:rsidRDefault="001020D8" w:rsidP="001020D8">
      <w:pPr>
        <w:rPr>
          <w:rFonts w:ascii="Arial" w:hAnsi="Arial" w:cs="Arial"/>
        </w:rPr>
      </w:pPr>
      <w:r w:rsidRPr="001020D8">
        <w:rPr>
          <w:rFonts w:ascii="Arial" w:hAnsi="Arial" w:cs="Arial"/>
        </w:rPr>
        <w:t>Brown, H., Gao, N. and Song, W. (2024) ‘Regional trends in mental health inequalities in young people aged 16–25 in the UK and the role of cuts to local government expenditure: Repeated cross-sectional analysis using the British Household Panel Survey/UK Household Longitudinal Survey’, Social Science &amp; Medicine, 353. Available at: https://doi.org/10.1016/j.socscimed.2024.117068</w:t>
      </w:r>
    </w:p>
    <w:p w14:paraId="6747B8D9" w14:textId="77777777" w:rsidR="001020D8" w:rsidRPr="001020D8" w:rsidRDefault="001020D8" w:rsidP="001020D8">
      <w:pPr>
        <w:rPr>
          <w:rFonts w:ascii="Arial" w:hAnsi="Arial" w:cs="Arial"/>
        </w:rPr>
      </w:pPr>
      <w:r w:rsidRPr="001020D8">
        <w:rPr>
          <w:rFonts w:ascii="Arial" w:hAnsi="Arial" w:cs="Arial"/>
        </w:rPr>
        <w:t xml:space="preserve">Butterworth, S., Singh, S.P., Birchwood, M., Islam, Z., Munro, E.R., </w:t>
      </w:r>
      <w:proofErr w:type="spellStart"/>
      <w:r w:rsidRPr="001020D8">
        <w:rPr>
          <w:rFonts w:ascii="Arial" w:hAnsi="Arial" w:cs="Arial"/>
        </w:rPr>
        <w:t>Vostanis</w:t>
      </w:r>
      <w:proofErr w:type="spellEnd"/>
      <w:r w:rsidRPr="001020D8">
        <w:rPr>
          <w:rFonts w:ascii="Arial" w:hAnsi="Arial" w:cs="Arial"/>
        </w:rPr>
        <w:t xml:space="preserve">, P., Paul, M., Khan, A. and </w:t>
      </w:r>
      <w:proofErr w:type="spellStart"/>
      <w:r w:rsidRPr="001020D8">
        <w:rPr>
          <w:rFonts w:ascii="Arial" w:hAnsi="Arial" w:cs="Arial"/>
        </w:rPr>
        <w:t>Simkiss</w:t>
      </w:r>
      <w:proofErr w:type="spellEnd"/>
      <w:r w:rsidRPr="001020D8">
        <w:rPr>
          <w:rFonts w:ascii="Arial" w:hAnsi="Arial" w:cs="Arial"/>
        </w:rPr>
        <w:t>, D. (2017) ‘Transitioning care-leavers with mental health needs: “They set you up to fail!”’, Child and Adolescent Mental Health, 22(3), pp. 138–147. Available at: https://doi.org/10.1111/camh.12171</w:t>
      </w:r>
    </w:p>
    <w:p w14:paraId="458B4236" w14:textId="77777777" w:rsidR="001020D8" w:rsidRPr="001020D8" w:rsidRDefault="001020D8" w:rsidP="001020D8">
      <w:pPr>
        <w:rPr>
          <w:rFonts w:ascii="Arial" w:hAnsi="Arial" w:cs="Arial"/>
        </w:rPr>
      </w:pPr>
      <w:r w:rsidRPr="001020D8">
        <w:rPr>
          <w:rFonts w:ascii="Arial" w:hAnsi="Arial" w:cs="Arial"/>
        </w:rPr>
        <w:t>Care Leaver Covenant (2020) A whole council approach strategy. Available at: https://mycovenant.org.uk/wp-content/uploads/2020/05/Briefing-paper-local-auth-final-Solace-Typeset-Printed-v5.pdf (Accessed: 7 April 2026).</w:t>
      </w:r>
    </w:p>
    <w:p w14:paraId="0A77E23E" w14:textId="77777777" w:rsidR="001020D8" w:rsidRPr="001020D8" w:rsidRDefault="001020D8" w:rsidP="001020D8">
      <w:pPr>
        <w:rPr>
          <w:rFonts w:ascii="Arial" w:hAnsi="Arial" w:cs="Arial"/>
        </w:rPr>
      </w:pPr>
      <w:r w:rsidRPr="001020D8">
        <w:rPr>
          <w:rFonts w:ascii="Arial" w:hAnsi="Arial" w:cs="Arial"/>
        </w:rPr>
        <w:t>Carter, B., Shelton, K.H., Holmes, L.J., Sprecher, E.A., Javed, M., Macleod, J., Park, J., Selwyn, J., Siraj, I., Robinson, C. and Hiller, R.M. (2025) ‘The mental health and wellbeing of care-experienced young people during early and later adolescence’, Clinical Child Psychology and Psychiatry, 30(3), pp. 611–631. Available at: https://doi.org/10.1177/13591045251333028</w:t>
      </w:r>
    </w:p>
    <w:p w14:paraId="342F2915" w14:textId="77777777" w:rsidR="001020D8" w:rsidRPr="001020D8" w:rsidRDefault="001020D8" w:rsidP="001020D8">
      <w:pPr>
        <w:rPr>
          <w:rFonts w:ascii="Arial" w:hAnsi="Arial" w:cs="Arial"/>
        </w:rPr>
      </w:pPr>
      <w:r w:rsidRPr="001020D8">
        <w:rPr>
          <w:rFonts w:ascii="Arial" w:hAnsi="Arial" w:cs="Arial"/>
        </w:rPr>
        <w:t>Centre for Homelessness Impact (2025) Staying Close: Final evaluation report. Available at: https://cdn.prod.website-files.com/646dd81ef095aa13072c44e0/6930454ad29ecc9c8f29816d_CHI_Staying_Close_Final_Evaluation_Report.pdf (Accessed: 7 April 2026).</w:t>
      </w:r>
    </w:p>
    <w:p w14:paraId="1047EC30" w14:textId="77777777" w:rsidR="001020D8" w:rsidRPr="001020D8" w:rsidRDefault="001020D8" w:rsidP="001020D8">
      <w:pPr>
        <w:rPr>
          <w:rFonts w:ascii="Arial" w:hAnsi="Arial" w:cs="Arial"/>
        </w:rPr>
      </w:pPr>
      <w:r w:rsidRPr="001020D8">
        <w:rPr>
          <w:rFonts w:ascii="Arial" w:hAnsi="Arial" w:cs="Arial"/>
        </w:rPr>
        <w:t xml:space="preserve">Centre for Mental Health (2023) A mentally healthier nation: Towards a ten-year, cross-government plan for better prevention, equality and support. Available at: </w:t>
      </w:r>
      <w:r w:rsidRPr="001020D8">
        <w:rPr>
          <w:rFonts w:ascii="Arial" w:hAnsi="Arial" w:cs="Arial"/>
        </w:rPr>
        <w:lastRenderedPageBreak/>
        <w:t>https://www.centreformentalhealth.org.uk/wp-content/uploads/2023/09/AMentallyHealthierNation_Digital_corrected-1.pdf (Accessed: 7 April 2026).</w:t>
      </w:r>
    </w:p>
    <w:p w14:paraId="323CB3F2" w14:textId="77777777" w:rsidR="001020D8" w:rsidRPr="001020D8" w:rsidRDefault="001020D8" w:rsidP="001020D8">
      <w:pPr>
        <w:rPr>
          <w:rFonts w:ascii="Arial" w:hAnsi="Arial" w:cs="Arial"/>
        </w:rPr>
      </w:pPr>
      <w:r w:rsidRPr="001020D8">
        <w:rPr>
          <w:rFonts w:ascii="Arial" w:hAnsi="Arial" w:cs="Arial"/>
        </w:rPr>
        <w:t>Children (Leaving Care) Act 2000. Available at: https://www.legislation.gov.uk/ukpga/2000/35/contents (Accessed: 7 April 2026).</w:t>
      </w:r>
    </w:p>
    <w:p w14:paraId="5DD021D4" w14:textId="77777777" w:rsidR="001020D8" w:rsidRPr="001020D8" w:rsidRDefault="001020D8" w:rsidP="001020D8">
      <w:pPr>
        <w:rPr>
          <w:rFonts w:ascii="Arial" w:hAnsi="Arial" w:cs="Arial"/>
        </w:rPr>
      </w:pPr>
      <w:r w:rsidRPr="001020D8">
        <w:rPr>
          <w:rFonts w:ascii="Arial" w:hAnsi="Arial" w:cs="Arial"/>
        </w:rPr>
        <w:t xml:space="preserve">Children Act 1989. Available at: https://www.legislation.gov.uk/ukpga/1989/41/contents (Accessed: 7 April 2026). </w:t>
      </w:r>
    </w:p>
    <w:p w14:paraId="14AEB6D5" w14:textId="77777777" w:rsidR="001020D8" w:rsidRPr="001020D8" w:rsidRDefault="001020D8" w:rsidP="001020D8">
      <w:pPr>
        <w:rPr>
          <w:rFonts w:ascii="Arial" w:hAnsi="Arial" w:cs="Arial"/>
        </w:rPr>
      </w:pPr>
      <w:r w:rsidRPr="001020D8">
        <w:rPr>
          <w:rFonts w:ascii="Arial" w:hAnsi="Arial" w:cs="Arial"/>
        </w:rPr>
        <w:t xml:space="preserve">Children and Social Work Act 2017. Available at: https://www.legislation.gov.uk/ukpga/2017/16/contents (Accessed: 7 April 2026). </w:t>
      </w:r>
    </w:p>
    <w:p w14:paraId="0DA8C3AD" w14:textId="77777777" w:rsidR="001020D8" w:rsidRPr="001020D8" w:rsidRDefault="001020D8" w:rsidP="001020D8">
      <w:pPr>
        <w:rPr>
          <w:rFonts w:ascii="Arial" w:hAnsi="Arial" w:cs="Arial"/>
        </w:rPr>
      </w:pPr>
      <w:r w:rsidRPr="001020D8">
        <w:rPr>
          <w:rFonts w:ascii="Arial" w:hAnsi="Arial" w:cs="Arial"/>
        </w:rPr>
        <w:t xml:space="preserve">Corris, V., Dormer, E., Brown, A., Whitty, P., Collingwood, P., Bambra, C. and Newton, J.L. (2020) ‘Health inequalities are worsening in the </w:t>
      </w:r>
      <w:proofErr w:type="gramStart"/>
      <w:r w:rsidRPr="001020D8">
        <w:rPr>
          <w:rFonts w:ascii="Arial" w:hAnsi="Arial" w:cs="Arial"/>
        </w:rPr>
        <w:t>North East</w:t>
      </w:r>
      <w:proofErr w:type="gramEnd"/>
      <w:r w:rsidRPr="001020D8">
        <w:rPr>
          <w:rFonts w:ascii="Arial" w:hAnsi="Arial" w:cs="Arial"/>
        </w:rPr>
        <w:t xml:space="preserve"> of England’, British Medical Bulletin, 134(1), pp. 63–72. Available at: doi:10.1093/</w:t>
      </w:r>
      <w:proofErr w:type="spellStart"/>
      <w:r w:rsidRPr="001020D8">
        <w:rPr>
          <w:rFonts w:ascii="Arial" w:hAnsi="Arial" w:cs="Arial"/>
        </w:rPr>
        <w:t>bmb</w:t>
      </w:r>
      <w:proofErr w:type="spellEnd"/>
      <w:r w:rsidRPr="001020D8">
        <w:rPr>
          <w:rFonts w:ascii="Arial" w:hAnsi="Arial" w:cs="Arial"/>
        </w:rPr>
        <w:t>/ldaa008.</w:t>
      </w:r>
    </w:p>
    <w:p w14:paraId="1E678377" w14:textId="77777777" w:rsidR="001020D8" w:rsidRPr="001020D8" w:rsidRDefault="001020D8" w:rsidP="001020D8">
      <w:pPr>
        <w:rPr>
          <w:rFonts w:ascii="Arial" w:hAnsi="Arial" w:cs="Arial"/>
        </w:rPr>
      </w:pPr>
      <w:r w:rsidRPr="001020D8">
        <w:rPr>
          <w:rFonts w:ascii="Arial" w:hAnsi="Arial" w:cs="Arial"/>
        </w:rPr>
        <w:t>Cummings, A. and Shelton, K. (2024) ‘The prevalence of mental health disorders amongst care-experienced young people in the UK: A systematic review’, Children and Youth Services Review, 156.Available at: https://doi.org/10.1016/j.childyouth.2023.107367</w:t>
      </w:r>
    </w:p>
    <w:p w14:paraId="042B27E1" w14:textId="77777777" w:rsidR="001020D8" w:rsidRPr="001020D8" w:rsidRDefault="001020D8" w:rsidP="001020D8">
      <w:pPr>
        <w:rPr>
          <w:rFonts w:ascii="Arial" w:hAnsi="Arial" w:cs="Arial"/>
        </w:rPr>
      </w:pPr>
      <w:r w:rsidRPr="001020D8">
        <w:rPr>
          <w:rFonts w:ascii="Arial" w:hAnsi="Arial" w:cs="Arial"/>
        </w:rPr>
        <w:t>Department for Education (2022) Children’s social care innovation programme: Insights and evaluation. Available at: https://www.gov.uk/guidance/childrens-social-care-innovation-programme-insights-and-evaluation (Accessed: 7 April 2026).</w:t>
      </w:r>
    </w:p>
    <w:p w14:paraId="06A58655" w14:textId="77777777" w:rsidR="001020D8" w:rsidRPr="001020D8" w:rsidRDefault="001020D8" w:rsidP="001020D8">
      <w:pPr>
        <w:rPr>
          <w:rFonts w:ascii="Arial" w:hAnsi="Arial" w:cs="Arial"/>
        </w:rPr>
      </w:pPr>
      <w:r w:rsidRPr="001020D8">
        <w:rPr>
          <w:rFonts w:ascii="Arial" w:hAnsi="Arial" w:cs="Arial"/>
        </w:rPr>
        <w:t>Department for Education (2023) Children’s social care: Stable homes, built on love. Available at: https://www.gov.uk/government/consultations/childrens-social-care-stable-homes-built-on-love (Accessed: 7 April 2026).</w:t>
      </w:r>
    </w:p>
    <w:p w14:paraId="171F2912" w14:textId="77777777" w:rsidR="001020D8" w:rsidRPr="001020D8" w:rsidRDefault="001020D8" w:rsidP="001020D8">
      <w:pPr>
        <w:rPr>
          <w:rFonts w:ascii="Arial" w:hAnsi="Arial" w:cs="Arial"/>
        </w:rPr>
      </w:pPr>
      <w:r w:rsidRPr="001020D8">
        <w:rPr>
          <w:rFonts w:ascii="Arial" w:hAnsi="Arial" w:cs="Arial"/>
        </w:rPr>
        <w:t>Department for Education (2024) Keeping children safe, helping families thrive. Available at: https://www.gov.uk/government/publications/keeping-children-safe-helping-families-thrive (Accessed: 7 April 2026).</w:t>
      </w:r>
    </w:p>
    <w:p w14:paraId="2177683D" w14:textId="77777777" w:rsidR="001020D8" w:rsidRPr="001020D8" w:rsidRDefault="001020D8" w:rsidP="001020D8">
      <w:pPr>
        <w:rPr>
          <w:rFonts w:ascii="Arial" w:hAnsi="Arial" w:cs="Arial"/>
        </w:rPr>
      </w:pPr>
      <w:r w:rsidRPr="001020D8">
        <w:rPr>
          <w:rFonts w:ascii="Arial" w:hAnsi="Arial" w:cs="Arial"/>
        </w:rPr>
        <w:t>Department for Education (2025a) Children and young people leaving care. Available at: https://www.gov.uk/childcare-parenting/children-and-young-people-leaving-care (Accessed: 7 April 2026).</w:t>
      </w:r>
    </w:p>
    <w:p w14:paraId="7CE6B7AF" w14:textId="77777777" w:rsidR="001020D8" w:rsidRPr="001020D8" w:rsidRDefault="001020D8" w:rsidP="001020D8">
      <w:pPr>
        <w:rPr>
          <w:rFonts w:ascii="Arial" w:hAnsi="Arial" w:cs="Arial"/>
        </w:rPr>
      </w:pPr>
      <w:r w:rsidRPr="001020D8">
        <w:rPr>
          <w:rFonts w:ascii="Arial" w:hAnsi="Arial" w:cs="Arial"/>
        </w:rPr>
        <w:t>Department for Education (2025b) Children Act 1989: Transition to adulthood for care leavers. Available at: https://www.gov.uk/government/publications/children-act-1989-transition-to-adulthood-for-care-leavers (Accessed: 7 April 2026).</w:t>
      </w:r>
    </w:p>
    <w:p w14:paraId="3A21B860" w14:textId="77777777" w:rsidR="001020D8" w:rsidRPr="001020D8" w:rsidRDefault="001020D8" w:rsidP="001020D8">
      <w:pPr>
        <w:rPr>
          <w:rFonts w:ascii="Arial" w:hAnsi="Arial" w:cs="Arial"/>
        </w:rPr>
      </w:pPr>
      <w:r w:rsidRPr="001020D8">
        <w:rPr>
          <w:rFonts w:ascii="Arial" w:hAnsi="Arial" w:cs="Arial"/>
        </w:rPr>
        <w:lastRenderedPageBreak/>
        <w:t>Department for Education (2025c) Children looked after in England including adoptions: Reporting year 2025. Available at: https://explore-education-statistics.service.gov.uk/find-statistics/children-looked-after-in-england-including-adoptions/2025 (Accessed: 7 April 2026).</w:t>
      </w:r>
    </w:p>
    <w:p w14:paraId="3AAB01D5" w14:textId="77777777" w:rsidR="001020D8" w:rsidRPr="001020D8" w:rsidRDefault="001020D8" w:rsidP="001020D8">
      <w:pPr>
        <w:rPr>
          <w:rFonts w:ascii="Arial" w:hAnsi="Arial" w:cs="Arial"/>
        </w:rPr>
      </w:pPr>
      <w:r w:rsidRPr="001020D8">
        <w:rPr>
          <w:rFonts w:ascii="Arial" w:hAnsi="Arial" w:cs="Arial"/>
        </w:rPr>
        <w:t>Department for Education (2025d) Local offer guidance. Available at: https://www.gov.uk/government/publications/local-offer-guidance (Accessed: 7 April 2026).</w:t>
      </w:r>
    </w:p>
    <w:p w14:paraId="4D7222BE" w14:textId="77777777" w:rsidR="001020D8" w:rsidRPr="001020D8" w:rsidRDefault="001020D8" w:rsidP="001020D8">
      <w:pPr>
        <w:rPr>
          <w:rFonts w:ascii="Arial" w:hAnsi="Arial" w:cs="Arial"/>
        </w:rPr>
      </w:pPr>
      <w:r w:rsidRPr="001020D8">
        <w:rPr>
          <w:rFonts w:ascii="Arial" w:hAnsi="Arial" w:cs="Arial"/>
        </w:rPr>
        <w:t xml:space="preserve">Department for Levelling Up, Housing and Communities and Department for Education (2024) Joint housing protocols for care leavers: Good practice advice. Available at: https://www.gov.uk/government/publications/joint-housing-protocols-for-care-leavers/joint-housing-protocols-for-care-leavers-good-practice-advice (Accessed: 7 April 2026). </w:t>
      </w:r>
    </w:p>
    <w:p w14:paraId="2EABAF1D" w14:textId="77777777" w:rsidR="001020D8" w:rsidRPr="001020D8" w:rsidRDefault="001020D8" w:rsidP="001020D8">
      <w:pPr>
        <w:rPr>
          <w:rFonts w:ascii="Arial" w:hAnsi="Arial" w:cs="Arial"/>
        </w:rPr>
      </w:pPr>
      <w:r w:rsidRPr="001020D8">
        <w:rPr>
          <w:rFonts w:ascii="Arial" w:hAnsi="Arial" w:cs="Arial"/>
        </w:rPr>
        <w:t>Devaney, J., Power, L., Jacobs, P., Davidson, G., Hiller, R., Martin, J., McCartan, C., McCusker, P., McGuire, R., Phillips, A., Roesch-Marsh, A. and Thapar, A. (2023) ‘An agenda for future research regarding the mental health of young people with care experience’, Child &amp; Family Social Work, 28(4), pp. 960–970. Available at: https://doi.org/10.1111/cfs.13015</w:t>
      </w:r>
    </w:p>
    <w:p w14:paraId="0B69A815" w14:textId="77777777" w:rsidR="001020D8" w:rsidRPr="001020D8" w:rsidRDefault="001020D8" w:rsidP="001020D8">
      <w:pPr>
        <w:rPr>
          <w:rFonts w:ascii="Arial" w:hAnsi="Arial" w:cs="Arial"/>
        </w:rPr>
      </w:pPr>
      <w:r w:rsidRPr="001020D8">
        <w:rPr>
          <w:rFonts w:ascii="Arial" w:hAnsi="Arial" w:cs="Arial"/>
        </w:rPr>
        <w:t xml:space="preserve">Dixon, J., Cresswell, C. and Ward, J. (2020) The Break Staying Close, Staying Connected Project: Evaluation report. London: Department for Education. Available at: https://assets.publishing.service.gov.uk/media/5fa01559d3bf7f03a6550d9d/Staying_Close_Break.pdf (Accessed: 7 April 2026). </w:t>
      </w:r>
    </w:p>
    <w:p w14:paraId="6F61D81C" w14:textId="77777777" w:rsidR="001020D8" w:rsidRPr="001020D8" w:rsidRDefault="001020D8" w:rsidP="001020D8">
      <w:pPr>
        <w:rPr>
          <w:rFonts w:ascii="Arial" w:hAnsi="Arial" w:cs="Arial"/>
        </w:rPr>
      </w:pPr>
      <w:r w:rsidRPr="001020D8">
        <w:rPr>
          <w:rFonts w:ascii="Arial" w:hAnsi="Arial" w:cs="Arial"/>
        </w:rPr>
        <w:t>Durham County Council (2025) The Durham Family Strategy 2025–2029. Available at: https://www.durham.gov.uk/article/33886/The-Durham-Family-Strategy-Delivery-plan-and-proposed-measures (Accessed: 7 April 2026).</w:t>
      </w:r>
    </w:p>
    <w:p w14:paraId="17ACAA01" w14:textId="77777777" w:rsidR="001020D8" w:rsidRPr="001020D8" w:rsidRDefault="001020D8" w:rsidP="001020D8">
      <w:pPr>
        <w:rPr>
          <w:rFonts w:ascii="Arial" w:hAnsi="Arial" w:cs="Arial"/>
        </w:rPr>
      </w:pPr>
      <w:r w:rsidRPr="001020D8">
        <w:rPr>
          <w:rFonts w:ascii="Arial" w:hAnsi="Arial" w:cs="Arial"/>
        </w:rPr>
        <w:t xml:space="preserve">Durham County Council (2026) Care leavers. Available at: https://www.durham.gov.uk/careleavers (Accessed: 7 April 2026). </w:t>
      </w:r>
    </w:p>
    <w:p w14:paraId="56029731" w14:textId="77777777" w:rsidR="001020D8" w:rsidRPr="001020D8" w:rsidRDefault="001020D8" w:rsidP="001020D8">
      <w:pPr>
        <w:rPr>
          <w:rFonts w:ascii="Arial" w:hAnsi="Arial" w:cs="Arial"/>
        </w:rPr>
      </w:pPr>
      <w:r w:rsidRPr="001020D8">
        <w:rPr>
          <w:rFonts w:ascii="Arial" w:hAnsi="Arial" w:cs="Arial"/>
        </w:rPr>
        <w:t xml:space="preserve">Education Committee (2025) Children’s social care. Fourth Report of Session 2024–25 (HC 430). Available at: https://publications.parliament.uk/pa/cm5901/cmselect/cmeduc/430/report.html (Accessed: 7 April 2026).  </w:t>
      </w:r>
    </w:p>
    <w:p w14:paraId="3C6F20CC" w14:textId="77777777" w:rsidR="001020D8" w:rsidRPr="001020D8" w:rsidRDefault="001020D8" w:rsidP="001020D8">
      <w:pPr>
        <w:rPr>
          <w:rFonts w:ascii="Arial" w:hAnsi="Arial" w:cs="Arial"/>
        </w:rPr>
      </w:pPr>
      <w:r w:rsidRPr="001020D8">
        <w:rPr>
          <w:rFonts w:ascii="Arial" w:hAnsi="Arial" w:cs="Arial"/>
        </w:rPr>
        <w:t>Fairbrother, H., Woodrow, N., Holding, E., Crowder, M., Griffin, N., Er, V., Dodd-Reynolds, C., Egan, M., Scott, S., Summerbell, C., Rigby, E., Kyle, P., Knights, N., Quirk, H. and Goyder, E. (2024) ‘“It depends on where you were born…here in the North East, there’s not really many job opportunities compared to in the South”: Young people’s perspectives on a North-South health divide and its drivers in England, UK’, BMC Public Health, 24, 2018. Available at: https://doi.org/10.1186/s12889-024-19537-z</w:t>
      </w:r>
    </w:p>
    <w:p w14:paraId="0E49FE77" w14:textId="77777777" w:rsidR="001020D8" w:rsidRPr="001020D8" w:rsidRDefault="001020D8" w:rsidP="001020D8">
      <w:pPr>
        <w:rPr>
          <w:rFonts w:ascii="Arial" w:hAnsi="Arial" w:cs="Arial"/>
        </w:rPr>
      </w:pPr>
      <w:r w:rsidRPr="001020D8">
        <w:rPr>
          <w:rFonts w:ascii="Arial" w:hAnsi="Arial" w:cs="Arial"/>
        </w:rPr>
        <w:lastRenderedPageBreak/>
        <w:t>Foley, N., Harker, R., Buchanan, I., Brooks, C., Kennedy, S., Foster, D., Sandford, M., Roberts, N., Lewis, J., Powell, A., Gajjar, D. and Cromarty, H. (2025) Support for care leavers. House of Commons Library Briefing Paper CBP-8429. Available at: https://commonslibrary.parliament.uk/research-briefings/cbp-8429/ (Accessed: 7 April 2026).</w:t>
      </w:r>
    </w:p>
    <w:p w14:paraId="47B3D23A" w14:textId="77777777" w:rsidR="001020D8" w:rsidRPr="001020D8" w:rsidRDefault="001020D8" w:rsidP="001020D8">
      <w:pPr>
        <w:rPr>
          <w:rFonts w:ascii="Arial" w:hAnsi="Arial" w:cs="Arial"/>
        </w:rPr>
      </w:pPr>
      <w:r w:rsidRPr="001020D8">
        <w:rPr>
          <w:rFonts w:ascii="Arial" w:hAnsi="Arial" w:cs="Arial"/>
        </w:rPr>
        <w:t>Fortune, R. and Smith, N. (2021) No place like home: A look at young people’s experiences of leaving the care system. London: Barnardo’s. Available at: https://www.barnardos.org.uk/sites/default/files/2021-05/No-Place-Like-Home-Report-IKEA.pdf (Accessed: 7 April 2026).</w:t>
      </w:r>
    </w:p>
    <w:p w14:paraId="5894E159" w14:textId="77777777" w:rsidR="001020D8" w:rsidRPr="001020D8" w:rsidRDefault="001020D8" w:rsidP="001020D8">
      <w:pPr>
        <w:rPr>
          <w:rFonts w:ascii="Arial" w:hAnsi="Arial" w:cs="Arial"/>
        </w:rPr>
      </w:pPr>
      <w:r w:rsidRPr="001020D8">
        <w:rPr>
          <w:rFonts w:ascii="Arial" w:hAnsi="Arial" w:cs="Arial"/>
        </w:rPr>
        <w:t>HM Government (2013) Staying put: Arrangements for care leavers aged 18 years and above. Available at: https://www.gov.uk/government/publications/staying-put-arrangements-for-care-leavers-aged-18-years-and-above (Accessed: 7 April 2026).</w:t>
      </w:r>
    </w:p>
    <w:p w14:paraId="6295EAD9" w14:textId="77777777" w:rsidR="001020D8" w:rsidRPr="001020D8" w:rsidRDefault="001020D8" w:rsidP="001020D8">
      <w:pPr>
        <w:rPr>
          <w:rFonts w:ascii="Arial" w:hAnsi="Arial" w:cs="Arial"/>
        </w:rPr>
      </w:pPr>
      <w:r w:rsidRPr="001020D8">
        <w:rPr>
          <w:rFonts w:ascii="Arial" w:hAnsi="Arial" w:cs="Arial"/>
        </w:rPr>
        <w:t>HM Government (2016) Keep on caring: Supporting young people from care to independence. Available at: https://www.gov.uk/government/publications/keep-on-caring-supporting-young-people-from-care-to-independence (Accessed: 7 April 2026).</w:t>
      </w:r>
    </w:p>
    <w:p w14:paraId="2C5F66AB" w14:textId="77777777" w:rsidR="001020D8" w:rsidRPr="001020D8" w:rsidRDefault="001020D8" w:rsidP="001020D8">
      <w:pPr>
        <w:rPr>
          <w:rFonts w:ascii="Arial" w:hAnsi="Arial" w:cs="Arial"/>
        </w:rPr>
      </w:pPr>
      <w:r w:rsidRPr="001020D8">
        <w:rPr>
          <w:rFonts w:ascii="Arial" w:hAnsi="Arial" w:cs="Arial"/>
        </w:rPr>
        <w:t xml:space="preserve">Holding, E., Fairbrother, H., Griffin, N., </w:t>
      </w:r>
      <w:proofErr w:type="spellStart"/>
      <w:r w:rsidRPr="001020D8">
        <w:rPr>
          <w:rFonts w:ascii="Arial" w:hAnsi="Arial" w:cs="Arial"/>
        </w:rPr>
        <w:t>Wistow</w:t>
      </w:r>
      <w:proofErr w:type="spellEnd"/>
      <w:r w:rsidRPr="001020D8">
        <w:rPr>
          <w:rFonts w:ascii="Arial" w:hAnsi="Arial" w:cs="Arial"/>
        </w:rPr>
        <w:t>, J., Powell, K. and Summerbell, C. (2021) ‘Exploring the local policy context for reducing health inequalities in children and young people: An in-depth qualitative case study of one local authority in the North of England, UK’, BMC Public Health, 21, 887. Available at: https://doi.org/10.1186/s12889-021-10782-0</w:t>
      </w:r>
    </w:p>
    <w:p w14:paraId="62F26DCF" w14:textId="77777777" w:rsidR="001020D8" w:rsidRPr="001020D8" w:rsidRDefault="001020D8" w:rsidP="001020D8">
      <w:pPr>
        <w:rPr>
          <w:rFonts w:ascii="Arial" w:hAnsi="Arial" w:cs="Arial"/>
        </w:rPr>
      </w:pPr>
      <w:r w:rsidRPr="001020D8">
        <w:rPr>
          <w:rFonts w:ascii="Arial" w:hAnsi="Arial" w:cs="Arial"/>
        </w:rPr>
        <w:t>Homelessness Reduction Act 2017. Available at: https://www.legislation.gov.uk/ukpga/2017/13/contents (Accessed: 7 April 2026).</w:t>
      </w:r>
    </w:p>
    <w:p w14:paraId="096B872D" w14:textId="77777777" w:rsidR="001020D8" w:rsidRPr="001020D8" w:rsidRDefault="001020D8" w:rsidP="001020D8">
      <w:pPr>
        <w:rPr>
          <w:rFonts w:ascii="Arial" w:hAnsi="Arial" w:cs="Arial"/>
        </w:rPr>
      </w:pPr>
      <w:r w:rsidRPr="001020D8">
        <w:rPr>
          <w:rFonts w:ascii="Arial" w:hAnsi="Arial" w:cs="Arial"/>
        </w:rPr>
        <w:t>House of Commons Committee (2021) Children and young people’s mental health. Eighth Report of Session 2021–22. Available at: https://publications.parliament.uk/pa/cm5802/cmselect/cmhealth/17/report.html (Accessed: 7 April 2026).</w:t>
      </w:r>
    </w:p>
    <w:p w14:paraId="7D2D8F2D" w14:textId="77777777" w:rsidR="001020D8" w:rsidRPr="001020D8" w:rsidRDefault="001020D8" w:rsidP="001020D8">
      <w:pPr>
        <w:rPr>
          <w:rFonts w:ascii="Arial" w:hAnsi="Arial" w:cs="Arial"/>
        </w:rPr>
      </w:pPr>
      <w:r w:rsidRPr="001020D8">
        <w:rPr>
          <w:rFonts w:ascii="Arial" w:hAnsi="Arial" w:cs="Arial"/>
        </w:rPr>
        <w:t xml:space="preserve">Liverpool City Council (LCC) (2026) Leaving care local offer. Available at: https://liverpool.gov.uk/children-and-families/childrens-social-care/leaving-care-local-offer/ (Accessed: 7 April 2026).  </w:t>
      </w:r>
    </w:p>
    <w:p w14:paraId="57DABCA3" w14:textId="77777777" w:rsidR="001020D8" w:rsidRPr="001020D8" w:rsidRDefault="001020D8" w:rsidP="001020D8">
      <w:pPr>
        <w:rPr>
          <w:rFonts w:ascii="Arial" w:hAnsi="Arial" w:cs="Arial"/>
        </w:rPr>
      </w:pPr>
      <w:r w:rsidRPr="001020D8">
        <w:rPr>
          <w:rFonts w:ascii="Arial" w:hAnsi="Arial" w:cs="Arial"/>
        </w:rPr>
        <w:t>Local Government Association (2026) Children looked after rate, per 10,000 children aged under 18 (</w:t>
      </w:r>
      <w:proofErr w:type="gramStart"/>
      <w:r w:rsidRPr="001020D8">
        <w:rPr>
          <w:rFonts w:ascii="Arial" w:hAnsi="Arial" w:cs="Arial"/>
        </w:rPr>
        <w:t>North East</w:t>
      </w:r>
      <w:proofErr w:type="gramEnd"/>
      <w:r w:rsidRPr="001020D8">
        <w:rPr>
          <w:rFonts w:ascii="Arial" w:hAnsi="Arial" w:cs="Arial"/>
        </w:rPr>
        <w:t>). Available at: https://lginform.local.gov.uk/reports/lgastandard?mod-area=E12000001&amp;mod-group=AllRegions_England&amp;mod-metric=891&amp;mod-type=namedComparisonGroup (Accessed: 7 April 2026).</w:t>
      </w:r>
    </w:p>
    <w:p w14:paraId="7D83ACD3" w14:textId="77777777" w:rsidR="001020D8" w:rsidRPr="001020D8" w:rsidRDefault="001020D8" w:rsidP="001020D8">
      <w:pPr>
        <w:rPr>
          <w:rFonts w:ascii="Arial" w:hAnsi="Arial" w:cs="Arial"/>
        </w:rPr>
      </w:pPr>
      <w:r w:rsidRPr="001020D8">
        <w:rPr>
          <w:rFonts w:ascii="Arial" w:hAnsi="Arial" w:cs="Arial"/>
        </w:rPr>
        <w:t xml:space="preserve">Lynch, A., Alderson, H., Kerridge, G., Johnson, R., McGovern, R., Newlands, F., Smart, D., Harrop, C. and Currie, G. (2021) ‘An inter-disciplinary perspective on evaluation of innovation </w:t>
      </w:r>
      <w:r w:rsidRPr="001020D8">
        <w:rPr>
          <w:rFonts w:ascii="Arial" w:hAnsi="Arial" w:cs="Arial"/>
        </w:rPr>
        <w:lastRenderedPageBreak/>
        <w:t>to support care leavers’ transition’, Journal of Children’s Services, 16(3), pp. 214–232. Available at: https://doi.org/10.1108/JCS-12-2020-0082</w:t>
      </w:r>
    </w:p>
    <w:p w14:paraId="3F8A2545" w14:textId="77777777" w:rsidR="001020D8" w:rsidRPr="001020D8" w:rsidRDefault="001020D8" w:rsidP="001020D8">
      <w:pPr>
        <w:rPr>
          <w:rFonts w:ascii="Arial" w:hAnsi="Arial" w:cs="Arial"/>
        </w:rPr>
      </w:pPr>
      <w:r w:rsidRPr="001020D8">
        <w:rPr>
          <w:rFonts w:ascii="Arial" w:hAnsi="Arial" w:cs="Arial"/>
        </w:rPr>
        <w:t xml:space="preserve">MacAlister, J. (2022) Independent review of children’s social care: Final report. Department for Education. Available at: https://www.gov.uk/government/publications/independent-review-of-childrens-social-care-final-report (Accessed: 7 April 2026). </w:t>
      </w:r>
    </w:p>
    <w:p w14:paraId="31C4A341" w14:textId="77777777" w:rsidR="001020D8" w:rsidRPr="001020D8" w:rsidRDefault="001020D8" w:rsidP="001020D8">
      <w:pPr>
        <w:rPr>
          <w:rFonts w:ascii="Arial" w:hAnsi="Arial" w:cs="Arial"/>
        </w:rPr>
      </w:pPr>
      <w:proofErr w:type="spellStart"/>
      <w:r w:rsidRPr="001020D8">
        <w:rPr>
          <w:rFonts w:ascii="Arial" w:hAnsi="Arial" w:cs="Arial"/>
        </w:rPr>
        <w:t>Martikke</w:t>
      </w:r>
      <w:proofErr w:type="spellEnd"/>
      <w:r w:rsidRPr="001020D8">
        <w:rPr>
          <w:rFonts w:ascii="Arial" w:hAnsi="Arial" w:cs="Arial"/>
        </w:rPr>
        <w:t xml:space="preserve">, S., Cumbers, H., Cox, N., Webb, L., </w:t>
      </w:r>
      <w:proofErr w:type="spellStart"/>
      <w:r w:rsidRPr="001020D8">
        <w:rPr>
          <w:rFonts w:ascii="Arial" w:hAnsi="Arial" w:cs="Arial"/>
        </w:rPr>
        <w:t>Gedzielewski</w:t>
      </w:r>
      <w:proofErr w:type="spellEnd"/>
      <w:r w:rsidRPr="001020D8">
        <w:rPr>
          <w:rFonts w:ascii="Arial" w:hAnsi="Arial" w:cs="Arial"/>
        </w:rPr>
        <w:t>, E. and Duale, M. (2019) ‘Building bridges into the community: Social capital in a volunteering project for care leavers’, Children &amp; Society, 33(2), pp. 111–125. Available at: https://doi.org/10.1111/chso.12300</w:t>
      </w:r>
    </w:p>
    <w:p w14:paraId="5FB7D0A0" w14:textId="77777777" w:rsidR="001020D8" w:rsidRPr="001020D8" w:rsidRDefault="001020D8" w:rsidP="001020D8">
      <w:pPr>
        <w:rPr>
          <w:rFonts w:ascii="Arial" w:hAnsi="Arial" w:cs="Arial"/>
        </w:rPr>
      </w:pPr>
      <w:r w:rsidRPr="001020D8">
        <w:rPr>
          <w:rFonts w:ascii="Arial" w:hAnsi="Arial" w:cs="Arial"/>
        </w:rPr>
        <w:t xml:space="preserve">McCabe, R., Pollack, R., Broadbent, P., Thomson, R.M., </w:t>
      </w:r>
      <w:proofErr w:type="spellStart"/>
      <w:r w:rsidRPr="001020D8">
        <w:rPr>
          <w:rFonts w:ascii="Arial" w:hAnsi="Arial" w:cs="Arial"/>
        </w:rPr>
        <w:t>Igelström</w:t>
      </w:r>
      <w:proofErr w:type="spellEnd"/>
      <w:r w:rsidRPr="001020D8">
        <w:rPr>
          <w:rFonts w:ascii="Arial" w:hAnsi="Arial" w:cs="Arial"/>
        </w:rPr>
        <w:t xml:space="preserve">, E., Pearce, A., Bambra, C., Bennett, D.L., Alexandros, A., Daras, K., Taylor-Robinson, D., Barr, B. and </w:t>
      </w:r>
      <w:proofErr w:type="spellStart"/>
      <w:r w:rsidRPr="001020D8">
        <w:rPr>
          <w:rFonts w:ascii="Arial" w:hAnsi="Arial" w:cs="Arial"/>
        </w:rPr>
        <w:t>Katikireddi</w:t>
      </w:r>
      <w:proofErr w:type="spellEnd"/>
      <w:r w:rsidRPr="001020D8">
        <w:rPr>
          <w:rFonts w:ascii="Arial" w:hAnsi="Arial" w:cs="Arial"/>
        </w:rPr>
        <w:t>, S.V. (2024) ‘Implications of child poverty reduction targets for public health and health inequalities in England: a modelling study between 2024 and 2033’, Journal of Epidemiology &amp; Community Health, 78(10), pp. 632–640. Available at: doi:10.1136/jech-2024-222313.</w:t>
      </w:r>
    </w:p>
    <w:p w14:paraId="29CB6610" w14:textId="77777777" w:rsidR="001020D8" w:rsidRPr="001020D8" w:rsidRDefault="001020D8" w:rsidP="001020D8">
      <w:pPr>
        <w:rPr>
          <w:rFonts w:ascii="Arial" w:hAnsi="Arial" w:cs="Arial"/>
        </w:rPr>
      </w:pPr>
      <w:r w:rsidRPr="001020D8">
        <w:rPr>
          <w:rFonts w:ascii="Arial" w:hAnsi="Arial" w:cs="Arial"/>
        </w:rPr>
        <w:t xml:space="preserve">McGrane, J., Selwyn, J. and Baker, C. (2024) ‘The development and psychometric validation of a survey to measure the subjective well-being of care leavers’, Children and Youth Services Review, 158, 107462. Available at: https://doi.org/10.1016/j.childyouth.2024.107462  </w:t>
      </w:r>
    </w:p>
    <w:p w14:paraId="7B1748C7" w14:textId="77777777" w:rsidR="001020D8" w:rsidRPr="001020D8" w:rsidRDefault="001020D8" w:rsidP="001020D8">
      <w:pPr>
        <w:rPr>
          <w:rFonts w:ascii="Arial" w:hAnsi="Arial" w:cs="Arial"/>
        </w:rPr>
      </w:pPr>
      <w:r w:rsidRPr="001020D8">
        <w:rPr>
          <w:rFonts w:ascii="Arial" w:hAnsi="Arial" w:cs="Arial"/>
        </w:rPr>
        <w:t>Ministry of Housing, Communities and Local Government (2025) English indices of deprivation 2025: Statistical release. Available at: https://www.gov.uk/government/statistics/english-indices-of-deprivation-2025/english-indices-of-deprivation-2025-statistical-release (Accessed: 7 April 2026).</w:t>
      </w:r>
    </w:p>
    <w:p w14:paraId="474FF9BF" w14:textId="77777777" w:rsidR="001020D8" w:rsidRPr="001020D8" w:rsidRDefault="001020D8" w:rsidP="001020D8">
      <w:pPr>
        <w:rPr>
          <w:rFonts w:ascii="Arial" w:hAnsi="Arial" w:cs="Arial"/>
        </w:rPr>
      </w:pPr>
      <w:r w:rsidRPr="001020D8">
        <w:rPr>
          <w:rFonts w:ascii="Arial" w:hAnsi="Arial" w:cs="Arial"/>
        </w:rPr>
        <w:t xml:space="preserve">Murphy, C., </w:t>
      </w:r>
      <w:proofErr w:type="spellStart"/>
      <w:r w:rsidRPr="001020D8">
        <w:rPr>
          <w:rFonts w:ascii="Arial" w:hAnsi="Arial" w:cs="Arial"/>
        </w:rPr>
        <w:t>Maguinness</w:t>
      </w:r>
      <w:proofErr w:type="spellEnd"/>
      <w:r w:rsidRPr="001020D8">
        <w:rPr>
          <w:rFonts w:ascii="Arial" w:hAnsi="Arial" w:cs="Arial"/>
        </w:rPr>
        <w:t>, N. and Stathopoulos, E. (2025) ‘What factors are contributing to increasing numbers of “care orders at home” in Northwest England?’, Child &amp; Family Social Work, 31(1), pp. 293–303. Available at: https://doi.org/10.1111/cfs.13270</w:t>
      </w:r>
    </w:p>
    <w:p w14:paraId="622CED2D" w14:textId="77777777" w:rsidR="001020D8" w:rsidRPr="001020D8" w:rsidRDefault="001020D8" w:rsidP="001020D8">
      <w:pPr>
        <w:rPr>
          <w:rFonts w:ascii="Arial" w:hAnsi="Arial" w:cs="Arial"/>
        </w:rPr>
      </w:pPr>
      <w:r w:rsidRPr="001020D8">
        <w:rPr>
          <w:rFonts w:ascii="Arial" w:hAnsi="Arial" w:cs="Arial"/>
        </w:rPr>
        <w:t xml:space="preserve">Murray, E.T., Lacey, R., Maughan, B. and Sacker, A. (2020) ‘Association of childhood out-of-home care status with all-cause mortality up to 42-years later: Office for National Statistics Longitudinal Study’, BMC Public Health, 20, 735. Available at: https://doi.org/10.1186/s12889-020-08867-3 </w:t>
      </w:r>
    </w:p>
    <w:p w14:paraId="7093BA8D" w14:textId="77777777" w:rsidR="001020D8" w:rsidRPr="001020D8" w:rsidRDefault="001020D8" w:rsidP="001020D8">
      <w:pPr>
        <w:rPr>
          <w:rFonts w:ascii="Arial" w:hAnsi="Arial" w:cs="Arial"/>
        </w:rPr>
      </w:pPr>
      <w:r w:rsidRPr="001020D8">
        <w:rPr>
          <w:rFonts w:ascii="Arial" w:hAnsi="Arial" w:cs="Arial"/>
        </w:rPr>
        <w:t>National Institute for Health and Care Excellence (NICE) (2021) Looked-after children and young people (NG205): Evidence reviews. Available at: https://www.nice.org.uk/guidance/ng205/evidence/evidence-reviews-october-2021-333471052696 (Accessed: 7 April 2026).</w:t>
      </w:r>
    </w:p>
    <w:p w14:paraId="6E689FF1" w14:textId="77777777" w:rsidR="001020D8" w:rsidRPr="001020D8" w:rsidRDefault="001020D8" w:rsidP="001020D8">
      <w:pPr>
        <w:rPr>
          <w:rFonts w:ascii="Arial" w:hAnsi="Arial" w:cs="Arial"/>
        </w:rPr>
      </w:pPr>
      <w:r w:rsidRPr="001020D8">
        <w:rPr>
          <w:rFonts w:ascii="Arial" w:hAnsi="Arial" w:cs="Arial"/>
        </w:rPr>
        <w:lastRenderedPageBreak/>
        <w:t>Newcastle City Council (NCC) (2026) Our care leavers offer. Available at: https://www.newcastle.gov.uk/services/care-and-support/children/leaving-care/our-care-leavers-offer (Accessed: 7 April 2026).</w:t>
      </w:r>
    </w:p>
    <w:p w14:paraId="3ECCCFF8" w14:textId="77777777" w:rsidR="001020D8" w:rsidRPr="001020D8" w:rsidRDefault="001020D8" w:rsidP="001020D8">
      <w:pPr>
        <w:rPr>
          <w:rFonts w:ascii="Arial" w:hAnsi="Arial" w:cs="Arial"/>
        </w:rPr>
      </w:pPr>
      <w:r w:rsidRPr="001020D8">
        <w:rPr>
          <w:rFonts w:ascii="Arial" w:hAnsi="Arial" w:cs="Arial"/>
        </w:rPr>
        <w:t>NHS England (2019) The NHS long term plan. Available at: https://www.england.nhs.uk/long-term-plan/ (Accessed: 7 April 2026).</w:t>
      </w:r>
    </w:p>
    <w:p w14:paraId="52533AD4" w14:textId="77777777" w:rsidR="001020D8" w:rsidRPr="001020D8" w:rsidRDefault="001020D8" w:rsidP="001020D8">
      <w:pPr>
        <w:rPr>
          <w:rFonts w:ascii="Arial" w:hAnsi="Arial" w:cs="Arial"/>
        </w:rPr>
      </w:pPr>
      <w:r w:rsidRPr="001020D8">
        <w:rPr>
          <w:rFonts w:ascii="Arial" w:hAnsi="Arial" w:cs="Arial"/>
        </w:rPr>
        <w:t>Office for National Statistics (2023) Regions (December 2023) Boundaries EN BFE. Available at: https://geoportal.statistics.gov.uk/datasets/ons::regions-december-2023-boundaries-en-bfe-2/explore (Accessed: 7 April 2026).</w:t>
      </w:r>
    </w:p>
    <w:p w14:paraId="5E04B9C5" w14:textId="77777777" w:rsidR="001020D8" w:rsidRPr="001020D8" w:rsidRDefault="001020D8" w:rsidP="001020D8">
      <w:pPr>
        <w:rPr>
          <w:rFonts w:ascii="Arial" w:hAnsi="Arial" w:cs="Arial"/>
        </w:rPr>
      </w:pPr>
      <w:r w:rsidRPr="001020D8">
        <w:rPr>
          <w:rFonts w:ascii="Arial" w:hAnsi="Arial" w:cs="Arial"/>
        </w:rPr>
        <w:t xml:space="preserve">Ofsted (2022) ‘Ready or not’: Care leavers’ views of preparing to leave care. Available at: https://www.gov.uk/government/publications/ready-or-not-care-leavers-views-of-preparing-to-leave-care/ready-or-not-care-leavers-views-of-preparing-to-leave-care (Accessed: 7 April 2026).  </w:t>
      </w:r>
    </w:p>
    <w:p w14:paraId="7657A3D6" w14:textId="77777777" w:rsidR="001020D8" w:rsidRPr="001020D8" w:rsidRDefault="001020D8" w:rsidP="001020D8">
      <w:pPr>
        <w:rPr>
          <w:rFonts w:ascii="Arial" w:hAnsi="Arial" w:cs="Arial"/>
        </w:rPr>
      </w:pPr>
      <w:r w:rsidRPr="001020D8">
        <w:rPr>
          <w:rFonts w:ascii="Arial" w:hAnsi="Arial" w:cs="Arial"/>
        </w:rPr>
        <w:t xml:space="preserve">Ofsted (2023) Inspection of Liverpool local authority children’s services. Available at: https://reports.ofsted.gov.uk/provider/44/80485 (Accessed: 7 April 2026).  </w:t>
      </w:r>
    </w:p>
    <w:p w14:paraId="1B3550D1" w14:textId="77777777" w:rsidR="001020D8" w:rsidRPr="001020D8" w:rsidRDefault="001020D8" w:rsidP="001020D8">
      <w:pPr>
        <w:rPr>
          <w:rFonts w:ascii="Arial" w:hAnsi="Arial" w:cs="Arial"/>
        </w:rPr>
      </w:pPr>
      <w:r w:rsidRPr="001020D8">
        <w:rPr>
          <w:rFonts w:ascii="Arial" w:hAnsi="Arial" w:cs="Arial"/>
        </w:rPr>
        <w:t>Ofsted (2025a) Children’s social care in England 2025: Main findings. Available at: https://www.gov.uk/government/statistics/childrens-social-care-in-england-2025/main-findings-childrens-social-care-in-england-2025 (Accessed: 7 April 2026).</w:t>
      </w:r>
    </w:p>
    <w:p w14:paraId="676A1001" w14:textId="77777777" w:rsidR="001020D8" w:rsidRPr="001020D8" w:rsidRDefault="001020D8" w:rsidP="001020D8">
      <w:pPr>
        <w:rPr>
          <w:rFonts w:ascii="Arial" w:hAnsi="Arial" w:cs="Arial"/>
        </w:rPr>
      </w:pPr>
      <w:r w:rsidRPr="001020D8">
        <w:rPr>
          <w:rFonts w:ascii="Arial" w:hAnsi="Arial" w:cs="Arial"/>
        </w:rPr>
        <w:t>Ofsted (2025b) Inspection of Durham local authority children’s services. Available at: https://reports.ofsted.gov.uk/provider/44/80465 (Accessed: 7 April 2026).</w:t>
      </w:r>
    </w:p>
    <w:p w14:paraId="6AF4EB66" w14:textId="77777777" w:rsidR="001020D8" w:rsidRPr="001020D8" w:rsidRDefault="001020D8" w:rsidP="001020D8">
      <w:pPr>
        <w:rPr>
          <w:rFonts w:ascii="Arial" w:hAnsi="Arial" w:cs="Arial"/>
        </w:rPr>
      </w:pPr>
      <w:r w:rsidRPr="001020D8">
        <w:rPr>
          <w:rFonts w:ascii="Arial" w:hAnsi="Arial" w:cs="Arial"/>
        </w:rPr>
        <w:t>Ofsted (2025c) Inspection of Newcastle upon Tyne local authority children’s services. Available at: https://reports.ofsted.gov.uk/provider/44/80525 (Accessed: 7 April 2026).</w:t>
      </w:r>
    </w:p>
    <w:p w14:paraId="50F79D9E" w14:textId="77777777" w:rsidR="001020D8" w:rsidRPr="001020D8" w:rsidRDefault="001020D8" w:rsidP="001020D8">
      <w:pPr>
        <w:rPr>
          <w:rFonts w:ascii="Arial" w:hAnsi="Arial" w:cs="Arial"/>
        </w:rPr>
      </w:pPr>
      <w:r w:rsidRPr="001020D8">
        <w:rPr>
          <w:rFonts w:ascii="Arial" w:hAnsi="Arial" w:cs="Arial"/>
        </w:rPr>
        <w:t xml:space="preserve">Ofsted (2025d) Main findings: Local authority inspection outcomes as </w:t>
      </w:r>
      <w:proofErr w:type="gramStart"/>
      <w:r w:rsidRPr="001020D8">
        <w:rPr>
          <w:rFonts w:ascii="Arial" w:hAnsi="Arial" w:cs="Arial"/>
        </w:rPr>
        <w:t>at</w:t>
      </w:r>
      <w:proofErr w:type="gramEnd"/>
      <w:r w:rsidRPr="001020D8">
        <w:rPr>
          <w:rFonts w:ascii="Arial" w:hAnsi="Arial" w:cs="Arial"/>
        </w:rPr>
        <w:t xml:space="preserve"> 31 March 2025. Available at: https://www.gov.uk/government/statistics/local-authority-inspection-outcomes-as-at-31-march-2025/main-findings-local-authority-inspection-outcomes-as-at-31-march-2025 (Accessed: 7 April 2026).</w:t>
      </w:r>
    </w:p>
    <w:p w14:paraId="46669016" w14:textId="77777777" w:rsidR="001020D8" w:rsidRPr="001020D8" w:rsidRDefault="001020D8" w:rsidP="001020D8">
      <w:pPr>
        <w:rPr>
          <w:rFonts w:ascii="Arial" w:hAnsi="Arial" w:cs="Arial"/>
        </w:rPr>
      </w:pPr>
      <w:r w:rsidRPr="001020D8">
        <w:rPr>
          <w:rFonts w:ascii="Arial" w:hAnsi="Arial" w:cs="Arial"/>
        </w:rPr>
        <w:t>Ott, E., Willis, E. and Taylor, D. (2023) Reviews on mental health services for care-experienced young people. Available at: https://doi.org/10.13140/RG.2.2.19958.00329</w:t>
      </w:r>
    </w:p>
    <w:p w14:paraId="67B28617" w14:textId="77777777" w:rsidR="001020D8" w:rsidRPr="001020D8" w:rsidRDefault="001020D8" w:rsidP="001020D8">
      <w:pPr>
        <w:rPr>
          <w:rFonts w:ascii="Arial" w:hAnsi="Arial" w:cs="Arial"/>
        </w:rPr>
      </w:pPr>
      <w:r w:rsidRPr="001020D8">
        <w:rPr>
          <w:rFonts w:ascii="Arial" w:hAnsi="Arial" w:cs="Arial"/>
        </w:rPr>
        <w:t xml:space="preserve">Parsons, S. and Schoon, I. (2026) Digging deeper: Further examination of the association between out of home care experience and poor outcomes, focusing on mental health and wellbeing. London: UCL Social Research Institute. Available at: https://cls.ucl.ac.uk/wp-content/uploads/2026/01/Digging-deeper-out-of-home-care-experience-research-report.pdf (Accessed: 7 April 2026). </w:t>
      </w:r>
    </w:p>
    <w:p w14:paraId="46CF01FD" w14:textId="77777777" w:rsidR="001020D8" w:rsidRPr="001020D8" w:rsidRDefault="001020D8" w:rsidP="001020D8">
      <w:pPr>
        <w:rPr>
          <w:rFonts w:ascii="Arial" w:hAnsi="Arial" w:cs="Arial"/>
        </w:rPr>
      </w:pPr>
      <w:r w:rsidRPr="001020D8">
        <w:rPr>
          <w:rFonts w:ascii="Arial" w:hAnsi="Arial" w:cs="Arial"/>
        </w:rPr>
        <w:lastRenderedPageBreak/>
        <w:t>Phillips, A.R., Halligan, S.L., Lavi, I., Macleod, J.A.A., Robinson, S., Wilkins, D. and Hiller, R.M. (2023) ‘A scoping review of factors associated with the mental health of young people who have “aged out” of the child welfare system’, Trauma, Violence, &amp; Abuse, 25(3), pp. 1780–1798. Available at: https://doi.org/10.1177/15248380231196107</w:t>
      </w:r>
    </w:p>
    <w:p w14:paraId="0E8C1464" w14:textId="77777777" w:rsidR="001020D8" w:rsidRPr="001020D8" w:rsidRDefault="001020D8" w:rsidP="001020D8">
      <w:pPr>
        <w:rPr>
          <w:rFonts w:ascii="Arial" w:hAnsi="Arial" w:cs="Arial"/>
        </w:rPr>
      </w:pPr>
      <w:r w:rsidRPr="001020D8">
        <w:rPr>
          <w:rFonts w:ascii="Arial" w:hAnsi="Arial" w:cs="Arial"/>
        </w:rPr>
        <w:t>Pickett, K., Taylor-Robinson, D., Bennett, D., Davies, H., Mason, K. and Parkinson, S. (2021) The Child of the North: Building a fairer future after COVID-19. Northern Health Science Alliance and N8 Research Partnership. Available at: https://www.thenhsa.co.uk/app/uploads/2022/01/Child-of-the-North-Report-FINAL-1.pdf (Accessed: 7 April 2026).</w:t>
      </w:r>
    </w:p>
    <w:p w14:paraId="2EF6ECC3" w14:textId="77777777" w:rsidR="001020D8" w:rsidRPr="001020D8" w:rsidRDefault="001020D8" w:rsidP="001020D8">
      <w:pPr>
        <w:rPr>
          <w:rFonts w:ascii="Arial" w:hAnsi="Arial" w:cs="Arial"/>
        </w:rPr>
      </w:pPr>
      <w:r w:rsidRPr="001020D8">
        <w:rPr>
          <w:rFonts w:ascii="Arial" w:hAnsi="Arial" w:cs="Arial"/>
        </w:rPr>
        <w:t>Prendergast, L., Davies, C., Seddon, D., Hartfiel, N. and Edwards, R.T. (2024) ‘Barriers and enablers to care-leavers’ engagement with multi-agency support: A scoping review’, Children and Youth Services Review, 159. Available at: https://doi.org/10.1016/j.childyouth.2024.107501</w:t>
      </w:r>
    </w:p>
    <w:p w14:paraId="51E5C3AA" w14:textId="77777777" w:rsidR="001020D8" w:rsidRPr="001020D8" w:rsidRDefault="001020D8" w:rsidP="001020D8">
      <w:pPr>
        <w:rPr>
          <w:rFonts w:ascii="Arial" w:hAnsi="Arial" w:cs="Arial"/>
        </w:rPr>
      </w:pPr>
      <w:r w:rsidRPr="001020D8">
        <w:rPr>
          <w:rFonts w:ascii="Arial" w:hAnsi="Arial" w:cs="Arial"/>
        </w:rPr>
        <w:t>Prendergast, L., Seddon, D. and Davies, C.T. (2025) ‘My strongest card is “I’m not a social worker.” Practitioner perspectives on care-leavers’ service engagement’, Social Work in Action, 38(1), pp. 39–55. Available at: https://doi.org/10.1080/09503153.2025.2587152</w:t>
      </w:r>
    </w:p>
    <w:p w14:paraId="76902DE4" w14:textId="77777777" w:rsidR="001020D8" w:rsidRPr="001020D8" w:rsidRDefault="001020D8" w:rsidP="001020D8">
      <w:pPr>
        <w:rPr>
          <w:rFonts w:ascii="Arial" w:hAnsi="Arial" w:cs="Arial"/>
        </w:rPr>
      </w:pPr>
      <w:r w:rsidRPr="001020D8">
        <w:rPr>
          <w:rFonts w:ascii="Arial" w:hAnsi="Arial" w:cs="Arial"/>
        </w:rPr>
        <w:t>Rice, E. and O’Connor, S. (2023) ‘The effect of provisions on the mental health of young adult care leavers: A systematic review’, Journal of Children’s Services, 18(2), pp. 81–103. Available at: https://doi.org/10.1108/JCS-02-2022-0010</w:t>
      </w:r>
    </w:p>
    <w:p w14:paraId="143D7B91" w14:textId="77777777" w:rsidR="001020D8" w:rsidRPr="001020D8" w:rsidRDefault="001020D8" w:rsidP="001020D8">
      <w:pPr>
        <w:rPr>
          <w:rFonts w:ascii="Arial" w:hAnsi="Arial" w:cs="Arial"/>
        </w:rPr>
      </w:pPr>
      <w:r w:rsidRPr="001020D8">
        <w:rPr>
          <w:rFonts w:ascii="Arial" w:hAnsi="Arial" w:cs="Arial"/>
        </w:rPr>
        <w:t>Rylance, S. and Sharry, L.-R. (2023) ‘Care leavers’ experiences of emotional wellbeing support while leaving care’, Foundations – What Works Centre for Children &amp; Families. Available at: https://foundations.org.uk/wp-content/uploads/2024/02/Care-leavers-experiences-of-emotional-wellbeing-support-while-leaving-care.pdf</w:t>
      </w:r>
    </w:p>
    <w:p w14:paraId="15BA2732" w14:textId="77777777" w:rsidR="001020D8" w:rsidRPr="001020D8" w:rsidRDefault="001020D8" w:rsidP="001020D8">
      <w:pPr>
        <w:rPr>
          <w:rFonts w:ascii="Arial" w:hAnsi="Arial" w:cs="Arial"/>
        </w:rPr>
      </w:pPr>
      <w:r w:rsidRPr="001020D8">
        <w:rPr>
          <w:rFonts w:ascii="Arial" w:hAnsi="Arial" w:cs="Arial"/>
        </w:rPr>
        <w:t>Sharma, G. (2025). “Optimising Care for Young Adults: An Integrated Theoretical Model for Supporting Care Leavers”, Institutionalised Children Explorations and Beyond, 12(1), 107-129. Available at: https://doi.org/10.1177/23493003241274013</w:t>
      </w:r>
    </w:p>
    <w:p w14:paraId="217E6183" w14:textId="77777777" w:rsidR="001020D8" w:rsidRPr="001020D8" w:rsidRDefault="001020D8" w:rsidP="001020D8">
      <w:pPr>
        <w:rPr>
          <w:rFonts w:ascii="Arial" w:hAnsi="Arial" w:cs="Arial"/>
        </w:rPr>
      </w:pPr>
      <w:r w:rsidRPr="001020D8">
        <w:rPr>
          <w:rFonts w:ascii="Arial" w:hAnsi="Arial" w:cs="Arial"/>
        </w:rPr>
        <w:t>Smith, N. (2017) Neglected minds: A report on mental health support for young people leaving care. London: Barnardo’s. Available at: https://www.barnardos.org.uk/sites/default/files/uploads/neglected-minds.pdf (Accessed: 7 April 2026).</w:t>
      </w:r>
    </w:p>
    <w:p w14:paraId="086FA8D9" w14:textId="77777777" w:rsidR="001020D8" w:rsidRPr="001020D8" w:rsidRDefault="001020D8" w:rsidP="001020D8">
      <w:pPr>
        <w:rPr>
          <w:rFonts w:ascii="Arial" w:hAnsi="Arial" w:cs="Arial"/>
        </w:rPr>
      </w:pPr>
      <w:r w:rsidRPr="001020D8">
        <w:rPr>
          <w:rFonts w:ascii="Arial" w:hAnsi="Arial" w:cs="Arial"/>
        </w:rPr>
        <w:t>The Care Leavers (England) Regulations 2010 SI 2010/2571. Available at: https://www.legislation.gov.uk/uksi/2010/2571/contents/made (Accessed: 7 April 2026).</w:t>
      </w:r>
    </w:p>
    <w:p w14:paraId="3EAD4088" w14:textId="77777777" w:rsidR="001020D8" w:rsidRPr="001020D8" w:rsidRDefault="001020D8" w:rsidP="001020D8">
      <w:pPr>
        <w:rPr>
          <w:rFonts w:ascii="Arial" w:hAnsi="Arial" w:cs="Arial"/>
        </w:rPr>
      </w:pPr>
      <w:r w:rsidRPr="001020D8">
        <w:rPr>
          <w:rFonts w:ascii="Arial" w:hAnsi="Arial" w:cs="Arial"/>
        </w:rPr>
        <w:lastRenderedPageBreak/>
        <w:t xml:space="preserve">Transformation Partners in Health and Care (2023) Meeting the mental health needs of care leavers: Full guidance report. Available at: https://www.transformationpartners.nhs.uk/children-and-young-peoples-mental-health/meeting-the-mental-health-needs-of-care-experienced-children-and-young-people/meeting-the-mental-health-needs-of-young-people-leaving-care/meeting-the-mental-health-needs-of-care-leavers-guidance/ (Accessed: 7 April 2026).  </w:t>
      </w:r>
    </w:p>
    <w:p w14:paraId="179187FC" w14:textId="77777777" w:rsidR="001020D8" w:rsidRPr="001020D8" w:rsidRDefault="001020D8" w:rsidP="001020D8">
      <w:pPr>
        <w:rPr>
          <w:rFonts w:ascii="Arial" w:hAnsi="Arial" w:cs="Arial"/>
        </w:rPr>
      </w:pPr>
      <w:r w:rsidRPr="001020D8">
        <w:rPr>
          <w:rFonts w:ascii="Arial" w:hAnsi="Arial" w:cs="Arial"/>
        </w:rPr>
        <w:t>van Breda, A.D., Munro, E.R., Gilligan, R., Anghel, R., Harder, A., Incarnato, M., Mann-Feder, V., Refaeli, T., Stohler, R. and Storø, J. (2020) ‘Extended care: Global dialogue on policy, practice and research’, Children and Youth Services Review, 119, 105596. Available at: https://doi.org/10.1016/j.childyouth.2020.105596</w:t>
      </w:r>
    </w:p>
    <w:p w14:paraId="451A9B93" w14:textId="77777777" w:rsidR="001020D8" w:rsidRPr="001020D8" w:rsidRDefault="001020D8" w:rsidP="001020D8">
      <w:pPr>
        <w:rPr>
          <w:rFonts w:ascii="Arial" w:hAnsi="Arial" w:cs="Arial"/>
        </w:rPr>
      </w:pPr>
      <w:r w:rsidRPr="001020D8">
        <w:rPr>
          <w:rFonts w:ascii="Arial" w:hAnsi="Arial" w:cs="Arial"/>
        </w:rPr>
        <w:t xml:space="preserve">Varnish, C., Phillips, A.R., </w:t>
      </w:r>
      <w:proofErr w:type="spellStart"/>
      <w:r w:rsidRPr="001020D8">
        <w:rPr>
          <w:rFonts w:ascii="Arial" w:hAnsi="Arial" w:cs="Arial"/>
        </w:rPr>
        <w:t>Tallam</w:t>
      </w:r>
      <w:proofErr w:type="spellEnd"/>
      <w:r w:rsidRPr="001020D8">
        <w:rPr>
          <w:rFonts w:ascii="Arial" w:hAnsi="Arial" w:cs="Arial"/>
        </w:rPr>
        <w:t xml:space="preserve"> Laxman, S., Maxwell, N., Halligan, S.L. and Button, K.S. (2025) ‘The relationship between placement instability and mental health among care-experienced children and young people: UK systematic review and meta-analysis’, The British Journal of Psychiatry, pp. 1–10. Available at: https://doi.org/10.1192/bjp.2025.10375</w:t>
      </w:r>
    </w:p>
    <w:p w14:paraId="28CF25C1" w14:textId="77777777" w:rsidR="001020D8" w:rsidRPr="001020D8" w:rsidRDefault="001020D8" w:rsidP="001020D8">
      <w:pPr>
        <w:rPr>
          <w:rFonts w:ascii="Arial" w:hAnsi="Arial" w:cs="Arial"/>
        </w:rPr>
      </w:pPr>
      <w:r w:rsidRPr="001020D8">
        <w:rPr>
          <w:rFonts w:ascii="Arial" w:hAnsi="Arial" w:cs="Arial"/>
        </w:rPr>
        <w:t>Ward, H. (2021) ‘Transitions to adulthood from care in late 19th century England’, Child &amp; Family Social Work. Available at: https://doi.org/10.1111/cfs.12806</w:t>
      </w:r>
    </w:p>
    <w:p w14:paraId="2DE81E4D" w14:textId="77777777" w:rsidR="001020D8" w:rsidRPr="001020D8" w:rsidRDefault="001020D8" w:rsidP="001020D8">
      <w:pPr>
        <w:rPr>
          <w:rFonts w:ascii="Arial" w:hAnsi="Arial" w:cs="Arial"/>
        </w:rPr>
      </w:pPr>
      <w:r w:rsidRPr="001020D8">
        <w:rPr>
          <w:rFonts w:ascii="Arial" w:hAnsi="Arial" w:cs="Arial"/>
        </w:rPr>
        <w:t>Wright, B., Garside, M., Allgar, V., Hodkinson, R. and Thorpe, H. (2020) ‘A large population-based study of the mental health and wellbeing of children and young people in the North of England’, Clinical Child Psychology and Psychiatry, 25(4), pp. 877–890. Available at: doi:10.1177/1359104520925873.</w:t>
      </w:r>
    </w:p>
    <w:p w14:paraId="3CDF4ADC" w14:textId="77777777" w:rsidR="001020D8" w:rsidRPr="001020D8" w:rsidRDefault="001020D8" w:rsidP="001020D8">
      <w:pPr>
        <w:rPr>
          <w:rFonts w:ascii="Arial" w:hAnsi="Arial" w:cs="Arial"/>
        </w:rPr>
      </w:pPr>
      <w:r w:rsidRPr="001020D8">
        <w:rPr>
          <w:rFonts w:ascii="Arial" w:hAnsi="Arial" w:cs="Arial"/>
        </w:rPr>
        <w:t>Young, H., Melia, Y. and Chance-Lawton, L. (2024) ‘“I had my guard up for a long time and that probably didn’t help”: Exploring care leavers’ experiences of the barriers to accessing mental health support during adolescence using photo-elicitation and interpretative phenomenological analysis’, International Journal of Social Psychiatry, 48(3–4). Available at: https://doi.org/10.1177/03085759241292624</w:t>
      </w:r>
    </w:p>
    <w:p w14:paraId="3C7AA80C" w14:textId="77777777" w:rsidR="00621776" w:rsidRPr="00DA1464" w:rsidRDefault="00621776" w:rsidP="00DA1464">
      <w:pPr>
        <w:rPr>
          <w:rFonts w:ascii="Arial" w:hAnsi="Arial" w:cs="Arial"/>
        </w:rPr>
      </w:pPr>
    </w:p>
    <w:p w14:paraId="155F3A90" w14:textId="01565BBE" w:rsidR="00DC52B1" w:rsidRPr="00DC52B1" w:rsidRDefault="00621776" w:rsidP="00DC52B1">
      <w:pPr>
        <w:pStyle w:val="Heading1"/>
        <w:spacing w:line="360" w:lineRule="auto"/>
        <w:ind w:left="0"/>
        <w:jc w:val="both"/>
        <w:rPr>
          <w:rFonts w:cs="Arial"/>
          <w:sz w:val="28"/>
          <w:szCs w:val="28"/>
        </w:rPr>
      </w:pPr>
      <w:bookmarkStart w:id="27" w:name="_Toc226533387"/>
      <w:r w:rsidRPr="00DA1464">
        <w:rPr>
          <w:rFonts w:cs="Arial"/>
          <w:sz w:val="28"/>
          <w:szCs w:val="28"/>
        </w:rPr>
        <w:t>6.2 – Appendices</w:t>
      </w:r>
      <w:bookmarkEnd w:id="27"/>
      <w:r w:rsidRPr="00DA1464">
        <w:rPr>
          <w:rFonts w:cs="Arial"/>
          <w:sz w:val="28"/>
          <w:szCs w:val="28"/>
        </w:rPr>
        <w:t xml:space="preserve"> </w:t>
      </w:r>
    </w:p>
    <w:p w14:paraId="27361041" w14:textId="690A28B1" w:rsidR="00DC52B1" w:rsidRPr="00DC52B1" w:rsidRDefault="00DC52B1" w:rsidP="00DC52B1">
      <w:pPr>
        <w:keepNext/>
        <w:keepLines/>
        <w:spacing w:before="480" w:after="0" w:line="276" w:lineRule="auto"/>
        <w:jc w:val="center"/>
        <w:outlineLvl w:val="0"/>
        <w:rPr>
          <w:rFonts w:eastAsiaTheme="majorEastAsia" w:cstheme="majorBidi"/>
          <w:b/>
          <w:bCs/>
          <w:color w:val="2F5496" w:themeColor="accent1" w:themeShade="BF"/>
          <w:kern w:val="0"/>
          <w:sz w:val="34"/>
          <w:szCs w:val="34"/>
          <w:lang w:val="en-US" w:eastAsia="en-US"/>
          <w14:ligatures w14:val="none"/>
        </w:rPr>
      </w:pPr>
      <w:bookmarkStart w:id="28" w:name="_Toc226533388"/>
      <w:r w:rsidRPr="00DC52B1">
        <w:rPr>
          <w:rFonts w:eastAsiaTheme="majorEastAsia" w:cstheme="majorBidi"/>
          <w:b/>
          <w:bCs/>
          <w:color w:val="2F5496" w:themeColor="accent1" w:themeShade="BF"/>
          <w:kern w:val="0"/>
          <w:sz w:val="34"/>
          <w:szCs w:val="34"/>
          <w:lang w:val="en-US" w:eastAsia="en-US"/>
          <w14:ligatures w14:val="none"/>
        </w:rPr>
        <w:t>Project Source Tracking Table</w:t>
      </w:r>
      <w:bookmarkEnd w:id="28"/>
      <w:r w:rsidRPr="00DC52B1">
        <w:rPr>
          <w:rFonts w:eastAsiaTheme="majorEastAsia" w:cstheme="majorBidi"/>
          <w:b/>
          <w:bCs/>
          <w:color w:val="2F5496" w:themeColor="accent1" w:themeShade="BF"/>
          <w:kern w:val="0"/>
          <w:sz w:val="34"/>
          <w:szCs w:val="34"/>
          <w:lang w:val="en-US" w:eastAsia="en-US"/>
          <w14:ligatures w14:val="none"/>
        </w:rPr>
        <w:t xml:space="preserve"> </w:t>
      </w:r>
      <w:r w:rsidRPr="00DC52B1">
        <w:rPr>
          <w:rFonts w:eastAsiaTheme="majorEastAsia" w:cstheme="majorBidi"/>
          <w:b/>
          <w:bCs/>
          <w:color w:val="2F5496" w:themeColor="accent1" w:themeShade="BF"/>
          <w:kern w:val="0"/>
          <w:sz w:val="34"/>
          <w:szCs w:val="34"/>
          <w:lang w:val="en-US" w:eastAsia="en-US"/>
          <w14:ligatures w14:val="none"/>
        </w:rPr>
        <w:br/>
      </w:r>
    </w:p>
    <w:tbl>
      <w:tblPr>
        <w:tblStyle w:val="TableGrid"/>
        <w:tblW w:w="5000" w:type="pct"/>
        <w:tblLook w:val="04A0" w:firstRow="1" w:lastRow="0" w:firstColumn="1" w:lastColumn="0" w:noHBand="0" w:noVBand="1"/>
      </w:tblPr>
      <w:tblGrid>
        <w:gridCol w:w="729"/>
        <w:gridCol w:w="949"/>
        <w:gridCol w:w="1199"/>
        <w:gridCol w:w="1165"/>
        <w:gridCol w:w="1083"/>
        <w:gridCol w:w="3891"/>
      </w:tblGrid>
      <w:tr w:rsidR="00DC52B1" w:rsidRPr="00DC52B1" w14:paraId="668AF0AF" w14:textId="77777777" w:rsidTr="00BE614F">
        <w:trPr>
          <w:trHeight w:val="818"/>
        </w:trPr>
        <w:tc>
          <w:tcPr>
            <w:tcW w:w="381" w:type="pct"/>
          </w:tcPr>
          <w:p w14:paraId="601A4F40" w14:textId="77777777" w:rsidR="00DC52B1" w:rsidRPr="00DC52B1" w:rsidRDefault="00DC52B1" w:rsidP="00DC52B1">
            <w:pPr>
              <w:spacing w:line="240" w:lineRule="auto"/>
              <w:jc w:val="center"/>
              <w:rPr>
                <w:b/>
                <w:bCs/>
                <w:sz w:val="24"/>
                <w:szCs w:val="24"/>
                <w:lang w:val="en-US"/>
              </w:rPr>
            </w:pPr>
            <w:r w:rsidRPr="00DC52B1">
              <w:rPr>
                <w:rFonts w:ascii="Segoe UI Emoji" w:hAnsi="Segoe UI Emoji" w:cs="Segoe UI Emoji"/>
                <w:b/>
                <w:bCs/>
                <w:sz w:val="24"/>
                <w:szCs w:val="24"/>
                <w:lang w:val="en-US"/>
              </w:rPr>
              <w:t>✅</w:t>
            </w:r>
            <w:r w:rsidRPr="00DC52B1">
              <w:rPr>
                <w:b/>
                <w:bCs/>
                <w:sz w:val="24"/>
                <w:szCs w:val="24"/>
                <w:lang w:val="en-US"/>
              </w:rPr>
              <w:t xml:space="preserve"> Saved?</w:t>
            </w:r>
          </w:p>
        </w:tc>
        <w:tc>
          <w:tcPr>
            <w:tcW w:w="510" w:type="pct"/>
          </w:tcPr>
          <w:p w14:paraId="6C5F2895" w14:textId="77777777" w:rsidR="00DC52B1" w:rsidRPr="00DC52B1" w:rsidRDefault="00DC52B1" w:rsidP="00DC52B1">
            <w:pPr>
              <w:spacing w:line="240" w:lineRule="auto"/>
              <w:jc w:val="center"/>
              <w:rPr>
                <w:b/>
                <w:bCs/>
                <w:sz w:val="24"/>
                <w:szCs w:val="24"/>
                <w:lang w:val="en-US"/>
              </w:rPr>
            </w:pPr>
            <w:r w:rsidRPr="00DC52B1">
              <w:rPr>
                <w:b/>
                <w:bCs/>
                <w:sz w:val="24"/>
                <w:szCs w:val="24"/>
                <w:lang w:val="en-US"/>
              </w:rPr>
              <w:t>Author &amp; Year</w:t>
            </w:r>
          </w:p>
        </w:tc>
        <w:tc>
          <w:tcPr>
            <w:tcW w:w="656" w:type="pct"/>
          </w:tcPr>
          <w:p w14:paraId="19A4D045" w14:textId="77777777" w:rsidR="00DC52B1" w:rsidRPr="00DC52B1" w:rsidRDefault="00DC52B1" w:rsidP="00DC52B1">
            <w:pPr>
              <w:spacing w:line="240" w:lineRule="auto"/>
              <w:jc w:val="center"/>
              <w:rPr>
                <w:b/>
                <w:bCs/>
                <w:sz w:val="24"/>
                <w:szCs w:val="24"/>
                <w:lang w:val="en-US"/>
              </w:rPr>
            </w:pPr>
            <w:r w:rsidRPr="00DC52B1">
              <w:rPr>
                <w:b/>
                <w:bCs/>
                <w:sz w:val="24"/>
                <w:szCs w:val="24"/>
                <w:lang w:val="en-US"/>
              </w:rPr>
              <w:t>Title</w:t>
            </w:r>
          </w:p>
        </w:tc>
        <w:tc>
          <w:tcPr>
            <w:tcW w:w="636" w:type="pct"/>
          </w:tcPr>
          <w:p w14:paraId="62D6AF5F" w14:textId="77777777" w:rsidR="00DC52B1" w:rsidRPr="00DC52B1" w:rsidRDefault="00DC52B1" w:rsidP="00DC52B1">
            <w:pPr>
              <w:spacing w:line="240" w:lineRule="auto"/>
              <w:jc w:val="center"/>
              <w:rPr>
                <w:b/>
                <w:bCs/>
                <w:sz w:val="24"/>
                <w:szCs w:val="24"/>
                <w:lang w:val="en-US"/>
              </w:rPr>
            </w:pPr>
            <w:r w:rsidRPr="00DC52B1">
              <w:rPr>
                <w:b/>
                <w:bCs/>
                <w:sz w:val="24"/>
                <w:szCs w:val="24"/>
                <w:lang w:val="en-US"/>
              </w:rPr>
              <w:t>Summary</w:t>
            </w:r>
          </w:p>
        </w:tc>
        <w:tc>
          <w:tcPr>
            <w:tcW w:w="588" w:type="pct"/>
          </w:tcPr>
          <w:p w14:paraId="6112B437" w14:textId="77777777" w:rsidR="00DC52B1" w:rsidRPr="00DC52B1" w:rsidRDefault="00DC52B1" w:rsidP="00DC52B1">
            <w:pPr>
              <w:spacing w:line="240" w:lineRule="auto"/>
              <w:jc w:val="center"/>
              <w:rPr>
                <w:b/>
                <w:bCs/>
                <w:sz w:val="24"/>
                <w:szCs w:val="24"/>
                <w:lang w:val="en-US"/>
              </w:rPr>
            </w:pPr>
            <w:r w:rsidRPr="00DC52B1">
              <w:rPr>
                <w:b/>
                <w:bCs/>
                <w:sz w:val="24"/>
                <w:szCs w:val="24"/>
                <w:lang w:val="en-US"/>
              </w:rPr>
              <w:t>CRAAP Notes</w:t>
            </w:r>
          </w:p>
        </w:tc>
        <w:tc>
          <w:tcPr>
            <w:tcW w:w="2228" w:type="pct"/>
          </w:tcPr>
          <w:p w14:paraId="2598809E" w14:textId="77777777" w:rsidR="00DC52B1" w:rsidRPr="00DC52B1" w:rsidRDefault="00DC52B1" w:rsidP="00DC52B1">
            <w:pPr>
              <w:spacing w:line="240" w:lineRule="auto"/>
              <w:jc w:val="center"/>
              <w:rPr>
                <w:b/>
                <w:bCs/>
                <w:sz w:val="24"/>
                <w:szCs w:val="24"/>
                <w:lang w:val="en-US"/>
              </w:rPr>
            </w:pPr>
            <w:r w:rsidRPr="00DC52B1">
              <w:rPr>
                <w:b/>
                <w:bCs/>
                <w:sz w:val="24"/>
                <w:szCs w:val="24"/>
                <w:lang w:val="en-US"/>
              </w:rPr>
              <w:t xml:space="preserve">File Name / Link to Source </w:t>
            </w:r>
          </w:p>
        </w:tc>
      </w:tr>
      <w:tr w:rsidR="00DC52B1" w:rsidRPr="00DC52B1" w14:paraId="4FF196C2" w14:textId="77777777" w:rsidTr="00BE614F">
        <w:trPr>
          <w:trHeight w:val="614"/>
        </w:trPr>
        <w:tc>
          <w:tcPr>
            <w:tcW w:w="381" w:type="pct"/>
          </w:tcPr>
          <w:p w14:paraId="7B4047C1" w14:textId="5299F131" w:rsidR="00DC52B1" w:rsidRPr="00DC52B1" w:rsidRDefault="00DC52B1" w:rsidP="00DC52B1">
            <w:pPr>
              <w:spacing w:line="240" w:lineRule="auto"/>
              <w:jc w:val="left"/>
              <w:rPr>
                <w:sz w:val="24"/>
                <w:szCs w:val="24"/>
                <w:lang w:val="en-US"/>
              </w:rPr>
            </w:pPr>
            <w:r w:rsidRPr="00DC52B1">
              <w:rPr>
                <w:sz w:val="24"/>
                <w:szCs w:val="24"/>
                <w:lang w:val="en-US"/>
              </w:rPr>
              <w:lastRenderedPageBreak/>
              <w:t xml:space="preserve"> </w:t>
            </w:r>
            <w:r w:rsidR="00DC1474">
              <w:rPr>
                <w:sz w:val="24"/>
                <w:szCs w:val="24"/>
                <w:lang w:val="en-US"/>
              </w:rPr>
              <w:t>Yes</w:t>
            </w:r>
          </w:p>
        </w:tc>
        <w:tc>
          <w:tcPr>
            <w:tcW w:w="510" w:type="pct"/>
          </w:tcPr>
          <w:p w14:paraId="4DA43DD4" w14:textId="77777777" w:rsidR="00DC1474" w:rsidRDefault="00DC52B1">
            <w:pPr>
              <w:pStyle w:val="p1"/>
            </w:pPr>
            <w:r w:rsidRPr="00DC52B1">
              <w:rPr>
                <w:lang w:val="en-US" w:eastAsia="en-US"/>
              </w:rPr>
              <w:t xml:space="preserve"> </w:t>
            </w:r>
            <w:r w:rsidR="00DC1474">
              <w:rPr>
                <w:rStyle w:val="s1"/>
              </w:rPr>
              <w:t>Cummings and Shelton (2024)</w:t>
            </w:r>
          </w:p>
          <w:p w14:paraId="6C0DC3AD" w14:textId="30E4BBDF" w:rsidR="00DC52B1" w:rsidRPr="00DC52B1" w:rsidRDefault="00DC52B1" w:rsidP="00DC52B1">
            <w:pPr>
              <w:spacing w:line="240" w:lineRule="auto"/>
              <w:jc w:val="left"/>
              <w:rPr>
                <w:sz w:val="24"/>
                <w:szCs w:val="24"/>
                <w:lang w:val="en-US"/>
              </w:rPr>
            </w:pPr>
          </w:p>
        </w:tc>
        <w:tc>
          <w:tcPr>
            <w:tcW w:w="656" w:type="pct"/>
          </w:tcPr>
          <w:p w14:paraId="6D8C6FE0" w14:textId="77777777" w:rsidR="00DF5590" w:rsidRDefault="00DC52B1">
            <w:pPr>
              <w:pStyle w:val="p1"/>
            </w:pPr>
            <w:r w:rsidRPr="00DC52B1">
              <w:rPr>
                <w:lang w:val="en-US" w:eastAsia="en-US"/>
              </w:rPr>
              <w:t xml:space="preserve"> </w:t>
            </w:r>
            <w:r w:rsidR="00DF5590">
              <w:rPr>
                <w:rStyle w:val="s1"/>
              </w:rPr>
              <w:t>The prevalence of mental health disorders amongst care-experienced young people in the UK</w:t>
            </w:r>
            <w:r w:rsidR="00DF5590">
              <w:rPr>
                <w:rStyle w:val="apple-converted-space"/>
              </w:rPr>
              <w:t> </w:t>
            </w:r>
          </w:p>
          <w:p w14:paraId="6718BAC2" w14:textId="3FACCEB3" w:rsidR="00DC52B1" w:rsidRPr="00DC52B1" w:rsidRDefault="00DC52B1" w:rsidP="00DC52B1">
            <w:pPr>
              <w:spacing w:line="240" w:lineRule="auto"/>
              <w:jc w:val="left"/>
              <w:rPr>
                <w:sz w:val="24"/>
                <w:szCs w:val="24"/>
                <w:lang w:val="en-US"/>
              </w:rPr>
            </w:pPr>
          </w:p>
        </w:tc>
        <w:tc>
          <w:tcPr>
            <w:tcW w:w="636" w:type="pct"/>
          </w:tcPr>
          <w:p w14:paraId="6C91F21B" w14:textId="77777777" w:rsidR="0042114F" w:rsidRDefault="00DC52B1">
            <w:pPr>
              <w:pStyle w:val="p1"/>
            </w:pPr>
            <w:r w:rsidRPr="00DC52B1">
              <w:rPr>
                <w:lang w:val="en-US" w:eastAsia="en-US"/>
              </w:rPr>
              <w:t xml:space="preserve"> </w:t>
            </w:r>
            <w:r w:rsidR="0042114F">
              <w:rPr>
                <w:rStyle w:val="s1"/>
              </w:rPr>
              <w:t>Useful systematic review on prevalence and inequality</w:t>
            </w:r>
          </w:p>
          <w:p w14:paraId="3AC18882" w14:textId="3601D844" w:rsidR="00DC52B1" w:rsidRPr="00DC52B1" w:rsidRDefault="00DC52B1" w:rsidP="00DC52B1">
            <w:pPr>
              <w:spacing w:line="240" w:lineRule="auto"/>
              <w:jc w:val="left"/>
              <w:rPr>
                <w:sz w:val="24"/>
                <w:szCs w:val="24"/>
                <w:lang w:val="en-US"/>
              </w:rPr>
            </w:pPr>
          </w:p>
        </w:tc>
        <w:tc>
          <w:tcPr>
            <w:tcW w:w="588" w:type="pct"/>
          </w:tcPr>
          <w:p w14:paraId="29FD5600" w14:textId="77777777" w:rsidR="00220793" w:rsidRDefault="00DC52B1">
            <w:pPr>
              <w:pStyle w:val="p1"/>
            </w:pPr>
            <w:r w:rsidRPr="00DC52B1">
              <w:rPr>
                <w:lang w:val="en-US" w:eastAsia="en-US"/>
              </w:rPr>
              <w:t xml:space="preserve"> </w:t>
            </w:r>
            <w:r w:rsidR="00220793">
              <w:rPr>
                <w:rStyle w:val="s1"/>
              </w:rPr>
              <w:t>Current, relevant, peer-reviewed, UK-focused</w:t>
            </w:r>
          </w:p>
          <w:p w14:paraId="2D9EA983" w14:textId="76D8F778" w:rsidR="00DC52B1" w:rsidRPr="00DC52B1" w:rsidRDefault="00DC52B1" w:rsidP="00DC52B1">
            <w:pPr>
              <w:spacing w:line="240" w:lineRule="auto"/>
              <w:jc w:val="left"/>
              <w:rPr>
                <w:sz w:val="24"/>
                <w:szCs w:val="24"/>
                <w:lang w:val="en-US"/>
              </w:rPr>
            </w:pPr>
          </w:p>
        </w:tc>
        <w:tc>
          <w:tcPr>
            <w:tcW w:w="2228" w:type="pct"/>
          </w:tcPr>
          <w:p w14:paraId="23844C6C" w14:textId="77777777" w:rsidR="00202589" w:rsidRDefault="00DC52B1">
            <w:pPr>
              <w:pStyle w:val="p1"/>
            </w:pPr>
            <w:r w:rsidRPr="00DC52B1">
              <w:rPr>
                <w:lang w:val="en-US" w:eastAsia="en-US"/>
              </w:rPr>
              <w:t xml:space="preserve"> </w:t>
            </w:r>
            <w:r w:rsidR="00202589">
              <w:rPr>
                <w:rStyle w:val="s1"/>
              </w:rPr>
              <w:t>https://doi.org/10.1016/j.childyouth.2023.107367</w:t>
            </w:r>
          </w:p>
          <w:p w14:paraId="3AD9C89A" w14:textId="2574939E" w:rsidR="00DC52B1" w:rsidRPr="00DC52B1" w:rsidRDefault="00DC52B1" w:rsidP="00DC52B1">
            <w:pPr>
              <w:spacing w:line="240" w:lineRule="auto"/>
              <w:jc w:val="left"/>
              <w:rPr>
                <w:sz w:val="24"/>
                <w:szCs w:val="24"/>
                <w:lang w:val="en-US"/>
              </w:rPr>
            </w:pPr>
          </w:p>
        </w:tc>
      </w:tr>
      <w:tr w:rsidR="00DC52B1" w:rsidRPr="00DC52B1" w14:paraId="4FCA7425" w14:textId="77777777" w:rsidTr="00BE614F">
        <w:trPr>
          <w:trHeight w:val="614"/>
        </w:trPr>
        <w:tc>
          <w:tcPr>
            <w:tcW w:w="381" w:type="pct"/>
          </w:tcPr>
          <w:p w14:paraId="02317004" w14:textId="1C7E60B4" w:rsidR="00DC52B1" w:rsidRPr="00DC52B1" w:rsidRDefault="008C082D" w:rsidP="00DC52B1">
            <w:pPr>
              <w:spacing w:line="240" w:lineRule="auto"/>
              <w:jc w:val="left"/>
              <w:rPr>
                <w:sz w:val="24"/>
                <w:szCs w:val="24"/>
                <w:lang w:val="en-US"/>
              </w:rPr>
            </w:pPr>
            <w:r>
              <w:rPr>
                <w:sz w:val="24"/>
                <w:szCs w:val="24"/>
                <w:lang w:val="en-US"/>
              </w:rPr>
              <w:t>Yes</w:t>
            </w:r>
          </w:p>
        </w:tc>
        <w:tc>
          <w:tcPr>
            <w:tcW w:w="510" w:type="pct"/>
          </w:tcPr>
          <w:p w14:paraId="3DA2ED45" w14:textId="6A3D26B6" w:rsidR="00DC52B1" w:rsidRPr="00DC52B1" w:rsidRDefault="008C082D" w:rsidP="00605598">
            <w:pPr>
              <w:pStyle w:val="p1"/>
            </w:pPr>
            <w:r>
              <w:rPr>
                <w:rStyle w:val="s1"/>
              </w:rPr>
              <w:t>Phillips et al. (2023)</w:t>
            </w:r>
          </w:p>
        </w:tc>
        <w:tc>
          <w:tcPr>
            <w:tcW w:w="656" w:type="pct"/>
          </w:tcPr>
          <w:p w14:paraId="2E75432A" w14:textId="052BFA6C" w:rsidR="00DC52B1" w:rsidRPr="00DC52B1" w:rsidRDefault="008A3C1B" w:rsidP="008A3C1B">
            <w:pPr>
              <w:pStyle w:val="p1"/>
            </w:pPr>
            <w:r>
              <w:rPr>
                <w:rStyle w:val="s1"/>
              </w:rPr>
              <w:t>A scoping review of factors associated with the mental health of young people who have “aged out” of the child welfare system</w:t>
            </w:r>
          </w:p>
        </w:tc>
        <w:tc>
          <w:tcPr>
            <w:tcW w:w="636" w:type="pct"/>
          </w:tcPr>
          <w:p w14:paraId="639E7D98" w14:textId="22DA021F" w:rsidR="00DC52B1" w:rsidRPr="00DC52B1" w:rsidRDefault="00155DA3" w:rsidP="00155DA3">
            <w:pPr>
              <w:pStyle w:val="p1"/>
            </w:pPr>
            <w:r>
              <w:rPr>
                <w:rStyle w:val="s1"/>
              </w:rPr>
              <w:t>Identifies trauma, instability, weak support and structural disadvantage as key factors shaping care leavers’ mental health</w:t>
            </w:r>
          </w:p>
        </w:tc>
        <w:tc>
          <w:tcPr>
            <w:tcW w:w="588" w:type="pct"/>
          </w:tcPr>
          <w:p w14:paraId="52451A2B" w14:textId="7C500832" w:rsidR="00DC52B1" w:rsidRPr="00DC52B1" w:rsidRDefault="003B3CA2" w:rsidP="00502447">
            <w:pPr>
              <w:pStyle w:val="p1"/>
            </w:pPr>
            <w:r>
              <w:rPr>
                <w:rStyle w:val="s1"/>
              </w:rPr>
              <w:t>Current, relevant, peer-reviewed</w:t>
            </w:r>
          </w:p>
        </w:tc>
        <w:tc>
          <w:tcPr>
            <w:tcW w:w="2228" w:type="pct"/>
          </w:tcPr>
          <w:p w14:paraId="4009B751" w14:textId="007316F1" w:rsidR="00DC52B1" w:rsidRPr="00DC52B1" w:rsidRDefault="00655CC0" w:rsidP="00655CC0">
            <w:pPr>
              <w:pStyle w:val="p1"/>
            </w:pPr>
            <w:r>
              <w:rPr>
                <w:rStyle w:val="s1"/>
              </w:rPr>
              <w:t>https://doi.org/10.1177/15248380231196107</w:t>
            </w:r>
          </w:p>
        </w:tc>
      </w:tr>
      <w:tr w:rsidR="00DC52B1" w:rsidRPr="00DC52B1" w14:paraId="464AE037" w14:textId="77777777" w:rsidTr="00BE614F">
        <w:trPr>
          <w:trHeight w:val="614"/>
        </w:trPr>
        <w:tc>
          <w:tcPr>
            <w:tcW w:w="381" w:type="pct"/>
          </w:tcPr>
          <w:p w14:paraId="24D6817D" w14:textId="4D1B60CD" w:rsidR="00DC52B1" w:rsidRPr="00DC52B1" w:rsidRDefault="005E7D7E" w:rsidP="00DC52B1">
            <w:pPr>
              <w:spacing w:line="240" w:lineRule="auto"/>
              <w:jc w:val="left"/>
              <w:rPr>
                <w:sz w:val="24"/>
                <w:szCs w:val="24"/>
                <w:lang w:val="en-US"/>
              </w:rPr>
            </w:pPr>
            <w:r>
              <w:rPr>
                <w:sz w:val="24"/>
                <w:szCs w:val="24"/>
                <w:lang w:val="en-US"/>
              </w:rPr>
              <w:t>Yes</w:t>
            </w:r>
          </w:p>
        </w:tc>
        <w:tc>
          <w:tcPr>
            <w:tcW w:w="510" w:type="pct"/>
          </w:tcPr>
          <w:p w14:paraId="54326E47" w14:textId="33969BA8" w:rsidR="00DC52B1" w:rsidRPr="00DC52B1" w:rsidRDefault="00CD4E1D" w:rsidP="00CD4E1D">
            <w:pPr>
              <w:pStyle w:val="p1"/>
            </w:pPr>
            <w:r>
              <w:rPr>
                <w:rStyle w:val="s1"/>
              </w:rPr>
              <w:t>MacAlister (2022)</w:t>
            </w:r>
          </w:p>
        </w:tc>
        <w:tc>
          <w:tcPr>
            <w:tcW w:w="656" w:type="pct"/>
          </w:tcPr>
          <w:p w14:paraId="2DBD79C7" w14:textId="64C1F7C4" w:rsidR="00DC52B1" w:rsidRPr="00DC52B1" w:rsidRDefault="001731DD" w:rsidP="001731DD">
            <w:pPr>
              <w:pStyle w:val="p1"/>
            </w:pPr>
            <w:r>
              <w:rPr>
                <w:rStyle w:val="s1"/>
              </w:rPr>
              <w:t>Independent review of children’s social care: Final report</w:t>
            </w:r>
          </w:p>
        </w:tc>
        <w:tc>
          <w:tcPr>
            <w:tcW w:w="636" w:type="pct"/>
          </w:tcPr>
          <w:p w14:paraId="58F594EB" w14:textId="2FA477AE" w:rsidR="00DC52B1" w:rsidRPr="00DC52B1" w:rsidRDefault="005925E9" w:rsidP="005925E9">
            <w:pPr>
              <w:pStyle w:val="p1"/>
            </w:pPr>
            <w:r>
              <w:rPr>
                <w:rStyle w:val="s1"/>
              </w:rPr>
              <w:t>Critical review highlighting inconsistency, fragmentation and need for reform in children’s social care</w:t>
            </w:r>
          </w:p>
        </w:tc>
        <w:tc>
          <w:tcPr>
            <w:tcW w:w="588" w:type="pct"/>
          </w:tcPr>
          <w:p w14:paraId="605EDC1A" w14:textId="6554D3B1" w:rsidR="00DC52B1" w:rsidRPr="00DC52B1" w:rsidRDefault="006E5FFA" w:rsidP="006E5FFA">
            <w:pPr>
              <w:pStyle w:val="p1"/>
            </w:pPr>
            <w:r>
              <w:rPr>
                <w:rStyle w:val="s1"/>
              </w:rPr>
              <w:t>Authoritative, highly relevant; policy</w:t>
            </w:r>
            <w:r w:rsidR="00A93589">
              <w:rPr>
                <w:rStyle w:val="Heading1Char"/>
              </w:rPr>
              <w:t xml:space="preserve"> </w:t>
            </w:r>
            <w:r w:rsidR="00A93589">
              <w:rPr>
                <w:rStyle w:val="s1"/>
              </w:rPr>
              <w:t>review rather than peer-reviewed study</w:t>
            </w:r>
          </w:p>
        </w:tc>
        <w:tc>
          <w:tcPr>
            <w:tcW w:w="2228" w:type="pct"/>
          </w:tcPr>
          <w:p w14:paraId="322EBE64" w14:textId="6D4D0684" w:rsidR="00DC52B1" w:rsidRPr="00DC52B1" w:rsidRDefault="008071A2" w:rsidP="008071A2">
            <w:pPr>
              <w:pStyle w:val="p1"/>
            </w:pPr>
            <w:r>
              <w:rPr>
                <w:rStyle w:val="s1"/>
              </w:rPr>
              <w:t>https://www.gov.uk/government/publications/independent-review-of-childrens-social-care-final-report</w:t>
            </w:r>
          </w:p>
        </w:tc>
      </w:tr>
      <w:tr w:rsidR="00DC52B1" w:rsidRPr="00DC52B1" w14:paraId="05D3FBC9" w14:textId="77777777" w:rsidTr="00BE614F">
        <w:trPr>
          <w:trHeight w:val="645"/>
        </w:trPr>
        <w:tc>
          <w:tcPr>
            <w:tcW w:w="381" w:type="pct"/>
          </w:tcPr>
          <w:p w14:paraId="4188684F" w14:textId="35D4A5D8" w:rsidR="00DC52B1" w:rsidRPr="00DC52B1" w:rsidRDefault="005E7D7E" w:rsidP="00DC52B1">
            <w:pPr>
              <w:spacing w:line="240" w:lineRule="auto"/>
              <w:jc w:val="left"/>
              <w:rPr>
                <w:sz w:val="24"/>
                <w:szCs w:val="24"/>
                <w:lang w:val="en-US"/>
              </w:rPr>
            </w:pPr>
            <w:r>
              <w:rPr>
                <w:sz w:val="24"/>
                <w:szCs w:val="24"/>
                <w:lang w:val="en-US"/>
              </w:rPr>
              <w:t>Yes</w:t>
            </w:r>
          </w:p>
        </w:tc>
        <w:tc>
          <w:tcPr>
            <w:tcW w:w="510" w:type="pct"/>
          </w:tcPr>
          <w:p w14:paraId="29167FBC" w14:textId="39F6C017" w:rsidR="00DC52B1" w:rsidRPr="00DC52B1" w:rsidRDefault="005E7D7E" w:rsidP="005E7D7E">
            <w:pPr>
              <w:pStyle w:val="p1"/>
            </w:pPr>
            <w:r>
              <w:rPr>
                <w:rStyle w:val="s1"/>
              </w:rPr>
              <w:t>Prendergast et al. (2024)</w:t>
            </w:r>
          </w:p>
        </w:tc>
        <w:tc>
          <w:tcPr>
            <w:tcW w:w="656" w:type="pct"/>
          </w:tcPr>
          <w:p w14:paraId="5F2F0B63" w14:textId="0D387A5D" w:rsidR="00DC52B1" w:rsidRPr="00DC52B1" w:rsidRDefault="008D0D0E" w:rsidP="008D0D0E">
            <w:pPr>
              <w:pStyle w:val="p1"/>
            </w:pPr>
            <w:r>
              <w:rPr>
                <w:rStyle w:val="s1"/>
              </w:rPr>
              <w:t xml:space="preserve">Barriers and enablers to care-leavers’ engagement with </w:t>
            </w:r>
            <w:r>
              <w:rPr>
                <w:rStyle w:val="s1"/>
              </w:rPr>
              <w:lastRenderedPageBreak/>
              <w:t>multi-agency support: A scoping review</w:t>
            </w:r>
          </w:p>
        </w:tc>
        <w:tc>
          <w:tcPr>
            <w:tcW w:w="636" w:type="pct"/>
          </w:tcPr>
          <w:p w14:paraId="2AD4C8BB" w14:textId="1254592A" w:rsidR="00DC52B1" w:rsidRPr="00DC52B1" w:rsidRDefault="006E3881" w:rsidP="006E3881">
            <w:pPr>
              <w:pStyle w:val="p1"/>
            </w:pPr>
            <w:r>
              <w:rPr>
                <w:rStyle w:val="s1"/>
              </w:rPr>
              <w:lastRenderedPageBreak/>
              <w:t xml:space="preserve">Shows how fragmented multi-agency systems affect </w:t>
            </w:r>
            <w:r>
              <w:rPr>
                <w:rStyle w:val="s1"/>
              </w:rPr>
              <w:lastRenderedPageBreak/>
              <w:t>access to support</w:t>
            </w:r>
          </w:p>
        </w:tc>
        <w:tc>
          <w:tcPr>
            <w:tcW w:w="588" w:type="pct"/>
          </w:tcPr>
          <w:p w14:paraId="6BF04431" w14:textId="77777777" w:rsidR="003E0695" w:rsidRDefault="003E0695">
            <w:pPr>
              <w:pStyle w:val="p1"/>
            </w:pPr>
            <w:r>
              <w:rPr>
                <w:rStyle w:val="s1"/>
              </w:rPr>
              <w:lastRenderedPageBreak/>
              <w:t xml:space="preserve">Current, peer-reviewed, directly relevant </w:t>
            </w:r>
            <w:r>
              <w:rPr>
                <w:rStyle w:val="s1"/>
              </w:rPr>
              <w:lastRenderedPageBreak/>
              <w:t>to Theme 2</w:t>
            </w:r>
          </w:p>
          <w:p w14:paraId="402579C3" w14:textId="77777777" w:rsidR="00DC52B1" w:rsidRPr="00DC52B1" w:rsidRDefault="00DC52B1" w:rsidP="00DC52B1">
            <w:pPr>
              <w:spacing w:line="240" w:lineRule="auto"/>
              <w:jc w:val="left"/>
              <w:rPr>
                <w:sz w:val="24"/>
                <w:szCs w:val="24"/>
                <w:lang w:val="en-US"/>
              </w:rPr>
            </w:pPr>
          </w:p>
        </w:tc>
        <w:tc>
          <w:tcPr>
            <w:tcW w:w="2228" w:type="pct"/>
          </w:tcPr>
          <w:p w14:paraId="78BD00C8" w14:textId="51A11D31" w:rsidR="00DC52B1" w:rsidRPr="00DC52B1" w:rsidRDefault="001C113B" w:rsidP="001C113B">
            <w:pPr>
              <w:pStyle w:val="p1"/>
            </w:pPr>
            <w:r>
              <w:rPr>
                <w:rStyle w:val="s1"/>
              </w:rPr>
              <w:lastRenderedPageBreak/>
              <w:t>https://doi.org/10.1016/j.childyouth.2024.107501</w:t>
            </w:r>
          </w:p>
        </w:tc>
      </w:tr>
      <w:tr w:rsidR="00DC52B1" w:rsidRPr="00DC52B1" w14:paraId="5782D374" w14:textId="77777777" w:rsidTr="00BE614F">
        <w:trPr>
          <w:trHeight w:val="614"/>
        </w:trPr>
        <w:tc>
          <w:tcPr>
            <w:tcW w:w="381" w:type="pct"/>
          </w:tcPr>
          <w:p w14:paraId="306EFC8D" w14:textId="1EF95BAD" w:rsidR="00DC52B1" w:rsidRPr="00DC52B1" w:rsidRDefault="005A523F" w:rsidP="00DC52B1">
            <w:pPr>
              <w:spacing w:line="240" w:lineRule="auto"/>
              <w:jc w:val="left"/>
              <w:rPr>
                <w:sz w:val="24"/>
                <w:szCs w:val="24"/>
                <w:lang w:val="en-US"/>
              </w:rPr>
            </w:pPr>
            <w:r>
              <w:rPr>
                <w:sz w:val="24"/>
                <w:szCs w:val="24"/>
                <w:lang w:val="en-US"/>
              </w:rPr>
              <w:t>Yes</w:t>
            </w:r>
          </w:p>
        </w:tc>
        <w:tc>
          <w:tcPr>
            <w:tcW w:w="510" w:type="pct"/>
          </w:tcPr>
          <w:p w14:paraId="2CDB7F58" w14:textId="663D5D30" w:rsidR="00DC52B1" w:rsidRPr="00DC52B1" w:rsidRDefault="005A523F" w:rsidP="000F424E">
            <w:pPr>
              <w:pStyle w:val="p1"/>
            </w:pPr>
            <w:r>
              <w:rPr>
                <w:rStyle w:val="s1"/>
              </w:rPr>
              <w:t>Wright et al. (2020)</w:t>
            </w:r>
          </w:p>
        </w:tc>
        <w:tc>
          <w:tcPr>
            <w:tcW w:w="656" w:type="pct"/>
          </w:tcPr>
          <w:p w14:paraId="7BB12FCD" w14:textId="046BDD27" w:rsidR="00DC52B1" w:rsidRPr="00DC52B1" w:rsidRDefault="0043086D" w:rsidP="0043086D">
            <w:pPr>
              <w:pStyle w:val="p1"/>
            </w:pPr>
            <w:r>
              <w:rPr>
                <w:rStyle w:val="s1"/>
              </w:rPr>
              <w:t>A large population-based study of the mental health and wellbeing of children and young people in the North of England</w:t>
            </w:r>
          </w:p>
        </w:tc>
        <w:tc>
          <w:tcPr>
            <w:tcW w:w="636" w:type="pct"/>
          </w:tcPr>
          <w:p w14:paraId="5783CDB2" w14:textId="38D83AF7" w:rsidR="00DC52B1" w:rsidRPr="00DC52B1" w:rsidRDefault="00985913" w:rsidP="00985913">
            <w:pPr>
              <w:pStyle w:val="p1"/>
            </w:pPr>
            <w:r>
              <w:rPr>
                <w:rStyle w:val="s1"/>
              </w:rPr>
              <w:t>Large regional study showing substantial mental health and wellbeing need among children and young people in the North of England; useful for contextualising Northern inequality in Theme 1</w:t>
            </w:r>
          </w:p>
        </w:tc>
        <w:tc>
          <w:tcPr>
            <w:tcW w:w="588" w:type="pct"/>
          </w:tcPr>
          <w:p w14:paraId="76771A06" w14:textId="2B0E2B1E" w:rsidR="00DC52B1" w:rsidRPr="00DC52B1" w:rsidRDefault="000660A3" w:rsidP="000660A3">
            <w:pPr>
              <w:pStyle w:val="p1"/>
            </w:pPr>
            <w:r>
              <w:rPr>
                <w:rStyle w:val="s1"/>
              </w:rPr>
              <w:t>Current, relevant, peer-reviewed, North-focused, strong regional relevance</w:t>
            </w:r>
          </w:p>
        </w:tc>
        <w:tc>
          <w:tcPr>
            <w:tcW w:w="2228" w:type="pct"/>
          </w:tcPr>
          <w:p w14:paraId="522E5BC1" w14:textId="6F9EC090" w:rsidR="00DC52B1" w:rsidRPr="00DC52B1" w:rsidRDefault="006661DB" w:rsidP="006661DB">
            <w:pPr>
              <w:pStyle w:val="p1"/>
            </w:pPr>
            <w:r>
              <w:rPr>
                <w:rStyle w:val="s1"/>
              </w:rPr>
              <w:t>https://doi.org/10.1177/1359104520925873</w:t>
            </w:r>
          </w:p>
        </w:tc>
      </w:tr>
      <w:tr w:rsidR="00E7220A" w:rsidRPr="00DC52B1" w14:paraId="031FFE44" w14:textId="77777777" w:rsidTr="00BE614F">
        <w:trPr>
          <w:trHeight w:val="614"/>
        </w:trPr>
        <w:tc>
          <w:tcPr>
            <w:tcW w:w="381" w:type="pct"/>
          </w:tcPr>
          <w:p w14:paraId="10994F39" w14:textId="3B8317F3" w:rsidR="00E7220A" w:rsidRPr="00DC52B1" w:rsidRDefault="0098669C" w:rsidP="00DC52B1">
            <w:pPr>
              <w:spacing w:line="240" w:lineRule="auto"/>
              <w:jc w:val="left"/>
              <w:rPr>
                <w:sz w:val="24"/>
                <w:szCs w:val="24"/>
                <w:lang w:val="en-US"/>
              </w:rPr>
            </w:pPr>
            <w:r>
              <w:rPr>
                <w:sz w:val="24"/>
                <w:szCs w:val="24"/>
                <w:lang w:val="en-US"/>
              </w:rPr>
              <w:t>No</w:t>
            </w:r>
          </w:p>
        </w:tc>
        <w:tc>
          <w:tcPr>
            <w:tcW w:w="510" w:type="pct"/>
          </w:tcPr>
          <w:p w14:paraId="6480FAFF" w14:textId="21D03EAD" w:rsidR="00E7220A" w:rsidRPr="006B1B4D" w:rsidRDefault="00F14D6C" w:rsidP="006B1B4D">
            <w:pPr>
              <w:pStyle w:val="p1"/>
            </w:pPr>
            <w:r>
              <w:rPr>
                <w:rStyle w:val="s1"/>
              </w:rPr>
              <w:t>Sanders et al. (2024)</w:t>
            </w:r>
          </w:p>
        </w:tc>
        <w:tc>
          <w:tcPr>
            <w:tcW w:w="656" w:type="pct"/>
          </w:tcPr>
          <w:p w14:paraId="15C6EA20" w14:textId="77777777" w:rsidR="00DA114A" w:rsidRDefault="00DA114A">
            <w:pPr>
              <w:pStyle w:val="p1"/>
            </w:pPr>
            <w:r>
              <w:rPr>
                <w:rStyle w:val="apple-converted-space"/>
              </w:rPr>
              <w:t> </w:t>
            </w:r>
            <w:r>
              <w:rPr>
                <w:rStyle w:val="s1"/>
              </w:rPr>
              <w:t>A quasi-experimental evaluation of the Lifelong Links intervention for reducing homelessness amongst care leavers</w:t>
            </w:r>
          </w:p>
          <w:p w14:paraId="4329F8CE" w14:textId="77777777" w:rsidR="00E7220A" w:rsidRPr="00DC52B1" w:rsidRDefault="00E7220A" w:rsidP="00DC52B1">
            <w:pPr>
              <w:spacing w:line="240" w:lineRule="auto"/>
              <w:jc w:val="left"/>
              <w:rPr>
                <w:sz w:val="24"/>
                <w:szCs w:val="24"/>
                <w:lang w:val="en-US"/>
              </w:rPr>
            </w:pPr>
          </w:p>
        </w:tc>
        <w:tc>
          <w:tcPr>
            <w:tcW w:w="636" w:type="pct"/>
          </w:tcPr>
          <w:p w14:paraId="3C3ACD74" w14:textId="2972FBAB" w:rsidR="00E7220A" w:rsidRPr="005E4303" w:rsidRDefault="005E4303" w:rsidP="005E4303">
            <w:pPr>
              <w:pStyle w:val="p1"/>
            </w:pPr>
            <w:r>
              <w:rPr>
                <w:rStyle w:val="s1"/>
              </w:rPr>
              <w:t xml:space="preserve">Relevant to care leavers, but focused mainly on homelessness intervention rather than the dissertation’s central focus on mental health inequalities and </w:t>
            </w:r>
            <w:r>
              <w:rPr>
                <w:rStyle w:val="s1"/>
              </w:rPr>
              <w:lastRenderedPageBreak/>
              <w:t>social service effectiveness</w:t>
            </w:r>
          </w:p>
        </w:tc>
        <w:tc>
          <w:tcPr>
            <w:tcW w:w="588" w:type="pct"/>
          </w:tcPr>
          <w:p w14:paraId="36E8B415" w14:textId="5BC83103" w:rsidR="00E7220A" w:rsidRPr="00F430DB" w:rsidRDefault="00F430DB" w:rsidP="00F430DB">
            <w:pPr>
              <w:pStyle w:val="p1"/>
            </w:pPr>
            <w:r>
              <w:rPr>
                <w:rStyle w:val="s1"/>
              </w:rPr>
              <w:lastRenderedPageBreak/>
              <w:t>Current, peer-reviewed, but limited direct relevance to final themes</w:t>
            </w:r>
          </w:p>
        </w:tc>
        <w:tc>
          <w:tcPr>
            <w:tcW w:w="2228" w:type="pct"/>
          </w:tcPr>
          <w:p w14:paraId="18515469" w14:textId="321B32B5" w:rsidR="00E7220A" w:rsidRPr="00FF6752" w:rsidRDefault="00FF6752" w:rsidP="00FF6752">
            <w:pPr>
              <w:pStyle w:val="p1"/>
            </w:pPr>
            <w:r>
              <w:rPr>
                <w:rStyle w:val="s1"/>
              </w:rPr>
              <w:t>https://doi.org/10.1093/bjsw/bcae068</w:t>
            </w:r>
          </w:p>
        </w:tc>
      </w:tr>
      <w:tr w:rsidR="00116B44" w:rsidRPr="00DC52B1" w14:paraId="091883F4" w14:textId="77777777" w:rsidTr="00BE614F">
        <w:trPr>
          <w:trHeight w:val="614"/>
        </w:trPr>
        <w:tc>
          <w:tcPr>
            <w:tcW w:w="381" w:type="pct"/>
          </w:tcPr>
          <w:p w14:paraId="4C0D339C" w14:textId="1AA5A568" w:rsidR="00116B44" w:rsidRPr="00DC52B1" w:rsidRDefault="00057D41" w:rsidP="00DC52B1">
            <w:pPr>
              <w:spacing w:line="240" w:lineRule="auto"/>
              <w:jc w:val="left"/>
              <w:rPr>
                <w:sz w:val="24"/>
                <w:szCs w:val="24"/>
                <w:lang w:val="en-US"/>
              </w:rPr>
            </w:pPr>
            <w:r>
              <w:rPr>
                <w:sz w:val="24"/>
                <w:szCs w:val="24"/>
                <w:lang w:val="en-US"/>
              </w:rPr>
              <w:t>No</w:t>
            </w:r>
          </w:p>
        </w:tc>
        <w:tc>
          <w:tcPr>
            <w:tcW w:w="510" w:type="pct"/>
          </w:tcPr>
          <w:p w14:paraId="3181B8F8" w14:textId="701A65DB" w:rsidR="00116B44" w:rsidRPr="00057D41" w:rsidRDefault="00057D41" w:rsidP="00057D41">
            <w:pPr>
              <w:pStyle w:val="p1"/>
            </w:pPr>
            <w:r>
              <w:rPr>
                <w:rStyle w:val="s1"/>
              </w:rPr>
              <w:t>Alderson et al. (2021)</w:t>
            </w:r>
            <w:r>
              <w:rPr>
                <w:rStyle w:val="apple-converted-space"/>
              </w:rPr>
              <w:t> </w:t>
            </w:r>
          </w:p>
        </w:tc>
        <w:tc>
          <w:tcPr>
            <w:tcW w:w="656" w:type="pct"/>
          </w:tcPr>
          <w:p w14:paraId="1D95E40A" w14:textId="77777777" w:rsidR="002B2DF8" w:rsidRDefault="002B2DF8">
            <w:pPr>
              <w:pStyle w:val="p1"/>
            </w:pPr>
            <w:r>
              <w:rPr>
                <w:rStyle w:val="s1"/>
              </w:rPr>
              <w:t>Implementation factors for the delivery of alcohol and drug interventions to children in care</w:t>
            </w:r>
          </w:p>
          <w:p w14:paraId="58A1DF01" w14:textId="77777777" w:rsidR="00116B44" w:rsidRPr="00DC52B1" w:rsidRDefault="00116B44" w:rsidP="00DC52B1">
            <w:pPr>
              <w:spacing w:line="240" w:lineRule="auto"/>
              <w:jc w:val="left"/>
              <w:rPr>
                <w:sz w:val="24"/>
                <w:szCs w:val="24"/>
                <w:lang w:val="en-US"/>
              </w:rPr>
            </w:pPr>
          </w:p>
        </w:tc>
        <w:tc>
          <w:tcPr>
            <w:tcW w:w="636" w:type="pct"/>
          </w:tcPr>
          <w:p w14:paraId="54F50C31" w14:textId="733B6F96" w:rsidR="00116B44" w:rsidRPr="00160719" w:rsidRDefault="00160719" w:rsidP="00160719">
            <w:pPr>
              <w:pStyle w:val="p1"/>
            </w:pPr>
            <w:r>
              <w:rPr>
                <w:rStyle w:val="s1"/>
              </w:rPr>
              <w:t>Useful for substance-use interventions, but not sufficiently focused on mental health inequalities among care leavers in Northern England</w:t>
            </w:r>
          </w:p>
        </w:tc>
        <w:tc>
          <w:tcPr>
            <w:tcW w:w="588" w:type="pct"/>
          </w:tcPr>
          <w:p w14:paraId="57E1A40B" w14:textId="77F5D0F9" w:rsidR="00116B44" w:rsidRPr="00954BBC" w:rsidRDefault="00954BBC" w:rsidP="00954BBC">
            <w:pPr>
              <w:pStyle w:val="p1"/>
            </w:pPr>
            <w:r>
              <w:rPr>
                <w:rStyle w:val="s1"/>
              </w:rPr>
              <w:t>Peer-reviewed and current, but limited direct relevance</w:t>
            </w:r>
          </w:p>
        </w:tc>
        <w:tc>
          <w:tcPr>
            <w:tcW w:w="2228" w:type="pct"/>
          </w:tcPr>
          <w:p w14:paraId="1AC9975B" w14:textId="77777777" w:rsidR="00C81A53" w:rsidRDefault="00C81A53">
            <w:pPr>
              <w:pStyle w:val="p1"/>
            </w:pPr>
            <w:r>
              <w:rPr>
                <w:rStyle w:val="s1"/>
              </w:rPr>
              <w:t>https://doi.org/10.3390/ijerph18073461</w:t>
            </w:r>
          </w:p>
          <w:p w14:paraId="065F1796" w14:textId="77777777" w:rsidR="00116B44" w:rsidRPr="00DC52B1" w:rsidRDefault="00116B44" w:rsidP="00DC52B1">
            <w:pPr>
              <w:spacing w:line="240" w:lineRule="auto"/>
              <w:jc w:val="left"/>
              <w:rPr>
                <w:sz w:val="24"/>
                <w:szCs w:val="24"/>
                <w:lang w:val="en-US"/>
              </w:rPr>
            </w:pPr>
          </w:p>
        </w:tc>
      </w:tr>
    </w:tbl>
    <w:p w14:paraId="0BDEEE34" w14:textId="77777777" w:rsidR="00DC52B1" w:rsidRPr="00DC52B1" w:rsidRDefault="00DC52B1" w:rsidP="00DC52B1">
      <w:pPr>
        <w:spacing w:after="200" w:line="276" w:lineRule="auto"/>
        <w:jc w:val="left"/>
        <w:rPr>
          <w:rFonts w:asciiTheme="minorHAnsi" w:hAnsiTheme="minorHAnsi"/>
          <w:kern w:val="0"/>
          <w:lang w:val="en-US" w:eastAsia="en-US"/>
          <w14:ligatures w14:val="none"/>
        </w:rPr>
      </w:pPr>
      <w:r w:rsidRPr="00DC52B1">
        <w:rPr>
          <w:rFonts w:asciiTheme="minorHAnsi" w:hAnsiTheme="minorHAnsi"/>
          <w:kern w:val="0"/>
          <w:lang w:val="en-US" w:eastAsia="en-US"/>
          <w14:ligatures w14:val="none"/>
        </w:rPr>
        <w:br/>
      </w:r>
    </w:p>
    <w:p w14:paraId="50F28FA3" w14:textId="77777777" w:rsidR="009F0098" w:rsidRPr="00DA1464" w:rsidRDefault="009F0098" w:rsidP="00DA1464">
      <w:pPr>
        <w:rPr>
          <w:rFonts w:ascii="Arial" w:hAnsi="Arial" w:cs="Arial"/>
        </w:rPr>
      </w:pPr>
    </w:p>
    <w:p w14:paraId="18FF6044" w14:textId="77777777" w:rsidR="008C38C3" w:rsidRPr="00DA1464" w:rsidRDefault="008C38C3" w:rsidP="00DA1464">
      <w:pPr>
        <w:rPr>
          <w:rFonts w:ascii="Arial" w:hAnsi="Arial" w:cs="Arial"/>
        </w:rPr>
      </w:pPr>
    </w:p>
    <w:p w14:paraId="268CFD1F" w14:textId="77777777" w:rsidR="008C38C3" w:rsidRPr="00DA1464" w:rsidRDefault="008C38C3" w:rsidP="00DA1464">
      <w:pPr>
        <w:rPr>
          <w:rFonts w:ascii="Arial" w:hAnsi="Arial" w:cs="Arial"/>
        </w:rPr>
      </w:pPr>
    </w:p>
    <w:p w14:paraId="4944E244" w14:textId="774000E2" w:rsidR="008C38C3" w:rsidRPr="00DA1464" w:rsidRDefault="00C35F32" w:rsidP="00DA1464">
      <w:pPr>
        <w:rPr>
          <w:rFonts w:ascii="Arial" w:hAnsi="Arial" w:cs="Arial"/>
        </w:rPr>
      </w:pPr>
      <w:r>
        <w:rPr>
          <w:rStyle w:val="s2"/>
          <w:rFonts w:ascii="Aptos Display" w:eastAsia="Times New Roman" w:hAnsi="Aptos Display"/>
          <w:b/>
          <w:bCs/>
          <w:color w:val="0F4761"/>
          <w:sz w:val="30"/>
          <w:szCs w:val="30"/>
        </w:rPr>
        <w:t>Independent Project</w:t>
      </w:r>
      <w:r>
        <w:rPr>
          <w:rStyle w:val="apple-converted-space"/>
          <w:rFonts w:ascii="Aptos Display" w:eastAsia="Times New Roman" w:hAnsi="Aptos Display"/>
          <w:b/>
          <w:bCs/>
          <w:color w:val="0F4761"/>
          <w:sz w:val="30"/>
          <w:szCs w:val="30"/>
        </w:rPr>
        <w:t> </w:t>
      </w:r>
      <w:r>
        <w:rPr>
          <w:rStyle w:val="s2"/>
          <w:rFonts w:ascii="Aptos Display" w:eastAsia="Times New Roman" w:hAnsi="Aptos Display"/>
          <w:b/>
          <w:bCs/>
          <w:color w:val="0F4761"/>
          <w:sz w:val="30"/>
          <w:szCs w:val="30"/>
        </w:rPr>
        <w:t>Results Summary</w:t>
      </w:r>
      <w:r>
        <w:rPr>
          <w:rStyle w:val="apple-converted-space"/>
          <w:rFonts w:ascii="Aptos Display" w:eastAsia="Times New Roman" w:hAnsi="Aptos Display"/>
          <w:b/>
          <w:bCs/>
          <w:color w:val="0F4761"/>
          <w:sz w:val="30"/>
          <w:szCs w:val="30"/>
        </w:rPr>
        <w:t> </w:t>
      </w:r>
      <w:r>
        <w:rPr>
          <w:rStyle w:val="s2"/>
          <w:rFonts w:ascii="Aptos Display" w:eastAsia="Times New Roman" w:hAnsi="Aptos Display"/>
          <w:b/>
          <w:bCs/>
          <w:color w:val="0F4761"/>
          <w:sz w:val="30"/>
          <w:szCs w:val="30"/>
        </w:rPr>
        <w:t>Table</w:t>
      </w:r>
    </w:p>
    <w:tbl>
      <w:tblPr>
        <w:tblStyle w:val="TableGrid"/>
        <w:tblpPr w:leftFromText="180" w:rightFromText="180" w:vertAnchor="text" w:horzAnchor="margin" w:tblpY="252"/>
        <w:tblW w:w="5000" w:type="pct"/>
        <w:tblLook w:val="04A0" w:firstRow="1" w:lastRow="0" w:firstColumn="1" w:lastColumn="0" w:noHBand="0" w:noVBand="1"/>
      </w:tblPr>
      <w:tblGrid>
        <w:gridCol w:w="909"/>
        <w:gridCol w:w="1314"/>
        <w:gridCol w:w="938"/>
        <w:gridCol w:w="1329"/>
        <w:gridCol w:w="1111"/>
        <w:gridCol w:w="1322"/>
        <w:gridCol w:w="1088"/>
        <w:gridCol w:w="1005"/>
      </w:tblGrid>
      <w:tr w:rsidR="00E216EB" w:rsidRPr="006041DD" w14:paraId="04938413" w14:textId="77777777" w:rsidTr="005A417F">
        <w:trPr>
          <w:trHeight w:val="1495"/>
        </w:trPr>
        <w:tc>
          <w:tcPr>
            <w:tcW w:w="414" w:type="pct"/>
          </w:tcPr>
          <w:p w14:paraId="6D7F9F9D" w14:textId="77777777" w:rsidR="006041DD" w:rsidRPr="006041DD" w:rsidRDefault="006041DD" w:rsidP="006041DD">
            <w:pPr>
              <w:spacing w:line="240" w:lineRule="auto"/>
              <w:jc w:val="center"/>
              <w:rPr>
                <w:rFonts w:ascii="Arial" w:eastAsiaTheme="minorEastAsia" w:hAnsi="Arial" w:cs="Arial"/>
                <w:b/>
                <w:bCs/>
                <w:kern w:val="2"/>
                <w:sz w:val="16"/>
                <w:szCs w:val="16"/>
                <w:lang w:eastAsia="zh-CN"/>
                <w14:ligatures w14:val="standardContextual"/>
              </w:rPr>
            </w:pPr>
            <w:r w:rsidRPr="006041DD">
              <w:rPr>
                <w:rFonts w:ascii="Arial" w:eastAsiaTheme="minorEastAsia" w:hAnsi="Arial" w:cs="Arial"/>
                <w:b/>
                <w:bCs/>
                <w:kern w:val="2"/>
                <w:sz w:val="16"/>
                <w:szCs w:val="16"/>
                <w:lang w:eastAsia="zh-CN"/>
                <w14:ligatures w14:val="standardContextual"/>
              </w:rPr>
              <w:t>Author &amp; Year</w:t>
            </w:r>
          </w:p>
        </w:tc>
        <w:tc>
          <w:tcPr>
            <w:tcW w:w="605" w:type="pct"/>
          </w:tcPr>
          <w:p w14:paraId="541B3C4D" w14:textId="77777777" w:rsidR="006041DD" w:rsidRPr="006041DD" w:rsidRDefault="006041DD" w:rsidP="006041DD">
            <w:pPr>
              <w:spacing w:line="240" w:lineRule="auto"/>
              <w:jc w:val="center"/>
              <w:rPr>
                <w:rFonts w:ascii="Arial" w:eastAsiaTheme="minorEastAsia" w:hAnsi="Arial" w:cs="Arial"/>
                <w:b/>
                <w:bCs/>
                <w:kern w:val="2"/>
                <w:sz w:val="16"/>
                <w:szCs w:val="16"/>
                <w:lang w:eastAsia="zh-CN"/>
                <w14:ligatures w14:val="standardContextual"/>
              </w:rPr>
            </w:pPr>
            <w:r w:rsidRPr="006041DD">
              <w:rPr>
                <w:rFonts w:ascii="Arial" w:eastAsiaTheme="minorEastAsia" w:hAnsi="Arial" w:cs="Arial"/>
                <w:b/>
                <w:bCs/>
                <w:kern w:val="2"/>
                <w:sz w:val="16"/>
                <w:szCs w:val="16"/>
                <w:lang w:eastAsia="zh-CN"/>
                <w14:ligatures w14:val="standardContextual"/>
              </w:rPr>
              <w:t>Article Title</w:t>
            </w:r>
          </w:p>
        </w:tc>
        <w:tc>
          <w:tcPr>
            <w:tcW w:w="427" w:type="pct"/>
          </w:tcPr>
          <w:p w14:paraId="33E52FF6" w14:textId="77777777" w:rsidR="006041DD" w:rsidRPr="006041DD" w:rsidRDefault="006041DD" w:rsidP="006041DD">
            <w:pPr>
              <w:spacing w:line="240" w:lineRule="auto"/>
              <w:jc w:val="center"/>
              <w:rPr>
                <w:rFonts w:ascii="Arial" w:eastAsiaTheme="minorEastAsia" w:hAnsi="Arial" w:cs="Arial"/>
                <w:b/>
                <w:bCs/>
                <w:kern w:val="2"/>
                <w:sz w:val="16"/>
                <w:szCs w:val="16"/>
                <w:lang w:eastAsia="zh-CN"/>
                <w14:ligatures w14:val="standardContextual"/>
              </w:rPr>
            </w:pPr>
            <w:r w:rsidRPr="006041DD">
              <w:rPr>
                <w:rFonts w:ascii="Arial" w:eastAsiaTheme="minorEastAsia" w:hAnsi="Arial" w:cs="Arial"/>
                <w:b/>
                <w:bCs/>
                <w:kern w:val="2"/>
                <w:sz w:val="16"/>
                <w:szCs w:val="16"/>
                <w:lang w:eastAsia="zh-CN"/>
                <w14:ligatures w14:val="standardContextual"/>
              </w:rPr>
              <w:t>Type of Study</w:t>
            </w:r>
          </w:p>
        </w:tc>
        <w:tc>
          <w:tcPr>
            <w:tcW w:w="612" w:type="pct"/>
          </w:tcPr>
          <w:p w14:paraId="7A6DCFF9" w14:textId="77777777" w:rsidR="006041DD" w:rsidRPr="006041DD" w:rsidRDefault="006041DD" w:rsidP="006041DD">
            <w:pPr>
              <w:spacing w:line="240" w:lineRule="auto"/>
              <w:jc w:val="center"/>
              <w:rPr>
                <w:rFonts w:ascii="Arial" w:eastAsiaTheme="minorEastAsia" w:hAnsi="Arial" w:cs="Arial"/>
                <w:b/>
                <w:bCs/>
                <w:kern w:val="2"/>
                <w:sz w:val="16"/>
                <w:szCs w:val="16"/>
                <w:lang w:eastAsia="zh-CN"/>
                <w14:ligatures w14:val="standardContextual"/>
              </w:rPr>
            </w:pPr>
            <w:r w:rsidRPr="006041DD">
              <w:rPr>
                <w:rFonts w:ascii="Arial" w:eastAsiaTheme="minorEastAsia" w:hAnsi="Arial" w:cs="Arial"/>
                <w:b/>
                <w:bCs/>
                <w:kern w:val="2"/>
                <w:sz w:val="16"/>
                <w:szCs w:val="16"/>
                <w:lang w:eastAsia="zh-CN"/>
                <w14:ligatures w14:val="standardContextual"/>
              </w:rPr>
              <w:t>Research Method &amp; Sample Size</w:t>
            </w:r>
          </w:p>
        </w:tc>
        <w:tc>
          <w:tcPr>
            <w:tcW w:w="745" w:type="pct"/>
          </w:tcPr>
          <w:p w14:paraId="61D07AF7" w14:textId="77777777" w:rsidR="006041DD" w:rsidRPr="006041DD" w:rsidRDefault="006041DD" w:rsidP="006041DD">
            <w:pPr>
              <w:spacing w:line="240" w:lineRule="auto"/>
              <w:jc w:val="center"/>
              <w:rPr>
                <w:rFonts w:ascii="Arial" w:eastAsiaTheme="minorEastAsia" w:hAnsi="Arial" w:cs="Arial"/>
                <w:b/>
                <w:bCs/>
                <w:kern w:val="2"/>
                <w:sz w:val="16"/>
                <w:szCs w:val="16"/>
                <w:lang w:eastAsia="zh-CN"/>
                <w14:ligatures w14:val="standardContextual"/>
              </w:rPr>
            </w:pPr>
            <w:r w:rsidRPr="006041DD">
              <w:rPr>
                <w:rFonts w:ascii="Arial" w:eastAsiaTheme="minorEastAsia" w:hAnsi="Arial" w:cs="Arial"/>
                <w:b/>
                <w:bCs/>
                <w:kern w:val="2"/>
                <w:sz w:val="16"/>
                <w:szCs w:val="16"/>
                <w:lang w:eastAsia="zh-CN"/>
                <w14:ligatures w14:val="standardContextual"/>
              </w:rPr>
              <w:t>Strengths &amp; Limitations</w:t>
            </w:r>
          </w:p>
        </w:tc>
        <w:tc>
          <w:tcPr>
            <w:tcW w:w="608" w:type="pct"/>
          </w:tcPr>
          <w:p w14:paraId="160A4B25" w14:textId="77777777" w:rsidR="006041DD" w:rsidRPr="006041DD" w:rsidRDefault="006041DD" w:rsidP="006041DD">
            <w:pPr>
              <w:spacing w:line="240" w:lineRule="auto"/>
              <w:jc w:val="center"/>
              <w:rPr>
                <w:rFonts w:ascii="Arial" w:eastAsiaTheme="minorEastAsia" w:hAnsi="Arial" w:cs="Arial"/>
                <w:b/>
                <w:bCs/>
                <w:kern w:val="2"/>
                <w:sz w:val="16"/>
                <w:szCs w:val="16"/>
                <w:lang w:eastAsia="zh-CN"/>
                <w14:ligatures w14:val="standardContextual"/>
              </w:rPr>
            </w:pPr>
            <w:r w:rsidRPr="006041DD">
              <w:rPr>
                <w:rFonts w:ascii="Arial" w:eastAsiaTheme="minorEastAsia" w:hAnsi="Arial" w:cs="Arial"/>
                <w:b/>
                <w:bCs/>
                <w:kern w:val="2"/>
                <w:sz w:val="16"/>
                <w:szCs w:val="16"/>
                <w:lang w:eastAsia="zh-CN"/>
                <w14:ligatures w14:val="standardContextual"/>
              </w:rPr>
              <w:t>Main Findings</w:t>
            </w:r>
          </w:p>
        </w:tc>
        <w:tc>
          <w:tcPr>
            <w:tcW w:w="1130" w:type="pct"/>
          </w:tcPr>
          <w:p w14:paraId="23F1961F" w14:textId="77777777" w:rsidR="006041DD" w:rsidRPr="006041DD" w:rsidRDefault="006041DD" w:rsidP="006041DD">
            <w:pPr>
              <w:spacing w:line="240" w:lineRule="auto"/>
              <w:jc w:val="center"/>
              <w:rPr>
                <w:rFonts w:ascii="Arial" w:eastAsiaTheme="minorEastAsia" w:hAnsi="Arial" w:cs="Arial"/>
                <w:b/>
                <w:bCs/>
                <w:kern w:val="2"/>
                <w:sz w:val="16"/>
                <w:szCs w:val="16"/>
                <w:lang w:eastAsia="zh-CN"/>
                <w14:ligatures w14:val="standardContextual"/>
              </w:rPr>
            </w:pPr>
            <w:r w:rsidRPr="006041DD">
              <w:rPr>
                <w:rFonts w:ascii="Arial" w:eastAsiaTheme="minorEastAsia" w:hAnsi="Arial" w:cs="Arial"/>
                <w:b/>
                <w:bCs/>
                <w:kern w:val="2"/>
                <w:sz w:val="16"/>
                <w:szCs w:val="16"/>
                <w:lang w:eastAsia="zh-CN"/>
                <w14:ligatures w14:val="standardContextual"/>
              </w:rPr>
              <w:t>Keywords &amp; Codes</w:t>
            </w:r>
          </w:p>
        </w:tc>
        <w:tc>
          <w:tcPr>
            <w:tcW w:w="459" w:type="pct"/>
          </w:tcPr>
          <w:p w14:paraId="0618E846" w14:textId="77777777" w:rsidR="006041DD" w:rsidRPr="006041DD" w:rsidRDefault="006041DD" w:rsidP="006041DD">
            <w:pPr>
              <w:spacing w:line="240" w:lineRule="auto"/>
              <w:jc w:val="center"/>
              <w:rPr>
                <w:rFonts w:ascii="Arial" w:eastAsiaTheme="minorEastAsia" w:hAnsi="Arial" w:cs="Arial"/>
                <w:b/>
                <w:bCs/>
                <w:kern w:val="2"/>
                <w:sz w:val="16"/>
                <w:szCs w:val="16"/>
                <w:lang w:eastAsia="zh-CN"/>
                <w14:ligatures w14:val="standardContextual"/>
              </w:rPr>
            </w:pPr>
            <w:r w:rsidRPr="006041DD">
              <w:rPr>
                <w:rFonts w:ascii="Arial" w:eastAsiaTheme="minorEastAsia" w:hAnsi="Arial" w:cs="Arial"/>
                <w:b/>
                <w:bCs/>
                <w:kern w:val="2"/>
                <w:sz w:val="16"/>
                <w:szCs w:val="16"/>
                <w:lang w:eastAsia="zh-CN"/>
                <w14:ligatures w14:val="standardContextual"/>
              </w:rPr>
              <w:t>Notes and Comments</w:t>
            </w:r>
          </w:p>
        </w:tc>
      </w:tr>
      <w:tr w:rsidR="00E216EB" w:rsidRPr="006041DD" w14:paraId="4B0F2C99" w14:textId="77777777" w:rsidTr="005A417F">
        <w:trPr>
          <w:trHeight w:val="642"/>
        </w:trPr>
        <w:tc>
          <w:tcPr>
            <w:tcW w:w="414" w:type="pct"/>
          </w:tcPr>
          <w:p w14:paraId="2A3E7AAF"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Cummings and Shelton (2024)</w:t>
            </w:r>
          </w:p>
        </w:tc>
        <w:tc>
          <w:tcPr>
            <w:tcW w:w="605" w:type="pct"/>
          </w:tcPr>
          <w:p w14:paraId="39F564BD"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The prevalence of mental health disorders amongst care-experienced young people in the UK: A systematic review</w:t>
            </w:r>
          </w:p>
          <w:p w14:paraId="16268659"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427" w:type="pct"/>
          </w:tcPr>
          <w:p w14:paraId="5EFCB615"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Systematic review</w:t>
            </w:r>
          </w:p>
          <w:p w14:paraId="1FE234D9"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612" w:type="pct"/>
          </w:tcPr>
          <w:p w14:paraId="44122DEA"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Systematic review of 39 UK studies examining the prevalence of mental health disorders among care-experienced young people.</w:t>
            </w:r>
          </w:p>
          <w:p w14:paraId="087855FC"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745" w:type="pct"/>
          </w:tcPr>
          <w:p w14:paraId="0B874E36"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 UK-specific; strong overview of prevalence evidence; useful for establishing the scale of mental health need.</w:t>
            </w:r>
          </w:p>
          <w:p w14:paraId="60D020CB"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 Wide variation in methods </w:t>
            </w:r>
            <w:r w:rsidRPr="006041DD">
              <w:rPr>
                <w:rFonts w:ascii="Arial" w:eastAsiaTheme="minorEastAsia" w:hAnsi="Arial" w:cs="Arial"/>
                <w:kern w:val="2"/>
                <w:sz w:val="16"/>
                <w:szCs w:val="16"/>
                <w:lang w:eastAsia="zh-CN"/>
                <w14:ligatures w14:val="standardContextual"/>
              </w:rPr>
              <w:lastRenderedPageBreak/>
              <w:t>and measures across included studies; does not focus only on care leavers.</w:t>
            </w:r>
          </w:p>
          <w:p w14:paraId="2B86E7E9"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608" w:type="pct"/>
          </w:tcPr>
          <w:p w14:paraId="717B9927"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lastRenderedPageBreak/>
              <w:t>Mental health disorder prevalence estimates ranged from 1% to 82%, showing consistently elevated need but major inconsistency in measurement across studies.</w:t>
            </w:r>
          </w:p>
        </w:tc>
        <w:tc>
          <w:tcPr>
            <w:tcW w:w="1130" w:type="pct"/>
          </w:tcPr>
          <w:p w14:paraId="2DAF6042"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prevalence, mental health disorders, care-experienced, UK, inequality, Theme 1</w:t>
            </w:r>
          </w:p>
        </w:tc>
        <w:tc>
          <w:tcPr>
            <w:tcW w:w="459" w:type="pct"/>
          </w:tcPr>
          <w:p w14:paraId="3C0C9DD1"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Strong foundational source for Theme 1. Best used to establish the scale of the </w:t>
            </w:r>
            <w:proofErr w:type="gramStart"/>
            <w:r w:rsidRPr="006041DD">
              <w:rPr>
                <w:rFonts w:ascii="Arial" w:eastAsiaTheme="minorEastAsia" w:hAnsi="Arial" w:cs="Arial"/>
                <w:kern w:val="2"/>
                <w:sz w:val="16"/>
                <w:szCs w:val="16"/>
                <w:lang w:eastAsia="zh-CN"/>
                <w14:ligatures w14:val="standardContextual"/>
              </w:rPr>
              <w:t>problem, but</w:t>
            </w:r>
            <w:proofErr w:type="gramEnd"/>
            <w:r w:rsidRPr="006041DD">
              <w:rPr>
                <w:rFonts w:ascii="Arial" w:eastAsiaTheme="minorEastAsia" w:hAnsi="Arial" w:cs="Arial"/>
                <w:kern w:val="2"/>
                <w:sz w:val="16"/>
                <w:szCs w:val="16"/>
                <w:lang w:eastAsia="zh-CN"/>
                <w14:ligatures w14:val="standardContextual"/>
              </w:rPr>
              <w:t xml:space="preserve"> should be paired with more specific </w:t>
            </w:r>
            <w:r w:rsidRPr="006041DD">
              <w:rPr>
                <w:rFonts w:ascii="Arial" w:eastAsiaTheme="minorEastAsia" w:hAnsi="Arial" w:cs="Arial"/>
                <w:kern w:val="2"/>
                <w:sz w:val="16"/>
                <w:szCs w:val="16"/>
                <w:lang w:eastAsia="zh-CN"/>
                <w14:ligatures w14:val="standardContextual"/>
              </w:rPr>
              <w:lastRenderedPageBreak/>
              <w:t xml:space="preserve">studies on mechanisms and lived experience.  </w:t>
            </w:r>
          </w:p>
        </w:tc>
      </w:tr>
      <w:tr w:rsidR="00E216EB" w:rsidRPr="006041DD" w14:paraId="5479158F" w14:textId="77777777" w:rsidTr="005A417F">
        <w:trPr>
          <w:trHeight w:val="610"/>
        </w:trPr>
        <w:tc>
          <w:tcPr>
            <w:tcW w:w="414" w:type="pct"/>
          </w:tcPr>
          <w:p w14:paraId="202EC2F9"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lastRenderedPageBreak/>
              <w:t>Carter et al. (2025)</w:t>
            </w:r>
          </w:p>
        </w:tc>
        <w:tc>
          <w:tcPr>
            <w:tcW w:w="605" w:type="pct"/>
          </w:tcPr>
          <w:p w14:paraId="3CFA98AF"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The mental health and wellbeing of care-experienced young people during early and later adolescence</w:t>
            </w:r>
          </w:p>
        </w:tc>
        <w:tc>
          <w:tcPr>
            <w:tcW w:w="427" w:type="pct"/>
          </w:tcPr>
          <w:p w14:paraId="74C03D53"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Quantitative cross-sectional study</w:t>
            </w:r>
          </w:p>
        </w:tc>
        <w:tc>
          <w:tcPr>
            <w:tcW w:w="612" w:type="pct"/>
          </w:tcPr>
          <w:p w14:paraId="0DFD8B7F"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Two samples of care-experienced young people and their caregivers: 269 aged 10–13 and 155 aged 16–17, total n = 424; participants completed standardised mental health and wellbeing measures.</w:t>
            </w:r>
          </w:p>
        </w:tc>
        <w:tc>
          <w:tcPr>
            <w:tcW w:w="745" w:type="pct"/>
          </w:tcPr>
          <w:p w14:paraId="52DD41A8"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Recent; relatively large sample; compares early and later adolescence; strong for wellbeing as well as mental health.</w:t>
            </w:r>
          </w:p>
          <w:p w14:paraId="0D2C9E8E"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Cross-sectional design; not limited to Northern England; includes adopted young people as well as those currently/in previously in care.</w:t>
            </w:r>
          </w:p>
        </w:tc>
        <w:tc>
          <w:tcPr>
            <w:tcW w:w="608" w:type="pct"/>
          </w:tcPr>
          <w:p w14:paraId="03CB5CDF"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roofErr w:type="gramStart"/>
            <w:r w:rsidRPr="006041DD">
              <w:rPr>
                <w:rFonts w:ascii="Arial" w:eastAsiaTheme="minorEastAsia" w:hAnsi="Arial" w:cs="Arial"/>
                <w:kern w:val="2"/>
                <w:sz w:val="16"/>
                <w:szCs w:val="16"/>
                <w:lang w:eastAsia="zh-CN"/>
                <w14:ligatures w14:val="standardContextual"/>
              </w:rPr>
              <w:t>The majority of</w:t>
            </w:r>
            <w:proofErr w:type="gramEnd"/>
            <w:r w:rsidRPr="006041DD">
              <w:rPr>
                <w:rFonts w:ascii="Arial" w:eastAsiaTheme="minorEastAsia" w:hAnsi="Arial" w:cs="Arial"/>
                <w:kern w:val="2"/>
                <w:sz w:val="16"/>
                <w:szCs w:val="16"/>
                <w:lang w:eastAsia="zh-CN"/>
                <w14:ligatures w14:val="standardContextual"/>
              </w:rPr>
              <w:t xml:space="preserve"> both groups showed clinically elevated mental health symptoms, with the 16–17-year-old group showing the poorest mental health and wellbeing overall.</w:t>
            </w:r>
          </w:p>
        </w:tc>
        <w:tc>
          <w:tcPr>
            <w:tcW w:w="1130" w:type="pct"/>
          </w:tcPr>
          <w:p w14:paraId="2BB67BBA"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adolescence, wellbeing, mental health symptoms, care-experienced, Theme 1</w:t>
            </w:r>
          </w:p>
        </w:tc>
        <w:tc>
          <w:tcPr>
            <w:tcW w:w="459" w:type="pct"/>
          </w:tcPr>
          <w:p w14:paraId="12B56890"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Useful for showing that need is not only </w:t>
            </w:r>
            <w:proofErr w:type="gramStart"/>
            <w:r w:rsidRPr="006041DD">
              <w:rPr>
                <w:rFonts w:ascii="Arial" w:eastAsiaTheme="minorEastAsia" w:hAnsi="Arial" w:cs="Arial"/>
                <w:kern w:val="2"/>
                <w:sz w:val="16"/>
                <w:szCs w:val="16"/>
                <w:lang w:eastAsia="zh-CN"/>
                <w14:ligatures w14:val="standardContextual"/>
              </w:rPr>
              <w:t>high, but</w:t>
            </w:r>
            <w:proofErr w:type="gramEnd"/>
            <w:r w:rsidRPr="006041DD">
              <w:rPr>
                <w:rFonts w:ascii="Arial" w:eastAsiaTheme="minorEastAsia" w:hAnsi="Arial" w:cs="Arial"/>
                <w:kern w:val="2"/>
                <w:sz w:val="16"/>
                <w:szCs w:val="16"/>
                <w:lang w:eastAsia="zh-CN"/>
                <w14:ligatures w14:val="standardContextual"/>
              </w:rPr>
              <w:t xml:space="preserve"> becomes especially severe in later adolescence as young people approach adulthood.</w:t>
            </w:r>
          </w:p>
        </w:tc>
      </w:tr>
      <w:tr w:rsidR="00E216EB" w:rsidRPr="006041DD" w14:paraId="77C0E82F" w14:textId="77777777" w:rsidTr="005A417F">
        <w:trPr>
          <w:trHeight w:val="610"/>
        </w:trPr>
        <w:tc>
          <w:tcPr>
            <w:tcW w:w="414" w:type="pct"/>
          </w:tcPr>
          <w:p w14:paraId="443CE019"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Butterworth et al. (2017)</w:t>
            </w:r>
          </w:p>
        </w:tc>
        <w:tc>
          <w:tcPr>
            <w:tcW w:w="605" w:type="pct"/>
          </w:tcPr>
          <w:p w14:paraId="6E6DEE0E"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Transitioning care-leavers with mental health needs: “They set you up to fail!”</w:t>
            </w:r>
          </w:p>
        </w:tc>
        <w:tc>
          <w:tcPr>
            <w:tcW w:w="427" w:type="pct"/>
          </w:tcPr>
          <w:p w14:paraId="0A527A29"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Qualitative study</w:t>
            </w:r>
          </w:p>
        </w:tc>
        <w:tc>
          <w:tcPr>
            <w:tcW w:w="612" w:type="pct"/>
          </w:tcPr>
          <w:p w14:paraId="1925401A"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Interviews with 12 care-leavers with mental health needs; data analysed using framework analysis.</w:t>
            </w:r>
          </w:p>
        </w:tc>
        <w:tc>
          <w:tcPr>
            <w:tcW w:w="745" w:type="pct"/>
          </w:tcPr>
          <w:p w14:paraId="4518EAAE"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Directly focused on care leavers with mental health needs; strong relevance to transition between services.</w:t>
            </w:r>
          </w:p>
          <w:p w14:paraId="67EFE8C1"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Small sample; older source; qualitative findings not generalisable in a statistical sense.</w:t>
            </w:r>
          </w:p>
        </w:tc>
        <w:tc>
          <w:tcPr>
            <w:tcW w:w="608" w:type="pct"/>
          </w:tcPr>
          <w:p w14:paraId="79C12241"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Participants described transitions between social care and mental health services as insecure, poorly coordinated and setting them up to fail.</w:t>
            </w:r>
          </w:p>
        </w:tc>
        <w:tc>
          <w:tcPr>
            <w:tcW w:w="1130" w:type="pct"/>
          </w:tcPr>
          <w:p w14:paraId="014C1845"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transition, care leavers, mental health needs, service gaps, fragmentation, Theme 2</w:t>
            </w:r>
          </w:p>
        </w:tc>
        <w:tc>
          <w:tcPr>
            <w:tcW w:w="459" w:type="pct"/>
          </w:tcPr>
          <w:p w14:paraId="5F4BBDE5"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Very strong for Theme 2. Use it when discussing poor transition between child and adult services.</w:t>
            </w:r>
          </w:p>
        </w:tc>
      </w:tr>
      <w:tr w:rsidR="00E216EB" w:rsidRPr="006041DD" w14:paraId="400F9582" w14:textId="77777777" w:rsidTr="005A417F">
        <w:trPr>
          <w:trHeight w:val="610"/>
        </w:trPr>
        <w:tc>
          <w:tcPr>
            <w:tcW w:w="414" w:type="pct"/>
          </w:tcPr>
          <w:p w14:paraId="3E985141"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Young et al. (2024)</w:t>
            </w:r>
          </w:p>
        </w:tc>
        <w:tc>
          <w:tcPr>
            <w:tcW w:w="605" w:type="pct"/>
          </w:tcPr>
          <w:p w14:paraId="7471FFF4"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“I had my guard up for a long time and that probably didn’t help”: Exploring care leavers’ experiences of the barriers to accessing mental health support during adolescence</w:t>
            </w:r>
          </w:p>
        </w:tc>
        <w:tc>
          <w:tcPr>
            <w:tcW w:w="427" w:type="pct"/>
          </w:tcPr>
          <w:p w14:paraId="54752F92"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Qualitative study</w:t>
            </w:r>
          </w:p>
        </w:tc>
        <w:tc>
          <w:tcPr>
            <w:tcW w:w="612" w:type="pct"/>
          </w:tcPr>
          <w:p w14:paraId="2EAEDE83"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Photo-elicitation interviews with 6 care leavers aged 18–25; data analysed using Interpretative Phenomenological Analysis (IPA).</w:t>
            </w:r>
          </w:p>
        </w:tc>
        <w:tc>
          <w:tcPr>
            <w:tcW w:w="745" w:type="pct"/>
          </w:tcPr>
          <w:p w14:paraId="059B25B4"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Highly relevant to mental health support access; rich lived-experience data; recent and care-leaver-specific.</w:t>
            </w:r>
          </w:p>
          <w:p w14:paraId="2C022343"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Very small sample; retrospective accounts; </w:t>
            </w:r>
            <w:r w:rsidRPr="006041DD">
              <w:rPr>
                <w:rFonts w:ascii="Arial" w:eastAsiaTheme="minorEastAsia" w:hAnsi="Arial" w:cs="Arial"/>
                <w:kern w:val="2"/>
                <w:sz w:val="16"/>
                <w:szCs w:val="16"/>
                <w:lang w:eastAsia="zh-CN"/>
                <w14:ligatures w14:val="standardContextual"/>
              </w:rPr>
              <w:lastRenderedPageBreak/>
              <w:t>findings are interpretive rather than generalisable.</w:t>
            </w:r>
          </w:p>
        </w:tc>
        <w:tc>
          <w:tcPr>
            <w:tcW w:w="608" w:type="pct"/>
          </w:tcPr>
          <w:p w14:paraId="690F9602"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lastRenderedPageBreak/>
              <w:t>Care leavers described barriers including mistrust, misunderstanding, lack of support, and services that did not meet their complex needs.</w:t>
            </w:r>
          </w:p>
        </w:tc>
        <w:tc>
          <w:tcPr>
            <w:tcW w:w="1130" w:type="pct"/>
          </w:tcPr>
          <w:p w14:paraId="15FAAE4F"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barriers, access, mistrust, support, trauma-informed, Theme 1, Theme 2</w:t>
            </w:r>
          </w:p>
        </w:tc>
        <w:tc>
          <w:tcPr>
            <w:tcW w:w="459" w:type="pct"/>
          </w:tcPr>
          <w:p w14:paraId="4CFDCF89"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Strong qualitative source for both Theme 1 and Theme 2. Especially useful for showing that high need does not automatically lead to </w:t>
            </w:r>
            <w:r w:rsidRPr="006041DD">
              <w:rPr>
                <w:rFonts w:ascii="Arial" w:eastAsiaTheme="minorEastAsia" w:hAnsi="Arial" w:cs="Arial"/>
                <w:kern w:val="2"/>
                <w:sz w:val="16"/>
                <w:szCs w:val="16"/>
                <w:lang w:eastAsia="zh-CN"/>
                <w14:ligatures w14:val="standardContextual"/>
              </w:rPr>
              <w:lastRenderedPageBreak/>
              <w:t xml:space="preserve">successful access.  </w:t>
            </w:r>
          </w:p>
        </w:tc>
      </w:tr>
      <w:tr w:rsidR="00E216EB" w:rsidRPr="006041DD" w14:paraId="78A3AD24" w14:textId="77777777" w:rsidTr="005A417F">
        <w:trPr>
          <w:trHeight w:val="642"/>
        </w:trPr>
        <w:tc>
          <w:tcPr>
            <w:tcW w:w="414" w:type="pct"/>
          </w:tcPr>
          <w:p w14:paraId="30E774CB"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Barratt, Appleton and Pearson (2020)</w:t>
            </w:r>
          </w:p>
        </w:tc>
        <w:tc>
          <w:tcPr>
            <w:tcW w:w="605" w:type="pct"/>
          </w:tcPr>
          <w:p w14:paraId="3A785E0C"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Exploring internal conversations to understand the experience of young adults transitioning out of care</w:t>
            </w:r>
          </w:p>
        </w:tc>
        <w:tc>
          <w:tcPr>
            <w:tcW w:w="427" w:type="pct"/>
          </w:tcPr>
          <w:p w14:paraId="36BCC515"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Qualitative study</w:t>
            </w:r>
          </w:p>
        </w:tc>
        <w:tc>
          <w:tcPr>
            <w:tcW w:w="612" w:type="pct"/>
          </w:tcPr>
          <w:p w14:paraId="02E17E7D" w14:textId="77777777" w:rsidR="006041DD" w:rsidRPr="006041DD" w:rsidRDefault="006041DD" w:rsidP="006041DD">
            <w:pPr>
              <w:spacing w:line="240" w:lineRule="auto"/>
              <w:jc w:val="left"/>
              <w:rPr>
                <w:rFonts w:ascii="Arial" w:eastAsiaTheme="minorEastAsia" w:hAnsi="Arial" w:cs="Arial"/>
                <w:sz w:val="16"/>
                <w:szCs w:val="16"/>
              </w:rPr>
            </w:pPr>
            <w:r w:rsidRPr="006041DD">
              <w:rPr>
                <w:rFonts w:ascii="Arial" w:eastAsiaTheme="minorEastAsia" w:hAnsi="Arial" w:cs="Arial"/>
                <w:sz w:val="16"/>
                <w:szCs w:val="16"/>
              </w:rPr>
              <w:t>In-depth interviews with 6 care leavers, using Archer’s interview structure to explore internal conversations and reflexivity</w:t>
            </w:r>
          </w:p>
        </w:tc>
        <w:tc>
          <w:tcPr>
            <w:tcW w:w="745" w:type="pct"/>
          </w:tcPr>
          <w:p w14:paraId="1FBE3C4E"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Useful for understanding self-reliance and internal coping processes; strong interpretive depth.</w:t>
            </w:r>
          </w:p>
          <w:p w14:paraId="601C4D56"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Small sample; not specific to mental health service use alone; qualitative design limits wider generalisation.</w:t>
            </w:r>
          </w:p>
        </w:tc>
        <w:tc>
          <w:tcPr>
            <w:tcW w:w="608" w:type="pct"/>
          </w:tcPr>
          <w:p w14:paraId="38CFB449"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Care leavers used internal conversations to negotiate constraints, self-protection and identity during transition, helping explain self-reliance and guarded engagement with support.</w:t>
            </w:r>
          </w:p>
        </w:tc>
        <w:tc>
          <w:tcPr>
            <w:tcW w:w="1130" w:type="pct"/>
          </w:tcPr>
          <w:p w14:paraId="13441868"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self-reliance, reflexivity, internal conversations, transition, guardedness, Theme 1</w:t>
            </w:r>
          </w:p>
        </w:tc>
        <w:tc>
          <w:tcPr>
            <w:tcW w:w="459" w:type="pct"/>
          </w:tcPr>
          <w:p w14:paraId="366916FD"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Useful for explaining why support may be needed but still not easily accepted or accessed. Good supporting source for Theme 1.  </w:t>
            </w:r>
          </w:p>
        </w:tc>
      </w:tr>
      <w:tr w:rsidR="00E216EB" w:rsidRPr="006041DD" w14:paraId="007E05CB" w14:textId="77777777" w:rsidTr="005A417F">
        <w:trPr>
          <w:trHeight w:val="610"/>
        </w:trPr>
        <w:tc>
          <w:tcPr>
            <w:tcW w:w="414" w:type="pct"/>
          </w:tcPr>
          <w:p w14:paraId="3A3637FD"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Appleton, Hung and Barratt (2021)</w:t>
            </w:r>
          </w:p>
        </w:tc>
        <w:tc>
          <w:tcPr>
            <w:tcW w:w="605" w:type="pct"/>
          </w:tcPr>
          <w:p w14:paraId="4D0EACC4"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Internal conversations, self-reliance and social support in emerging adults transitioning from out-of-home care: An interpretative phenomenological study</w:t>
            </w:r>
          </w:p>
        </w:tc>
        <w:tc>
          <w:tcPr>
            <w:tcW w:w="427" w:type="pct"/>
          </w:tcPr>
          <w:p w14:paraId="4706BC76"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Qualitative study</w:t>
            </w:r>
          </w:p>
        </w:tc>
        <w:tc>
          <w:tcPr>
            <w:tcW w:w="612" w:type="pct"/>
          </w:tcPr>
          <w:p w14:paraId="6878CBDD"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Interpretative phenomenological study with 4 self-reliant young adults transitioning from care, each with a history of maltreatment and multiple adversities.</w:t>
            </w:r>
          </w:p>
        </w:tc>
        <w:tc>
          <w:tcPr>
            <w:tcW w:w="745" w:type="pct"/>
          </w:tcPr>
          <w:p w14:paraId="7D31C4AF" w14:textId="77777777" w:rsidR="006041DD" w:rsidRPr="006041DD" w:rsidRDefault="006041DD" w:rsidP="006041DD">
            <w:pPr>
              <w:spacing w:line="240" w:lineRule="auto"/>
              <w:jc w:val="left"/>
              <w:rPr>
                <w:rFonts w:ascii="Arial" w:eastAsiaTheme="minorEastAsia" w:hAnsi="Arial" w:cs="Arial"/>
                <w:sz w:val="16"/>
                <w:szCs w:val="16"/>
              </w:rPr>
            </w:pPr>
            <w:r w:rsidRPr="006041DD">
              <w:rPr>
                <w:rFonts w:ascii="Arial" w:eastAsiaTheme="minorEastAsia" w:hAnsi="Arial" w:cs="Arial"/>
                <w:sz w:val="16"/>
                <w:szCs w:val="16"/>
              </w:rPr>
              <w:t>Strong depth; useful for Theme 3 on relational support and self-reliance</w:t>
            </w:r>
          </w:p>
          <w:p w14:paraId="795360E3" w14:textId="77777777" w:rsidR="006041DD" w:rsidRPr="006041DD" w:rsidRDefault="006041DD" w:rsidP="006041DD">
            <w:pPr>
              <w:spacing w:line="240" w:lineRule="auto"/>
              <w:jc w:val="left"/>
              <w:rPr>
                <w:rFonts w:ascii="Arial" w:eastAsiaTheme="minorEastAsia" w:hAnsi="Arial" w:cs="Arial"/>
                <w:sz w:val="16"/>
                <w:szCs w:val="16"/>
              </w:rPr>
            </w:pPr>
            <w:r w:rsidRPr="006041DD">
              <w:rPr>
                <w:rFonts w:ascii="Arial" w:eastAsiaTheme="minorEastAsia" w:hAnsi="Arial" w:cs="Arial"/>
                <w:sz w:val="16"/>
                <w:szCs w:val="16"/>
              </w:rPr>
              <w:t>Very small sample; highly interpretive; may represent a specific subgroup rather than all care leavers.</w:t>
            </w:r>
          </w:p>
        </w:tc>
        <w:tc>
          <w:tcPr>
            <w:tcW w:w="608" w:type="pct"/>
          </w:tcPr>
          <w:p w14:paraId="0EB8D34A"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Participants emphasised self-reliance but also revealed the importance of social support and relationships in negotiating transition from care.</w:t>
            </w:r>
          </w:p>
        </w:tc>
        <w:tc>
          <w:tcPr>
            <w:tcW w:w="1130" w:type="pct"/>
          </w:tcPr>
          <w:p w14:paraId="638E63DF"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self-reliance, social support, relationships, emerging adulthood, Theme 3</w:t>
            </w:r>
          </w:p>
        </w:tc>
        <w:tc>
          <w:tcPr>
            <w:tcW w:w="459" w:type="pct"/>
          </w:tcPr>
          <w:p w14:paraId="689A3F5F"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Best used to support the argument that relational support matters even where young people appear highly self-reliant.  </w:t>
            </w:r>
          </w:p>
        </w:tc>
      </w:tr>
      <w:tr w:rsidR="00E216EB" w:rsidRPr="006041DD" w14:paraId="4F190F01" w14:textId="77777777" w:rsidTr="005A417F">
        <w:trPr>
          <w:trHeight w:val="610"/>
        </w:trPr>
        <w:tc>
          <w:tcPr>
            <w:tcW w:w="414" w:type="pct"/>
          </w:tcPr>
          <w:p w14:paraId="7DB0EDE5"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Wright et al. (2020)</w:t>
            </w:r>
          </w:p>
        </w:tc>
        <w:tc>
          <w:tcPr>
            <w:tcW w:w="605" w:type="pct"/>
          </w:tcPr>
          <w:p w14:paraId="07A37065"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A large population-based study of the mental health and wellbeing of children and young people in the North of England</w:t>
            </w:r>
          </w:p>
        </w:tc>
        <w:tc>
          <w:tcPr>
            <w:tcW w:w="427" w:type="pct"/>
          </w:tcPr>
          <w:p w14:paraId="241B777C"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Cohort cross-sectional study</w:t>
            </w:r>
          </w:p>
        </w:tc>
        <w:tc>
          <w:tcPr>
            <w:tcW w:w="612" w:type="pct"/>
          </w:tcPr>
          <w:p w14:paraId="4CC38AA4"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Questionnaire-based cohort cross-sectional study; 6,328 questionnaires returned from 21 secondary schools in two large regions in the North of England.</w:t>
            </w:r>
          </w:p>
        </w:tc>
        <w:tc>
          <w:tcPr>
            <w:tcW w:w="745" w:type="pct"/>
          </w:tcPr>
          <w:p w14:paraId="04AA9112"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Large regional sample; highly useful for Northern context; strong for contextualising inequality</w:t>
            </w:r>
          </w:p>
          <w:p w14:paraId="1E8C0AB3"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Not care-leaver-specific; school-based sample only; cannot directly infer care-leaver outcomes.</w:t>
            </w:r>
          </w:p>
        </w:tc>
        <w:tc>
          <w:tcPr>
            <w:tcW w:w="608" w:type="pct"/>
          </w:tcPr>
          <w:p w14:paraId="7D83407A"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The study found substantial mental health and wellbeing need among children and young people in the North of England, including one in ten scoring very high for total difficulties.</w:t>
            </w:r>
          </w:p>
        </w:tc>
        <w:tc>
          <w:tcPr>
            <w:tcW w:w="1130" w:type="pct"/>
          </w:tcPr>
          <w:p w14:paraId="2F4D8527"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North of England, wellbeing, inequalities, school-aged pupils, regional context, Theme 1</w:t>
            </w:r>
          </w:p>
        </w:tc>
        <w:tc>
          <w:tcPr>
            <w:tcW w:w="459" w:type="pct"/>
          </w:tcPr>
          <w:p w14:paraId="4BF9F42C"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Strong contextual source for Northern England. Best used to support the wider regional inequality argument in Theme 1.  </w:t>
            </w:r>
          </w:p>
        </w:tc>
      </w:tr>
      <w:tr w:rsidR="00E216EB" w:rsidRPr="006041DD" w14:paraId="1489BA21" w14:textId="77777777" w:rsidTr="005A417F">
        <w:trPr>
          <w:trHeight w:val="610"/>
        </w:trPr>
        <w:tc>
          <w:tcPr>
            <w:tcW w:w="414" w:type="pct"/>
          </w:tcPr>
          <w:p w14:paraId="0F617D19" w14:textId="77777777" w:rsidR="006041DD" w:rsidRPr="006041DD" w:rsidRDefault="006041DD" w:rsidP="006041DD">
            <w:pPr>
              <w:spacing w:line="240" w:lineRule="auto"/>
              <w:jc w:val="left"/>
              <w:rPr>
                <w:rFonts w:ascii="Arial" w:eastAsiaTheme="minorEastAsia" w:hAnsi="Arial" w:cs="Arial"/>
                <w:sz w:val="16"/>
                <w:szCs w:val="16"/>
              </w:rPr>
            </w:pPr>
            <w:r w:rsidRPr="006041DD">
              <w:rPr>
                <w:rFonts w:ascii="Arial" w:eastAsiaTheme="minorEastAsia" w:hAnsi="Arial" w:cs="Arial"/>
                <w:sz w:val="16"/>
                <w:szCs w:val="16"/>
              </w:rPr>
              <w:t>Fairbrother et al. (2024)</w:t>
            </w:r>
          </w:p>
          <w:p w14:paraId="2A08D27E"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605" w:type="pct"/>
          </w:tcPr>
          <w:p w14:paraId="2F7FFE45"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“It depends on where you were born…here in the </w:t>
            </w:r>
            <w:proofErr w:type="gramStart"/>
            <w:r w:rsidRPr="006041DD">
              <w:rPr>
                <w:rFonts w:ascii="Arial" w:eastAsiaTheme="minorEastAsia" w:hAnsi="Arial" w:cs="Arial"/>
                <w:kern w:val="2"/>
                <w:sz w:val="16"/>
                <w:szCs w:val="16"/>
                <w:lang w:eastAsia="zh-CN"/>
                <w14:ligatures w14:val="standardContextual"/>
              </w:rPr>
              <w:t>North East</w:t>
            </w:r>
            <w:proofErr w:type="gramEnd"/>
            <w:r w:rsidRPr="006041DD">
              <w:rPr>
                <w:rFonts w:ascii="Arial" w:eastAsiaTheme="minorEastAsia" w:hAnsi="Arial" w:cs="Arial"/>
                <w:kern w:val="2"/>
                <w:sz w:val="16"/>
                <w:szCs w:val="16"/>
                <w:lang w:eastAsia="zh-CN"/>
                <w14:ligatures w14:val="standardContextual"/>
              </w:rPr>
              <w:t xml:space="preserve">, there’s not really many job opportunities compared to in the South”: </w:t>
            </w:r>
            <w:r w:rsidRPr="006041DD">
              <w:rPr>
                <w:rFonts w:ascii="Arial" w:eastAsiaTheme="minorEastAsia" w:hAnsi="Arial" w:cs="Arial"/>
                <w:kern w:val="2"/>
                <w:sz w:val="16"/>
                <w:szCs w:val="16"/>
                <w:lang w:eastAsia="zh-CN"/>
                <w14:ligatures w14:val="standardContextual"/>
              </w:rPr>
              <w:lastRenderedPageBreak/>
              <w:t>Young people’s perspectives on a North-South health divide and its drivers in England, UK</w:t>
            </w:r>
          </w:p>
        </w:tc>
        <w:tc>
          <w:tcPr>
            <w:tcW w:w="427" w:type="pct"/>
          </w:tcPr>
          <w:p w14:paraId="5C4A7661"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lastRenderedPageBreak/>
              <w:t>Qualitative study</w:t>
            </w:r>
          </w:p>
        </w:tc>
        <w:tc>
          <w:tcPr>
            <w:tcW w:w="612" w:type="pct"/>
          </w:tcPr>
          <w:p w14:paraId="2FAC54DC"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18 focus group discussions with 42 young people aged 13–21, recruited from 6 youth organisations in England.</w:t>
            </w:r>
          </w:p>
        </w:tc>
        <w:tc>
          <w:tcPr>
            <w:tcW w:w="745" w:type="pct"/>
          </w:tcPr>
          <w:p w14:paraId="01404BCD"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 Strong lived-experience evidence on regional inequality; includes </w:t>
            </w:r>
            <w:proofErr w:type="gramStart"/>
            <w:r w:rsidRPr="006041DD">
              <w:rPr>
                <w:rFonts w:ascii="Arial" w:eastAsiaTheme="minorEastAsia" w:hAnsi="Arial" w:cs="Arial"/>
                <w:kern w:val="2"/>
                <w:sz w:val="16"/>
                <w:szCs w:val="16"/>
                <w:lang w:eastAsia="zh-CN"/>
                <w14:ligatures w14:val="standardContextual"/>
              </w:rPr>
              <w:t>North East</w:t>
            </w:r>
            <w:proofErr w:type="gramEnd"/>
            <w:r w:rsidRPr="006041DD">
              <w:rPr>
                <w:rFonts w:ascii="Arial" w:eastAsiaTheme="minorEastAsia" w:hAnsi="Arial" w:cs="Arial"/>
                <w:kern w:val="2"/>
                <w:sz w:val="16"/>
                <w:szCs w:val="16"/>
                <w:lang w:eastAsia="zh-CN"/>
                <w14:ligatures w14:val="standardContextual"/>
              </w:rPr>
              <w:t xml:space="preserve"> perspective; useful for </w:t>
            </w:r>
            <w:r w:rsidRPr="006041DD">
              <w:rPr>
                <w:rFonts w:ascii="Arial" w:eastAsiaTheme="minorEastAsia" w:hAnsi="Arial" w:cs="Arial"/>
                <w:kern w:val="2"/>
                <w:sz w:val="16"/>
                <w:szCs w:val="16"/>
                <w:lang w:eastAsia="zh-CN"/>
                <w14:ligatures w14:val="standardContextual"/>
              </w:rPr>
              <w:lastRenderedPageBreak/>
              <w:t>contextual analysis.</w:t>
            </w:r>
          </w:p>
          <w:p w14:paraId="1AA89CB7"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Not care-leaver-specific; broader youth sample; qualitative findings not statistically generalisable.</w:t>
            </w:r>
          </w:p>
        </w:tc>
        <w:tc>
          <w:tcPr>
            <w:tcW w:w="608" w:type="pct"/>
          </w:tcPr>
          <w:p w14:paraId="5190D686"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lastRenderedPageBreak/>
              <w:t xml:space="preserve">Young people clearly identified a North–South divide and linked regional inequality to poorer opportunities, everyday living </w:t>
            </w:r>
            <w:r w:rsidRPr="006041DD">
              <w:rPr>
                <w:rFonts w:ascii="Arial" w:eastAsiaTheme="minorEastAsia" w:hAnsi="Arial" w:cs="Arial"/>
                <w:kern w:val="2"/>
                <w:sz w:val="16"/>
                <w:szCs w:val="16"/>
                <w:lang w:eastAsia="zh-CN"/>
                <w14:ligatures w14:val="standardContextual"/>
              </w:rPr>
              <w:lastRenderedPageBreak/>
              <w:t>conditions, stress and health outcomes.</w:t>
            </w:r>
          </w:p>
        </w:tc>
        <w:tc>
          <w:tcPr>
            <w:tcW w:w="1130" w:type="pct"/>
          </w:tcPr>
          <w:p w14:paraId="3C82A0F1"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lastRenderedPageBreak/>
              <w:t xml:space="preserve">North-South divide, </w:t>
            </w:r>
            <w:proofErr w:type="gramStart"/>
            <w:r w:rsidRPr="006041DD">
              <w:rPr>
                <w:rFonts w:ascii="Arial" w:eastAsiaTheme="minorEastAsia" w:hAnsi="Arial" w:cs="Arial"/>
                <w:kern w:val="2"/>
                <w:sz w:val="16"/>
                <w:szCs w:val="16"/>
                <w:lang w:eastAsia="zh-CN"/>
                <w14:ligatures w14:val="standardContextual"/>
              </w:rPr>
              <w:t>North East</w:t>
            </w:r>
            <w:proofErr w:type="gramEnd"/>
            <w:r w:rsidRPr="006041DD">
              <w:rPr>
                <w:rFonts w:ascii="Arial" w:eastAsiaTheme="minorEastAsia" w:hAnsi="Arial" w:cs="Arial"/>
                <w:kern w:val="2"/>
                <w:sz w:val="16"/>
                <w:szCs w:val="16"/>
                <w:lang w:eastAsia="zh-CN"/>
                <w14:ligatures w14:val="standardContextual"/>
              </w:rPr>
              <w:t>, regional inequality, opportunity, wellbeing, Theme 1, Theme 2</w:t>
            </w:r>
          </w:p>
        </w:tc>
        <w:tc>
          <w:tcPr>
            <w:tcW w:w="459" w:type="pct"/>
          </w:tcPr>
          <w:p w14:paraId="7A652001"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r w:rsidRPr="006041DD">
              <w:rPr>
                <w:rFonts w:ascii="Arial" w:eastAsiaTheme="minorEastAsia" w:hAnsi="Arial" w:cs="Arial"/>
                <w:kern w:val="2"/>
                <w:sz w:val="16"/>
                <w:szCs w:val="16"/>
                <w:lang w:eastAsia="zh-CN"/>
                <w14:ligatures w14:val="standardContextual"/>
              </w:rPr>
              <w:t xml:space="preserve">Strong supporting source for the Northern England context. Useful to show that inequality </w:t>
            </w:r>
            <w:r w:rsidRPr="006041DD">
              <w:rPr>
                <w:rFonts w:ascii="Arial" w:eastAsiaTheme="minorEastAsia" w:hAnsi="Arial" w:cs="Arial"/>
                <w:kern w:val="2"/>
                <w:sz w:val="16"/>
                <w:szCs w:val="16"/>
                <w:lang w:eastAsia="zh-CN"/>
                <w14:ligatures w14:val="standardContextual"/>
              </w:rPr>
              <w:lastRenderedPageBreak/>
              <w:t xml:space="preserve">is experienced as lived reality, not only captured in statistics.  </w:t>
            </w:r>
          </w:p>
        </w:tc>
      </w:tr>
      <w:tr w:rsidR="00E216EB" w:rsidRPr="006041DD" w14:paraId="5A045686" w14:textId="77777777" w:rsidTr="005A417F">
        <w:trPr>
          <w:trHeight w:val="610"/>
        </w:trPr>
        <w:tc>
          <w:tcPr>
            <w:tcW w:w="414" w:type="pct"/>
          </w:tcPr>
          <w:p w14:paraId="02B64FE5"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605" w:type="pct"/>
          </w:tcPr>
          <w:p w14:paraId="2723B7BE"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427" w:type="pct"/>
          </w:tcPr>
          <w:p w14:paraId="204CCCAB"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612" w:type="pct"/>
          </w:tcPr>
          <w:p w14:paraId="3D548208"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745" w:type="pct"/>
          </w:tcPr>
          <w:p w14:paraId="6E0D3270"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608" w:type="pct"/>
          </w:tcPr>
          <w:p w14:paraId="0B54E21C"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1130" w:type="pct"/>
          </w:tcPr>
          <w:p w14:paraId="5273038B"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c>
          <w:tcPr>
            <w:tcW w:w="459" w:type="pct"/>
          </w:tcPr>
          <w:p w14:paraId="215BCE41" w14:textId="77777777" w:rsidR="006041DD" w:rsidRPr="006041DD" w:rsidRDefault="006041DD" w:rsidP="006041DD">
            <w:pPr>
              <w:spacing w:line="240" w:lineRule="auto"/>
              <w:jc w:val="left"/>
              <w:rPr>
                <w:rFonts w:ascii="Arial" w:eastAsiaTheme="minorEastAsia" w:hAnsi="Arial" w:cs="Arial"/>
                <w:kern w:val="2"/>
                <w:sz w:val="16"/>
                <w:szCs w:val="16"/>
                <w:lang w:eastAsia="zh-CN"/>
                <w14:ligatures w14:val="standardContextual"/>
              </w:rPr>
            </w:pPr>
          </w:p>
        </w:tc>
      </w:tr>
    </w:tbl>
    <w:p w14:paraId="5DA0FD87" w14:textId="77777777" w:rsidR="008C38C3" w:rsidRPr="00DA1464" w:rsidRDefault="008C38C3" w:rsidP="00DA1464">
      <w:pPr>
        <w:rPr>
          <w:rFonts w:ascii="Arial" w:hAnsi="Arial" w:cs="Arial"/>
        </w:rPr>
      </w:pPr>
    </w:p>
    <w:p w14:paraId="6ED1B63A" w14:textId="77777777" w:rsidR="000264A2" w:rsidRPr="00DA1464" w:rsidRDefault="000264A2" w:rsidP="00DA1464">
      <w:pPr>
        <w:rPr>
          <w:rFonts w:ascii="Arial" w:hAnsi="Arial" w:cs="Arial"/>
        </w:rPr>
      </w:pPr>
    </w:p>
    <w:p w14:paraId="01E01220" w14:textId="77777777" w:rsidR="008C38C3" w:rsidRPr="00DA1464" w:rsidRDefault="008C38C3" w:rsidP="00DA1464">
      <w:pPr>
        <w:rPr>
          <w:rFonts w:ascii="Arial" w:hAnsi="Arial" w:cs="Arial"/>
        </w:rPr>
      </w:pPr>
    </w:p>
    <w:p w14:paraId="70C7CA0C" w14:textId="77777777" w:rsidR="008C38C3" w:rsidRPr="00DA1464" w:rsidRDefault="008C38C3" w:rsidP="00DA1464">
      <w:pPr>
        <w:rPr>
          <w:rFonts w:ascii="Arial" w:hAnsi="Arial" w:cs="Arial"/>
        </w:rPr>
      </w:pPr>
    </w:p>
    <w:sectPr w:rsidR="008C38C3" w:rsidRPr="00DA14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0FAAB" w14:textId="77777777" w:rsidR="00363F18" w:rsidRDefault="00363F18" w:rsidP="00211184">
      <w:pPr>
        <w:spacing w:after="0" w:line="240" w:lineRule="auto"/>
      </w:pPr>
      <w:r>
        <w:separator/>
      </w:r>
    </w:p>
  </w:endnote>
  <w:endnote w:type="continuationSeparator" w:id="0">
    <w:p w14:paraId="1F0295E0" w14:textId="77777777" w:rsidR="00363F18" w:rsidRDefault="00363F18"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Emoji">
    <w:panose1 w:val="020B0502040204020203"/>
    <w:charset w:val="00"/>
    <w:family w:val="swiss"/>
    <w:pitch w:val="variable"/>
    <w:sig w:usb0="00000003" w:usb1="02000000" w:usb2="08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01676" w14:textId="77777777" w:rsidR="00363F18" w:rsidRDefault="00363F18" w:rsidP="00211184">
      <w:pPr>
        <w:spacing w:after="0" w:line="240" w:lineRule="auto"/>
      </w:pPr>
      <w:r>
        <w:separator/>
      </w:r>
    </w:p>
  </w:footnote>
  <w:footnote w:type="continuationSeparator" w:id="0">
    <w:p w14:paraId="69557D48" w14:textId="77777777" w:rsidR="00363F18" w:rsidRDefault="00363F18"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EFA640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1"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3"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8"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0"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8"/>
  </w:num>
  <w:num w:numId="2" w16cid:durableId="1500121260">
    <w:abstractNumId w:val="56"/>
  </w:num>
  <w:num w:numId="3" w16cid:durableId="438111508">
    <w:abstractNumId w:val="91"/>
  </w:num>
  <w:num w:numId="4" w16cid:durableId="106121269">
    <w:abstractNumId w:val="17"/>
  </w:num>
  <w:num w:numId="5" w16cid:durableId="1859468656">
    <w:abstractNumId w:val="104"/>
  </w:num>
  <w:num w:numId="6" w16cid:durableId="407923627">
    <w:abstractNumId w:val="102"/>
  </w:num>
  <w:num w:numId="7" w16cid:durableId="1173763238">
    <w:abstractNumId w:val="68"/>
  </w:num>
  <w:num w:numId="8" w16cid:durableId="515197422">
    <w:abstractNumId w:val="48"/>
  </w:num>
  <w:num w:numId="9" w16cid:durableId="650984044">
    <w:abstractNumId w:val="13"/>
  </w:num>
  <w:num w:numId="10" w16cid:durableId="676225712">
    <w:abstractNumId w:val="94"/>
  </w:num>
  <w:num w:numId="11" w16cid:durableId="654647421">
    <w:abstractNumId w:val="67"/>
  </w:num>
  <w:num w:numId="12" w16cid:durableId="972827862">
    <w:abstractNumId w:val="70"/>
  </w:num>
  <w:num w:numId="13" w16cid:durableId="73359902">
    <w:abstractNumId w:val="46"/>
  </w:num>
  <w:num w:numId="14" w16cid:durableId="1233615214">
    <w:abstractNumId w:val="10"/>
  </w:num>
  <w:num w:numId="15" w16cid:durableId="1037585576">
    <w:abstractNumId w:val="100"/>
  </w:num>
  <w:num w:numId="16" w16cid:durableId="1454127918">
    <w:abstractNumId w:val="84"/>
  </w:num>
  <w:num w:numId="17" w16cid:durableId="1655717882">
    <w:abstractNumId w:val="31"/>
  </w:num>
  <w:num w:numId="18" w16cid:durableId="679818721">
    <w:abstractNumId w:val="7"/>
  </w:num>
  <w:num w:numId="19" w16cid:durableId="820851363">
    <w:abstractNumId w:val="2"/>
  </w:num>
  <w:num w:numId="20" w16cid:durableId="1752123437">
    <w:abstractNumId w:val="60"/>
  </w:num>
  <w:num w:numId="21" w16cid:durableId="776406381">
    <w:abstractNumId w:val="9"/>
  </w:num>
  <w:num w:numId="22" w16cid:durableId="2003772795">
    <w:abstractNumId w:val="105"/>
  </w:num>
  <w:num w:numId="23" w16cid:durableId="471214588">
    <w:abstractNumId w:val="8"/>
  </w:num>
  <w:num w:numId="24" w16cid:durableId="747188340">
    <w:abstractNumId w:val="90"/>
  </w:num>
  <w:num w:numId="25" w16cid:durableId="1617635105">
    <w:abstractNumId w:val="20"/>
  </w:num>
  <w:num w:numId="26" w16cid:durableId="1919750537">
    <w:abstractNumId w:val="96"/>
  </w:num>
  <w:num w:numId="27" w16cid:durableId="1917666381">
    <w:abstractNumId w:val="4"/>
  </w:num>
  <w:num w:numId="28" w16cid:durableId="836925604">
    <w:abstractNumId w:val="83"/>
  </w:num>
  <w:num w:numId="29" w16cid:durableId="881479433">
    <w:abstractNumId w:val="71"/>
  </w:num>
  <w:num w:numId="30" w16cid:durableId="164788852">
    <w:abstractNumId w:val="75"/>
  </w:num>
  <w:num w:numId="31" w16cid:durableId="735323509">
    <w:abstractNumId w:val="15"/>
  </w:num>
  <w:num w:numId="32" w16cid:durableId="1000431254">
    <w:abstractNumId w:val="45"/>
  </w:num>
  <w:num w:numId="33" w16cid:durableId="434404662">
    <w:abstractNumId w:val="23"/>
  </w:num>
  <w:num w:numId="34" w16cid:durableId="792409853">
    <w:abstractNumId w:val="54"/>
  </w:num>
  <w:num w:numId="35" w16cid:durableId="70469880">
    <w:abstractNumId w:val="58"/>
  </w:num>
  <w:num w:numId="36" w16cid:durableId="1255548974">
    <w:abstractNumId w:val="51"/>
  </w:num>
  <w:num w:numId="37" w16cid:durableId="509951972">
    <w:abstractNumId w:val="38"/>
  </w:num>
  <w:num w:numId="38" w16cid:durableId="1491873496">
    <w:abstractNumId w:val="63"/>
  </w:num>
  <w:num w:numId="39" w16cid:durableId="1277179892">
    <w:abstractNumId w:val="74"/>
  </w:num>
  <w:num w:numId="40" w16cid:durableId="1137721610">
    <w:abstractNumId w:val="59"/>
  </w:num>
  <w:num w:numId="41" w16cid:durableId="1569337486">
    <w:abstractNumId w:val="106"/>
  </w:num>
  <w:num w:numId="42" w16cid:durableId="1771851078">
    <w:abstractNumId w:val="5"/>
  </w:num>
  <w:num w:numId="43" w16cid:durableId="1096747610">
    <w:abstractNumId w:val="22"/>
  </w:num>
  <w:num w:numId="44" w16cid:durableId="1853105471">
    <w:abstractNumId w:val="85"/>
  </w:num>
  <w:num w:numId="45" w16cid:durableId="2016615092">
    <w:abstractNumId w:val="55"/>
  </w:num>
  <w:num w:numId="46" w16cid:durableId="439030946">
    <w:abstractNumId w:val="72"/>
  </w:num>
  <w:num w:numId="47" w16cid:durableId="315690756">
    <w:abstractNumId w:val="39"/>
  </w:num>
  <w:num w:numId="48" w16cid:durableId="1252278660">
    <w:abstractNumId w:val="12"/>
  </w:num>
  <w:num w:numId="49" w16cid:durableId="1719351677">
    <w:abstractNumId w:val="78"/>
  </w:num>
  <w:num w:numId="50" w16cid:durableId="1107427397">
    <w:abstractNumId w:val="25"/>
  </w:num>
  <w:num w:numId="51" w16cid:durableId="371266753">
    <w:abstractNumId w:val="73"/>
  </w:num>
  <w:num w:numId="52" w16cid:durableId="491869272">
    <w:abstractNumId w:val="30"/>
  </w:num>
  <w:num w:numId="53" w16cid:durableId="1351251430">
    <w:abstractNumId w:val="76"/>
  </w:num>
  <w:num w:numId="54" w16cid:durableId="1368607436">
    <w:abstractNumId w:val="97"/>
  </w:num>
  <w:num w:numId="55" w16cid:durableId="1588029100">
    <w:abstractNumId w:val="103"/>
  </w:num>
  <w:num w:numId="56" w16cid:durableId="415832180">
    <w:abstractNumId w:val="92"/>
  </w:num>
  <w:num w:numId="57" w16cid:durableId="1178735139">
    <w:abstractNumId w:val="47"/>
  </w:num>
  <w:num w:numId="58" w16cid:durableId="721834200">
    <w:abstractNumId w:val="57"/>
  </w:num>
  <w:num w:numId="59" w16cid:durableId="686251813">
    <w:abstractNumId w:val="1"/>
  </w:num>
  <w:num w:numId="60" w16cid:durableId="1960641414">
    <w:abstractNumId w:val="14"/>
  </w:num>
  <w:num w:numId="61" w16cid:durableId="39089564">
    <w:abstractNumId w:val="50"/>
  </w:num>
  <w:num w:numId="62" w16cid:durableId="1192718157">
    <w:abstractNumId w:val="21"/>
  </w:num>
  <w:num w:numId="63" w16cid:durableId="1777825955">
    <w:abstractNumId w:val="79"/>
  </w:num>
  <w:num w:numId="64" w16cid:durableId="286199487">
    <w:abstractNumId w:val="27"/>
  </w:num>
  <w:num w:numId="65" w16cid:durableId="1119490663">
    <w:abstractNumId w:val="62"/>
  </w:num>
  <w:num w:numId="66" w16cid:durableId="1353922786">
    <w:abstractNumId w:val="34"/>
  </w:num>
  <w:num w:numId="67" w16cid:durableId="492723980">
    <w:abstractNumId w:val="66"/>
  </w:num>
  <w:num w:numId="68" w16cid:durableId="526941613">
    <w:abstractNumId w:val="36"/>
  </w:num>
  <w:num w:numId="69" w16cid:durableId="320043301">
    <w:abstractNumId w:val="64"/>
  </w:num>
  <w:num w:numId="70" w16cid:durableId="2037610982">
    <w:abstractNumId w:val="6"/>
  </w:num>
  <w:num w:numId="71" w16cid:durableId="1079794559">
    <w:abstractNumId w:val="42"/>
  </w:num>
  <w:num w:numId="72" w16cid:durableId="503403534">
    <w:abstractNumId w:val="37"/>
  </w:num>
  <w:num w:numId="73" w16cid:durableId="194734275">
    <w:abstractNumId w:val="11"/>
  </w:num>
  <w:num w:numId="74" w16cid:durableId="424033359">
    <w:abstractNumId w:val="49"/>
  </w:num>
  <w:num w:numId="75" w16cid:durableId="1335066293">
    <w:abstractNumId w:val="87"/>
  </w:num>
  <w:num w:numId="76" w16cid:durableId="662587085">
    <w:abstractNumId w:val="40"/>
  </w:num>
  <w:num w:numId="77" w16cid:durableId="2071072074">
    <w:abstractNumId w:val="82"/>
  </w:num>
  <w:num w:numId="78" w16cid:durableId="1573662111">
    <w:abstractNumId w:val="99"/>
  </w:num>
  <w:num w:numId="79" w16cid:durableId="131678057">
    <w:abstractNumId w:val="93"/>
  </w:num>
  <w:num w:numId="80" w16cid:durableId="99565733">
    <w:abstractNumId w:val="29"/>
  </w:num>
  <w:num w:numId="81" w16cid:durableId="1810784339">
    <w:abstractNumId w:val="69"/>
  </w:num>
  <w:num w:numId="82" w16cid:durableId="1491748033">
    <w:abstractNumId w:val="81"/>
  </w:num>
  <w:num w:numId="83" w16cid:durableId="670565925">
    <w:abstractNumId w:val="19"/>
  </w:num>
  <w:num w:numId="84" w16cid:durableId="211696971">
    <w:abstractNumId w:val="28"/>
  </w:num>
  <w:num w:numId="85" w16cid:durableId="1773429901">
    <w:abstractNumId w:val="44"/>
  </w:num>
  <w:num w:numId="86" w16cid:durableId="804733676">
    <w:abstractNumId w:val="32"/>
  </w:num>
  <w:num w:numId="87" w16cid:durableId="488864096">
    <w:abstractNumId w:val="88"/>
  </w:num>
  <w:num w:numId="88" w16cid:durableId="1599749197">
    <w:abstractNumId w:val="43"/>
  </w:num>
  <w:num w:numId="89" w16cid:durableId="1726679607">
    <w:abstractNumId w:val="24"/>
  </w:num>
  <w:num w:numId="90" w16cid:durableId="1630209448">
    <w:abstractNumId w:val="52"/>
  </w:num>
  <w:num w:numId="91" w16cid:durableId="928663234">
    <w:abstractNumId w:val="65"/>
  </w:num>
  <w:num w:numId="92" w16cid:durableId="2017072952">
    <w:abstractNumId w:val="77"/>
  </w:num>
  <w:num w:numId="93" w16cid:durableId="58405484">
    <w:abstractNumId w:val="33"/>
  </w:num>
  <w:num w:numId="94" w16cid:durableId="1817530714">
    <w:abstractNumId w:val="16"/>
  </w:num>
  <w:num w:numId="95" w16cid:durableId="2141336387">
    <w:abstractNumId w:val="61"/>
  </w:num>
  <w:num w:numId="96" w16cid:durableId="1325282792">
    <w:abstractNumId w:val="3"/>
  </w:num>
  <w:num w:numId="97" w16cid:durableId="1319654748">
    <w:abstractNumId w:val="80"/>
  </w:num>
  <w:num w:numId="98" w16cid:durableId="556555801">
    <w:abstractNumId w:val="0"/>
  </w:num>
  <w:num w:numId="99" w16cid:durableId="1903828627">
    <w:abstractNumId w:val="18"/>
  </w:num>
  <w:num w:numId="100" w16cid:durableId="281425930">
    <w:abstractNumId w:val="53"/>
  </w:num>
  <w:num w:numId="101" w16cid:durableId="1491553762">
    <w:abstractNumId w:val="41"/>
  </w:num>
  <w:num w:numId="102" w16cid:durableId="965625632">
    <w:abstractNumId w:val="86"/>
  </w:num>
  <w:num w:numId="103" w16cid:durableId="1481145624">
    <w:abstractNumId w:val="107"/>
  </w:num>
  <w:num w:numId="104" w16cid:durableId="29957555">
    <w:abstractNumId w:val="101"/>
  </w:num>
  <w:num w:numId="105" w16cid:durableId="1042821728">
    <w:abstractNumId w:val="89"/>
  </w:num>
  <w:num w:numId="106" w16cid:durableId="633143735">
    <w:abstractNumId w:val="95"/>
  </w:num>
  <w:num w:numId="107" w16cid:durableId="1100951892">
    <w:abstractNumId w:val="26"/>
  </w:num>
  <w:num w:numId="108" w16cid:durableId="1193881650">
    <w:abstractNumId w:val="35"/>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2706A"/>
    <w:rsid w:val="00035867"/>
    <w:rsid w:val="000400E4"/>
    <w:rsid w:val="000514AD"/>
    <w:rsid w:val="00057D41"/>
    <w:rsid w:val="00063B4C"/>
    <w:rsid w:val="000660A3"/>
    <w:rsid w:val="00084512"/>
    <w:rsid w:val="000974AF"/>
    <w:rsid w:val="000A2E4E"/>
    <w:rsid w:val="000A2EA1"/>
    <w:rsid w:val="000B1799"/>
    <w:rsid w:val="000B5448"/>
    <w:rsid w:val="000D05D8"/>
    <w:rsid w:val="000D0641"/>
    <w:rsid w:val="000D2B00"/>
    <w:rsid w:val="000E53B5"/>
    <w:rsid w:val="000F424E"/>
    <w:rsid w:val="001020D8"/>
    <w:rsid w:val="00112864"/>
    <w:rsid w:val="00116B44"/>
    <w:rsid w:val="00124763"/>
    <w:rsid w:val="00155DA3"/>
    <w:rsid w:val="00156364"/>
    <w:rsid w:val="001601E6"/>
    <w:rsid w:val="00160719"/>
    <w:rsid w:val="00160B53"/>
    <w:rsid w:val="001673DB"/>
    <w:rsid w:val="001731DD"/>
    <w:rsid w:val="001962E2"/>
    <w:rsid w:val="00197958"/>
    <w:rsid w:val="001B39AE"/>
    <w:rsid w:val="001B3F28"/>
    <w:rsid w:val="001B42B1"/>
    <w:rsid w:val="001C113B"/>
    <w:rsid w:val="001C3AF6"/>
    <w:rsid w:val="001C421B"/>
    <w:rsid w:val="001D1485"/>
    <w:rsid w:val="001D1F11"/>
    <w:rsid w:val="001F19A6"/>
    <w:rsid w:val="00202589"/>
    <w:rsid w:val="00211184"/>
    <w:rsid w:val="00212155"/>
    <w:rsid w:val="0021364B"/>
    <w:rsid w:val="00220793"/>
    <w:rsid w:val="00231565"/>
    <w:rsid w:val="00237D43"/>
    <w:rsid w:val="002422F8"/>
    <w:rsid w:val="0025020C"/>
    <w:rsid w:val="00256951"/>
    <w:rsid w:val="002865F5"/>
    <w:rsid w:val="00292A36"/>
    <w:rsid w:val="002959DD"/>
    <w:rsid w:val="002A5FF9"/>
    <w:rsid w:val="002B2DF8"/>
    <w:rsid w:val="002B58E4"/>
    <w:rsid w:val="002D64A3"/>
    <w:rsid w:val="002E50EE"/>
    <w:rsid w:val="002F4715"/>
    <w:rsid w:val="002F5E53"/>
    <w:rsid w:val="00312A5A"/>
    <w:rsid w:val="003135AD"/>
    <w:rsid w:val="00347AAA"/>
    <w:rsid w:val="00352CC0"/>
    <w:rsid w:val="00352D7C"/>
    <w:rsid w:val="00356F06"/>
    <w:rsid w:val="00363F18"/>
    <w:rsid w:val="00370358"/>
    <w:rsid w:val="00372092"/>
    <w:rsid w:val="00393F39"/>
    <w:rsid w:val="003A66FD"/>
    <w:rsid w:val="003B1E32"/>
    <w:rsid w:val="003B3CA2"/>
    <w:rsid w:val="003E0695"/>
    <w:rsid w:val="003F4A09"/>
    <w:rsid w:val="004076E6"/>
    <w:rsid w:val="00410830"/>
    <w:rsid w:val="00410A81"/>
    <w:rsid w:val="00410CB5"/>
    <w:rsid w:val="00417995"/>
    <w:rsid w:val="0042114F"/>
    <w:rsid w:val="00423D52"/>
    <w:rsid w:val="0043086D"/>
    <w:rsid w:val="00433240"/>
    <w:rsid w:val="00435F92"/>
    <w:rsid w:val="0049464B"/>
    <w:rsid w:val="00495E02"/>
    <w:rsid w:val="004D1BFF"/>
    <w:rsid w:val="004D4021"/>
    <w:rsid w:val="004F463F"/>
    <w:rsid w:val="0050028F"/>
    <w:rsid w:val="00502447"/>
    <w:rsid w:val="00503947"/>
    <w:rsid w:val="005119DE"/>
    <w:rsid w:val="005348A1"/>
    <w:rsid w:val="005446BF"/>
    <w:rsid w:val="00545576"/>
    <w:rsid w:val="005478A3"/>
    <w:rsid w:val="00550F76"/>
    <w:rsid w:val="0055147E"/>
    <w:rsid w:val="0055560D"/>
    <w:rsid w:val="005560F2"/>
    <w:rsid w:val="00562EA0"/>
    <w:rsid w:val="00570E3B"/>
    <w:rsid w:val="00577245"/>
    <w:rsid w:val="00586C07"/>
    <w:rsid w:val="005925E9"/>
    <w:rsid w:val="005A3DEE"/>
    <w:rsid w:val="005A417F"/>
    <w:rsid w:val="005A523F"/>
    <w:rsid w:val="005B14E5"/>
    <w:rsid w:val="005B3EDE"/>
    <w:rsid w:val="005B6E67"/>
    <w:rsid w:val="005B7A19"/>
    <w:rsid w:val="005C359A"/>
    <w:rsid w:val="005C5E80"/>
    <w:rsid w:val="005C6312"/>
    <w:rsid w:val="005D0806"/>
    <w:rsid w:val="005D7A1E"/>
    <w:rsid w:val="005D7A8D"/>
    <w:rsid w:val="005E1650"/>
    <w:rsid w:val="005E4303"/>
    <w:rsid w:val="005E7D7E"/>
    <w:rsid w:val="005F6A67"/>
    <w:rsid w:val="005F7F57"/>
    <w:rsid w:val="006041DD"/>
    <w:rsid w:val="00604A87"/>
    <w:rsid w:val="00605598"/>
    <w:rsid w:val="00617F04"/>
    <w:rsid w:val="00621332"/>
    <w:rsid w:val="00621776"/>
    <w:rsid w:val="00621872"/>
    <w:rsid w:val="00632F1A"/>
    <w:rsid w:val="00636D9A"/>
    <w:rsid w:val="006529A1"/>
    <w:rsid w:val="00655CC0"/>
    <w:rsid w:val="00665423"/>
    <w:rsid w:val="006661DB"/>
    <w:rsid w:val="0068398E"/>
    <w:rsid w:val="006934CE"/>
    <w:rsid w:val="006A3F0D"/>
    <w:rsid w:val="006A4515"/>
    <w:rsid w:val="006B1B4D"/>
    <w:rsid w:val="006C78AA"/>
    <w:rsid w:val="006D1E7C"/>
    <w:rsid w:val="006E2193"/>
    <w:rsid w:val="006E3881"/>
    <w:rsid w:val="006E5FFA"/>
    <w:rsid w:val="006F04D4"/>
    <w:rsid w:val="006F4AB2"/>
    <w:rsid w:val="007063BA"/>
    <w:rsid w:val="00706819"/>
    <w:rsid w:val="00706B54"/>
    <w:rsid w:val="00730B2D"/>
    <w:rsid w:val="00730C3C"/>
    <w:rsid w:val="0073280B"/>
    <w:rsid w:val="00750B5B"/>
    <w:rsid w:val="0077163A"/>
    <w:rsid w:val="00780BDC"/>
    <w:rsid w:val="00785752"/>
    <w:rsid w:val="007941AE"/>
    <w:rsid w:val="00796636"/>
    <w:rsid w:val="007A59C8"/>
    <w:rsid w:val="007A712E"/>
    <w:rsid w:val="007B7879"/>
    <w:rsid w:val="007C246B"/>
    <w:rsid w:val="007C63BE"/>
    <w:rsid w:val="007C685B"/>
    <w:rsid w:val="007C6864"/>
    <w:rsid w:val="007E436C"/>
    <w:rsid w:val="007F7847"/>
    <w:rsid w:val="00804B94"/>
    <w:rsid w:val="0080592A"/>
    <w:rsid w:val="008071A2"/>
    <w:rsid w:val="00807B11"/>
    <w:rsid w:val="00827427"/>
    <w:rsid w:val="0082760D"/>
    <w:rsid w:val="00831C81"/>
    <w:rsid w:val="0083322C"/>
    <w:rsid w:val="0084464F"/>
    <w:rsid w:val="00855E04"/>
    <w:rsid w:val="00857EC3"/>
    <w:rsid w:val="00860AC1"/>
    <w:rsid w:val="008626CA"/>
    <w:rsid w:val="00865956"/>
    <w:rsid w:val="008668D9"/>
    <w:rsid w:val="008801DC"/>
    <w:rsid w:val="00880B2D"/>
    <w:rsid w:val="00883AB0"/>
    <w:rsid w:val="00892562"/>
    <w:rsid w:val="0089296C"/>
    <w:rsid w:val="00894108"/>
    <w:rsid w:val="00895460"/>
    <w:rsid w:val="00897EB9"/>
    <w:rsid w:val="008A3C1B"/>
    <w:rsid w:val="008B1DFA"/>
    <w:rsid w:val="008C082D"/>
    <w:rsid w:val="008C2CE9"/>
    <w:rsid w:val="008C38C3"/>
    <w:rsid w:val="008D0D0E"/>
    <w:rsid w:val="008D6F0F"/>
    <w:rsid w:val="008E29E1"/>
    <w:rsid w:val="008E4CD0"/>
    <w:rsid w:val="008E7B2E"/>
    <w:rsid w:val="00900BD3"/>
    <w:rsid w:val="00916814"/>
    <w:rsid w:val="00921F2A"/>
    <w:rsid w:val="00927904"/>
    <w:rsid w:val="009518FB"/>
    <w:rsid w:val="00954BBC"/>
    <w:rsid w:val="00957609"/>
    <w:rsid w:val="00973A6D"/>
    <w:rsid w:val="009835E4"/>
    <w:rsid w:val="00985913"/>
    <w:rsid w:val="00985A01"/>
    <w:rsid w:val="0098669C"/>
    <w:rsid w:val="00995444"/>
    <w:rsid w:val="009A09F5"/>
    <w:rsid w:val="009B0C86"/>
    <w:rsid w:val="009C1363"/>
    <w:rsid w:val="009C7782"/>
    <w:rsid w:val="009D06C5"/>
    <w:rsid w:val="009D534C"/>
    <w:rsid w:val="009D630B"/>
    <w:rsid w:val="009D728C"/>
    <w:rsid w:val="009E5272"/>
    <w:rsid w:val="009E5B14"/>
    <w:rsid w:val="009F0098"/>
    <w:rsid w:val="00A038EA"/>
    <w:rsid w:val="00A2061A"/>
    <w:rsid w:val="00A20C03"/>
    <w:rsid w:val="00A41B81"/>
    <w:rsid w:val="00A45AB6"/>
    <w:rsid w:val="00A90A7A"/>
    <w:rsid w:val="00A93589"/>
    <w:rsid w:val="00A935FD"/>
    <w:rsid w:val="00AA125D"/>
    <w:rsid w:val="00AA437C"/>
    <w:rsid w:val="00AB0708"/>
    <w:rsid w:val="00AB6D78"/>
    <w:rsid w:val="00AB78F0"/>
    <w:rsid w:val="00AB7998"/>
    <w:rsid w:val="00AC0D9E"/>
    <w:rsid w:val="00AC1C62"/>
    <w:rsid w:val="00AC3E33"/>
    <w:rsid w:val="00AF616D"/>
    <w:rsid w:val="00B01396"/>
    <w:rsid w:val="00B05421"/>
    <w:rsid w:val="00B137CD"/>
    <w:rsid w:val="00B20832"/>
    <w:rsid w:val="00B2418B"/>
    <w:rsid w:val="00B26973"/>
    <w:rsid w:val="00B43051"/>
    <w:rsid w:val="00B575E2"/>
    <w:rsid w:val="00B64B6B"/>
    <w:rsid w:val="00B66AF9"/>
    <w:rsid w:val="00B7073C"/>
    <w:rsid w:val="00B729EE"/>
    <w:rsid w:val="00B81F4F"/>
    <w:rsid w:val="00B858A1"/>
    <w:rsid w:val="00B96908"/>
    <w:rsid w:val="00BA674F"/>
    <w:rsid w:val="00BB65AC"/>
    <w:rsid w:val="00BD2909"/>
    <w:rsid w:val="00BE0B47"/>
    <w:rsid w:val="00BE5116"/>
    <w:rsid w:val="00BE614F"/>
    <w:rsid w:val="00BF1B62"/>
    <w:rsid w:val="00BF584B"/>
    <w:rsid w:val="00C04D6E"/>
    <w:rsid w:val="00C17A49"/>
    <w:rsid w:val="00C35F32"/>
    <w:rsid w:val="00C81A53"/>
    <w:rsid w:val="00C91479"/>
    <w:rsid w:val="00CB3AF6"/>
    <w:rsid w:val="00CB3C13"/>
    <w:rsid w:val="00CC0E44"/>
    <w:rsid w:val="00CC5E35"/>
    <w:rsid w:val="00CD4E1D"/>
    <w:rsid w:val="00CD78E4"/>
    <w:rsid w:val="00CE3FD1"/>
    <w:rsid w:val="00CE620E"/>
    <w:rsid w:val="00CF1ED5"/>
    <w:rsid w:val="00D03261"/>
    <w:rsid w:val="00D13A82"/>
    <w:rsid w:val="00D13DB7"/>
    <w:rsid w:val="00D21BFF"/>
    <w:rsid w:val="00D3788A"/>
    <w:rsid w:val="00D40A4E"/>
    <w:rsid w:val="00D53242"/>
    <w:rsid w:val="00D55B5A"/>
    <w:rsid w:val="00D64AD0"/>
    <w:rsid w:val="00D82C1E"/>
    <w:rsid w:val="00D97E83"/>
    <w:rsid w:val="00DA114A"/>
    <w:rsid w:val="00DA1464"/>
    <w:rsid w:val="00DB691F"/>
    <w:rsid w:val="00DB71AC"/>
    <w:rsid w:val="00DC00D1"/>
    <w:rsid w:val="00DC1474"/>
    <w:rsid w:val="00DC52B1"/>
    <w:rsid w:val="00DD02A4"/>
    <w:rsid w:val="00DD118B"/>
    <w:rsid w:val="00DE1A02"/>
    <w:rsid w:val="00DF3EC0"/>
    <w:rsid w:val="00DF5590"/>
    <w:rsid w:val="00E05C6C"/>
    <w:rsid w:val="00E05D7F"/>
    <w:rsid w:val="00E12E7C"/>
    <w:rsid w:val="00E157E1"/>
    <w:rsid w:val="00E20C64"/>
    <w:rsid w:val="00E216EB"/>
    <w:rsid w:val="00E2182C"/>
    <w:rsid w:val="00E325CF"/>
    <w:rsid w:val="00E40B0D"/>
    <w:rsid w:val="00E42A12"/>
    <w:rsid w:val="00E4557E"/>
    <w:rsid w:val="00E51212"/>
    <w:rsid w:val="00E62591"/>
    <w:rsid w:val="00E71420"/>
    <w:rsid w:val="00E7220A"/>
    <w:rsid w:val="00E94DA0"/>
    <w:rsid w:val="00EA5CC3"/>
    <w:rsid w:val="00EB49DE"/>
    <w:rsid w:val="00EF6341"/>
    <w:rsid w:val="00F0335B"/>
    <w:rsid w:val="00F0560A"/>
    <w:rsid w:val="00F14D6C"/>
    <w:rsid w:val="00F158D7"/>
    <w:rsid w:val="00F20EE5"/>
    <w:rsid w:val="00F24011"/>
    <w:rsid w:val="00F30CD8"/>
    <w:rsid w:val="00F430DB"/>
    <w:rsid w:val="00F43BE2"/>
    <w:rsid w:val="00F44833"/>
    <w:rsid w:val="00F503B1"/>
    <w:rsid w:val="00F544B0"/>
    <w:rsid w:val="00F603C6"/>
    <w:rsid w:val="00F63A7D"/>
    <w:rsid w:val="00F67C87"/>
    <w:rsid w:val="00F84C23"/>
    <w:rsid w:val="00F86EBC"/>
    <w:rsid w:val="00F91226"/>
    <w:rsid w:val="00FB4AED"/>
    <w:rsid w:val="00FD3DE0"/>
    <w:rsid w:val="00FD7729"/>
    <w:rsid w:val="00FD7C22"/>
    <w:rsid w:val="00FE5C58"/>
    <w:rsid w:val="00FF67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9"/>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customStyle="1" w:styleId="p1">
    <w:name w:val="p1"/>
    <w:basedOn w:val="Normal"/>
    <w:rsid w:val="00417995"/>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s1">
    <w:name w:val="s1"/>
    <w:basedOn w:val="DefaultParagraphFont"/>
    <w:rsid w:val="00417995"/>
  </w:style>
  <w:style w:type="paragraph" w:customStyle="1" w:styleId="p2">
    <w:name w:val="p2"/>
    <w:basedOn w:val="Normal"/>
    <w:rsid w:val="00417995"/>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417995"/>
  </w:style>
  <w:style w:type="character" w:customStyle="1" w:styleId="apple-converted-space">
    <w:name w:val="apple-converted-space"/>
    <w:basedOn w:val="DefaultParagraphFont"/>
    <w:rsid w:val="00410A81"/>
  </w:style>
  <w:style w:type="paragraph" w:styleId="TOCHeading">
    <w:name w:val="TOC Heading"/>
    <w:basedOn w:val="Heading1"/>
    <w:next w:val="Normal"/>
    <w:uiPriority w:val="39"/>
    <w:unhideWhenUsed/>
    <w:qFormat/>
    <w:rsid w:val="0084464F"/>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bidi="ar-SA"/>
    </w:rPr>
  </w:style>
  <w:style w:type="paragraph" w:styleId="TOC1">
    <w:name w:val="toc 1"/>
    <w:basedOn w:val="Normal"/>
    <w:next w:val="Normal"/>
    <w:autoRedefine/>
    <w:uiPriority w:val="39"/>
    <w:unhideWhenUsed/>
    <w:rsid w:val="0084464F"/>
    <w:pPr>
      <w:spacing w:after="100"/>
    </w:pPr>
  </w:style>
  <w:style w:type="paragraph" w:styleId="TOC2">
    <w:name w:val="toc 2"/>
    <w:basedOn w:val="Normal"/>
    <w:next w:val="Normal"/>
    <w:autoRedefine/>
    <w:uiPriority w:val="39"/>
    <w:unhideWhenUsed/>
    <w:rsid w:val="008446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17367</Words>
  <Characters>98997</Characters>
  <Application>Microsoft Office Word</Application>
  <DocSecurity>0</DocSecurity>
  <Lines>824</Lines>
  <Paragraphs>232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Alexandru Gaiu (2332587)</cp:lastModifiedBy>
  <cp:revision>2</cp:revision>
  <dcterms:created xsi:type="dcterms:W3CDTF">2026-04-08T08:37:00Z</dcterms:created>
  <dcterms:modified xsi:type="dcterms:W3CDTF">2026-04-08T08:37:00Z</dcterms:modified>
</cp:coreProperties>
</file>