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F5431D" w14:textId="2E6659FD" w:rsidR="007E20B3" w:rsidRPr="007E20B3" w:rsidRDefault="007E20B3">
      <w:pPr>
        <w:rPr>
          <w:rFonts w:ascii="Times New Roman" w:hAnsi="Times New Roman" w:cs="Times New Roman"/>
          <w:sz w:val="24"/>
          <w:szCs w:val="24"/>
        </w:rPr>
      </w:pPr>
      <w:r w:rsidRPr="007E20B3">
        <w:rPr>
          <w:rFonts w:ascii="Times New Roman" w:hAnsi="Times New Roman" w:cs="Times New Roman"/>
          <w:sz w:val="24"/>
          <w:szCs w:val="24"/>
        </w:rPr>
        <w:t>Descartes</w:t>
      </w:r>
      <w:r w:rsidRPr="007E20B3">
        <w:rPr>
          <w:rFonts w:ascii="Times New Roman" w:hAnsi="Times New Roman" w:cs="Times New Roman"/>
          <w:sz w:val="24"/>
          <w:szCs w:val="24"/>
        </w:rPr>
        <w:t>,</w:t>
      </w:r>
      <w:r w:rsidRPr="007E20B3">
        <w:rPr>
          <w:rFonts w:ascii="Times New Roman" w:hAnsi="Times New Roman" w:cs="Times New Roman"/>
          <w:sz w:val="24"/>
          <w:szCs w:val="24"/>
        </w:rPr>
        <w:t xml:space="preserve"> Principles </w:t>
      </w:r>
      <w:r w:rsidRPr="007E20B3">
        <w:rPr>
          <w:rFonts w:ascii="Times New Roman" w:hAnsi="Times New Roman" w:cs="Times New Roman"/>
          <w:sz w:val="24"/>
          <w:szCs w:val="24"/>
        </w:rPr>
        <w:t>of Philosophy Part I</w:t>
      </w:r>
    </w:p>
    <w:p w14:paraId="0B62E359" w14:textId="4502606D" w:rsidR="00B06BC9" w:rsidRPr="007E20B3" w:rsidRDefault="00B06BC9">
      <w:pPr>
        <w:rPr>
          <w:rFonts w:ascii="Times New Roman" w:hAnsi="Times New Roman" w:cs="Times New Roman"/>
          <w:sz w:val="24"/>
          <w:szCs w:val="24"/>
        </w:rPr>
      </w:pPr>
      <w:r w:rsidRPr="007E20B3">
        <w:rPr>
          <w:rFonts w:ascii="Times New Roman" w:hAnsi="Times New Roman" w:cs="Times New Roman"/>
          <w:sz w:val="24"/>
          <w:szCs w:val="24"/>
        </w:rPr>
        <w:t xml:space="preserve">13. The sense in which knowledge of everything else depends on knowledge of God. </w:t>
      </w:r>
      <w:proofErr w:type="gramStart"/>
      <w:r w:rsidRPr="007E20B3">
        <w:rPr>
          <w:rFonts w:ascii="Times New Roman" w:hAnsi="Times New Roman" w:cs="Times New Roman"/>
          <w:sz w:val="24"/>
          <w:szCs w:val="24"/>
        </w:rPr>
        <w:t>So</w:t>
      </w:r>
      <w:proofErr w:type="gramEnd"/>
      <w:r w:rsidRPr="007E20B3">
        <w:rPr>
          <w:rFonts w:ascii="Times New Roman" w:hAnsi="Times New Roman" w:cs="Times New Roman"/>
          <w:sz w:val="24"/>
          <w:szCs w:val="24"/>
        </w:rPr>
        <w:t xml:space="preserve"> the mind, knowing itself but still in doubt about everything else, casts about for ways to extend its knowledge. First, it ﬁnds within itself ideas of many things; and it can’t be mistaken about these ideas, as distinct from other things that may resemble them, ·i.e. other things that they may be ideas of·. Next, it ﬁnds ·within itself· certain ‘common notions’, from which it constructs various proofs; and while it is attending to them the mind is completely convinced of their truth. [The phrase ‘common notion’ is an unavoidable translation of Descartes’s </w:t>
      </w:r>
      <w:proofErr w:type="spellStart"/>
      <w:r w:rsidRPr="007E20B3">
        <w:rPr>
          <w:rFonts w:ascii="Times New Roman" w:hAnsi="Times New Roman" w:cs="Times New Roman"/>
          <w:sz w:val="24"/>
          <w:szCs w:val="24"/>
        </w:rPr>
        <w:t>communis</w:t>
      </w:r>
      <w:proofErr w:type="spellEnd"/>
      <w:r w:rsidRPr="007E20B3">
        <w:rPr>
          <w:rFonts w:ascii="Times New Roman" w:hAnsi="Times New Roman" w:cs="Times New Roman"/>
          <w:sz w:val="24"/>
          <w:szCs w:val="24"/>
        </w:rPr>
        <w:t xml:space="preserve"> </w:t>
      </w:r>
      <w:proofErr w:type="spellStart"/>
      <w:r w:rsidRPr="007E20B3">
        <w:rPr>
          <w:rFonts w:ascii="Times New Roman" w:hAnsi="Times New Roman" w:cs="Times New Roman"/>
          <w:sz w:val="24"/>
          <w:szCs w:val="24"/>
        </w:rPr>
        <w:t>notio</w:t>
      </w:r>
      <w:proofErr w:type="spellEnd"/>
      <w:r w:rsidRPr="007E20B3">
        <w:rPr>
          <w:rFonts w:ascii="Times New Roman" w:hAnsi="Times New Roman" w:cs="Times New Roman"/>
          <w:sz w:val="24"/>
          <w:szCs w:val="24"/>
        </w:rPr>
        <w:t xml:space="preserve">. It’s a technical term, referring not to notions or ideas but to whole propositions, speciﬁcally ones that are elementarily and self-evidently true. See section 49.] For example, the mind contains ideas of numbers and shapes, </w:t>
      </w:r>
      <w:proofErr w:type="gramStart"/>
      <w:r w:rsidRPr="007E20B3">
        <w:rPr>
          <w:rFonts w:ascii="Times New Roman" w:hAnsi="Times New Roman" w:cs="Times New Roman"/>
          <w:sz w:val="24"/>
          <w:szCs w:val="24"/>
        </w:rPr>
        <w:t>and also</w:t>
      </w:r>
      <w:proofErr w:type="gramEnd"/>
      <w:r w:rsidRPr="007E20B3">
        <w:rPr>
          <w:rFonts w:ascii="Times New Roman" w:hAnsi="Times New Roman" w:cs="Times New Roman"/>
          <w:sz w:val="24"/>
          <w:szCs w:val="24"/>
        </w:rPr>
        <w:t xml:space="preserve"> has such common notions as: If you add equals to equals the results will be equal; from which it’s easy to demonstrate that the three angles of a triangle equal two right angles and the like. </w:t>
      </w:r>
      <w:proofErr w:type="gramStart"/>
      <w:r w:rsidRPr="007E20B3">
        <w:rPr>
          <w:rFonts w:ascii="Times New Roman" w:hAnsi="Times New Roman" w:cs="Times New Roman"/>
          <w:sz w:val="24"/>
          <w:szCs w:val="24"/>
        </w:rPr>
        <w:t>So</w:t>
      </w:r>
      <w:proofErr w:type="gramEnd"/>
      <w:r w:rsidRPr="007E20B3">
        <w:rPr>
          <w:rFonts w:ascii="Times New Roman" w:hAnsi="Times New Roman" w:cs="Times New Roman"/>
          <w:sz w:val="24"/>
          <w:szCs w:val="24"/>
        </w:rPr>
        <w:t xml:space="preserve"> the mind will be convinced of the truth of this conclusion and others like it, for as long as it is attending to the </w:t>
      </w:r>
      <w:proofErr w:type="spellStart"/>
      <w:r w:rsidRPr="007E20B3">
        <w:rPr>
          <w:rFonts w:ascii="Times New Roman" w:hAnsi="Times New Roman" w:cs="Times New Roman"/>
          <w:sz w:val="24"/>
          <w:szCs w:val="24"/>
        </w:rPr>
        <w:t>premisses</w:t>
      </w:r>
      <w:proofErr w:type="spellEnd"/>
      <w:r w:rsidRPr="007E20B3">
        <w:rPr>
          <w:rFonts w:ascii="Times New Roman" w:hAnsi="Times New Roman" w:cs="Times New Roman"/>
          <w:sz w:val="24"/>
          <w:szCs w:val="24"/>
        </w:rPr>
        <w:t xml:space="preserve"> from which it deduced them. But it can’t attend to them all the time, and ·during times when it is not doing so, doubts can start up again·. At such a time, the mind can think like this: ‘I still don’t know that I wasn’t created with a nature that would make me go wrong even in matters that seem to me most evident, so it’s right for me to doubt such conclusions.’ </w:t>
      </w:r>
      <w:proofErr w:type="gramStart"/>
      <w:r w:rsidRPr="007E20B3">
        <w:rPr>
          <w:rFonts w:ascii="Times New Roman" w:hAnsi="Times New Roman" w:cs="Times New Roman"/>
          <w:sz w:val="24"/>
          <w:szCs w:val="24"/>
        </w:rPr>
        <w:t>So</w:t>
      </w:r>
      <w:proofErr w:type="gramEnd"/>
      <w:r w:rsidRPr="007E20B3">
        <w:rPr>
          <w:rFonts w:ascii="Times New Roman" w:hAnsi="Times New Roman" w:cs="Times New Roman"/>
          <w:sz w:val="24"/>
          <w:szCs w:val="24"/>
        </w:rPr>
        <w:t xml:space="preserve"> it’s not possible for the mind to have certain knowledge ·that will remain certain even when the basis for it isn’t being kept consciously and attentively in mind·—it’s not possible, that is, until the mind comes to know the Author of its being.</w:t>
      </w:r>
    </w:p>
    <w:p w14:paraId="235FD246" w14:textId="0CA233D9" w:rsidR="00B06BC9" w:rsidRPr="007E20B3" w:rsidRDefault="007E20B3">
      <w:pPr>
        <w:rPr>
          <w:rFonts w:ascii="Times New Roman" w:hAnsi="Times New Roman" w:cs="Times New Roman"/>
          <w:sz w:val="24"/>
          <w:szCs w:val="24"/>
        </w:rPr>
      </w:pPr>
      <w:r w:rsidRPr="007E20B3">
        <w:rPr>
          <w:rFonts w:ascii="Times New Roman" w:hAnsi="Times New Roman" w:cs="Times New Roman"/>
          <w:sz w:val="24"/>
          <w:szCs w:val="24"/>
        </w:rPr>
        <w:t>14-22 Proofs of the existence of God.</w:t>
      </w:r>
      <w:r>
        <w:rPr>
          <w:rFonts w:ascii="Times New Roman" w:hAnsi="Times New Roman" w:cs="Times New Roman"/>
          <w:sz w:val="24"/>
          <w:szCs w:val="24"/>
        </w:rPr>
        <w:t xml:space="preserve"> [We will not be considering these directly in the module. For the purposes of this discussion you could think of it like this: ‘Suppose that Descartes’s proofs that God exists do (did) seem to us sound. Would this provide him with the kind of grounding for our thought – the kind of answer to scepticism – that he appears to be seeing?’]</w:t>
      </w:r>
      <w:bookmarkStart w:id="0" w:name="_GoBack"/>
      <w:bookmarkEnd w:id="0"/>
    </w:p>
    <w:p w14:paraId="55CE158B" w14:textId="196600E6" w:rsidR="00BD346A" w:rsidRPr="007E20B3" w:rsidRDefault="00B06BC9">
      <w:pPr>
        <w:rPr>
          <w:rFonts w:ascii="Times New Roman" w:hAnsi="Times New Roman" w:cs="Times New Roman"/>
          <w:sz w:val="24"/>
          <w:szCs w:val="24"/>
        </w:rPr>
      </w:pPr>
      <w:r w:rsidRPr="007E20B3">
        <w:rPr>
          <w:rFonts w:ascii="Times New Roman" w:hAnsi="Times New Roman" w:cs="Times New Roman"/>
          <w:sz w:val="24"/>
          <w:szCs w:val="24"/>
        </w:rPr>
        <w:t xml:space="preserve">30. It follows that everything that we vividly perceive is true; and this removes the doubts mentioned earlier. [Descartes includes under ‘perception’ not only perceiving by the senses but any kind of propositional thinking.] </w:t>
      </w:r>
      <w:proofErr w:type="gramStart"/>
      <w:r w:rsidRPr="007E20B3">
        <w:rPr>
          <w:rFonts w:ascii="Times New Roman" w:hAnsi="Times New Roman" w:cs="Times New Roman"/>
          <w:sz w:val="24"/>
          <w:szCs w:val="24"/>
        </w:rPr>
        <w:t>So</w:t>
      </w:r>
      <w:proofErr w:type="gramEnd"/>
      <w:r w:rsidRPr="007E20B3">
        <w:rPr>
          <w:rFonts w:ascii="Times New Roman" w:hAnsi="Times New Roman" w:cs="Times New Roman"/>
          <w:sz w:val="24"/>
          <w:szCs w:val="24"/>
        </w:rPr>
        <w:t xml:space="preserve"> the light of nature—our God-given faculty of knowledge—can’t shine on any object that isn’t true to the extent that this light reaches it, i.e. to the extent that it is vividly and clearly perceived. If the faculty that God gave us was so distorted that it took falsehoods to be truths ·even when we were using it properly·, God would merit the label ‘deceiver’! This disposes of the worst of the doubts ·that I discussed in sections 4–5·, namely the one arising from the fear that for all we know we might ﬁnd something to be utterly obvious and yet be wrong about it. Indeed, this argument ·from section 29· easily demolishes all the other reasons for doubt that I have mentioned. earlier. Mathematical truths should no longer be suspect, because they’re utterly clear to us. As for our senses: if we notice anything here that is vivid and clear—whether we’re awake </w:t>
      </w:r>
      <w:proofErr w:type="spellStart"/>
      <w:r w:rsidRPr="007E20B3">
        <w:rPr>
          <w:rFonts w:ascii="Times New Roman" w:hAnsi="Times New Roman" w:cs="Times New Roman"/>
          <w:sz w:val="24"/>
          <w:szCs w:val="24"/>
        </w:rPr>
        <w:t>orasleep</w:t>
      </w:r>
      <w:proofErr w:type="spellEnd"/>
      <w:r w:rsidRPr="007E20B3">
        <w:rPr>
          <w:rFonts w:ascii="Times New Roman" w:hAnsi="Times New Roman" w:cs="Times New Roman"/>
          <w:sz w:val="24"/>
          <w:szCs w:val="24"/>
        </w:rPr>
        <w:t xml:space="preserve">—then provided we separate it from what is confused and obscure we’ll easily recognize which are the aspects of it that may be regarded as true. I needn’t go on about this here, because I have already dealt with it in the Meditations; and a more exact treatment of the topic would require knowledge of things that I’ll be saying </w:t>
      </w:r>
      <w:proofErr w:type="gramStart"/>
      <w:r w:rsidRPr="007E20B3">
        <w:rPr>
          <w:rFonts w:ascii="Times New Roman" w:hAnsi="Times New Roman" w:cs="Times New Roman"/>
          <w:sz w:val="24"/>
          <w:szCs w:val="24"/>
        </w:rPr>
        <w:t>later on</w:t>
      </w:r>
      <w:proofErr w:type="gramEnd"/>
      <w:r w:rsidRPr="007E20B3">
        <w:rPr>
          <w:rFonts w:ascii="Times New Roman" w:hAnsi="Times New Roman" w:cs="Times New Roman"/>
          <w:sz w:val="24"/>
          <w:szCs w:val="24"/>
        </w:rPr>
        <w:t>.</w:t>
      </w:r>
    </w:p>
    <w:sectPr w:rsidR="00BD346A" w:rsidRPr="007E20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BC9"/>
    <w:rsid w:val="006D63D6"/>
    <w:rsid w:val="007E20B3"/>
    <w:rsid w:val="008E214F"/>
    <w:rsid w:val="008F799C"/>
    <w:rsid w:val="00B06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9E44B"/>
  <w15:chartTrackingRefBased/>
  <w15:docId w15:val="{7757D5CF-AE42-42E4-96F4-38894388E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551</Words>
  <Characters>3145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2</cp:revision>
  <dcterms:created xsi:type="dcterms:W3CDTF">2018-07-11T09:31:00Z</dcterms:created>
  <dcterms:modified xsi:type="dcterms:W3CDTF">2018-07-11T09:41:00Z</dcterms:modified>
</cp:coreProperties>
</file>