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89D87" w14:textId="3746BCD6" w:rsidR="00077741" w:rsidRDefault="00077741">
      <w:r w:rsidRPr="00077741">
        <w:t>This report examines an ethical dilemma encountered during the construction of a government-funded hospital</w:t>
      </w:r>
      <w:r>
        <w:t xml:space="preserve">. </w:t>
      </w:r>
      <w:r w:rsidRPr="00077741">
        <w:t>The project manager discovers that several structural sections contain concrete that fails to meet the required compressive strength. Although the deficiency appears minor, it presents significant long-term structural and safety risks. Rectifying the issue would require dismantling substantial completed work, causing delays, cost overruns, and reputational damage.</w:t>
      </w:r>
    </w:p>
    <w:p w14:paraId="44F675EE" w14:textId="77777777" w:rsidR="00077741" w:rsidRDefault="00077741"/>
    <w:p w14:paraId="6B9060A4" w14:textId="07F31B9B" w:rsidR="00E36F2B" w:rsidRDefault="007E69E1">
      <w:r w:rsidRPr="007E69E1">
        <w:t xml:space="preserve">The discovery that the concrete used in </w:t>
      </w:r>
      <w:r>
        <w:t>the</w:t>
      </w:r>
      <w:r w:rsidRPr="007E69E1">
        <w:t xml:space="preserve"> structural elements does not meet the required strength specifications immediately raises serious safety concerns. Even a seemingly minor </w:t>
      </w:r>
      <w:r w:rsidR="00E74208">
        <w:t>defect</w:t>
      </w:r>
      <w:r w:rsidRPr="007E69E1">
        <w:t xml:space="preserve"> in compressive strength can have long-term implications for the building’s durability, structural integrity, and overall performance under future load conditions (BS EN 206, 2013). </w:t>
      </w:r>
      <w:r>
        <w:t>Being as this is a hospital exaggerates the severity; hospitals typically contain expensive</w:t>
      </w:r>
      <w:r w:rsidRPr="007E69E1">
        <w:t xml:space="preserve"> medical equipment</w:t>
      </w:r>
      <w:r>
        <w:t xml:space="preserve"> </w:t>
      </w:r>
      <w:r w:rsidRPr="007E69E1">
        <w:t xml:space="preserve">and </w:t>
      </w:r>
      <w:r>
        <w:t xml:space="preserve">vulnerable people. </w:t>
      </w:r>
      <w:r w:rsidRPr="007E69E1">
        <w:t>Any compromise in material quality could affect the building’s ability to withstand stresses over its lifespan, th</w:t>
      </w:r>
      <w:r>
        <w:t>us</w:t>
      </w:r>
      <w:r w:rsidRPr="007E69E1">
        <w:t xml:space="preserve"> placing the public at risk. However, rectifying the issue by removing and replacing defective concrete would result in significant project delays, disrupting the construction schedule</w:t>
      </w:r>
      <w:r>
        <w:t xml:space="preserve"> and increasing the project cost massively.</w:t>
      </w:r>
      <w:r w:rsidRPr="007E69E1">
        <w:t xml:space="preserve"> These </w:t>
      </w:r>
      <w:r>
        <w:t>factors</w:t>
      </w:r>
      <w:r w:rsidRPr="007E69E1">
        <w:t xml:space="preserve"> may create tension between meeting safety obligations and adhering to project deadlines. </w:t>
      </w:r>
      <w:r w:rsidRPr="00E74208">
        <w:t>The need to balance these competing pressures places the project manager in a difficult position</w:t>
      </w:r>
      <w:r w:rsidRPr="007E69E1">
        <w:t>, particularly because hospitals, as public buildings, demand the highest possible safety standards under UK regulations such as the Building Safety Act 2022.</w:t>
      </w:r>
    </w:p>
    <w:p w14:paraId="207C61F5" w14:textId="77777777" w:rsidR="00F102BE" w:rsidRDefault="00F102BE"/>
    <w:p w14:paraId="0F3C66AA" w14:textId="77777777" w:rsidR="00F102BE" w:rsidRDefault="00E36F2B" w:rsidP="00870417">
      <w:r w:rsidRPr="00E36F2B">
        <w:t xml:space="preserve">Beyond safety considerations, the discovery of substandard concrete carries substantial financial and contractual implications. Removing and recasting large sections of the structure would inevitably cause cost overruns and could trigger financial penalties under the client’s contract conditions, particularly where deadlines are tied to liquidated damages clauses. These delays may negatively affect the company’s relationship with government bodies, which are </w:t>
      </w:r>
      <w:r>
        <w:t>huge</w:t>
      </w:r>
      <w:r w:rsidRPr="00E36F2B">
        <w:t xml:space="preserve"> clients in the public procurement sector</w:t>
      </w:r>
      <w:r>
        <w:t xml:space="preserve"> as they typically hold the largest contracts.</w:t>
      </w:r>
      <w:r w:rsidRPr="00E36F2B">
        <w:t xml:space="preserve"> The construction company risks losing future government contracts due to perceived unreliability or an inability to deliver on time. Within the </w:t>
      </w:r>
      <w:r>
        <w:t>site</w:t>
      </w:r>
      <w:r w:rsidRPr="00E36F2B">
        <w:t xml:space="preserve">, additional pressures arise when figures such as the site </w:t>
      </w:r>
      <w:r>
        <w:t>manager or contract manager</w:t>
      </w:r>
      <w:r w:rsidRPr="00E36F2B">
        <w:t xml:space="preserve"> place emphasis on mitigating financial loss and avoiding schedule disruption rather than prioritising safety. This shift of focus can </w:t>
      </w:r>
      <w:r>
        <w:t>disrupt the</w:t>
      </w:r>
      <w:r w:rsidRPr="00E36F2B">
        <w:t xml:space="preserve"> decision-making processes and divert attention from ethical obligations, creating an environment where short-term commercial interests overshadow long-term structural integrity and public </w:t>
      </w:r>
      <w:r>
        <w:t>safety</w:t>
      </w:r>
      <w:r w:rsidRPr="00E36F2B">
        <w:t>.</w:t>
      </w:r>
    </w:p>
    <w:p w14:paraId="2192BB3B" w14:textId="6309EFAB" w:rsidR="00870417" w:rsidRPr="00870417" w:rsidRDefault="00870417" w:rsidP="00870417">
      <w:r w:rsidRPr="00870417">
        <w:lastRenderedPageBreak/>
        <w:t xml:space="preserve">Professionals working under UK industry bodies, </w:t>
      </w:r>
      <w:r>
        <w:t>such as</w:t>
      </w:r>
      <w:r w:rsidRPr="00870417">
        <w:t xml:space="preserve"> the Royal Institution of Chartered Surveyors (RICS), are bound by codes of conduct that promote honesty, integrity, accountability, and the protection of public safety (RICS, 2022). These ethical frameworks clearly require accurate reporting of technical defects and prohibit the concealment of information that may compromise safety. Ignoring the issue of substandard concrete would constitute a violation of professional duties and could undermine public trust in the construction industry. </w:t>
      </w:r>
      <w:r>
        <w:t>C</w:t>
      </w:r>
      <w:r w:rsidRPr="00870417">
        <w:t>oncealing the defect or permitting it to remain unaddressed would be fundamentally incompatible with the ethical expectations placed on a construction professional operating in the UK.</w:t>
      </w:r>
    </w:p>
    <w:p w14:paraId="15259842" w14:textId="1DA0F5AB" w:rsidR="00870417" w:rsidRPr="00870417" w:rsidRDefault="00870417" w:rsidP="00870417">
      <w:r w:rsidRPr="00870417">
        <w:t>In addition to breaching ethical requirements, failing to report or rectify defective materials could expose the professional to a range of significant consequences. Legally, the project manager could face civil liability for negligence if the structure were later found to be unsafe or if defects caused financial loss, injury, or damage (Building Safety Act 2022). In severe cases where life safety is compromised, criminal liability may also arise, particularly under legislation such as the Corporate Manslaughter and Corporate Homicide Act 2007. Insurance implications are also significant</w:t>
      </w:r>
      <w:r w:rsidR="00F102BE">
        <w:t>,</w:t>
      </w:r>
      <w:r w:rsidRPr="00870417">
        <w:t xml:space="preserve"> professional indemnity insurers may refuse coverage if it is proven that the professional acted dishonestly or knowingly concealed defects, leaving the individual and company financially exposed.</w:t>
      </w:r>
    </w:p>
    <w:p w14:paraId="06EB81A9" w14:textId="77777777" w:rsidR="00F102BE" w:rsidRDefault="00F102BE"/>
    <w:p w14:paraId="351FC9F5" w14:textId="5EC6AD19" w:rsidR="00870417" w:rsidRDefault="00F102BE">
      <w:r w:rsidRPr="00F102BE">
        <w:t>The behaviour of the concrete supplier introduces further ethical complications. The supplier provided materials that did not meet the agreed strength specifications and failed to disclose this discrepancy at the time of delivery. Such actions breach contractual obligations and raise serious concerns about quality control and professional integrity. Additionally, the supplier’s attempt to minimise the seriousness of the issue and to offer a future discount as an informal incentive represents a potential act of bribery. This behaviour is inconsistent with both UK anti-corruption legislation and the RICS ethical standard requiring members to reject improper advantages (RICS, 2022). Accepting such an offer would compromise the impartiality of the project manager’s decision-making and create a conflict of interest that could later undermine the credibility of the entire project</w:t>
      </w:r>
      <w:r w:rsidRPr="00E74208">
        <w:t>.</w:t>
      </w:r>
    </w:p>
    <w:p w14:paraId="28A31836" w14:textId="77777777" w:rsidR="00F102BE" w:rsidRDefault="00F102BE"/>
    <w:p w14:paraId="44D2EFDC" w14:textId="1EEE212C" w:rsidR="00F102BE" w:rsidRDefault="00F102BE">
      <w:r w:rsidRPr="00F102BE">
        <w:t>The long-term implications of approving defective work can be extremely damaging for both the construction firm and the professionals involved. If the defect is discovered late</w:t>
      </w:r>
      <w:r w:rsidR="00343EF7">
        <w:t xml:space="preserve">r, </w:t>
      </w:r>
      <w:r w:rsidRPr="00F102BE">
        <w:t xml:space="preserve">the organisation’s reputation may be </w:t>
      </w:r>
      <w:r w:rsidR="00343EF7" w:rsidRPr="00F102BE">
        <w:t>irrev</w:t>
      </w:r>
      <w:r w:rsidR="00343EF7">
        <w:t>ers</w:t>
      </w:r>
      <w:r w:rsidR="00343EF7" w:rsidRPr="00F102BE">
        <w:t>ibly</w:t>
      </w:r>
      <w:r w:rsidRPr="00F102BE">
        <w:t xml:space="preserve"> harmed. Such reputational damage could lead to loss of future business opportunities, legal disputes, and increased scrutiny from regulatory bodies. More critically, should structural deficiencies manifest years later, the resulting legal and professional liabilities could be severe, including disciplinary action from RICS, negligence claims, and possible criminal </w:t>
      </w:r>
      <w:r w:rsidRPr="00F102BE">
        <w:lastRenderedPageBreak/>
        <w:t>consequences under the Building Safety Act 2022. Conversely, taking transparent and accountable action at the time the defect is discovered can demonstrate professional integrity and help safeguard the long-term credibility of the company. Although transparency may result in immediate setbacks, it ultimately protects the public and aligns with the ethical obligations of the profession.</w:t>
      </w:r>
    </w:p>
    <w:p w14:paraId="75A7C2C8" w14:textId="77777777" w:rsidR="00F102BE" w:rsidRDefault="00F102BE"/>
    <w:p w14:paraId="0812C074" w14:textId="33AAE840" w:rsidR="00343EF7" w:rsidRDefault="00343EF7">
      <w:r w:rsidRPr="00343EF7">
        <w:t xml:space="preserve">When confronting the defect, the project manager has </w:t>
      </w:r>
      <w:r>
        <w:t>two main</w:t>
      </w:r>
      <w:r w:rsidRPr="00343EF7">
        <w:t xml:space="preserve"> courses of action. The first, and most ethical</w:t>
      </w:r>
      <w:r>
        <w:t xml:space="preserve"> method</w:t>
      </w:r>
      <w:r w:rsidRPr="00343EF7">
        <w:t xml:space="preserve">, is to report the issue formally and arrange for the defective concrete to be removed and replaced. This option ensures the building meets safety requirements and complies with regulatory standards, although it comes with considerable financial and scheduling consequences. </w:t>
      </w:r>
      <w:proofErr w:type="gramStart"/>
      <w:r w:rsidRPr="00343EF7">
        <w:t>The second option</w:t>
      </w:r>
      <w:r>
        <w:t>,</w:t>
      </w:r>
      <w:proofErr w:type="gramEnd"/>
      <w:r>
        <w:t xml:space="preserve"> is </w:t>
      </w:r>
      <w:r w:rsidRPr="00343EF7">
        <w:t>ignoring or concealing the issue</w:t>
      </w:r>
      <w:r>
        <w:t xml:space="preserve">. This </w:t>
      </w:r>
      <w:r w:rsidRPr="00343EF7">
        <w:t xml:space="preserve">may </w:t>
      </w:r>
      <w:r>
        <w:t>seem to</w:t>
      </w:r>
      <w:r w:rsidRPr="00343EF7">
        <w:t xml:space="preserve"> protect the project timeline and avoid immediate financial losses. However, this approach is ethically </w:t>
      </w:r>
      <w:r w:rsidR="00AD08E7">
        <w:t>questionable</w:t>
      </w:r>
      <w:r w:rsidRPr="00343EF7">
        <w:t xml:space="preserve"> and exposes all parties to future structural risk, litigation, professional sanctions, and reputational harm.</w:t>
      </w:r>
    </w:p>
    <w:p w14:paraId="7A9995E5" w14:textId="77777777" w:rsidR="00E74208" w:rsidRDefault="00E74208"/>
    <w:p w14:paraId="10EBC1DE" w14:textId="77777777" w:rsidR="00E42E15" w:rsidRPr="00CF1264" w:rsidRDefault="00CF1264" w:rsidP="00E42E15">
      <w:r w:rsidRPr="00CF1264">
        <w:t xml:space="preserve">In conclusion, the situation presents a clear ethical challenge in which the project manager must reconcile the competing demands of public safety, professional integrity, and moral responsibility with the commercial pressures, financial implications, and contractual obligations of the project. While the temptation to </w:t>
      </w:r>
      <w:r>
        <w:t xml:space="preserve">only look at the project from a short-term point of view, prioritising the financial and the reputation elements, it will only cause further problems down the line. These problems could be significantly worse and have greater repercussions. Looking at the bigger picture is important in most areas of life, and especially in situations like this where the </w:t>
      </w:r>
      <w:r w:rsidRPr="00CF1264">
        <w:t>safety and wellbeing</w:t>
      </w:r>
      <w:r>
        <w:t xml:space="preserve"> of people could easily be jeopardised</w:t>
      </w:r>
      <w:r w:rsidR="00E42E15">
        <w:t xml:space="preserve">. </w:t>
      </w:r>
      <w:r w:rsidR="00E42E15" w:rsidRPr="00CF1264">
        <w:t>Ultimately, the correct decision is the one that ensures the integrity, safety, and accountability of the completed building, demonstrating a commitment to ethical practice that endures well beyond the pressures of the present moment.</w:t>
      </w:r>
    </w:p>
    <w:p w14:paraId="4F9D20EF" w14:textId="77777777" w:rsidR="00F102BE" w:rsidRDefault="00F102BE"/>
    <w:p w14:paraId="6F8D51DA" w14:textId="77777777" w:rsidR="00E42E15" w:rsidRDefault="00E42E15"/>
    <w:p w14:paraId="340F52C5" w14:textId="77777777" w:rsidR="00E42E15" w:rsidRDefault="00E42E15" w:rsidP="00E42E15">
      <w:pPr>
        <w:rPr>
          <w:b/>
          <w:bCs/>
        </w:rPr>
      </w:pPr>
    </w:p>
    <w:p w14:paraId="1EA8696D" w14:textId="77777777" w:rsidR="00E42E15" w:rsidRDefault="00E42E15" w:rsidP="00E42E15">
      <w:pPr>
        <w:rPr>
          <w:b/>
          <w:bCs/>
        </w:rPr>
      </w:pPr>
    </w:p>
    <w:p w14:paraId="02FC1D37" w14:textId="77777777" w:rsidR="00E42E15" w:rsidRDefault="00E42E15" w:rsidP="00E42E15">
      <w:pPr>
        <w:rPr>
          <w:b/>
          <w:bCs/>
        </w:rPr>
      </w:pPr>
    </w:p>
    <w:p w14:paraId="2AFB1F3F" w14:textId="77777777" w:rsidR="00E42E15" w:rsidRDefault="00E42E15" w:rsidP="00E42E15">
      <w:pPr>
        <w:rPr>
          <w:b/>
          <w:bCs/>
        </w:rPr>
      </w:pPr>
    </w:p>
    <w:p w14:paraId="0668D476" w14:textId="77777777" w:rsidR="00E42E15" w:rsidRDefault="00E42E15" w:rsidP="00E42E15">
      <w:pPr>
        <w:rPr>
          <w:b/>
          <w:bCs/>
        </w:rPr>
      </w:pPr>
    </w:p>
    <w:p w14:paraId="7112BA0C" w14:textId="77777777" w:rsidR="00E42E15" w:rsidRDefault="00E42E15" w:rsidP="00E42E15">
      <w:pPr>
        <w:rPr>
          <w:b/>
          <w:bCs/>
        </w:rPr>
      </w:pPr>
    </w:p>
    <w:p w14:paraId="043048E6" w14:textId="76785B43" w:rsidR="00E42E15" w:rsidRPr="00E42E15" w:rsidRDefault="00E42E15" w:rsidP="00E42E15">
      <w:pPr>
        <w:rPr>
          <w:b/>
          <w:bCs/>
        </w:rPr>
      </w:pPr>
      <w:r w:rsidRPr="00E42E15">
        <w:rPr>
          <w:b/>
          <w:bCs/>
        </w:rPr>
        <w:t xml:space="preserve">Reference List </w:t>
      </w:r>
    </w:p>
    <w:p w14:paraId="4B696370" w14:textId="77777777" w:rsidR="00E42E15" w:rsidRPr="00E42E15" w:rsidRDefault="00E42E15" w:rsidP="00E42E15">
      <w:r w:rsidRPr="00E42E15">
        <w:t xml:space="preserve">BS EN 206:2013. (2013) </w:t>
      </w:r>
      <w:r w:rsidRPr="00E42E15">
        <w:rPr>
          <w:i/>
          <w:iCs/>
        </w:rPr>
        <w:t>Concrete – Specification, performance, production and conformity</w:t>
      </w:r>
      <w:r w:rsidRPr="00E42E15">
        <w:t>. British Standards Institution.</w:t>
      </w:r>
    </w:p>
    <w:p w14:paraId="2518AF42" w14:textId="025211C1" w:rsidR="00E42E15" w:rsidRPr="00E42E15" w:rsidRDefault="00E42E15" w:rsidP="00E42E15">
      <w:r w:rsidRPr="00E42E15">
        <w:t xml:space="preserve">Building Safety Act 2022. (2022) </w:t>
      </w:r>
      <w:r w:rsidRPr="00E42E15">
        <w:rPr>
          <w:i/>
          <w:iCs/>
        </w:rPr>
        <w:t>UK Public General Acts</w:t>
      </w:r>
      <w:r w:rsidRPr="00E42E15">
        <w:t xml:space="preserve">. </w:t>
      </w:r>
      <w:hyperlink r:id="rId5" w:tgtFrame="_new" w:history="1">
        <w:r w:rsidRPr="00E42E15">
          <w:rPr>
            <w:rStyle w:val="Hyperlink"/>
          </w:rPr>
          <w:t>https://www.legislation.gov.uk/ukpga/2022/30</w:t>
        </w:r>
      </w:hyperlink>
      <w:r w:rsidRPr="00E42E15">
        <w:t xml:space="preserve"> (Accessed: 7 December 2025).</w:t>
      </w:r>
    </w:p>
    <w:p w14:paraId="3F083C36" w14:textId="14E30963" w:rsidR="00E42E15" w:rsidRPr="00E42E15" w:rsidRDefault="00E42E15" w:rsidP="00E42E15">
      <w:r w:rsidRPr="00E42E15">
        <w:t xml:space="preserve">Construction (Design and Management) Regulations 2015. (2015) </w:t>
      </w:r>
      <w:r w:rsidRPr="00E42E15">
        <w:rPr>
          <w:i/>
          <w:iCs/>
        </w:rPr>
        <w:t>UK Statutory Instruments</w:t>
      </w:r>
      <w:r w:rsidRPr="00E42E15">
        <w:t xml:space="preserve">. </w:t>
      </w:r>
      <w:hyperlink r:id="rId6" w:tgtFrame="_new" w:history="1">
        <w:r w:rsidRPr="00E42E15">
          <w:rPr>
            <w:rStyle w:val="Hyperlink"/>
          </w:rPr>
          <w:t>https://www.legislation.gov.uk/uksi/2015/51/contents</w:t>
        </w:r>
      </w:hyperlink>
      <w:r w:rsidRPr="00E42E15">
        <w:t xml:space="preserve"> (Accessed: 7 December 2025).</w:t>
      </w:r>
    </w:p>
    <w:p w14:paraId="39FAB72A" w14:textId="64EBDBA1" w:rsidR="00E42E15" w:rsidRPr="00E42E15" w:rsidRDefault="00E42E15" w:rsidP="00E42E15">
      <w:r w:rsidRPr="00E42E15">
        <w:t xml:space="preserve">Corporate Manslaughter and Corporate Homicide Act 2007. (2007) </w:t>
      </w:r>
      <w:r w:rsidRPr="00E42E15">
        <w:rPr>
          <w:i/>
          <w:iCs/>
        </w:rPr>
        <w:t>UK Public General Acts</w:t>
      </w:r>
      <w:r w:rsidRPr="00E42E15">
        <w:t xml:space="preserve">. </w:t>
      </w:r>
      <w:hyperlink r:id="rId7" w:tgtFrame="_new" w:history="1">
        <w:r w:rsidRPr="00E42E15">
          <w:rPr>
            <w:rStyle w:val="Hyperlink"/>
          </w:rPr>
          <w:t>https://www.legisla</w:t>
        </w:r>
        <w:r w:rsidRPr="00E42E15">
          <w:rPr>
            <w:rStyle w:val="Hyperlink"/>
          </w:rPr>
          <w:t>t</w:t>
        </w:r>
        <w:r w:rsidRPr="00E42E15">
          <w:rPr>
            <w:rStyle w:val="Hyperlink"/>
          </w:rPr>
          <w:t>ion.gov.uk/ukpga/2007/19</w:t>
        </w:r>
      </w:hyperlink>
      <w:r w:rsidRPr="00E42E15">
        <w:t xml:space="preserve"> (Accessed: 7 December 2025).</w:t>
      </w:r>
    </w:p>
    <w:p w14:paraId="62518E0A" w14:textId="47558B76" w:rsidR="00E42E15" w:rsidRPr="00E42E15" w:rsidRDefault="00E42E15" w:rsidP="00E42E15">
      <w:r w:rsidRPr="00E42E15">
        <w:t xml:space="preserve">RICS (2022) </w:t>
      </w:r>
      <w:r w:rsidRPr="00E42E15">
        <w:rPr>
          <w:i/>
          <w:iCs/>
        </w:rPr>
        <w:t>RICS Rules of Conduct</w:t>
      </w:r>
      <w:r w:rsidRPr="00E42E15">
        <w:t xml:space="preserve">. Royal Institution of Chartered Surveyors. </w:t>
      </w:r>
      <w:hyperlink r:id="rId8" w:tgtFrame="_new" w:history="1">
        <w:r w:rsidRPr="00E42E15">
          <w:rPr>
            <w:rStyle w:val="Hyperlink"/>
          </w:rPr>
          <w:t>https://www.</w:t>
        </w:r>
        <w:r w:rsidRPr="00E42E15">
          <w:rPr>
            <w:rStyle w:val="Hyperlink"/>
          </w:rPr>
          <w:t>r</w:t>
        </w:r>
        <w:r w:rsidRPr="00E42E15">
          <w:rPr>
            <w:rStyle w:val="Hyperlink"/>
          </w:rPr>
          <w:t>ics.org</w:t>
        </w:r>
      </w:hyperlink>
      <w:r w:rsidRPr="00E42E15">
        <w:t xml:space="preserve"> (Accessed: 7 December 2025).</w:t>
      </w:r>
    </w:p>
    <w:p w14:paraId="6DC2EFEB" w14:textId="37D41977" w:rsidR="00E42E15" w:rsidRPr="00E42E15" w:rsidRDefault="00E42E15" w:rsidP="00E42E15">
      <w:r w:rsidRPr="00E42E15">
        <w:t xml:space="preserve">UK Government (2010) </w:t>
      </w:r>
      <w:r w:rsidRPr="00E42E15">
        <w:rPr>
          <w:i/>
          <w:iCs/>
        </w:rPr>
        <w:t>Bribery Act 2010</w:t>
      </w:r>
      <w:r w:rsidRPr="00E42E15">
        <w:t xml:space="preserve">. </w:t>
      </w:r>
      <w:hyperlink r:id="rId9" w:tgtFrame="_new" w:history="1">
        <w:r w:rsidRPr="00E42E15">
          <w:rPr>
            <w:rStyle w:val="Hyperlink"/>
          </w:rPr>
          <w:t>https://ww</w:t>
        </w:r>
        <w:r w:rsidRPr="00E42E15">
          <w:rPr>
            <w:rStyle w:val="Hyperlink"/>
          </w:rPr>
          <w:t>w</w:t>
        </w:r>
        <w:r w:rsidRPr="00E42E15">
          <w:rPr>
            <w:rStyle w:val="Hyperlink"/>
          </w:rPr>
          <w:t>.legislation.gov.uk/ukpga/2010/23</w:t>
        </w:r>
      </w:hyperlink>
      <w:r w:rsidRPr="00E42E15">
        <w:t xml:space="preserve"> (Accessed: 7 December 2025).</w:t>
      </w:r>
    </w:p>
    <w:p w14:paraId="18B7B046" w14:textId="77777777" w:rsidR="00E42E15" w:rsidRDefault="00E42E15"/>
    <w:sectPr w:rsidR="00E42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2F3"/>
    <w:multiLevelType w:val="multilevel"/>
    <w:tmpl w:val="8878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14AF8"/>
    <w:multiLevelType w:val="multilevel"/>
    <w:tmpl w:val="A30E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973270"/>
    <w:multiLevelType w:val="multilevel"/>
    <w:tmpl w:val="6792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E26B6E"/>
    <w:multiLevelType w:val="multilevel"/>
    <w:tmpl w:val="50BA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6B3FB2"/>
    <w:multiLevelType w:val="multilevel"/>
    <w:tmpl w:val="C6EE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BF1853"/>
    <w:multiLevelType w:val="multilevel"/>
    <w:tmpl w:val="988E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E70BD4"/>
    <w:multiLevelType w:val="multilevel"/>
    <w:tmpl w:val="0722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17469C"/>
    <w:multiLevelType w:val="multilevel"/>
    <w:tmpl w:val="3358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422C10"/>
    <w:multiLevelType w:val="multilevel"/>
    <w:tmpl w:val="2E26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9425C3"/>
    <w:multiLevelType w:val="multilevel"/>
    <w:tmpl w:val="E230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3D68AC"/>
    <w:multiLevelType w:val="multilevel"/>
    <w:tmpl w:val="B07C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522867"/>
    <w:multiLevelType w:val="multilevel"/>
    <w:tmpl w:val="4028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A43AEE"/>
    <w:multiLevelType w:val="multilevel"/>
    <w:tmpl w:val="1B86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3548E1"/>
    <w:multiLevelType w:val="multilevel"/>
    <w:tmpl w:val="65D2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9825322">
    <w:abstractNumId w:val="0"/>
  </w:num>
  <w:num w:numId="2" w16cid:durableId="1214342451">
    <w:abstractNumId w:val="13"/>
  </w:num>
  <w:num w:numId="3" w16cid:durableId="1445925575">
    <w:abstractNumId w:val="7"/>
  </w:num>
  <w:num w:numId="4" w16cid:durableId="239600534">
    <w:abstractNumId w:val="2"/>
  </w:num>
  <w:num w:numId="5" w16cid:durableId="1361707041">
    <w:abstractNumId w:val="10"/>
  </w:num>
  <w:num w:numId="6" w16cid:durableId="870651371">
    <w:abstractNumId w:val="5"/>
  </w:num>
  <w:num w:numId="7" w16cid:durableId="1298680240">
    <w:abstractNumId w:val="3"/>
  </w:num>
  <w:num w:numId="8" w16cid:durableId="1954630221">
    <w:abstractNumId w:val="12"/>
  </w:num>
  <w:num w:numId="9" w16cid:durableId="732313417">
    <w:abstractNumId w:val="9"/>
  </w:num>
  <w:num w:numId="10" w16cid:durableId="807361959">
    <w:abstractNumId w:val="8"/>
  </w:num>
  <w:num w:numId="11" w16cid:durableId="1501699594">
    <w:abstractNumId w:val="4"/>
  </w:num>
  <w:num w:numId="12" w16cid:durableId="1319384320">
    <w:abstractNumId w:val="6"/>
  </w:num>
  <w:num w:numId="13" w16cid:durableId="397822381">
    <w:abstractNumId w:val="1"/>
  </w:num>
  <w:num w:numId="14" w16cid:durableId="4239573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0D1"/>
    <w:rsid w:val="00077741"/>
    <w:rsid w:val="001D5548"/>
    <w:rsid w:val="00343EF7"/>
    <w:rsid w:val="00566C3D"/>
    <w:rsid w:val="007373CA"/>
    <w:rsid w:val="007E69E1"/>
    <w:rsid w:val="008120D1"/>
    <w:rsid w:val="00870417"/>
    <w:rsid w:val="00AD08E7"/>
    <w:rsid w:val="00CF1264"/>
    <w:rsid w:val="00E36F2B"/>
    <w:rsid w:val="00E42E15"/>
    <w:rsid w:val="00E74208"/>
    <w:rsid w:val="00F10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DD42"/>
  <w15:chartTrackingRefBased/>
  <w15:docId w15:val="{0CCD7945-D390-4862-BBBC-D7E4B9B7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0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20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0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0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0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0D1"/>
    <w:rPr>
      <w:rFonts w:eastAsiaTheme="majorEastAsia" w:cstheme="majorBidi"/>
      <w:color w:val="272727" w:themeColor="text1" w:themeTint="D8"/>
    </w:rPr>
  </w:style>
  <w:style w:type="paragraph" w:styleId="Title">
    <w:name w:val="Title"/>
    <w:basedOn w:val="Normal"/>
    <w:next w:val="Normal"/>
    <w:link w:val="TitleChar"/>
    <w:uiPriority w:val="10"/>
    <w:qFormat/>
    <w:rsid w:val="00812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0D1"/>
    <w:pPr>
      <w:spacing w:before="160"/>
      <w:jc w:val="center"/>
    </w:pPr>
    <w:rPr>
      <w:i/>
      <w:iCs/>
      <w:color w:val="404040" w:themeColor="text1" w:themeTint="BF"/>
    </w:rPr>
  </w:style>
  <w:style w:type="character" w:customStyle="1" w:styleId="QuoteChar">
    <w:name w:val="Quote Char"/>
    <w:basedOn w:val="DefaultParagraphFont"/>
    <w:link w:val="Quote"/>
    <w:uiPriority w:val="29"/>
    <w:rsid w:val="008120D1"/>
    <w:rPr>
      <w:i/>
      <w:iCs/>
      <w:color w:val="404040" w:themeColor="text1" w:themeTint="BF"/>
    </w:rPr>
  </w:style>
  <w:style w:type="paragraph" w:styleId="ListParagraph">
    <w:name w:val="List Paragraph"/>
    <w:basedOn w:val="Normal"/>
    <w:uiPriority w:val="34"/>
    <w:qFormat/>
    <w:rsid w:val="008120D1"/>
    <w:pPr>
      <w:ind w:left="720"/>
      <w:contextualSpacing/>
    </w:pPr>
  </w:style>
  <w:style w:type="character" w:styleId="IntenseEmphasis">
    <w:name w:val="Intense Emphasis"/>
    <w:basedOn w:val="DefaultParagraphFont"/>
    <w:uiPriority w:val="21"/>
    <w:qFormat/>
    <w:rsid w:val="008120D1"/>
    <w:rPr>
      <w:i/>
      <w:iCs/>
      <w:color w:val="0F4761" w:themeColor="accent1" w:themeShade="BF"/>
    </w:rPr>
  </w:style>
  <w:style w:type="paragraph" w:styleId="IntenseQuote">
    <w:name w:val="Intense Quote"/>
    <w:basedOn w:val="Normal"/>
    <w:next w:val="Normal"/>
    <w:link w:val="IntenseQuoteChar"/>
    <w:uiPriority w:val="30"/>
    <w:qFormat/>
    <w:rsid w:val="00812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0D1"/>
    <w:rPr>
      <w:i/>
      <w:iCs/>
      <w:color w:val="0F4761" w:themeColor="accent1" w:themeShade="BF"/>
    </w:rPr>
  </w:style>
  <w:style w:type="character" w:styleId="IntenseReference">
    <w:name w:val="Intense Reference"/>
    <w:basedOn w:val="DefaultParagraphFont"/>
    <w:uiPriority w:val="32"/>
    <w:qFormat/>
    <w:rsid w:val="008120D1"/>
    <w:rPr>
      <w:b/>
      <w:bCs/>
      <w:smallCaps/>
      <w:color w:val="0F4761" w:themeColor="accent1" w:themeShade="BF"/>
      <w:spacing w:val="5"/>
    </w:rPr>
  </w:style>
  <w:style w:type="character" w:styleId="Hyperlink">
    <w:name w:val="Hyperlink"/>
    <w:basedOn w:val="DefaultParagraphFont"/>
    <w:uiPriority w:val="99"/>
    <w:unhideWhenUsed/>
    <w:rsid w:val="00E42E15"/>
    <w:rPr>
      <w:color w:val="467886" w:themeColor="hyperlink"/>
      <w:u w:val="single"/>
    </w:rPr>
  </w:style>
  <w:style w:type="character" w:styleId="UnresolvedMention">
    <w:name w:val="Unresolved Mention"/>
    <w:basedOn w:val="DefaultParagraphFont"/>
    <w:uiPriority w:val="99"/>
    <w:semiHidden/>
    <w:unhideWhenUsed/>
    <w:rsid w:val="00E42E15"/>
    <w:rPr>
      <w:color w:val="605E5C"/>
      <w:shd w:val="clear" w:color="auto" w:fill="E1DFDD"/>
    </w:rPr>
  </w:style>
  <w:style w:type="character" w:styleId="FollowedHyperlink">
    <w:name w:val="FollowedHyperlink"/>
    <w:basedOn w:val="DefaultParagraphFont"/>
    <w:uiPriority w:val="99"/>
    <w:semiHidden/>
    <w:unhideWhenUsed/>
    <w:rsid w:val="00E42E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cs.org" TargetMode="External"/><Relationship Id="rId3" Type="http://schemas.openxmlformats.org/officeDocument/2006/relationships/settings" Target="settings.xml"/><Relationship Id="rId7" Type="http://schemas.openxmlformats.org/officeDocument/2006/relationships/hyperlink" Target="https://www.legislation.gov.uk/ukpga/2007/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si/2015/51/contents" TargetMode="External"/><Relationship Id="rId11" Type="http://schemas.openxmlformats.org/officeDocument/2006/relationships/theme" Target="theme/theme1.xml"/><Relationship Id="rId5" Type="http://schemas.openxmlformats.org/officeDocument/2006/relationships/hyperlink" Target="https://www.legislation.gov.uk/ukpga/2022/3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TotalTime>
  <Pages>4</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Penhale</dc:creator>
  <cp:keywords/>
  <dc:description/>
  <cp:lastModifiedBy>Jacob Penhale</cp:lastModifiedBy>
  <cp:revision>1</cp:revision>
  <dcterms:created xsi:type="dcterms:W3CDTF">2025-12-07T14:40:00Z</dcterms:created>
  <dcterms:modified xsi:type="dcterms:W3CDTF">2025-12-07T16:24:00Z</dcterms:modified>
</cp:coreProperties>
</file>