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7"/>
      </w:tblGrid>
      <w:tr w:rsidR="00F927A1" w:rsidRPr="005D3F07" w14:paraId="68CAA39D" w14:textId="77777777" w:rsidTr="002C16FC">
        <w:trPr>
          <w:trHeight w:val="4064"/>
        </w:trPr>
        <w:tc>
          <w:tcPr>
            <w:tcW w:w="10907" w:type="dxa"/>
            <w:shd w:val="clear" w:color="auto" w:fill="auto"/>
          </w:tcPr>
          <w:p w14:paraId="02F8EE88" w14:textId="11D9A71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C16FC">
              <w:rPr>
                <w:rFonts w:ascii="Times New Roman" w:hAnsi="Times New Roman" w:cs="Times New Roman"/>
                <w:b/>
                <w:color w:val="auto"/>
                <w:sz w:val="48"/>
              </w:rPr>
              <w:t>Emma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3097AA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5533B">
              <w:rPr>
                <w:rFonts w:ascii="Times New Roman" w:hAnsi="Times New Roman" w:cs="Times New Roman"/>
                <w:b/>
                <w:color w:val="auto"/>
                <w:sz w:val="48"/>
              </w:rPr>
              <w:t xml:space="preserve"> </w:t>
            </w:r>
            <w:r w:rsidR="00C5533B" w:rsidRPr="002C68B5">
              <w:rPr>
                <w:rFonts w:ascii="Times New Roman" w:hAnsi="Times New Roman" w:cs="Times New Roman"/>
                <w:b/>
                <w:color w:val="auto"/>
                <w:sz w:val="48"/>
              </w:rPr>
              <w:t>2320029</w:t>
            </w:r>
            <w:r w:rsidR="00C5533B">
              <w:rPr>
                <w:rFonts w:ascii="Times New Roman" w:hAnsi="Times New Roman" w:cs="Times New Roman"/>
                <w:b/>
                <w:color w:val="auto"/>
                <w:sz w:val="48"/>
              </w:rPr>
              <w:t>@s</w:t>
            </w:r>
            <w:r w:rsidR="00C5533B" w:rsidRPr="001401CC">
              <w:rPr>
                <w:rFonts w:ascii="Times New Roman" w:hAnsi="Times New Roman" w:cs="Times New Roman"/>
                <w:b/>
                <w:color w:val="auto"/>
                <w:sz w:val="48"/>
              </w:rPr>
              <w:t>tudent.uwtsd.ac.uk</w:t>
            </w:r>
            <w:bookmarkStart w:id="0" w:name="_GoBack"/>
            <w:bookmarkEnd w:id="0"/>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568642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C16FC">
              <w:rPr>
                <w:rFonts w:ascii="Times New Roman" w:hAnsi="Times New Roman" w:cs="Times New Roman"/>
                <w:b/>
                <w:color w:val="auto"/>
                <w:sz w:val="48"/>
              </w:rPr>
              <w:t xml:space="preserve"> </w:t>
            </w:r>
            <w:r w:rsidR="002C16FC" w:rsidRPr="002C16FC">
              <w:rPr>
                <w:rFonts w:ascii="Times New Roman" w:hAnsi="Times New Roman" w:cs="Times New Roman"/>
                <w:b/>
                <w:color w:val="auto"/>
                <w:sz w:val="48"/>
              </w:rPr>
              <w:t>2320029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C4BEFE1" w14:textId="77777777" w:rsidR="002C16FC" w:rsidRPr="006E1CEB" w:rsidRDefault="002C16FC" w:rsidP="002C16FC">
            <w:pPr>
              <w:spacing w:line="480" w:lineRule="auto"/>
              <w:ind w:left="-90" w:firstLine="720"/>
              <w:jc w:val="both"/>
              <w:rPr>
                <w:b/>
                <w:iCs/>
                <w:sz w:val="24"/>
                <w:szCs w:val="24"/>
              </w:rPr>
            </w:pPr>
            <w:r w:rsidRPr="006E1CEB">
              <w:rPr>
                <w:b/>
                <w:iCs/>
                <w:sz w:val="24"/>
                <w:szCs w:val="24"/>
              </w:rPr>
              <w:t xml:space="preserve">Legislation and Policies </w:t>
            </w:r>
          </w:p>
          <w:p w14:paraId="083E7BCF" w14:textId="77777777" w:rsidR="002C16FC" w:rsidRPr="006E1CEB" w:rsidRDefault="002C16FC" w:rsidP="002C16FC">
            <w:pPr>
              <w:spacing w:line="480" w:lineRule="auto"/>
              <w:ind w:left="-90" w:firstLine="720"/>
              <w:jc w:val="both"/>
              <w:rPr>
                <w:iCs/>
                <w:sz w:val="24"/>
                <w:szCs w:val="24"/>
              </w:rPr>
            </w:pPr>
            <w:r w:rsidRPr="006E1CEB">
              <w:rPr>
                <w:iCs/>
                <w:sz w:val="24"/>
                <w:szCs w:val="24"/>
              </w:rPr>
              <w:t>Within Wales, the UN Convention on the Right of the Child (UNCRC) (1989) underpins children’s social work. The UNCRC is an agreement signed by 196 countries, which outlines the fundamental rights of children in all aspects of their lives. The UNCRC also highlights the right for every child’s rights to be maintained without discrimination (</w:t>
            </w:r>
            <w:proofErr w:type="spellStart"/>
            <w:r w:rsidRPr="006E1CEB">
              <w:rPr>
                <w:iCs/>
                <w:sz w:val="24"/>
                <w:szCs w:val="24"/>
              </w:rPr>
              <w:t>Unicef</w:t>
            </w:r>
            <w:proofErr w:type="spellEnd"/>
            <w:r w:rsidRPr="006E1CEB">
              <w:rPr>
                <w:iCs/>
                <w:sz w:val="24"/>
                <w:szCs w:val="24"/>
              </w:rPr>
              <w:t xml:space="preserve">, 2024). As of 2011, Wales became the first country in the UK to make the UNCRC law. The Rights of Children and Young Persons (Wales) Measure 2011 placed a duty on Welsh ministers to have regard to the UNCRC. </w:t>
            </w:r>
          </w:p>
          <w:p w14:paraId="60206B6B" w14:textId="77777777" w:rsidR="002C16FC" w:rsidRPr="006E1CEB" w:rsidRDefault="002C16FC" w:rsidP="002C16FC">
            <w:pPr>
              <w:spacing w:line="480" w:lineRule="auto"/>
              <w:ind w:left="-90" w:firstLine="720"/>
              <w:jc w:val="both"/>
              <w:rPr>
                <w:iCs/>
                <w:sz w:val="24"/>
                <w:szCs w:val="24"/>
              </w:rPr>
            </w:pPr>
            <w:r w:rsidRPr="006E1CEB">
              <w:rPr>
                <w:iCs/>
                <w:sz w:val="24"/>
                <w:szCs w:val="24"/>
              </w:rPr>
              <w:t xml:space="preserve">Working within Children’s social work the legislation to adhere to in Wales is the Social Services and Well-being (Wales) Act (SSWBA) 2014. Part 3 of this act underlines the local authority’s duty to assess the needs of a child, whereas Part 4 highlights the local authority’s duty and power to meet the care and support needs of a child. Part 6 is dedicated to children who are looked after by the local authority and outlines the roles that the local authority must adhere to. Part 7 of the SSWBA, 2014, outlines the safeguarding procedures for a child at risk </w:t>
            </w:r>
            <w:r w:rsidRPr="006E1CEB">
              <w:rPr>
                <w:iCs/>
                <w:sz w:val="24"/>
                <w:szCs w:val="24"/>
              </w:rPr>
              <w:lastRenderedPageBreak/>
              <w:t xml:space="preserve">as well as the local authority’s duty to report and investigate children at risk under section 47 of the Children Act 1989. </w:t>
            </w:r>
          </w:p>
          <w:p w14:paraId="56C5E30D" w14:textId="77777777" w:rsidR="002C16FC" w:rsidRPr="006E1CEB" w:rsidRDefault="002C16FC" w:rsidP="002C16FC">
            <w:pPr>
              <w:spacing w:line="480" w:lineRule="auto"/>
              <w:ind w:left="-90" w:firstLine="720"/>
              <w:jc w:val="both"/>
              <w:rPr>
                <w:iCs/>
                <w:sz w:val="24"/>
                <w:szCs w:val="24"/>
              </w:rPr>
            </w:pPr>
            <w:r w:rsidRPr="006E1CEB">
              <w:rPr>
                <w:iCs/>
                <w:sz w:val="24"/>
                <w:szCs w:val="24"/>
              </w:rPr>
              <w:t xml:space="preserve">When safeguarding children, The Children Act 2004, imposes a duty on local bodies including local authorities, NHS Trusts and the police, to work collaboratively to safeguard children from harm and promote the welfare of children. However, Local authorities hold the primary safeguarding role for children within Wales. Collaborative working allows for information sharing and ensures enquiries under section 47 of the Children Act 1989 can commence without delay. </w:t>
            </w:r>
            <w:r>
              <w:rPr>
                <w:iCs/>
                <w:sz w:val="24"/>
                <w:szCs w:val="24"/>
              </w:rPr>
              <w:t xml:space="preserve">Evidence suggests that, within Wales, multi-agency collaborative working is well-utilised, with services operating ‘Front Door’ access through various forms of communications to allow ease of access for professionals and members of the general public (McManus and </w:t>
            </w:r>
            <w:proofErr w:type="spellStart"/>
            <w:r>
              <w:rPr>
                <w:iCs/>
                <w:sz w:val="24"/>
                <w:szCs w:val="24"/>
              </w:rPr>
              <w:t>Boulton</w:t>
            </w:r>
            <w:proofErr w:type="spellEnd"/>
            <w:r>
              <w:rPr>
                <w:iCs/>
                <w:sz w:val="24"/>
                <w:szCs w:val="24"/>
              </w:rPr>
              <w:t xml:space="preserve">, 2020). </w:t>
            </w:r>
          </w:p>
          <w:p w14:paraId="00A45B3E" w14:textId="77777777" w:rsidR="002C16FC" w:rsidRPr="006E1CEB" w:rsidRDefault="002C16FC" w:rsidP="002C16FC">
            <w:pPr>
              <w:spacing w:line="480" w:lineRule="auto"/>
              <w:ind w:left="-90" w:firstLine="720"/>
              <w:jc w:val="both"/>
              <w:rPr>
                <w:b/>
                <w:iCs/>
                <w:sz w:val="24"/>
                <w:szCs w:val="24"/>
              </w:rPr>
            </w:pPr>
            <w:r w:rsidRPr="006E1CEB">
              <w:rPr>
                <w:b/>
                <w:iCs/>
                <w:sz w:val="24"/>
                <w:szCs w:val="24"/>
              </w:rPr>
              <w:t>Organisational procedures</w:t>
            </w:r>
          </w:p>
          <w:p w14:paraId="3C4D141E" w14:textId="77777777" w:rsidR="002C16FC" w:rsidRPr="006E1CEB" w:rsidRDefault="002C16FC" w:rsidP="002C16FC">
            <w:pPr>
              <w:spacing w:line="480" w:lineRule="auto"/>
              <w:ind w:left="-90" w:firstLine="720"/>
              <w:jc w:val="both"/>
              <w:rPr>
                <w:iCs/>
                <w:sz w:val="24"/>
                <w:szCs w:val="24"/>
              </w:rPr>
            </w:pPr>
            <w:r w:rsidRPr="006E1CEB">
              <w:rPr>
                <w:iCs/>
                <w:sz w:val="24"/>
                <w:szCs w:val="24"/>
              </w:rPr>
              <w:t xml:space="preserve">Where an immediate risk of significant harm to a child has been identified, it is my responsibility to report to emergency services and inform my line manager. In this instance, the police hold the power to remove a child from any danger and take them to a place of safety. The child can remain in this place of safety for up to 72 hours without a court order in place. </w:t>
            </w:r>
          </w:p>
          <w:p w14:paraId="74099E62" w14:textId="77777777" w:rsidR="002C16FC" w:rsidRPr="006E1CEB" w:rsidRDefault="002C16FC" w:rsidP="002C16FC">
            <w:pPr>
              <w:spacing w:line="480" w:lineRule="auto"/>
              <w:ind w:left="-90" w:firstLine="720"/>
              <w:jc w:val="both"/>
              <w:rPr>
                <w:iCs/>
                <w:sz w:val="24"/>
                <w:szCs w:val="24"/>
              </w:rPr>
            </w:pPr>
            <w:r w:rsidRPr="006E1CEB">
              <w:rPr>
                <w:iCs/>
                <w:sz w:val="24"/>
                <w:szCs w:val="24"/>
              </w:rPr>
              <w:t>If there is no risk of immediate harm to a child, but there has been a disclosure made, I would ensure to adhere to the</w:t>
            </w:r>
            <w:r>
              <w:rPr>
                <w:iCs/>
                <w:sz w:val="24"/>
                <w:szCs w:val="24"/>
              </w:rPr>
              <w:t xml:space="preserve"> Wales Safeguarding P</w:t>
            </w:r>
            <w:r w:rsidRPr="006E1CEB">
              <w:rPr>
                <w:iCs/>
                <w:sz w:val="24"/>
                <w:szCs w:val="24"/>
              </w:rPr>
              <w:t>rocedures</w:t>
            </w:r>
            <w:r>
              <w:rPr>
                <w:iCs/>
                <w:sz w:val="24"/>
                <w:szCs w:val="24"/>
              </w:rPr>
              <w:t xml:space="preserve"> (2021)</w:t>
            </w:r>
            <w:r w:rsidRPr="006E1CEB">
              <w:rPr>
                <w:iCs/>
                <w:sz w:val="24"/>
                <w:szCs w:val="24"/>
              </w:rPr>
              <w:t xml:space="preserve">. The Wales Safeguarding Procedures which underlines two key principles; safeguarding is everybody’s responsibility and a child-centred approach with the rights and best interests of the child being paramount. These procedures also highlight the need for sharing appropriate information between professionals who have direct access to a child, and working as a multi-agency to safeguard and promote a child’s wellbeing. The SSBWA (2014) part 3 highlights the </w:t>
            </w:r>
            <w:r w:rsidRPr="006E1CEB">
              <w:rPr>
                <w:iCs/>
                <w:sz w:val="24"/>
                <w:szCs w:val="24"/>
              </w:rPr>
              <w:lastRenderedPageBreak/>
              <w:t>responsibility of local authorities to determine how to meet the care and support needs of a child.</w:t>
            </w:r>
            <w:r>
              <w:rPr>
                <w:iCs/>
                <w:sz w:val="24"/>
                <w:szCs w:val="24"/>
              </w:rPr>
              <w:t xml:space="preserve"> </w:t>
            </w:r>
          </w:p>
          <w:p w14:paraId="300E18F4" w14:textId="77777777" w:rsidR="002C16FC" w:rsidRDefault="002C16FC" w:rsidP="002C16FC">
            <w:pPr>
              <w:jc w:val="both"/>
              <w:rPr>
                <w:sz w:val="24"/>
                <w:szCs w:val="24"/>
              </w:rPr>
            </w:pPr>
            <w:r w:rsidRPr="006E1CEB">
              <w:rPr>
                <w:b/>
                <w:sz w:val="24"/>
                <w:szCs w:val="24"/>
              </w:rPr>
              <w:t xml:space="preserve">Word count = </w:t>
            </w:r>
            <w:r>
              <w:rPr>
                <w:b/>
                <w:sz w:val="24"/>
                <w:szCs w:val="24"/>
              </w:rPr>
              <w:t>508</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474D1F1" w14:textId="77777777" w:rsidR="002C16FC" w:rsidRDefault="002C16FC" w:rsidP="002C16FC">
            <w:pPr>
              <w:spacing w:line="480" w:lineRule="auto"/>
              <w:ind w:firstLine="720"/>
              <w:jc w:val="both"/>
              <w:rPr>
                <w:sz w:val="24"/>
                <w:szCs w:val="24"/>
              </w:rPr>
            </w:pPr>
            <w:r w:rsidRPr="006E1CEB">
              <w:rPr>
                <w:sz w:val="24"/>
                <w:szCs w:val="24"/>
              </w:rPr>
              <w:t xml:space="preserve">A significant difference between children at risk and adults at risk is that an adult can choose not to protect themselves if they are established to have the mental capacity to do so following the Mental Capacity Act </w:t>
            </w:r>
            <w:r>
              <w:rPr>
                <w:sz w:val="24"/>
                <w:szCs w:val="24"/>
              </w:rPr>
              <w:t>(MCA) (2005)</w:t>
            </w:r>
            <w:r w:rsidRPr="006E1CEB">
              <w:rPr>
                <w:sz w:val="24"/>
                <w:szCs w:val="24"/>
              </w:rPr>
              <w:t>.</w:t>
            </w:r>
            <w:r>
              <w:rPr>
                <w:sz w:val="24"/>
                <w:szCs w:val="24"/>
              </w:rPr>
              <w:t xml:space="preserve"> </w:t>
            </w:r>
            <w:r w:rsidRPr="006E1CEB">
              <w:rPr>
                <w:sz w:val="24"/>
                <w:szCs w:val="24"/>
              </w:rPr>
              <w:t xml:space="preserve"> </w:t>
            </w:r>
            <w:r>
              <w:rPr>
                <w:sz w:val="24"/>
                <w:szCs w:val="24"/>
              </w:rPr>
              <w:t xml:space="preserve">The MCA (2005) allows for adults to make unwise decisions providing that they have mental capacity to understand, weigh up and retain information. </w:t>
            </w:r>
            <w:r w:rsidRPr="006E1CEB">
              <w:rPr>
                <w:sz w:val="24"/>
                <w:szCs w:val="24"/>
              </w:rPr>
              <w:t>Whereas, where children have been identified as at risk, the Children Act (1989) and the SSWBA (2014) underlines that safeguard</w:t>
            </w:r>
            <w:r>
              <w:rPr>
                <w:sz w:val="24"/>
                <w:szCs w:val="24"/>
              </w:rPr>
              <w:t xml:space="preserve">ing procedures must be followed, with the child’s welfare being paramount and the local authorities duty to assess and meet the needs of children in need. </w:t>
            </w:r>
          </w:p>
          <w:p w14:paraId="70A7061B" w14:textId="77777777" w:rsidR="002C16FC" w:rsidRDefault="002C16FC" w:rsidP="002C16FC">
            <w:pPr>
              <w:spacing w:line="480" w:lineRule="auto"/>
              <w:ind w:firstLine="720"/>
              <w:jc w:val="both"/>
              <w:rPr>
                <w:sz w:val="24"/>
                <w:szCs w:val="24"/>
              </w:rPr>
            </w:pPr>
            <w:r>
              <w:rPr>
                <w:sz w:val="24"/>
                <w:szCs w:val="24"/>
              </w:rPr>
              <w:t>Article 5 of the Human Rights Act 1998 states that ‘Everyone has the right to liberty and security of person. No-one shall be deprived of his or her liberty unless in accordance with a procedure prescribed by law. Under the MCA (2005), and adult is considered to have capacity to consent unless they are assessed as lacking capacity to make decisions surrounding their care/support or to understand and consent to treatment. In this instance, the Deprivation of Liberty Safeguards (DoLS) framework applies. DoLS are in place by law when there in a need to deprive an individual who lacks capacity of their liberty if it is necessary to keep them safe from risk of harm.</w:t>
            </w:r>
          </w:p>
          <w:p w14:paraId="52A227CD" w14:textId="77777777" w:rsidR="002C16FC" w:rsidRDefault="002C16FC" w:rsidP="002C16FC">
            <w:pPr>
              <w:spacing w:line="480" w:lineRule="auto"/>
              <w:ind w:firstLine="720"/>
              <w:jc w:val="both"/>
              <w:rPr>
                <w:sz w:val="24"/>
                <w:szCs w:val="24"/>
              </w:rPr>
            </w:pPr>
            <w:r>
              <w:rPr>
                <w:sz w:val="24"/>
                <w:szCs w:val="24"/>
              </w:rPr>
              <w:lastRenderedPageBreak/>
              <w:t>Where a child is concerned, a person with parental responsibility would make decisions on their behalf, in their best interest. However, in some instances, if the child (under 16 years), is considered to be competent and have full understanding of their treatment, they are able to consent for themselves. This is described as “</w:t>
            </w:r>
            <w:proofErr w:type="spellStart"/>
            <w:r>
              <w:rPr>
                <w:sz w:val="24"/>
                <w:szCs w:val="24"/>
              </w:rPr>
              <w:t>Gillick</w:t>
            </w:r>
            <w:proofErr w:type="spellEnd"/>
            <w:r>
              <w:rPr>
                <w:sz w:val="24"/>
                <w:szCs w:val="24"/>
              </w:rPr>
              <w:t xml:space="preserve"> competent” (NHS, 2022). </w:t>
            </w:r>
          </w:p>
          <w:p w14:paraId="31DDD630" w14:textId="77777777" w:rsidR="002C16FC" w:rsidRDefault="002C16FC" w:rsidP="002C16FC">
            <w:pPr>
              <w:spacing w:line="480" w:lineRule="auto"/>
              <w:ind w:firstLine="720"/>
              <w:jc w:val="both"/>
              <w:rPr>
                <w:sz w:val="24"/>
                <w:szCs w:val="24"/>
              </w:rPr>
            </w:pPr>
            <w:r>
              <w:rPr>
                <w:sz w:val="24"/>
                <w:szCs w:val="24"/>
              </w:rPr>
              <w:t xml:space="preserve">The “Working together to safeguard children” (Welsh Government, 2015) guide sets out guidance for practitioners when working to safeguard children. This guidance highlights the need to share information between professionals, and to utilise a child-centred approach with the child’s rights and best interests being paramount. This guide also underlines that the consent of an individual is not always necessary when sharing information if the circumstances are not appropriate for practitioners to do so should it put the child at risk. </w:t>
            </w:r>
          </w:p>
          <w:p w14:paraId="266ECCCD" w14:textId="77777777" w:rsidR="002C16FC" w:rsidRDefault="002C16FC" w:rsidP="002C16FC">
            <w:pPr>
              <w:jc w:val="both"/>
              <w:rPr>
                <w:sz w:val="24"/>
                <w:szCs w:val="24"/>
              </w:rPr>
            </w:pPr>
          </w:p>
          <w:p w14:paraId="03B39464" w14:textId="77777777" w:rsidR="002C16FC" w:rsidRPr="00033819" w:rsidRDefault="002C16FC" w:rsidP="002C16FC">
            <w:pPr>
              <w:jc w:val="both"/>
              <w:rPr>
                <w:sz w:val="24"/>
                <w:szCs w:val="24"/>
              </w:rPr>
            </w:pPr>
            <w:r w:rsidRPr="00DC3DFE">
              <w:rPr>
                <w:b/>
                <w:sz w:val="24"/>
                <w:szCs w:val="24"/>
              </w:rPr>
              <w:t>Word count =</w:t>
            </w:r>
            <w:r>
              <w:rPr>
                <w:b/>
                <w:sz w:val="24"/>
                <w:szCs w:val="24"/>
              </w:rPr>
              <w:t xml:space="preserve"> 360</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30233" w14:textId="77777777" w:rsidR="00A9469D" w:rsidRDefault="00A9469D">
      <w:r>
        <w:separator/>
      </w:r>
    </w:p>
  </w:endnote>
  <w:endnote w:type="continuationSeparator" w:id="0">
    <w:p w14:paraId="0998E078" w14:textId="77777777" w:rsidR="00A9469D" w:rsidRDefault="00A94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10081EA" w:rsidR="00A5656A" w:rsidRDefault="00A5656A">
    <w:pPr>
      <w:pStyle w:val="Footer"/>
      <w:jc w:val="right"/>
    </w:pPr>
    <w:r>
      <w:fldChar w:fldCharType="begin"/>
    </w:r>
    <w:r>
      <w:instrText xml:space="preserve"> PAGE   \* MERGEFORMAT </w:instrText>
    </w:r>
    <w:r>
      <w:fldChar w:fldCharType="separate"/>
    </w:r>
    <w:r w:rsidR="00C5533B">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7060B" w14:textId="77777777" w:rsidR="00A9469D" w:rsidRDefault="00A9469D">
      <w:r>
        <w:separator/>
      </w:r>
    </w:p>
  </w:footnote>
  <w:footnote w:type="continuationSeparator" w:id="0">
    <w:p w14:paraId="3D70DB82" w14:textId="77777777" w:rsidR="00A9469D" w:rsidRDefault="00A94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6FC"/>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69D"/>
    <w:rsid w:val="00A94C5E"/>
    <w:rsid w:val="00AA252C"/>
    <w:rsid w:val="00AA666E"/>
    <w:rsid w:val="00AA7960"/>
    <w:rsid w:val="00AB5518"/>
    <w:rsid w:val="00AC3A0E"/>
    <w:rsid w:val="00AC4A04"/>
    <w:rsid w:val="00AC5679"/>
    <w:rsid w:val="00AD336F"/>
    <w:rsid w:val="00AD3694"/>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33B"/>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7806F21-CB05-46F0-8436-69FB1A8B2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Jones</cp:lastModifiedBy>
  <cp:revision>3</cp:revision>
  <cp:lastPrinted>2020-02-11T19:20:00Z</cp:lastPrinted>
  <dcterms:created xsi:type="dcterms:W3CDTF">2024-09-19T08:36:00Z</dcterms:created>
  <dcterms:modified xsi:type="dcterms:W3CDTF">2024-10-07T09:35:00Z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