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83439150"/>
        <w:docPartObj>
          <w:docPartGallery w:val="Cover Pages"/>
          <w:docPartUnique/>
        </w:docPartObj>
      </w:sdtPr>
      <w:sdtEndPr>
        <w:rPr>
          <w:rFonts w:ascii="Times New Roman" w:hAnsi="Times New Roman" w:cs="Times New Roman"/>
          <w:b/>
          <w:bCs/>
          <w:sz w:val="24"/>
          <w:szCs w:val="24"/>
        </w:rPr>
      </w:sdtEndPr>
      <w:sdtContent>
        <w:p w14:paraId="43E787A2" w14:textId="14775AF3" w:rsidR="008A3FE8" w:rsidRDefault="008A3FE8"/>
        <w:p w14:paraId="5E354767" w14:textId="0285ABE6" w:rsidR="008A3FE8" w:rsidRDefault="008A3FE8">
          <w:pPr>
            <w:rPr>
              <w:rFonts w:ascii="Times New Roman" w:hAnsi="Times New Roman" w:cs="Times New Roman"/>
              <w:b/>
              <w:bCs/>
              <w:sz w:val="24"/>
              <w:szCs w:val="24"/>
            </w:rPr>
          </w:pPr>
          <w:r>
            <w:rPr>
              <w:noProof/>
            </w:rPr>
            <mc:AlternateContent>
              <mc:Choice Requires="wps">
                <w:drawing>
                  <wp:anchor distT="0" distB="0" distL="114300" distR="114300" simplePos="0" relativeHeight="251662336" behindDoc="0" locked="0" layoutInCell="1" allowOverlap="1" wp14:anchorId="7222DF1E" wp14:editId="3ED678B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24"/>
                                    <w:szCs w:val="24"/>
                                  </w:rPr>
                                  <w:alias w:val="Publish Date"/>
                                  <w:tag w:val=""/>
                                  <w:id w:val="400952559"/>
                                  <w:dataBinding w:prefixMappings="xmlns:ns0='http://schemas.microsoft.com/office/2006/coverPageProps' " w:xpath="/ns0:CoverPageProperties[1]/ns0:PublishDate[1]" w:storeItemID="{55AF091B-3C7A-41E3-B477-F2FDAA23CFDA}"/>
                                  <w:date w:fullDate="2024-11-19T00:00:00Z">
                                    <w:dateFormat w:val="MMMM d, yyyy"/>
                                    <w:lid w:val="en-US"/>
                                    <w:storeMappedDataAs w:val="dateTime"/>
                                    <w:calendar w:val="gregorian"/>
                                  </w:date>
                                </w:sdtPr>
                                <w:sdtContent>
                                  <w:p w14:paraId="7263C0BE" w14:textId="1119FCA4" w:rsidR="008A3FE8" w:rsidRDefault="008A3FE8">
                                    <w:pPr>
                                      <w:pStyle w:val="NoSpacing"/>
                                      <w:jc w:val="right"/>
                                      <w:rPr>
                                        <w:caps/>
                                        <w:color w:val="0A1D30" w:themeColor="text2" w:themeShade="BF"/>
                                        <w:sz w:val="40"/>
                                        <w:szCs w:val="40"/>
                                      </w:rPr>
                                    </w:pPr>
                                    <w:r w:rsidRPr="008A3FE8">
                                      <w:rPr>
                                        <w:caps/>
                                        <w:color w:val="0A1D30" w:themeColor="text2" w:themeShade="BF"/>
                                        <w:sz w:val="24"/>
                                        <w:szCs w:val="24"/>
                                      </w:rPr>
                                      <w:t>November 19,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7222DF1E"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24"/>
                              <w:szCs w:val="24"/>
                            </w:rPr>
                            <w:alias w:val="Publish Date"/>
                            <w:tag w:val=""/>
                            <w:id w:val="400952559"/>
                            <w:dataBinding w:prefixMappings="xmlns:ns0='http://schemas.microsoft.com/office/2006/coverPageProps' " w:xpath="/ns0:CoverPageProperties[1]/ns0:PublishDate[1]" w:storeItemID="{55AF091B-3C7A-41E3-B477-F2FDAA23CFDA}"/>
                            <w:date w:fullDate="2024-11-19T00:00:00Z">
                              <w:dateFormat w:val="MMMM d, yyyy"/>
                              <w:lid w:val="en-US"/>
                              <w:storeMappedDataAs w:val="dateTime"/>
                              <w:calendar w:val="gregorian"/>
                            </w:date>
                          </w:sdtPr>
                          <w:sdtContent>
                            <w:p w14:paraId="7263C0BE" w14:textId="1119FCA4" w:rsidR="008A3FE8" w:rsidRDefault="008A3FE8">
                              <w:pPr>
                                <w:pStyle w:val="NoSpacing"/>
                                <w:jc w:val="right"/>
                                <w:rPr>
                                  <w:caps/>
                                  <w:color w:val="0A1D30" w:themeColor="text2" w:themeShade="BF"/>
                                  <w:sz w:val="40"/>
                                  <w:szCs w:val="40"/>
                                </w:rPr>
                              </w:pPr>
                              <w:r w:rsidRPr="008A3FE8">
                                <w:rPr>
                                  <w:caps/>
                                  <w:color w:val="0A1D30" w:themeColor="text2" w:themeShade="BF"/>
                                  <w:sz w:val="24"/>
                                  <w:szCs w:val="24"/>
                                </w:rPr>
                                <w:t>November 19, 2024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4E2A16F" wp14:editId="4557F0B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4960A2E" w14:textId="7D103D0D" w:rsidR="008A3FE8" w:rsidRDefault="008A3FE8">
                                    <w:pPr>
                                      <w:pStyle w:val="NoSpacing"/>
                                      <w:jc w:val="right"/>
                                      <w:rPr>
                                        <w:caps/>
                                        <w:color w:val="262626" w:themeColor="text1" w:themeTint="D9"/>
                                        <w:sz w:val="28"/>
                                        <w:szCs w:val="28"/>
                                      </w:rPr>
                                    </w:pPr>
                                    <w:r>
                                      <w:rPr>
                                        <w:caps/>
                                        <w:color w:val="262626" w:themeColor="text1" w:themeTint="D9"/>
                                        <w:sz w:val="28"/>
                                        <w:szCs w:val="28"/>
                                      </w:rPr>
                                      <w:t>Gareth Jenkins</w:t>
                                    </w:r>
                                  </w:p>
                                </w:sdtContent>
                              </w:sdt>
                              <w:p w14:paraId="1B1170E3" w14:textId="01F81576" w:rsidR="008A3FE8" w:rsidRDefault="008A3FE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Student number 99091195</w:t>
                                    </w:r>
                                  </w:sdtContent>
                                </w:sdt>
                              </w:p>
                              <w:p w14:paraId="072476B5" w14:textId="5391F451" w:rsidR="008A3FE8" w:rsidRDefault="008A3FE8">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44E2A16F"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4960A2E" w14:textId="7D103D0D" w:rsidR="008A3FE8" w:rsidRDefault="008A3FE8">
                              <w:pPr>
                                <w:pStyle w:val="NoSpacing"/>
                                <w:jc w:val="right"/>
                                <w:rPr>
                                  <w:caps/>
                                  <w:color w:val="262626" w:themeColor="text1" w:themeTint="D9"/>
                                  <w:sz w:val="28"/>
                                  <w:szCs w:val="28"/>
                                </w:rPr>
                              </w:pPr>
                              <w:r>
                                <w:rPr>
                                  <w:caps/>
                                  <w:color w:val="262626" w:themeColor="text1" w:themeTint="D9"/>
                                  <w:sz w:val="28"/>
                                  <w:szCs w:val="28"/>
                                </w:rPr>
                                <w:t>Gareth Jenkins</w:t>
                              </w:r>
                            </w:p>
                          </w:sdtContent>
                        </w:sdt>
                        <w:p w14:paraId="1B1170E3" w14:textId="01F81576" w:rsidR="008A3FE8" w:rsidRDefault="008A3FE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Student number 99091195</w:t>
                              </w:r>
                            </w:sdtContent>
                          </w:sdt>
                        </w:p>
                        <w:p w14:paraId="072476B5" w14:textId="5391F451" w:rsidR="008A3FE8" w:rsidRDefault="008A3FE8">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9B9C08B" wp14:editId="461C733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5928E" w14:textId="7F93EB6E" w:rsidR="008A3FE8" w:rsidRDefault="008A3FE8">
                                <w:pPr>
                                  <w:pStyle w:val="NoSpacing"/>
                                  <w:jc w:val="right"/>
                                  <w:rPr>
                                    <w:caps/>
                                    <w:color w:val="0A1D30" w:themeColor="text2" w:themeShade="BF"/>
                                    <w:sz w:val="52"/>
                                    <w:szCs w:val="52"/>
                                  </w:rPr>
                                </w:pPr>
                                <w:sdt>
                                  <w:sdtPr>
                                    <w:rPr>
                                      <w:caps/>
                                      <w:color w:val="0A1D30" w:themeColor="text2" w:themeShade="BF"/>
                                      <w:sz w:val="28"/>
                                      <w:szCs w:val="2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8A3FE8">
                                      <w:rPr>
                                        <w:caps/>
                                        <w:color w:val="0A1D30" w:themeColor="text2" w:themeShade="BF"/>
                                        <w:sz w:val="28"/>
                                        <w:szCs w:val="28"/>
                                      </w:rPr>
                                      <w:t>Review of Hinson, B. (2018). Children and materiality in Ancient Egypt. In É. Maynart, C. Velloza, &amp; R. Lemos (Eds.), Perspectives on materiality in ancient Egypt: Agency, Cultural Reproduction and Change (pp. 10–23).</w:t>
                                    </w:r>
                                  </w:sdtContent>
                                </w:sdt>
                              </w:p>
                              <w:sdt>
                                <w:sdtPr>
                                  <w:rPr>
                                    <w:smallCaps/>
                                    <w:color w:val="0E2841"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C744340" w14:textId="4DAC6D91" w:rsidR="008A3FE8" w:rsidRDefault="008A3FE8">
                                    <w:pPr>
                                      <w:pStyle w:val="NoSpacing"/>
                                      <w:jc w:val="right"/>
                                      <w:rPr>
                                        <w:smallCaps/>
                                        <w:color w:val="0E2841" w:themeColor="text2"/>
                                        <w:sz w:val="36"/>
                                        <w:szCs w:val="36"/>
                                      </w:rPr>
                                    </w:pPr>
                                    <w:r w:rsidRPr="008A3FE8">
                                      <w:rPr>
                                        <w:smallCaps/>
                                        <w:color w:val="0E2841" w:themeColor="text2"/>
                                        <w:sz w:val="28"/>
                                        <w:szCs w:val="28"/>
                                      </w:rPr>
                                      <w:t>thinking with things. hpan5013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9B9C08B"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7025928E" w14:textId="7F93EB6E" w:rsidR="008A3FE8" w:rsidRDefault="008A3FE8">
                          <w:pPr>
                            <w:pStyle w:val="NoSpacing"/>
                            <w:jc w:val="right"/>
                            <w:rPr>
                              <w:caps/>
                              <w:color w:val="0A1D30" w:themeColor="text2" w:themeShade="BF"/>
                              <w:sz w:val="52"/>
                              <w:szCs w:val="52"/>
                            </w:rPr>
                          </w:pPr>
                          <w:sdt>
                            <w:sdtPr>
                              <w:rPr>
                                <w:caps/>
                                <w:color w:val="0A1D30" w:themeColor="text2" w:themeShade="BF"/>
                                <w:sz w:val="28"/>
                                <w:szCs w:val="2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8A3FE8">
                                <w:rPr>
                                  <w:caps/>
                                  <w:color w:val="0A1D30" w:themeColor="text2" w:themeShade="BF"/>
                                  <w:sz w:val="28"/>
                                  <w:szCs w:val="28"/>
                                </w:rPr>
                                <w:t>Review of Hinson, B. (2018). Children and materiality in Ancient Egypt. In É. Maynart, C. Velloza, &amp; R. Lemos (Eds.), Perspectives on materiality in ancient Egypt: Agency, Cultural Reproduction and Change (pp. 10–23).</w:t>
                              </w:r>
                            </w:sdtContent>
                          </w:sdt>
                        </w:p>
                        <w:sdt>
                          <w:sdtPr>
                            <w:rPr>
                              <w:smallCaps/>
                              <w:color w:val="0E2841"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C744340" w14:textId="4DAC6D91" w:rsidR="008A3FE8" w:rsidRDefault="008A3FE8">
                              <w:pPr>
                                <w:pStyle w:val="NoSpacing"/>
                                <w:jc w:val="right"/>
                                <w:rPr>
                                  <w:smallCaps/>
                                  <w:color w:val="0E2841" w:themeColor="text2"/>
                                  <w:sz w:val="36"/>
                                  <w:szCs w:val="36"/>
                                </w:rPr>
                              </w:pPr>
                              <w:r w:rsidRPr="008A3FE8">
                                <w:rPr>
                                  <w:smallCaps/>
                                  <w:color w:val="0E2841" w:themeColor="text2"/>
                                  <w:sz w:val="28"/>
                                  <w:szCs w:val="28"/>
                                </w:rPr>
                                <w:t>thinking with things. hpan5013</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C7C8282" wp14:editId="5FA78F4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BB6F9F6"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rFonts w:ascii="Times New Roman" w:hAnsi="Times New Roman" w:cs="Times New Roman"/>
              <w:b/>
              <w:bCs/>
              <w:sz w:val="24"/>
              <w:szCs w:val="24"/>
            </w:rPr>
            <w:br w:type="page"/>
          </w:r>
        </w:p>
      </w:sdtContent>
    </w:sdt>
    <w:p w14:paraId="76553EC5" w14:textId="6D9DEA60" w:rsidR="001D7D4E" w:rsidRPr="00E077E4" w:rsidRDefault="006804B6">
      <w:pPr>
        <w:rPr>
          <w:rFonts w:ascii="Times New Roman" w:hAnsi="Times New Roman" w:cs="Times New Roman"/>
          <w:b/>
          <w:bCs/>
          <w:sz w:val="24"/>
          <w:szCs w:val="24"/>
        </w:rPr>
      </w:pPr>
      <w:bookmarkStart w:id="0" w:name="_Hlk182903996"/>
      <w:r w:rsidRPr="00E077E4">
        <w:rPr>
          <w:rFonts w:ascii="Times New Roman" w:hAnsi="Times New Roman" w:cs="Times New Roman"/>
          <w:b/>
          <w:bCs/>
          <w:sz w:val="24"/>
          <w:szCs w:val="24"/>
        </w:rPr>
        <w:lastRenderedPageBreak/>
        <w:t>Review of Hinson, B. (2018). Children and materiality in Ancient Egypt. In É. Maynart, C. Velloza, &amp; R. Lemos (Eds.), </w:t>
      </w:r>
      <w:r w:rsidRPr="00E077E4">
        <w:rPr>
          <w:rFonts w:ascii="Times New Roman" w:hAnsi="Times New Roman" w:cs="Times New Roman"/>
          <w:b/>
          <w:bCs/>
          <w:i/>
          <w:iCs/>
          <w:sz w:val="24"/>
          <w:szCs w:val="24"/>
        </w:rPr>
        <w:t>Perspectives on materiality in ancient Egypt: Agency, Cultural Reproduction and Change</w:t>
      </w:r>
      <w:r w:rsidRPr="00E077E4">
        <w:rPr>
          <w:rFonts w:ascii="Times New Roman" w:hAnsi="Times New Roman" w:cs="Times New Roman"/>
          <w:b/>
          <w:bCs/>
          <w:sz w:val="24"/>
          <w:szCs w:val="24"/>
        </w:rPr>
        <w:t> (pp. 10–23).</w:t>
      </w:r>
    </w:p>
    <w:bookmarkEnd w:id="0"/>
    <w:p w14:paraId="0B6A0673" w14:textId="4ABA5EE0" w:rsidR="006804B6" w:rsidRDefault="006804B6" w:rsidP="00E077E4">
      <w:pPr>
        <w:rPr>
          <w:rFonts w:ascii="Times New Roman" w:hAnsi="Times New Roman" w:cs="Times New Roman"/>
          <w:sz w:val="24"/>
          <w:szCs w:val="24"/>
        </w:rPr>
      </w:pPr>
      <w:r>
        <w:rPr>
          <w:rFonts w:ascii="Times New Roman" w:hAnsi="Times New Roman" w:cs="Times New Roman"/>
          <w:sz w:val="24"/>
          <w:szCs w:val="24"/>
        </w:rPr>
        <w:t>This article is one of nine papers from various scholars p</w:t>
      </w:r>
      <w:r w:rsidR="00E077E4">
        <w:rPr>
          <w:rFonts w:ascii="Times New Roman" w:hAnsi="Times New Roman" w:cs="Times New Roman"/>
          <w:sz w:val="24"/>
          <w:szCs w:val="24"/>
        </w:rPr>
        <w:t>resented</w:t>
      </w:r>
      <w:r>
        <w:rPr>
          <w:rFonts w:ascii="Times New Roman" w:hAnsi="Times New Roman" w:cs="Times New Roman"/>
          <w:sz w:val="24"/>
          <w:szCs w:val="24"/>
        </w:rPr>
        <w:t xml:space="preserve"> in an Archaeopress publication, </w:t>
      </w:r>
      <w:r w:rsidRPr="006804B6">
        <w:rPr>
          <w:rFonts w:ascii="Times New Roman" w:hAnsi="Times New Roman" w:cs="Times New Roman"/>
          <w:i/>
          <w:iCs/>
          <w:sz w:val="24"/>
          <w:szCs w:val="24"/>
        </w:rPr>
        <w:t>Perspectives on materiality in ancient Egypt – agency, cultural reproduction and change</w:t>
      </w:r>
      <w:r>
        <w:rPr>
          <w:rFonts w:ascii="Times New Roman" w:hAnsi="Times New Roman" w:cs="Times New Roman"/>
          <w:sz w:val="24"/>
          <w:szCs w:val="24"/>
        </w:rPr>
        <w:t>, an edited volume by Erika Maynart, Carolina Velloza and Rennan Lemos.</w:t>
      </w:r>
      <w:r w:rsidR="00E077E4">
        <w:rPr>
          <w:rFonts w:ascii="Times New Roman" w:hAnsi="Times New Roman" w:cs="Times New Roman"/>
          <w:sz w:val="24"/>
          <w:szCs w:val="24"/>
        </w:rPr>
        <w:t xml:space="preserve"> The author of this particular paper, </w:t>
      </w:r>
      <w:r w:rsidR="00E077E4" w:rsidRPr="00E077E4">
        <w:rPr>
          <w:rFonts w:ascii="Times New Roman" w:hAnsi="Times New Roman" w:cs="Times New Roman"/>
          <w:sz w:val="24"/>
          <w:szCs w:val="24"/>
        </w:rPr>
        <w:t>Benjamin Hinson received his PhD from the University of Cambridge. He is</w:t>
      </w:r>
      <w:r w:rsidR="00E077E4">
        <w:rPr>
          <w:rFonts w:ascii="Times New Roman" w:hAnsi="Times New Roman" w:cs="Times New Roman"/>
          <w:sz w:val="24"/>
          <w:szCs w:val="24"/>
        </w:rPr>
        <w:t xml:space="preserve"> </w:t>
      </w:r>
      <w:r w:rsidR="00E077E4" w:rsidRPr="00E077E4">
        <w:rPr>
          <w:rFonts w:ascii="Times New Roman" w:hAnsi="Times New Roman" w:cs="Times New Roman"/>
          <w:sz w:val="24"/>
          <w:szCs w:val="24"/>
        </w:rPr>
        <w:t>now assistant curator in the Asian Department of the Victoria and Albert Museum, London.</w:t>
      </w:r>
    </w:p>
    <w:p w14:paraId="70DFA7E1" w14:textId="46C39BA7" w:rsidR="007C4681" w:rsidRDefault="00E077E4" w:rsidP="007C4681">
      <w:pPr>
        <w:rPr>
          <w:rFonts w:ascii="Times New Roman" w:hAnsi="Times New Roman" w:cs="Times New Roman"/>
          <w:sz w:val="24"/>
          <w:szCs w:val="24"/>
        </w:rPr>
      </w:pPr>
      <w:r>
        <w:rPr>
          <w:rFonts w:ascii="Times New Roman" w:hAnsi="Times New Roman" w:cs="Times New Roman"/>
          <w:sz w:val="24"/>
          <w:szCs w:val="24"/>
        </w:rPr>
        <w:t>Hinson’s paper</w:t>
      </w:r>
      <w:r w:rsidR="001E727A">
        <w:rPr>
          <w:rFonts w:ascii="Times New Roman" w:hAnsi="Times New Roman" w:cs="Times New Roman"/>
          <w:sz w:val="24"/>
          <w:szCs w:val="24"/>
        </w:rPr>
        <w:t xml:space="preserve"> </w:t>
      </w:r>
      <w:r w:rsidR="001E727A" w:rsidRPr="001E727A">
        <w:rPr>
          <w:rFonts w:ascii="Times New Roman" w:hAnsi="Times New Roman" w:cs="Times New Roman"/>
          <w:sz w:val="24"/>
          <w:szCs w:val="24"/>
        </w:rPr>
        <w:t>examines the obstacles and approaches for researching the material culture of children in ancient Egypt, emphasising the need f</w:t>
      </w:r>
      <w:r w:rsidR="00C14ADA">
        <w:rPr>
          <w:rFonts w:ascii="Times New Roman" w:hAnsi="Times New Roman" w:cs="Times New Roman"/>
          <w:sz w:val="24"/>
          <w:szCs w:val="24"/>
        </w:rPr>
        <w:t>or</w:t>
      </w:r>
      <w:r w:rsidR="001E727A" w:rsidRPr="001E727A">
        <w:rPr>
          <w:rFonts w:ascii="Times New Roman" w:hAnsi="Times New Roman" w:cs="Times New Roman"/>
          <w:sz w:val="24"/>
          <w:szCs w:val="24"/>
        </w:rPr>
        <w:t xml:space="preserve"> </w:t>
      </w:r>
      <w:r w:rsidR="00E543C1">
        <w:rPr>
          <w:rFonts w:ascii="Times New Roman" w:hAnsi="Times New Roman" w:cs="Times New Roman"/>
          <w:sz w:val="24"/>
          <w:szCs w:val="24"/>
        </w:rPr>
        <w:t>refin</w:t>
      </w:r>
      <w:r w:rsidR="001E727A" w:rsidRPr="001E727A">
        <w:rPr>
          <w:rFonts w:ascii="Times New Roman" w:hAnsi="Times New Roman" w:cs="Times New Roman"/>
          <w:sz w:val="24"/>
          <w:szCs w:val="24"/>
        </w:rPr>
        <w:t>ed interpretation and future research options</w:t>
      </w:r>
      <w:r w:rsidR="001E727A">
        <w:rPr>
          <w:rFonts w:ascii="Times New Roman" w:hAnsi="Times New Roman" w:cs="Times New Roman"/>
          <w:sz w:val="24"/>
          <w:szCs w:val="24"/>
        </w:rPr>
        <w:t xml:space="preserve">. </w:t>
      </w:r>
      <w:r w:rsidR="001E727A" w:rsidRPr="001E727A">
        <w:rPr>
          <w:rFonts w:ascii="Times New Roman" w:hAnsi="Times New Roman" w:cs="Times New Roman"/>
          <w:sz w:val="24"/>
          <w:szCs w:val="24"/>
        </w:rPr>
        <w:t xml:space="preserve">Children </w:t>
      </w:r>
      <w:r w:rsidR="001E727A">
        <w:rPr>
          <w:rFonts w:ascii="Times New Roman" w:hAnsi="Times New Roman" w:cs="Times New Roman"/>
          <w:sz w:val="24"/>
          <w:szCs w:val="24"/>
        </w:rPr>
        <w:t xml:space="preserve">accounted for </w:t>
      </w:r>
      <w:r w:rsidR="001E727A" w:rsidRPr="001E727A">
        <w:rPr>
          <w:rFonts w:ascii="Times New Roman" w:hAnsi="Times New Roman" w:cs="Times New Roman"/>
          <w:sz w:val="24"/>
          <w:szCs w:val="24"/>
        </w:rPr>
        <w:t>at least half of most ancient communities, including Pharaonic Egypt, where families generally had 2-3 children at a time</w:t>
      </w:r>
      <w:r w:rsidR="001E727A">
        <w:rPr>
          <w:rFonts w:ascii="Times New Roman" w:hAnsi="Times New Roman" w:cs="Times New Roman"/>
          <w:sz w:val="24"/>
          <w:szCs w:val="24"/>
        </w:rPr>
        <w:t>.</w:t>
      </w:r>
      <w:r w:rsidR="007C4681">
        <w:rPr>
          <w:rFonts w:ascii="Times New Roman" w:hAnsi="Times New Roman" w:cs="Times New Roman"/>
          <w:sz w:val="24"/>
          <w:szCs w:val="24"/>
        </w:rPr>
        <w:t xml:space="preserve"> </w:t>
      </w:r>
      <w:r w:rsidR="00E543C1">
        <w:rPr>
          <w:rFonts w:ascii="Times New Roman" w:hAnsi="Times New Roman" w:cs="Times New Roman"/>
          <w:sz w:val="24"/>
          <w:szCs w:val="24"/>
        </w:rPr>
        <w:t>However, i</w:t>
      </w:r>
      <w:r w:rsidR="007C4681" w:rsidRPr="007C4681">
        <w:rPr>
          <w:rFonts w:ascii="Times New Roman" w:hAnsi="Times New Roman" w:cs="Times New Roman"/>
          <w:sz w:val="24"/>
          <w:szCs w:val="24"/>
        </w:rPr>
        <w:t>dentifying material evidence of children in ancient Egypt is challenging due to the lack of a distinct childhood culture, as they</w:t>
      </w:r>
      <w:r w:rsidR="00C14ADA">
        <w:rPr>
          <w:rFonts w:ascii="Times New Roman" w:hAnsi="Times New Roman" w:cs="Times New Roman"/>
          <w:sz w:val="24"/>
          <w:szCs w:val="24"/>
        </w:rPr>
        <w:t xml:space="preserve"> usually</w:t>
      </w:r>
      <w:r w:rsidR="007C4681" w:rsidRPr="007C4681">
        <w:rPr>
          <w:rFonts w:ascii="Times New Roman" w:hAnsi="Times New Roman" w:cs="Times New Roman"/>
          <w:sz w:val="24"/>
          <w:szCs w:val="24"/>
        </w:rPr>
        <w:t xml:space="preserve"> interacted with the same material environment as adults.</w:t>
      </w:r>
    </w:p>
    <w:p w14:paraId="115E4DF2" w14:textId="14463AC3" w:rsidR="00D837AD" w:rsidRDefault="00D837AD" w:rsidP="007C4681">
      <w:pPr>
        <w:rPr>
          <w:rFonts w:ascii="Times New Roman" w:hAnsi="Times New Roman" w:cs="Times New Roman"/>
          <w:sz w:val="24"/>
          <w:szCs w:val="24"/>
        </w:rPr>
      </w:pPr>
      <w:r>
        <w:rPr>
          <w:rFonts w:ascii="Times New Roman" w:hAnsi="Times New Roman" w:cs="Times New Roman"/>
          <w:sz w:val="24"/>
          <w:szCs w:val="24"/>
        </w:rPr>
        <w:t xml:space="preserve">In order to progress his </w:t>
      </w:r>
      <w:r w:rsidR="00E2589A">
        <w:rPr>
          <w:rFonts w:ascii="Times New Roman" w:hAnsi="Times New Roman" w:cs="Times New Roman"/>
          <w:sz w:val="24"/>
          <w:szCs w:val="24"/>
        </w:rPr>
        <w:t>theory</w:t>
      </w:r>
      <w:r>
        <w:rPr>
          <w:rFonts w:ascii="Times New Roman" w:hAnsi="Times New Roman" w:cs="Times New Roman"/>
          <w:sz w:val="24"/>
          <w:szCs w:val="24"/>
        </w:rPr>
        <w:t>, the author provides an initial discussion of childhood</w:t>
      </w:r>
      <w:r w:rsidR="006A6B99">
        <w:rPr>
          <w:rFonts w:ascii="Times New Roman" w:hAnsi="Times New Roman" w:cs="Times New Roman"/>
          <w:sz w:val="24"/>
          <w:szCs w:val="24"/>
        </w:rPr>
        <w:t>. What it means to be a child</w:t>
      </w:r>
      <w:r w:rsidR="00AD4F24">
        <w:rPr>
          <w:rFonts w:ascii="Times New Roman" w:hAnsi="Times New Roman" w:cs="Times New Roman"/>
          <w:sz w:val="24"/>
          <w:szCs w:val="24"/>
        </w:rPr>
        <w:t>, how a child’</w:t>
      </w:r>
      <w:r w:rsidR="00AB1ECB">
        <w:rPr>
          <w:rFonts w:ascii="Times New Roman" w:hAnsi="Times New Roman" w:cs="Times New Roman"/>
          <w:sz w:val="24"/>
          <w:szCs w:val="24"/>
        </w:rPr>
        <w:t>s</w:t>
      </w:r>
      <w:r w:rsidR="00AD4F24">
        <w:rPr>
          <w:rFonts w:ascii="Times New Roman" w:hAnsi="Times New Roman" w:cs="Times New Roman"/>
          <w:sz w:val="24"/>
          <w:szCs w:val="24"/>
        </w:rPr>
        <w:t xml:space="preserve"> experiences differ distinctly from an adult. He argues that childhood is a unique social construct, which is</w:t>
      </w:r>
      <w:r w:rsidR="00AD4F24" w:rsidRPr="00AD4F24">
        <w:rPr>
          <w:rFonts w:ascii="Times New Roman" w:hAnsi="Times New Roman" w:cs="Times New Roman"/>
          <w:sz w:val="24"/>
          <w:szCs w:val="24"/>
        </w:rPr>
        <w:t xml:space="preserve"> culturally distinctive and hence has diverse meanings across </w:t>
      </w:r>
      <w:r w:rsidR="00AB1ECB">
        <w:rPr>
          <w:rFonts w:ascii="Times New Roman" w:hAnsi="Times New Roman" w:cs="Times New Roman"/>
          <w:sz w:val="24"/>
          <w:szCs w:val="24"/>
        </w:rPr>
        <w:t xml:space="preserve">different </w:t>
      </w:r>
      <w:r w:rsidR="00AD4F24" w:rsidRPr="00AD4F24">
        <w:rPr>
          <w:rFonts w:ascii="Times New Roman" w:hAnsi="Times New Roman" w:cs="Times New Roman"/>
          <w:sz w:val="24"/>
          <w:szCs w:val="24"/>
        </w:rPr>
        <w:t>cultures.</w:t>
      </w:r>
      <w:r w:rsidR="00AD4F24">
        <w:rPr>
          <w:rFonts w:ascii="Times New Roman" w:hAnsi="Times New Roman" w:cs="Times New Roman"/>
          <w:sz w:val="24"/>
          <w:szCs w:val="24"/>
        </w:rPr>
        <w:t xml:space="preserve"> Modern interpretation of childhood is biased upon </w:t>
      </w:r>
      <w:r w:rsidR="00E2589A">
        <w:rPr>
          <w:rFonts w:ascii="Times New Roman" w:hAnsi="Times New Roman" w:cs="Times New Roman"/>
          <w:sz w:val="24"/>
          <w:szCs w:val="24"/>
        </w:rPr>
        <w:t>W</w:t>
      </w:r>
      <w:r w:rsidR="00AD4F24">
        <w:rPr>
          <w:rFonts w:ascii="Times New Roman" w:hAnsi="Times New Roman" w:cs="Times New Roman"/>
          <w:sz w:val="24"/>
          <w:szCs w:val="24"/>
        </w:rPr>
        <w:t>estern ideals.</w:t>
      </w:r>
    </w:p>
    <w:p w14:paraId="41990FE5" w14:textId="296E9380" w:rsidR="00AD4F24" w:rsidRDefault="00FB1B29" w:rsidP="007C4681">
      <w:pPr>
        <w:rPr>
          <w:rFonts w:ascii="Times New Roman" w:hAnsi="Times New Roman" w:cs="Times New Roman"/>
          <w:sz w:val="24"/>
          <w:szCs w:val="24"/>
        </w:rPr>
      </w:pPr>
      <w:r>
        <w:rPr>
          <w:rFonts w:ascii="Times New Roman" w:hAnsi="Times New Roman" w:cs="Times New Roman"/>
          <w:sz w:val="24"/>
          <w:szCs w:val="24"/>
        </w:rPr>
        <w:t>The author claims that a</w:t>
      </w:r>
      <w:r w:rsidR="007C4681" w:rsidRPr="007C4681">
        <w:rPr>
          <w:rFonts w:ascii="Times New Roman" w:hAnsi="Times New Roman" w:cs="Times New Roman"/>
          <w:sz w:val="24"/>
          <w:szCs w:val="24"/>
        </w:rPr>
        <w:t>rchaeological interpretations</w:t>
      </w:r>
      <w:r w:rsidR="00E2589A">
        <w:rPr>
          <w:rFonts w:ascii="Times New Roman" w:hAnsi="Times New Roman" w:cs="Times New Roman"/>
          <w:sz w:val="24"/>
          <w:szCs w:val="24"/>
        </w:rPr>
        <w:t xml:space="preserve"> of ancient Egypt</w:t>
      </w:r>
      <w:r w:rsidR="007C4681" w:rsidRPr="007C4681">
        <w:rPr>
          <w:rFonts w:ascii="Times New Roman" w:hAnsi="Times New Roman" w:cs="Times New Roman"/>
          <w:sz w:val="24"/>
          <w:szCs w:val="24"/>
        </w:rPr>
        <w:t xml:space="preserve"> have</w:t>
      </w:r>
      <w:r w:rsidR="00AB1ECB">
        <w:rPr>
          <w:rFonts w:ascii="Times New Roman" w:hAnsi="Times New Roman" w:cs="Times New Roman"/>
          <w:sz w:val="24"/>
          <w:szCs w:val="24"/>
        </w:rPr>
        <w:t xml:space="preserve"> also</w:t>
      </w:r>
      <w:r w:rsidR="007C4681" w:rsidRPr="007C4681">
        <w:rPr>
          <w:rFonts w:ascii="Times New Roman" w:hAnsi="Times New Roman" w:cs="Times New Roman"/>
          <w:sz w:val="24"/>
          <w:szCs w:val="24"/>
        </w:rPr>
        <w:t xml:space="preserve"> been impacted by current Western concepts of childhood, resulting in misidentification of objects as toys because to their size, crudeness, or visual similarity to modern playthings.</w:t>
      </w:r>
      <w:r w:rsidR="007C4681">
        <w:rPr>
          <w:rFonts w:ascii="Times New Roman" w:hAnsi="Times New Roman" w:cs="Times New Roman"/>
          <w:sz w:val="24"/>
          <w:szCs w:val="24"/>
        </w:rPr>
        <w:t xml:space="preserve"> </w:t>
      </w:r>
      <w:r w:rsidR="00AD4F24">
        <w:rPr>
          <w:rFonts w:ascii="Times New Roman" w:hAnsi="Times New Roman" w:cs="Times New Roman"/>
          <w:sz w:val="24"/>
          <w:szCs w:val="24"/>
        </w:rPr>
        <w:t>He refers specifically to the work of early pioneers in archaeology such as Flinders Petrie who interpret</w:t>
      </w:r>
      <w:r w:rsidR="00AB1ECB">
        <w:rPr>
          <w:rFonts w:ascii="Times New Roman" w:hAnsi="Times New Roman" w:cs="Times New Roman"/>
          <w:sz w:val="24"/>
          <w:szCs w:val="24"/>
        </w:rPr>
        <w:t>ed certain</w:t>
      </w:r>
      <w:r w:rsidR="00AD4F24">
        <w:rPr>
          <w:rFonts w:ascii="Times New Roman" w:hAnsi="Times New Roman" w:cs="Times New Roman"/>
          <w:sz w:val="24"/>
          <w:szCs w:val="24"/>
        </w:rPr>
        <w:t xml:space="preserve"> artefacts at Lahun and Naqada as toys because of their similarities to toys of </w:t>
      </w:r>
      <w:r w:rsidR="00E2589A">
        <w:rPr>
          <w:rFonts w:ascii="Times New Roman" w:hAnsi="Times New Roman" w:cs="Times New Roman"/>
          <w:sz w:val="24"/>
          <w:szCs w:val="24"/>
        </w:rPr>
        <w:t>his</w:t>
      </w:r>
      <w:r w:rsidR="00AD4F24">
        <w:rPr>
          <w:rFonts w:ascii="Times New Roman" w:hAnsi="Times New Roman" w:cs="Times New Roman"/>
          <w:sz w:val="24"/>
          <w:szCs w:val="24"/>
        </w:rPr>
        <w:t xml:space="preserve"> era.</w:t>
      </w:r>
    </w:p>
    <w:p w14:paraId="0AEFCEDC" w14:textId="6A8C14E3" w:rsidR="00E15AF8" w:rsidRDefault="00AB1ECB" w:rsidP="007C4681">
      <w:pPr>
        <w:rPr>
          <w:rFonts w:ascii="Times New Roman" w:hAnsi="Times New Roman" w:cs="Times New Roman"/>
          <w:sz w:val="24"/>
          <w:szCs w:val="24"/>
        </w:rPr>
      </w:pPr>
      <w:r>
        <w:rPr>
          <w:rFonts w:ascii="Times New Roman" w:hAnsi="Times New Roman" w:cs="Times New Roman"/>
          <w:sz w:val="24"/>
          <w:szCs w:val="24"/>
        </w:rPr>
        <w:t xml:space="preserve">The author discusses items found in children’s graves that have been interpreted as </w:t>
      </w:r>
      <w:r w:rsidR="00E15AF8">
        <w:rPr>
          <w:rFonts w:ascii="Times New Roman" w:hAnsi="Times New Roman" w:cs="Times New Roman"/>
          <w:sz w:val="24"/>
          <w:szCs w:val="24"/>
        </w:rPr>
        <w:t>toys</w:t>
      </w:r>
      <w:r w:rsidR="00B850AA">
        <w:rPr>
          <w:rFonts w:ascii="Times New Roman" w:hAnsi="Times New Roman" w:cs="Times New Roman"/>
          <w:sz w:val="24"/>
          <w:szCs w:val="24"/>
        </w:rPr>
        <w:t>. He</w:t>
      </w:r>
      <w:r>
        <w:rPr>
          <w:rFonts w:ascii="Times New Roman" w:hAnsi="Times New Roman" w:cs="Times New Roman"/>
          <w:sz w:val="24"/>
          <w:szCs w:val="24"/>
        </w:rPr>
        <w:t xml:space="preserve"> questions the interpretation of female figurines </w:t>
      </w:r>
      <w:r w:rsidR="00E2589A">
        <w:rPr>
          <w:rFonts w:ascii="Times New Roman" w:hAnsi="Times New Roman" w:cs="Times New Roman"/>
          <w:sz w:val="24"/>
          <w:szCs w:val="24"/>
        </w:rPr>
        <w:t xml:space="preserve">which are classed </w:t>
      </w:r>
      <w:r>
        <w:rPr>
          <w:rFonts w:ascii="Times New Roman" w:hAnsi="Times New Roman" w:cs="Times New Roman"/>
          <w:sz w:val="24"/>
          <w:szCs w:val="24"/>
        </w:rPr>
        <w:t xml:space="preserve">as toys in child graves but as concubines when </w:t>
      </w:r>
      <w:r w:rsidR="00E2589A">
        <w:rPr>
          <w:rFonts w:ascii="Times New Roman" w:hAnsi="Times New Roman" w:cs="Times New Roman"/>
          <w:sz w:val="24"/>
          <w:szCs w:val="24"/>
        </w:rPr>
        <w:t>in</w:t>
      </w:r>
      <w:r>
        <w:rPr>
          <w:rFonts w:ascii="Times New Roman" w:hAnsi="Times New Roman" w:cs="Times New Roman"/>
          <w:sz w:val="24"/>
          <w:szCs w:val="24"/>
        </w:rPr>
        <w:t xml:space="preserve"> adult</w:t>
      </w:r>
      <w:r w:rsidR="00E2589A">
        <w:rPr>
          <w:rFonts w:ascii="Times New Roman" w:hAnsi="Times New Roman" w:cs="Times New Roman"/>
          <w:sz w:val="24"/>
          <w:szCs w:val="24"/>
        </w:rPr>
        <w:t xml:space="preserve"> graves</w:t>
      </w:r>
      <w:r>
        <w:rPr>
          <w:rFonts w:ascii="Times New Roman" w:hAnsi="Times New Roman" w:cs="Times New Roman"/>
          <w:sz w:val="24"/>
          <w:szCs w:val="24"/>
        </w:rPr>
        <w:t>.</w:t>
      </w:r>
      <w:r w:rsidR="00E15AF8">
        <w:rPr>
          <w:rFonts w:ascii="Times New Roman" w:hAnsi="Times New Roman" w:cs="Times New Roman"/>
          <w:sz w:val="24"/>
          <w:szCs w:val="24"/>
        </w:rPr>
        <w:t xml:space="preserve"> </w:t>
      </w:r>
      <w:r w:rsidR="00E15AF8" w:rsidRPr="00E15AF8">
        <w:rPr>
          <w:rFonts w:ascii="Times New Roman" w:hAnsi="Times New Roman" w:cs="Times New Roman"/>
          <w:sz w:val="24"/>
          <w:szCs w:val="24"/>
        </w:rPr>
        <w:t xml:space="preserve">This implies that the identification of </w:t>
      </w:r>
      <w:r w:rsidR="00E15AF8">
        <w:rPr>
          <w:rFonts w:ascii="Times New Roman" w:hAnsi="Times New Roman" w:cs="Times New Roman"/>
          <w:sz w:val="24"/>
          <w:szCs w:val="24"/>
        </w:rPr>
        <w:t>artefacts</w:t>
      </w:r>
      <w:r w:rsidR="00E15AF8" w:rsidRPr="00E15AF8">
        <w:rPr>
          <w:rFonts w:ascii="Times New Roman" w:hAnsi="Times New Roman" w:cs="Times New Roman"/>
          <w:sz w:val="24"/>
          <w:szCs w:val="24"/>
        </w:rPr>
        <w:t xml:space="preserve"> as belonging to children is typically based only on morphology. </w:t>
      </w:r>
      <w:r w:rsidR="00E15AF8">
        <w:rPr>
          <w:rFonts w:ascii="Times New Roman" w:hAnsi="Times New Roman" w:cs="Times New Roman"/>
          <w:sz w:val="24"/>
          <w:szCs w:val="24"/>
        </w:rPr>
        <w:t xml:space="preserve">He also argues that material found in child graves are usually put there by an adult, usually a parent, and that it may not be representative of the child’s earthly belongings. </w:t>
      </w:r>
      <w:r w:rsidR="00BB26DB">
        <w:rPr>
          <w:rFonts w:ascii="Times New Roman" w:hAnsi="Times New Roman" w:cs="Times New Roman"/>
          <w:sz w:val="24"/>
          <w:szCs w:val="24"/>
        </w:rPr>
        <w:t>N</w:t>
      </w:r>
      <w:r w:rsidR="00E15AF8" w:rsidRPr="00E15AF8">
        <w:rPr>
          <w:rFonts w:ascii="Times New Roman" w:hAnsi="Times New Roman" w:cs="Times New Roman"/>
          <w:sz w:val="24"/>
          <w:szCs w:val="24"/>
        </w:rPr>
        <w:t xml:space="preserve">ew re-evaluations suggest they may have had ceremonial or other purposes. </w:t>
      </w:r>
    </w:p>
    <w:p w14:paraId="281F71C4" w14:textId="77777777" w:rsidR="00BB26DB" w:rsidRPr="00BB26DB" w:rsidRDefault="00BB26DB" w:rsidP="00BB26DB">
      <w:pPr>
        <w:rPr>
          <w:rFonts w:ascii="Times New Roman" w:hAnsi="Times New Roman" w:cs="Times New Roman"/>
          <w:sz w:val="24"/>
          <w:szCs w:val="24"/>
        </w:rPr>
      </w:pPr>
      <w:r w:rsidRPr="00BB26DB">
        <w:rPr>
          <w:rFonts w:ascii="Times New Roman" w:hAnsi="Times New Roman" w:cs="Times New Roman"/>
          <w:sz w:val="24"/>
          <w:szCs w:val="24"/>
        </w:rPr>
        <w:t>The author believes that exploring peer-structured activities and reusing adult materials for play is crucial for understanding children's material culture. Also, that the study of children's materiality in ancient Egypt necessitates a shift in archaeological approaches to incorporate children in interpretations and challenge outdated preconceptions. The author makes it clear that to understand the materiality of children in ancient Egypt we must firstly understand what childhood meant to the Egyptians. Future study should examine the social conditions that influenced children's experiences, considering differences in class, gender, and age groups.</w:t>
      </w:r>
    </w:p>
    <w:p w14:paraId="595C3A5A" w14:textId="77777777" w:rsidR="00BB26DB" w:rsidRPr="00BB26DB" w:rsidRDefault="00BB26DB" w:rsidP="00BB26DB">
      <w:pPr>
        <w:rPr>
          <w:rFonts w:ascii="Times New Roman" w:hAnsi="Times New Roman" w:cs="Times New Roman"/>
          <w:sz w:val="24"/>
          <w:szCs w:val="24"/>
        </w:rPr>
      </w:pPr>
    </w:p>
    <w:p w14:paraId="4F9AEA40" w14:textId="7087C859" w:rsidR="00E15AF8" w:rsidRDefault="00E274E2" w:rsidP="007C4681">
      <w:pPr>
        <w:rPr>
          <w:rFonts w:ascii="Times New Roman" w:hAnsi="Times New Roman" w:cs="Times New Roman"/>
          <w:sz w:val="24"/>
          <w:szCs w:val="24"/>
        </w:rPr>
      </w:pPr>
      <w:r>
        <w:rPr>
          <w:rFonts w:ascii="Times New Roman" w:hAnsi="Times New Roman" w:cs="Times New Roman"/>
          <w:sz w:val="24"/>
          <w:szCs w:val="24"/>
        </w:rPr>
        <w:lastRenderedPageBreak/>
        <w:t>He argues that c</w:t>
      </w:r>
      <w:r w:rsidR="00E15AF8" w:rsidRPr="00E15AF8">
        <w:rPr>
          <w:rFonts w:ascii="Times New Roman" w:hAnsi="Times New Roman" w:cs="Times New Roman"/>
          <w:sz w:val="24"/>
          <w:szCs w:val="24"/>
        </w:rPr>
        <w:t xml:space="preserve">hildren's materiality should be viewed as part of broader social practices, such as craft activities and home rituals, rather than a distinct world. </w:t>
      </w:r>
      <w:r w:rsidR="00BB26DB">
        <w:rPr>
          <w:rFonts w:ascii="Times New Roman" w:hAnsi="Times New Roman" w:cs="Times New Roman"/>
          <w:sz w:val="24"/>
          <w:szCs w:val="24"/>
        </w:rPr>
        <w:t xml:space="preserve">He examines the example of pottery production and the work of Kemp et al. </w:t>
      </w:r>
      <w:r w:rsidR="00117C40">
        <w:rPr>
          <w:rFonts w:ascii="Times New Roman" w:hAnsi="Times New Roman" w:cs="Times New Roman"/>
          <w:sz w:val="24"/>
          <w:szCs w:val="24"/>
        </w:rPr>
        <w:t>(</w:t>
      </w:r>
      <w:r w:rsidR="00BB26DB">
        <w:rPr>
          <w:rFonts w:ascii="Times New Roman" w:hAnsi="Times New Roman" w:cs="Times New Roman"/>
          <w:sz w:val="24"/>
          <w:szCs w:val="24"/>
        </w:rPr>
        <w:t>1999</w:t>
      </w:r>
      <w:r w:rsidR="00117C40">
        <w:rPr>
          <w:rFonts w:ascii="Times New Roman" w:hAnsi="Times New Roman" w:cs="Times New Roman"/>
          <w:sz w:val="24"/>
          <w:szCs w:val="24"/>
        </w:rPr>
        <w:t>)</w:t>
      </w:r>
      <w:r w:rsidR="00BB26DB">
        <w:rPr>
          <w:rFonts w:ascii="Times New Roman" w:hAnsi="Times New Roman" w:cs="Times New Roman"/>
          <w:sz w:val="24"/>
          <w:szCs w:val="24"/>
        </w:rPr>
        <w:t xml:space="preserve">; Minar and Crown, </w:t>
      </w:r>
      <w:r w:rsidR="00117C40">
        <w:rPr>
          <w:rFonts w:ascii="Times New Roman" w:hAnsi="Times New Roman" w:cs="Times New Roman"/>
          <w:sz w:val="24"/>
          <w:szCs w:val="24"/>
        </w:rPr>
        <w:t>(</w:t>
      </w:r>
      <w:r w:rsidR="00BB26DB">
        <w:rPr>
          <w:rFonts w:ascii="Times New Roman" w:hAnsi="Times New Roman" w:cs="Times New Roman"/>
          <w:sz w:val="24"/>
          <w:szCs w:val="24"/>
        </w:rPr>
        <w:t>2001</w:t>
      </w:r>
      <w:r w:rsidR="00117C40">
        <w:rPr>
          <w:rFonts w:ascii="Times New Roman" w:hAnsi="Times New Roman" w:cs="Times New Roman"/>
          <w:sz w:val="24"/>
          <w:szCs w:val="24"/>
        </w:rPr>
        <w:t>)</w:t>
      </w:r>
      <w:r w:rsidR="00BB26DB">
        <w:rPr>
          <w:rFonts w:ascii="Times New Roman" w:hAnsi="Times New Roman" w:cs="Times New Roman"/>
          <w:sz w:val="24"/>
          <w:szCs w:val="24"/>
        </w:rPr>
        <w:t xml:space="preserve">; and Bagwell, </w:t>
      </w:r>
      <w:r w:rsidR="00117C40">
        <w:rPr>
          <w:rFonts w:ascii="Times New Roman" w:hAnsi="Times New Roman" w:cs="Times New Roman"/>
          <w:sz w:val="24"/>
          <w:szCs w:val="24"/>
        </w:rPr>
        <w:t>(</w:t>
      </w:r>
      <w:r w:rsidR="00BB26DB">
        <w:rPr>
          <w:rFonts w:ascii="Times New Roman" w:hAnsi="Times New Roman" w:cs="Times New Roman"/>
          <w:sz w:val="24"/>
          <w:szCs w:val="24"/>
        </w:rPr>
        <w:t>2002</w:t>
      </w:r>
      <w:r>
        <w:rPr>
          <w:rFonts w:ascii="Times New Roman" w:hAnsi="Times New Roman" w:cs="Times New Roman"/>
          <w:sz w:val="24"/>
          <w:szCs w:val="24"/>
        </w:rPr>
        <w:t>)</w:t>
      </w:r>
      <w:r w:rsidR="00BB26DB">
        <w:rPr>
          <w:rFonts w:ascii="Times New Roman" w:hAnsi="Times New Roman" w:cs="Times New Roman"/>
          <w:sz w:val="24"/>
          <w:szCs w:val="24"/>
        </w:rPr>
        <w:t>, which are</w:t>
      </w:r>
      <w:r w:rsidR="00BB26DB" w:rsidRPr="00BB26DB">
        <w:rPr>
          <w:rFonts w:ascii="Times New Roman" w:eastAsia="Times New Roman" w:hAnsi="Times New Roman" w:cs="Times New Roman"/>
          <w:sz w:val="24"/>
          <w:szCs w:val="24"/>
          <w:lang w:eastAsia="en-GB"/>
        </w:rPr>
        <w:t xml:space="preserve"> </w:t>
      </w:r>
      <w:r w:rsidR="00BB26DB" w:rsidRPr="00BB26DB">
        <w:rPr>
          <w:rFonts w:ascii="Times New Roman" w:hAnsi="Times New Roman" w:cs="Times New Roman"/>
          <w:sz w:val="24"/>
          <w:szCs w:val="24"/>
        </w:rPr>
        <w:t>based on cognitive-development theories of skill learning.</w:t>
      </w:r>
      <w:r>
        <w:rPr>
          <w:rFonts w:ascii="Times New Roman" w:hAnsi="Times New Roman" w:cs="Times New Roman"/>
          <w:sz w:val="24"/>
          <w:szCs w:val="24"/>
        </w:rPr>
        <w:t xml:space="preserve"> Children’s participation i</w:t>
      </w:r>
      <w:r w:rsidR="00E2589A">
        <w:rPr>
          <w:rFonts w:ascii="Times New Roman" w:hAnsi="Times New Roman" w:cs="Times New Roman"/>
          <w:sz w:val="24"/>
          <w:szCs w:val="24"/>
        </w:rPr>
        <w:t>n</w:t>
      </w:r>
      <w:r>
        <w:rPr>
          <w:rFonts w:ascii="Times New Roman" w:hAnsi="Times New Roman" w:cs="Times New Roman"/>
          <w:sz w:val="24"/>
          <w:szCs w:val="24"/>
        </w:rPr>
        <w:t xml:space="preserve"> pottery production may form part of education, training, trial and error, play, and self-determination but with the constant engagement of adult material.</w:t>
      </w:r>
      <w:r w:rsidR="005C3292">
        <w:rPr>
          <w:rFonts w:ascii="Times New Roman" w:hAnsi="Times New Roman" w:cs="Times New Roman"/>
          <w:sz w:val="24"/>
          <w:szCs w:val="24"/>
        </w:rPr>
        <w:t xml:space="preserve"> </w:t>
      </w:r>
      <w:r>
        <w:rPr>
          <w:rFonts w:ascii="Times New Roman" w:hAnsi="Times New Roman" w:cs="Times New Roman"/>
          <w:sz w:val="24"/>
          <w:szCs w:val="24"/>
        </w:rPr>
        <w:t>Other social activities may have</w:t>
      </w:r>
      <w:r w:rsidR="005C3292">
        <w:rPr>
          <w:rFonts w:ascii="Times New Roman" w:hAnsi="Times New Roman" w:cs="Times New Roman"/>
          <w:sz w:val="24"/>
          <w:szCs w:val="24"/>
        </w:rPr>
        <w:t xml:space="preserve"> included ritual practices. There is textual evidence of the  presence of children at ritual activities.</w:t>
      </w:r>
    </w:p>
    <w:p w14:paraId="4799FB33" w14:textId="1CE77778" w:rsidR="001E39A9" w:rsidRDefault="005C3292" w:rsidP="001E39A9">
      <w:pPr>
        <w:rPr>
          <w:rFonts w:ascii="Times New Roman" w:hAnsi="Times New Roman" w:cs="Times New Roman"/>
          <w:sz w:val="24"/>
          <w:szCs w:val="24"/>
        </w:rPr>
      </w:pPr>
      <w:r>
        <w:rPr>
          <w:rFonts w:ascii="Times New Roman" w:hAnsi="Times New Roman" w:cs="Times New Roman"/>
          <w:sz w:val="24"/>
          <w:szCs w:val="24"/>
        </w:rPr>
        <w:t>The author then suggests that consideration should also be given to a child’s i</w:t>
      </w:r>
      <w:r w:rsidRPr="005C3292">
        <w:rPr>
          <w:rFonts w:ascii="Times New Roman" w:hAnsi="Times New Roman" w:cs="Times New Roman"/>
          <w:sz w:val="24"/>
          <w:szCs w:val="24"/>
        </w:rPr>
        <w:t xml:space="preserve">ndependent </w:t>
      </w:r>
      <w:r w:rsidR="00117C40">
        <w:rPr>
          <w:rFonts w:ascii="Times New Roman" w:hAnsi="Times New Roman" w:cs="Times New Roman"/>
          <w:sz w:val="24"/>
          <w:szCs w:val="24"/>
        </w:rPr>
        <w:t>pursuits</w:t>
      </w:r>
      <w:r w:rsidRPr="005C3292">
        <w:rPr>
          <w:rFonts w:ascii="Times New Roman" w:hAnsi="Times New Roman" w:cs="Times New Roman"/>
          <w:sz w:val="24"/>
          <w:szCs w:val="24"/>
        </w:rPr>
        <w:t xml:space="preserve"> and the tangible evidence they may leave</w:t>
      </w:r>
      <w:r w:rsidR="00117C40">
        <w:rPr>
          <w:rFonts w:ascii="Times New Roman" w:hAnsi="Times New Roman" w:cs="Times New Roman"/>
          <w:sz w:val="24"/>
          <w:szCs w:val="24"/>
        </w:rPr>
        <w:t xml:space="preserve">. </w:t>
      </w:r>
      <w:r w:rsidR="00117C40" w:rsidRPr="00117C40">
        <w:rPr>
          <w:rFonts w:ascii="Times New Roman" w:hAnsi="Times New Roman" w:cs="Times New Roman"/>
          <w:sz w:val="24"/>
          <w:szCs w:val="24"/>
        </w:rPr>
        <w:t>Play is f</w:t>
      </w:r>
      <w:r w:rsidR="00840ED0">
        <w:rPr>
          <w:rFonts w:ascii="Times New Roman" w:hAnsi="Times New Roman" w:cs="Times New Roman"/>
          <w:sz w:val="24"/>
          <w:szCs w:val="24"/>
        </w:rPr>
        <w:t>a</w:t>
      </w:r>
      <w:r w:rsidR="00117C40" w:rsidRPr="00117C40">
        <w:rPr>
          <w:rFonts w:ascii="Times New Roman" w:hAnsi="Times New Roman" w:cs="Times New Roman"/>
          <w:sz w:val="24"/>
          <w:szCs w:val="24"/>
        </w:rPr>
        <w:t xml:space="preserve">r more than simply </w:t>
      </w:r>
      <w:r w:rsidR="00117C40">
        <w:rPr>
          <w:rFonts w:ascii="Times New Roman" w:hAnsi="Times New Roman" w:cs="Times New Roman"/>
          <w:sz w:val="24"/>
          <w:szCs w:val="24"/>
        </w:rPr>
        <w:t xml:space="preserve">a diversion </w:t>
      </w:r>
      <w:r w:rsidR="00117C40" w:rsidRPr="00117C40">
        <w:rPr>
          <w:rFonts w:ascii="Times New Roman" w:hAnsi="Times New Roman" w:cs="Times New Roman"/>
          <w:sz w:val="24"/>
          <w:szCs w:val="24"/>
        </w:rPr>
        <w:t>it</w:t>
      </w:r>
      <w:r w:rsidR="00117C40">
        <w:rPr>
          <w:rFonts w:ascii="Times New Roman" w:hAnsi="Times New Roman" w:cs="Times New Roman"/>
          <w:sz w:val="24"/>
          <w:szCs w:val="24"/>
        </w:rPr>
        <w:t xml:space="preserve"> i</w:t>
      </w:r>
      <w:r w:rsidR="00117C40" w:rsidRPr="00117C40">
        <w:rPr>
          <w:rFonts w:ascii="Times New Roman" w:hAnsi="Times New Roman" w:cs="Times New Roman"/>
          <w:sz w:val="24"/>
          <w:szCs w:val="24"/>
        </w:rPr>
        <w:t>s also about copying and honing skills for later life.</w:t>
      </w:r>
      <w:r w:rsidR="00117C40">
        <w:rPr>
          <w:rFonts w:ascii="Times New Roman" w:hAnsi="Times New Roman" w:cs="Times New Roman"/>
          <w:sz w:val="24"/>
          <w:szCs w:val="24"/>
        </w:rPr>
        <w:t xml:space="preserve"> </w:t>
      </w:r>
      <w:r w:rsidR="008A5B8F" w:rsidRPr="008A5B8F">
        <w:rPr>
          <w:rFonts w:ascii="Times New Roman" w:hAnsi="Times New Roman" w:cs="Times New Roman"/>
          <w:sz w:val="24"/>
          <w:szCs w:val="24"/>
        </w:rPr>
        <w:t xml:space="preserve">Adult-structured activities impart social ideals, which </w:t>
      </w:r>
      <w:r w:rsidR="008A5B8F">
        <w:rPr>
          <w:rFonts w:ascii="Times New Roman" w:hAnsi="Times New Roman" w:cs="Times New Roman"/>
          <w:sz w:val="24"/>
          <w:szCs w:val="24"/>
        </w:rPr>
        <w:t>children</w:t>
      </w:r>
      <w:r w:rsidR="008A5B8F" w:rsidRPr="008A5B8F">
        <w:rPr>
          <w:rFonts w:ascii="Times New Roman" w:hAnsi="Times New Roman" w:cs="Times New Roman"/>
          <w:sz w:val="24"/>
          <w:szCs w:val="24"/>
        </w:rPr>
        <w:t xml:space="preserve"> explore and adapt to their own needs.</w:t>
      </w:r>
      <w:r w:rsidR="008A5B8F">
        <w:rPr>
          <w:rFonts w:ascii="Times New Roman" w:hAnsi="Times New Roman" w:cs="Times New Roman"/>
          <w:sz w:val="24"/>
          <w:szCs w:val="24"/>
        </w:rPr>
        <w:t xml:space="preserve"> </w:t>
      </w:r>
      <w:r w:rsidR="001E39A9">
        <w:rPr>
          <w:rFonts w:ascii="Times New Roman" w:hAnsi="Times New Roman" w:cs="Times New Roman"/>
          <w:sz w:val="24"/>
          <w:szCs w:val="24"/>
        </w:rPr>
        <w:t>H</w:t>
      </w:r>
      <w:r w:rsidR="008A5B8F">
        <w:rPr>
          <w:rFonts w:ascii="Times New Roman" w:hAnsi="Times New Roman" w:cs="Times New Roman"/>
          <w:sz w:val="24"/>
          <w:szCs w:val="24"/>
        </w:rPr>
        <w:t xml:space="preserve">e also cautions regarding </w:t>
      </w:r>
      <w:r w:rsidR="001E39A9">
        <w:rPr>
          <w:rFonts w:ascii="Times New Roman" w:hAnsi="Times New Roman" w:cs="Times New Roman"/>
          <w:sz w:val="24"/>
          <w:szCs w:val="24"/>
        </w:rPr>
        <w:t xml:space="preserve">what is </w:t>
      </w:r>
      <w:r w:rsidR="008A5B8F">
        <w:rPr>
          <w:rFonts w:ascii="Times New Roman" w:hAnsi="Times New Roman" w:cs="Times New Roman"/>
          <w:sz w:val="24"/>
          <w:szCs w:val="24"/>
        </w:rPr>
        <w:t>perce</w:t>
      </w:r>
      <w:r w:rsidR="001E39A9">
        <w:rPr>
          <w:rFonts w:ascii="Times New Roman" w:hAnsi="Times New Roman" w:cs="Times New Roman"/>
          <w:sz w:val="24"/>
          <w:szCs w:val="24"/>
        </w:rPr>
        <w:t xml:space="preserve">ived as </w:t>
      </w:r>
      <w:r w:rsidR="008A5B8F">
        <w:rPr>
          <w:rFonts w:ascii="Times New Roman" w:hAnsi="Times New Roman" w:cs="Times New Roman"/>
          <w:sz w:val="24"/>
          <w:szCs w:val="24"/>
        </w:rPr>
        <w:t xml:space="preserve">play materials by adults. </w:t>
      </w:r>
      <w:r w:rsidR="001E39A9">
        <w:rPr>
          <w:rFonts w:ascii="Times New Roman" w:hAnsi="Times New Roman" w:cs="Times New Roman"/>
          <w:sz w:val="24"/>
          <w:szCs w:val="24"/>
        </w:rPr>
        <w:t>He suggests that a</w:t>
      </w:r>
      <w:r w:rsidR="008A5B8F">
        <w:rPr>
          <w:rFonts w:ascii="Times New Roman" w:hAnsi="Times New Roman" w:cs="Times New Roman"/>
          <w:sz w:val="24"/>
          <w:szCs w:val="24"/>
        </w:rPr>
        <w:t xml:space="preserve">rchaeologists should instead interpret the child’s outlook of play. He provides three types of activities that capture the essence of child-structured play. </w:t>
      </w:r>
      <w:r w:rsidR="001E39A9">
        <w:rPr>
          <w:rFonts w:ascii="Times New Roman" w:hAnsi="Times New Roman" w:cs="Times New Roman"/>
          <w:sz w:val="24"/>
          <w:szCs w:val="24"/>
        </w:rPr>
        <w:t>They include, u</w:t>
      </w:r>
      <w:r w:rsidR="001E39A9" w:rsidRPr="001E39A9">
        <w:rPr>
          <w:rFonts w:ascii="Times New Roman" w:hAnsi="Times New Roman" w:cs="Times New Roman"/>
          <w:sz w:val="24"/>
          <w:szCs w:val="24"/>
        </w:rPr>
        <w:t xml:space="preserve">sing items </w:t>
      </w:r>
      <w:r w:rsidR="001E39A9">
        <w:rPr>
          <w:rFonts w:ascii="Times New Roman" w:hAnsi="Times New Roman" w:cs="Times New Roman"/>
          <w:sz w:val="24"/>
          <w:szCs w:val="24"/>
        </w:rPr>
        <w:t>from</w:t>
      </w:r>
      <w:r w:rsidR="001E39A9" w:rsidRPr="001E39A9">
        <w:rPr>
          <w:rFonts w:ascii="Times New Roman" w:hAnsi="Times New Roman" w:cs="Times New Roman"/>
          <w:sz w:val="24"/>
          <w:szCs w:val="24"/>
        </w:rPr>
        <w:t xml:space="preserve"> an adult environment</w:t>
      </w:r>
      <w:r w:rsidR="001E39A9">
        <w:rPr>
          <w:rFonts w:ascii="Times New Roman" w:hAnsi="Times New Roman" w:cs="Times New Roman"/>
          <w:sz w:val="24"/>
          <w:szCs w:val="24"/>
        </w:rPr>
        <w:t xml:space="preserve">, </w:t>
      </w:r>
      <w:r w:rsidR="001E39A9" w:rsidRPr="001E39A9">
        <w:rPr>
          <w:rFonts w:ascii="Times New Roman" w:hAnsi="Times New Roman" w:cs="Times New Roman"/>
          <w:sz w:val="24"/>
          <w:szCs w:val="24"/>
        </w:rPr>
        <w:t>utilis</w:t>
      </w:r>
      <w:r w:rsidR="001E39A9">
        <w:rPr>
          <w:rFonts w:ascii="Times New Roman" w:hAnsi="Times New Roman" w:cs="Times New Roman"/>
          <w:sz w:val="24"/>
          <w:szCs w:val="24"/>
        </w:rPr>
        <w:t>ing</w:t>
      </w:r>
      <w:r w:rsidR="001E39A9" w:rsidRPr="001E39A9">
        <w:rPr>
          <w:rFonts w:ascii="Times New Roman" w:hAnsi="Times New Roman" w:cs="Times New Roman"/>
          <w:sz w:val="24"/>
          <w:szCs w:val="24"/>
        </w:rPr>
        <w:t xml:space="preserve"> the natural environment</w:t>
      </w:r>
      <w:r w:rsidR="001E39A9">
        <w:rPr>
          <w:rFonts w:ascii="Times New Roman" w:hAnsi="Times New Roman" w:cs="Times New Roman"/>
          <w:sz w:val="24"/>
          <w:szCs w:val="24"/>
        </w:rPr>
        <w:t xml:space="preserve"> and </w:t>
      </w:r>
      <w:r w:rsidR="001E39A9" w:rsidRPr="001E39A9">
        <w:rPr>
          <w:rFonts w:ascii="Times New Roman" w:hAnsi="Times New Roman" w:cs="Times New Roman"/>
          <w:sz w:val="24"/>
          <w:szCs w:val="24"/>
        </w:rPr>
        <w:t>those involving no tangible items</w:t>
      </w:r>
      <w:r w:rsidR="001E39A9">
        <w:rPr>
          <w:rFonts w:ascii="Times New Roman" w:hAnsi="Times New Roman" w:cs="Times New Roman"/>
          <w:sz w:val="24"/>
          <w:szCs w:val="24"/>
        </w:rPr>
        <w:t>.</w:t>
      </w:r>
    </w:p>
    <w:p w14:paraId="6DACA50E" w14:textId="045ED04A" w:rsidR="007E4ED0" w:rsidRDefault="007E4ED0" w:rsidP="001E39A9">
      <w:pPr>
        <w:rPr>
          <w:rFonts w:ascii="Times New Roman" w:hAnsi="Times New Roman" w:cs="Times New Roman"/>
          <w:sz w:val="24"/>
          <w:szCs w:val="24"/>
        </w:rPr>
      </w:pPr>
      <w:r>
        <w:rPr>
          <w:rFonts w:ascii="Times New Roman" w:hAnsi="Times New Roman" w:cs="Times New Roman"/>
          <w:sz w:val="24"/>
          <w:szCs w:val="24"/>
        </w:rPr>
        <w:t>He identifies that c</w:t>
      </w:r>
      <w:r w:rsidRPr="007E4ED0">
        <w:rPr>
          <w:rFonts w:ascii="Times New Roman" w:hAnsi="Times New Roman" w:cs="Times New Roman"/>
          <w:sz w:val="24"/>
          <w:szCs w:val="24"/>
        </w:rPr>
        <w:t>hildren's activities in Egypt included a variety of social settings and degrees of engagement.</w:t>
      </w:r>
      <w:r w:rsidRPr="007E4ED0">
        <w:rPr>
          <w:rFonts w:ascii="Times New Roman" w:eastAsia="Times New Roman" w:hAnsi="Times New Roman" w:cs="Times New Roman"/>
          <w:sz w:val="24"/>
          <w:szCs w:val="24"/>
          <w:lang w:eastAsia="en-GB"/>
        </w:rPr>
        <w:t xml:space="preserve"> </w:t>
      </w:r>
      <w:r w:rsidRPr="007E4ED0">
        <w:rPr>
          <w:rFonts w:ascii="Times New Roman" w:hAnsi="Times New Roman" w:cs="Times New Roman"/>
          <w:sz w:val="24"/>
          <w:szCs w:val="24"/>
        </w:rPr>
        <w:t>Recreational activities often reflect</w:t>
      </w:r>
      <w:r>
        <w:rPr>
          <w:rFonts w:ascii="Times New Roman" w:hAnsi="Times New Roman" w:cs="Times New Roman"/>
          <w:sz w:val="24"/>
          <w:szCs w:val="24"/>
        </w:rPr>
        <w:t>ed</w:t>
      </w:r>
      <w:r w:rsidRPr="007E4ED0">
        <w:rPr>
          <w:rFonts w:ascii="Times New Roman" w:hAnsi="Times New Roman" w:cs="Times New Roman"/>
          <w:sz w:val="24"/>
          <w:szCs w:val="24"/>
        </w:rPr>
        <w:t xml:space="preserve"> a society's material culture, rather than being tailored to </w:t>
      </w:r>
      <w:r>
        <w:rPr>
          <w:rFonts w:ascii="Times New Roman" w:hAnsi="Times New Roman" w:cs="Times New Roman"/>
          <w:sz w:val="24"/>
          <w:szCs w:val="24"/>
        </w:rPr>
        <w:t>children</w:t>
      </w:r>
      <w:r w:rsidRPr="007E4ED0">
        <w:rPr>
          <w:rFonts w:ascii="Times New Roman" w:hAnsi="Times New Roman" w:cs="Times New Roman"/>
          <w:sz w:val="24"/>
          <w:szCs w:val="24"/>
        </w:rPr>
        <w:t>.</w:t>
      </w:r>
      <w:r>
        <w:rPr>
          <w:rFonts w:ascii="Times New Roman" w:hAnsi="Times New Roman" w:cs="Times New Roman"/>
          <w:sz w:val="24"/>
          <w:szCs w:val="24"/>
        </w:rPr>
        <w:t xml:space="preserve"> </w:t>
      </w:r>
      <w:r w:rsidRPr="007E4ED0">
        <w:rPr>
          <w:rFonts w:ascii="Times New Roman" w:hAnsi="Times New Roman" w:cs="Times New Roman"/>
          <w:sz w:val="24"/>
          <w:szCs w:val="24"/>
        </w:rPr>
        <w:t>The study of children's materiality focusses on their social settings and how they were materialised, rather than particular materials</w:t>
      </w:r>
      <w:r>
        <w:rPr>
          <w:rFonts w:ascii="Times New Roman" w:hAnsi="Times New Roman" w:cs="Times New Roman"/>
          <w:sz w:val="24"/>
          <w:szCs w:val="24"/>
        </w:rPr>
        <w:t>, therefore</w:t>
      </w:r>
      <w:r w:rsidRPr="007E4ED0">
        <w:rPr>
          <w:rFonts w:ascii="Times New Roman" w:hAnsi="Times New Roman" w:cs="Times New Roman"/>
          <w:sz w:val="24"/>
          <w:szCs w:val="24"/>
        </w:rPr>
        <w:t xml:space="preserve"> a specific material world was not developed for children, children's materiality mostly resembles that of adults.</w:t>
      </w:r>
    </w:p>
    <w:p w14:paraId="2426FC6D" w14:textId="40D3D63E" w:rsidR="00375D8C" w:rsidRPr="00375D8C" w:rsidRDefault="00D72DAD" w:rsidP="00375D8C">
      <w:pPr>
        <w:rPr>
          <w:rFonts w:ascii="Times New Roman" w:hAnsi="Times New Roman" w:cs="Times New Roman"/>
          <w:sz w:val="24"/>
          <w:szCs w:val="24"/>
        </w:rPr>
      </w:pPr>
      <w:r>
        <w:rPr>
          <w:rFonts w:ascii="Times New Roman" w:hAnsi="Times New Roman" w:cs="Times New Roman"/>
          <w:sz w:val="24"/>
          <w:szCs w:val="24"/>
        </w:rPr>
        <w:t xml:space="preserve">The author during his discourse </w:t>
      </w:r>
      <w:r w:rsidR="00C44C75">
        <w:rPr>
          <w:rFonts w:ascii="Times New Roman" w:hAnsi="Times New Roman" w:cs="Times New Roman"/>
          <w:sz w:val="24"/>
          <w:szCs w:val="24"/>
        </w:rPr>
        <w:t xml:space="preserve">on </w:t>
      </w:r>
      <w:r w:rsidR="00211F86">
        <w:rPr>
          <w:rFonts w:ascii="Times New Roman" w:hAnsi="Times New Roman" w:cs="Times New Roman"/>
          <w:sz w:val="24"/>
          <w:szCs w:val="24"/>
        </w:rPr>
        <w:t xml:space="preserve">the </w:t>
      </w:r>
      <w:r w:rsidR="00C44C75">
        <w:rPr>
          <w:rFonts w:ascii="Times New Roman" w:hAnsi="Times New Roman" w:cs="Times New Roman"/>
          <w:sz w:val="24"/>
          <w:szCs w:val="24"/>
        </w:rPr>
        <w:t>materiality</w:t>
      </w:r>
      <w:r w:rsidR="00211F86">
        <w:rPr>
          <w:rFonts w:ascii="Times New Roman" w:hAnsi="Times New Roman" w:cs="Times New Roman"/>
          <w:sz w:val="24"/>
          <w:szCs w:val="24"/>
        </w:rPr>
        <w:t xml:space="preserve"> of children</w:t>
      </w:r>
      <w:r w:rsidR="00C44C75">
        <w:rPr>
          <w:rFonts w:ascii="Times New Roman" w:hAnsi="Times New Roman" w:cs="Times New Roman"/>
          <w:sz w:val="24"/>
          <w:szCs w:val="24"/>
        </w:rPr>
        <w:t xml:space="preserve"> </w:t>
      </w:r>
      <w:r>
        <w:rPr>
          <w:rFonts w:ascii="Times New Roman" w:hAnsi="Times New Roman" w:cs="Times New Roman"/>
          <w:sz w:val="24"/>
          <w:szCs w:val="24"/>
        </w:rPr>
        <w:t xml:space="preserve">touches on </w:t>
      </w:r>
      <w:r w:rsidR="00C44C75">
        <w:rPr>
          <w:rFonts w:ascii="Times New Roman" w:hAnsi="Times New Roman" w:cs="Times New Roman"/>
          <w:sz w:val="24"/>
          <w:szCs w:val="24"/>
        </w:rPr>
        <w:t xml:space="preserve">the relationship between objects and humans and how objects </w:t>
      </w:r>
      <w:r w:rsidR="00211F86">
        <w:rPr>
          <w:rFonts w:ascii="Times New Roman" w:hAnsi="Times New Roman" w:cs="Times New Roman"/>
          <w:sz w:val="24"/>
          <w:szCs w:val="24"/>
        </w:rPr>
        <w:t xml:space="preserve">can </w:t>
      </w:r>
      <w:r w:rsidR="00C44C75">
        <w:rPr>
          <w:rFonts w:ascii="Times New Roman" w:hAnsi="Times New Roman" w:cs="Times New Roman"/>
          <w:sz w:val="24"/>
          <w:szCs w:val="24"/>
        </w:rPr>
        <w:t>shape human lives (</w:t>
      </w:r>
      <w:r>
        <w:rPr>
          <w:rFonts w:ascii="Times New Roman" w:hAnsi="Times New Roman" w:cs="Times New Roman"/>
          <w:sz w:val="24"/>
          <w:szCs w:val="24"/>
        </w:rPr>
        <w:t>Ingold</w:t>
      </w:r>
      <w:r w:rsidR="00C44C75">
        <w:rPr>
          <w:rFonts w:ascii="Times New Roman" w:hAnsi="Times New Roman" w:cs="Times New Roman"/>
          <w:sz w:val="24"/>
          <w:szCs w:val="24"/>
        </w:rPr>
        <w:t>,</w:t>
      </w:r>
      <w:r>
        <w:rPr>
          <w:rFonts w:ascii="Times New Roman" w:hAnsi="Times New Roman" w:cs="Times New Roman"/>
          <w:sz w:val="24"/>
          <w:szCs w:val="24"/>
        </w:rPr>
        <w:t xml:space="preserve"> 2013</w:t>
      </w:r>
      <w:r w:rsidR="00C44C75">
        <w:rPr>
          <w:rFonts w:ascii="Times New Roman" w:hAnsi="Times New Roman" w:cs="Times New Roman"/>
          <w:sz w:val="24"/>
          <w:szCs w:val="24"/>
        </w:rPr>
        <w:t>, p.27</w:t>
      </w:r>
      <w:r>
        <w:rPr>
          <w:rFonts w:ascii="Times New Roman" w:hAnsi="Times New Roman" w:cs="Times New Roman"/>
          <w:sz w:val="24"/>
          <w:szCs w:val="24"/>
        </w:rPr>
        <w:t>)</w:t>
      </w:r>
      <w:r w:rsidR="00C44C75">
        <w:rPr>
          <w:rFonts w:ascii="Times New Roman" w:hAnsi="Times New Roman" w:cs="Times New Roman"/>
          <w:sz w:val="24"/>
          <w:szCs w:val="24"/>
        </w:rPr>
        <w:t xml:space="preserve">. </w:t>
      </w:r>
      <w:r w:rsidR="00375D8C" w:rsidRPr="00375D8C">
        <w:rPr>
          <w:rFonts w:ascii="Times New Roman" w:hAnsi="Times New Roman" w:cs="Times New Roman"/>
          <w:sz w:val="24"/>
          <w:szCs w:val="24"/>
        </w:rPr>
        <w:t>He discusses the significance of items and materials to social behaviours and daily living.</w:t>
      </w:r>
      <w:r w:rsidR="00375D8C">
        <w:rPr>
          <w:rFonts w:ascii="Times New Roman" w:hAnsi="Times New Roman" w:cs="Times New Roman"/>
          <w:sz w:val="24"/>
          <w:szCs w:val="24"/>
        </w:rPr>
        <w:t xml:space="preserve"> </w:t>
      </w:r>
      <w:r w:rsidR="00C44C75">
        <w:rPr>
          <w:rFonts w:ascii="Times New Roman" w:hAnsi="Times New Roman" w:cs="Times New Roman"/>
          <w:sz w:val="24"/>
          <w:szCs w:val="24"/>
        </w:rPr>
        <w:t>In this instance the relationship between ancient Egytpian children and the materials that shape their world or is it our biased interpretation of their world.</w:t>
      </w:r>
      <w:r w:rsidR="00375D8C" w:rsidRPr="00375D8C">
        <w:rPr>
          <w:rFonts w:ascii="Times New Roman" w:hAnsi="Times New Roman" w:cs="Times New Roman"/>
          <w:sz w:val="24"/>
          <w:szCs w:val="24"/>
        </w:rPr>
        <w:t xml:space="preserve"> </w:t>
      </w:r>
    </w:p>
    <w:p w14:paraId="6A7CF5A0" w14:textId="370B698D" w:rsidR="00E543C1" w:rsidRDefault="00375D8C" w:rsidP="007C4681">
      <w:pPr>
        <w:rPr>
          <w:rFonts w:ascii="Times New Roman" w:hAnsi="Times New Roman" w:cs="Times New Roman"/>
          <w:sz w:val="24"/>
          <w:szCs w:val="24"/>
        </w:rPr>
      </w:pPr>
      <w:r w:rsidRPr="00375D8C">
        <w:rPr>
          <w:rFonts w:ascii="Times New Roman" w:hAnsi="Times New Roman" w:cs="Times New Roman"/>
          <w:sz w:val="24"/>
          <w:szCs w:val="24"/>
        </w:rPr>
        <w:t>He has utilised a range of primary sources within the article, and they clearly evidence his observations and descriptions.</w:t>
      </w:r>
      <w:r w:rsidR="00D72DAD">
        <w:rPr>
          <w:rFonts w:ascii="Times New Roman" w:hAnsi="Times New Roman" w:cs="Times New Roman"/>
          <w:sz w:val="24"/>
          <w:szCs w:val="24"/>
        </w:rPr>
        <w:t xml:space="preserve"> </w:t>
      </w:r>
      <w:r w:rsidR="00C44C75">
        <w:rPr>
          <w:rFonts w:ascii="Times New Roman" w:hAnsi="Times New Roman" w:cs="Times New Roman"/>
          <w:sz w:val="24"/>
          <w:szCs w:val="24"/>
        </w:rPr>
        <w:t xml:space="preserve">His article concentrates on the notion of childhood, and to a degree </w:t>
      </w:r>
      <w:r w:rsidR="00211F86">
        <w:rPr>
          <w:rFonts w:ascii="Times New Roman" w:hAnsi="Times New Roman" w:cs="Times New Roman"/>
          <w:sz w:val="24"/>
          <w:szCs w:val="24"/>
        </w:rPr>
        <w:t>digresses from the debate on materiality. He emphasises the lack of understanding of childhood in ancient Egypt but uses the material culture as a stepping stone to place his argument.</w:t>
      </w:r>
      <w:r w:rsidR="00C32847">
        <w:rPr>
          <w:rFonts w:ascii="Times New Roman" w:hAnsi="Times New Roman" w:cs="Times New Roman"/>
          <w:sz w:val="24"/>
          <w:szCs w:val="24"/>
        </w:rPr>
        <w:t xml:space="preserve"> He does to a certain extent link what Ingold calls the two sides of materiality, the fervent strength of the physical world and the ‘agency’ of humans in its appropriation and use (Ingold, 2013, p.27)</w:t>
      </w:r>
      <w:r w:rsidR="00A429B3">
        <w:rPr>
          <w:rFonts w:ascii="Times New Roman" w:hAnsi="Times New Roman" w:cs="Times New Roman"/>
          <w:sz w:val="24"/>
          <w:szCs w:val="24"/>
        </w:rPr>
        <w:t>, however the link seems tenuous in this narrative</w:t>
      </w:r>
      <w:r w:rsidR="00C32847">
        <w:rPr>
          <w:rFonts w:ascii="Times New Roman" w:hAnsi="Times New Roman" w:cs="Times New Roman"/>
          <w:sz w:val="24"/>
          <w:szCs w:val="24"/>
        </w:rPr>
        <w:t>.</w:t>
      </w:r>
      <w:r w:rsidR="00211F86">
        <w:rPr>
          <w:rFonts w:ascii="Times New Roman" w:hAnsi="Times New Roman" w:cs="Times New Roman"/>
          <w:sz w:val="24"/>
          <w:szCs w:val="24"/>
        </w:rPr>
        <w:t xml:space="preserve"> He admits right at the beginning that “discussing materiality of children in ancient Egypt is fraught with problems”(Hinson, 2018, p.10).</w:t>
      </w:r>
      <w:r w:rsidR="009B7BA9">
        <w:rPr>
          <w:rFonts w:ascii="Times New Roman" w:hAnsi="Times New Roman" w:cs="Times New Roman"/>
          <w:sz w:val="24"/>
          <w:szCs w:val="24"/>
        </w:rPr>
        <w:t xml:space="preserve"> </w:t>
      </w:r>
      <w:r w:rsidR="00C2634E">
        <w:rPr>
          <w:rFonts w:ascii="Times New Roman" w:hAnsi="Times New Roman" w:cs="Times New Roman"/>
          <w:sz w:val="24"/>
          <w:szCs w:val="24"/>
        </w:rPr>
        <w:t>However, i</w:t>
      </w:r>
      <w:r w:rsidR="009B7BA9">
        <w:rPr>
          <w:rFonts w:ascii="Times New Roman" w:hAnsi="Times New Roman" w:cs="Times New Roman"/>
          <w:sz w:val="24"/>
          <w:szCs w:val="24"/>
        </w:rPr>
        <w:t xml:space="preserve">nterpreting any form of material culture is difficult simply because we do not have all of the </w:t>
      </w:r>
      <w:r w:rsidR="00A443FC">
        <w:rPr>
          <w:rFonts w:ascii="Times New Roman" w:hAnsi="Times New Roman" w:cs="Times New Roman"/>
          <w:sz w:val="24"/>
          <w:szCs w:val="24"/>
        </w:rPr>
        <w:t>examples of material culture generated by the ancient Egyptians, and although the grouping and collections remain largely consistent the methods of interpretation are numerous (Ikram, 2015, p.175).</w:t>
      </w:r>
    </w:p>
    <w:p w14:paraId="6E0758C8" w14:textId="2DB5AA86" w:rsidR="00720F51" w:rsidRPr="00720F51" w:rsidRDefault="00211F86" w:rsidP="00720F51">
      <w:pPr>
        <w:rPr>
          <w:rFonts w:ascii="Times New Roman" w:hAnsi="Times New Roman" w:cs="Times New Roman"/>
          <w:sz w:val="24"/>
          <w:szCs w:val="24"/>
        </w:rPr>
      </w:pPr>
      <w:r>
        <w:rPr>
          <w:rFonts w:ascii="Times New Roman" w:hAnsi="Times New Roman" w:cs="Times New Roman"/>
          <w:sz w:val="24"/>
          <w:szCs w:val="24"/>
        </w:rPr>
        <w:t xml:space="preserve">Overall, </w:t>
      </w:r>
      <w:r w:rsidR="00E543C1">
        <w:rPr>
          <w:rFonts w:ascii="Times New Roman" w:hAnsi="Times New Roman" w:cs="Times New Roman"/>
          <w:sz w:val="24"/>
          <w:szCs w:val="24"/>
        </w:rPr>
        <w:t>I found this article to be interesting and very thought provoking.</w:t>
      </w:r>
      <w:r w:rsidR="00A5055F">
        <w:rPr>
          <w:rFonts w:ascii="Times New Roman" w:hAnsi="Times New Roman" w:cs="Times New Roman"/>
          <w:sz w:val="24"/>
          <w:szCs w:val="24"/>
        </w:rPr>
        <w:t xml:space="preserve"> It is easy to read and engaging.</w:t>
      </w:r>
      <w:r w:rsidR="00E543C1">
        <w:rPr>
          <w:rFonts w:ascii="Times New Roman" w:hAnsi="Times New Roman" w:cs="Times New Roman"/>
          <w:sz w:val="24"/>
          <w:szCs w:val="24"/>
        </w:rPr>
        <w:t xml:space="preserve"> It highlights a rarely investigated or considered aspect of ancient Egyp</w:t>
      </w:r>
      <w:r w:rsidR="00D72DAD">
        <w:rPr>
          <w:rFonts w:ascii="Times New Roman" w:hAnsi="Times New Roman" w:cs="Times New Roman"/>
          <w:sz w:val="24"/>
          <w:szCs w:val="24"/>
        </w:rPr>
        <w:t>t</w:t>
      </w:r>
      <w:r w:rsidR="00E543C1">
        <w:rPr>
          <w:rFonts w:ascii="Times New Roman" w:hAnsi="Times New Roman" w:cs="Times New Roman"/>
          <w:sz w:val="24"/>
          <w:szCs w:val="24"/>
        </w:rPr>
        <w:t xml:space="preserve">ian </w:t>
      </w:r>
      <w:r w:rsidR="005D2789">
        <w:rPr>
          <w:rFonts w:ascii="Times New Roman" w:hAnsi="Times New Roman" w:cs="Times New Roman"/>
          <w:sz w:val="24"/>
          <w:szCs w:val="24"/>
        </w:rPr>
        <w:t xml:space="preserve">materiality and </w:t>
      </w:r>
      <w:r w:rsidR="00E543C1">
        <w:rPr>
          <w:rFonts w:ascii="Times New Roman" w:hAnsi="Times New Roman" w:cs="Times New Roman"/>
          <w:sz w:val="24"/>
          <w:szCs w:val="24"/>
        </w:rPr>
        <w:t xml:space="preserve">culture, that of childhood. </w:t>
      </w:r>
      <w:r w:rsidR="00C442DF">
        <w:rPr>
          <w:rFonts w:ascii="Times New Roman" w:hAnsi="Times New Roman" w:cs="Times New Roman"/>
          <w:sz w:val="24"/>
          <w:szCs w:val="24"/>
        </w:rPr>
        <w:t>R</w:t>
      </w:r>
      <w:r w:rsidR="00E543C1">
        <w:rPr>
          <w:rFonts w:ascii="Times New Roman" w:hAnsi="Times New Roman" w:cs="Times New Roman"/>
          <w:sz w:val="24"/>
          <w:szCs w:val="24"/>
        </w:rPr>
        <w:t xml:space="preserve">esearch of ancient Egyptian </w:t>
      </w:r>
      <w:r w:rsidR="00F5290D">
        <w:rPr>
          <w:rFonts w:ascii="Times New Roman" w:hAnsi="Times New Roman" w:cs="Times New Roman"/>
          <w:sz w:val="24"/>
          <w:szCs w:val="24"/>
        </w:rPr>
        <w:t>materiality</w:t>
      </w:r>
      <w:r w:rsidR="00E543C1">
        <w:rPr>
          <w:rFonts w:ascii="Times New Roman" w:hAnsi="Times New Roman" w:cs="Times New Roman"/>
          <w:sz w:val="24"/>
          <w:szCs w:val="24"/>
        </w:rPr>
        <w:t xml:space="preserve"> tends to focus on </w:t>
      </w:r>
      <w:r w:rsidR="005D2789">
        <w:rPr>
          <w:rFonts w:ascii="Times New Roman" w:hAnsi="Times New Roman" w:cs="Times New Roman"/>
          <w:sz w:val="24"/>
          <w:szCs w:val="24"/>
        </w:rPr>
        <w:t>Pharaonic dynasticism,</w:t>
      </w:r>
      <w:r w:rsidR="00E543C1">
        <w:rPr>
          <w:rFonts w:ascii="Times New Roman" w:hAnsi="Times New Roman" w:cs="Times New Roman"/>
          <w:sz w:val="24"/>
          <w:szCs w:val="24"/>
        </w:rPr>
        <w:t xml:space="preserve"> </w:t>
      </w:r>
      <w:r w:rsidR="00720F51">
        <w:rPr>
          <w:rFonts w:ascii="Times New Roman" w:hAnsi="Times New Roman" w:cs="Times New Roman"/>
          <w:sz w:val="24"/>
          <w:szCs w:val="24"/>
        </w:rPr>
        <w:t xml:space="preserve">the </w:t>
      </w:r>
      <w:r w:rsidR="00E543C1">
        <w:rPr>
          <w:rFonts w:ascii="Times New Roman" w:hAnsi="Times New Roman" w:cs="Times New Roman"/>
          <w:sz w:val="24"/>
          <w:szCs w:val="24"/>
        </w:rPr>
        <w:t>development</w:t>
      </w:r>
      <w:r w:rsidR="005D2789">
        <w:rPr>
          <w:rFonts w:ascii="Times New Roman" w:hAnsi="Times New Roman" w:cs="Times New Roman"/>
          <w:sz w:val="24"/>
          <w:szCs w:val="24"/>
        </w:rPr>
        <w:t xml:space="preserve"> of civilisation</w:t>
      </w:r>
      <w:r w:rsidR="00E543C1">
        <w:rPr>
          <w:rFonts w:ascii="Times New Roman" w:hAnsi="Times New Roman" w:cs="Times New Roman"/>
          <w:sz w:val="24"/>
          <w:szCs w:val="24"/>
        </w:rPr>
        <w:t xml:space="preserve">, monumentality of </w:t>
      </w:r>
      <w:r w:rsidR="005D2789">
        <w:rPr>
          <w:rFonts w:ascii="Times New Roman" w:hAnsi="Times New Roman" w:cs="Times New Roman"/>
          <w:sz w:val="24"/>
          <w:szCs w:val="24"/>
        </w:rPr>
        <w:t xml:space="preserve">art and </w:t>
      </w:r>
      <w:r w:rsidR="00E543C1">
        <w:rPr>
          <w:rFonts w:ascii="Times New Roman" w:hAnsi="Times New Roman" w:cs="Times New Roman"/>
          <w:sz w:val="24"/>
          <w:szCs w:val="24"/>
        </w:rPr>
        <w:t>architecture, mythology</w:t>
      </w:r>
      <w:r w:rsidR="005D2789">
        <w:rPr>
          <w:rFonts w:ascii="Times New Roman" w:hAnsi="Times New Roman" w:cs="Times New Roman"/>
          <w:sz w:val="24"/>
          <w:szCs w:val="24"/>
        </w:rPr>
        <w:t>,</w:t>
      </w:r>
      <w:r w:rsidR="00E543C1">
        <w:rPr>
          <w:rFonts w:ascii="Times New Roman" w:hAnsi="Times New Roman" w:cs="Times New Roman"/>
          <w:sz w:val="24"/>
          <w:szCs w:val="24"/>
        </w:rPr>
        <w:t xml:space="preserve"> ritual and</w:t>
      </w:r>
      <w:r w:rsidR="005D2789">
        <w:rPr>
          <w:rFonts w:ascii="Times New Roman" w:hAnsi="Times New Roman" w:cs="Times New Roman"/>
          <w:sz w:val="24"/>
          <w:szCs w:val="24"/>
        </w:rPr>
        <w:t xml:space="preserve"> burial</w:t>
      </w:r>
      <w:r w:rsidR="00E543C1">
        <w:rPr>
          <w:rFonts w:ascii="Times New Roman" w:hAnsi="Times New Roman" w:cs="Times New Roman"/>
          <w:sz w:val="24"/>
          <w:szCs w:val="24"/>
        </w:rPr>
        <w:t xml:space="preserve"> customs. Little is expressed</w:t>
      </w:r>
      <w:r w:rsidR="005D2789">
        <w:rPr>
          <w:rFonts w:ascii="Times New Roman" w:hAnsi="Times New Roman" w:cs="Times New Roman"/>
          <w:sz w:val="24"/>
          <w:szCs w:val="24"/>
        </w:rPr>
        <w:t xml:space="preserve"> upon the role or even </w:t>
      </w:r>
      <w:r w:rsidR="005D2789">
        <w:rPr>
          <w:rFonts w:ascii="Times New Roman" w:hAnsi="Times New Roman" w:cs="Times New Roman"/>
          <w:sz w:val="24"/>
          <w:szCs w:val="24"/>
        </w:rPr>
        <w:lastRenderedPageBreak/>
        <w:t>the idea of childhood</w:t>
      </w:r>
      <w:r w:rsidR="00A5055F">
        <w:rPr>
          <w:rFonts w:ascii="Times New Roman" w:hAnsi="Times New Roman" w:cs="Times New Roman"/>
          <w:sz w:val="24"/>
          <w:szCs w:val="24"/>
        </w:rPr>
        <w:t xml:space="preserve"> and its materiality</w:t>
      </w:r>
      <w:r w:rsidR="005D2789">
        <w:rPr>
          <w:rFonts w:ascii="Times New Roman" w:hAnsi="Times New Roman" w:cs="Times New Roman"/>
          <w:sz w:val="24"/>
          <w:szCs w:val="24"/>
        </w:rPr>
        <w:t xml:space="preserve">. </w:t>
      </w:r>
      <w:r w:rsidR="00720F51">
        <w:rPr>
          <w:rFonts w:ascii="Times New Roman" w:hAnsi="Times New Roman" w:cs="Times New Roman"/>
          <w:sz w:val="24"/>
          <w:szCs w:val="24"/>
        </w:rPr>
        <w:t>However, o</w:t>
      </w:r>
      <w:r w:rsidR="00720F51" w:rsidRPr="00DD7D04">
        <w:rPr>
          <w:rFonts w:ascii="Times New Roman" w:hAnsi="Times New Roman" w:cs="Times New Roman"/>
          <w:sz w:val="24"/>
          <w:szCs w:val="24"/>
        </w:rPr>
        <w:t>ne of the Egyptians' most distinguishing features was their fondness for children.</w:t>
      </w:r>
      <w:r w:rsidR="00720F51" w:rsidRPr="00720F51">
        <w:rPr>
          <w:rFonts w:ascii="Times New Roman" w:hAnsi="Times New Roman" w:cs="Times New Roman"/>
          <w:sz w:val="24"/>
          <w:szCs w:val="24"/>
        </w:rPr>
        <w:t xml:space="preserve"> Isis breastfeeding Horus was one of the most popular images of the time (Johnson, 2000, p.121). Children of both genders were treasured and desired in Egyptian homes of all social groups. The birth of a child was both a source of immense delight and significant anxiety, given the high percentage of infant mortality and the stress of delivery on the mother. Childbirth was regarded as a natural phenomenon </w:t>
      </w:r>
      <w:r w:rsidR="00A5055F">
        <w:rPr>
          <w:rFonts w:ascii="Times New Roman" w:hAnsi="Times New Roman" w:cs="Times New Roman"/>
          <w:sz w:val="24"/>
          <w:szCs w:val="24"/>
        </w:rPr>
        <w:t xml:space="preserve">and </w:t>
      </w:r>
      <w:r w:rsidR="00720F51" w:rsidRPr="00720F51">
        <w:rPr>
          <w:rFonts w:ascii="Times New Roman" w:hAnsi="Times New Roman" w:cs="Times New Roman"/>
          <w:sz w:val="24"/>
          <w:szCs w:val="24"/>
        </w:rPr>
        <w:t>a midwife was frequently present to assist with the birth (Brewer &amp; Teeter, 2001, pp. 97-109).</w:t>
      </w:r>
    </w:p>
    <w:p w14:paraId="6CB243C3" w14:textId="7D547A83" w:rsidR="00E543C1" w:rsidRDefault="00F5290D" w:rsidP="007C4681">
      <w:pPr>
        <w:rPr>
          <w:rFonts w:ascii="Times New Roman" w:hAnsi="Times New Roman" w:cs="Times New Roman"/>
          <w:sz w:val="24"/>
          <w:szCs w:val="24"/>
        </w:rPr>
      </w:pPr>
      <w:r w:rsidRPr="00F5290D">
        <w:rPr>
          <w:rFonts w:ascii="Times New Roman" w:hAnsi="Times New Roman" w:cs="Times New Roman"/>
          <w:sz w:val="24"/>
          <w:szCs w:val="24"/>
        </w:rPr>
        <w:t xml:space="preserve">The lives of </w:t>
      </w:r>
      <w:r w:rsidR="008A3FE8">
        <w:rPr>
          <w:rFonts w:ascii="Times New Roman" w:hAnsi="Times New Roman" w:cs="Times New Roman"/>
          <w:sz w:val="24"/>
          <w:szCs w:val="24"/>
        </w:rPr>
        <w:t xml:space="preserve">ancient Egyptian </w:t>
      </w:r>
      <w:r w:rsidRPr="00F5290D">
        <w:rPr>
          <w:rFonts w:ascii="Times New Roman" w:hAnsi="Times New Roman" w:cs="Times New Roman"/>
          <w:sz w:val="24"/>
          <w:szCs w:val="24"/>
        </w:rPr>
        <w:t xml:space="preserve">children rarely feature in </w:t>
      </w:r>
      <w:r>
        <w:rPr>
          <w:rFonts w:ascii="Times New Roman" w:hAnsi="Times New Roman" w:cs="Times New Roman"/>
          <w:sz w:val="24"/>
          <w:szCs w:val="24"/>
        </w:rPr>
        <w:t>scholarly</w:t>
      </w:r>
      <w:r w:rsidRPr="00F5290D">
        <w:rPr>
          <w:rFonts w:ascii="Times New Roman" w:hAnsi="Times New Roman" w:cs="Times New Roman"/>
          <w:sz w:val="24"/>
          <w:szCs w:val="24"/>
        </w:rPr>
        <w:t xml:space="preserve"> discussion, unless a child is borne into an elite family, </w:t>
      </w:r>
      <w:r w:rsidR="003F76CF" w:rsidRPr="00F5290D">
        <w:rPr>
          <w:rFonts w:ascii="Times New Roman" w:hAnsi="Times New Roman" w:cs="Times New Roman"/>
          <w:sz w:val="24"/>
          <w:szCs w:val="24"/>
        </w:rPr>
        <w:t>which</w:t>
      </w:r>
      <w:r w:rsidRPr="00F5290D">
        <w:rPr>
          <w:rFonts w:ascii="Times New Roman" w:hAnsi="Times New Roman" w:cs="Times New Roman"/>
          <w:sz w:val="24"/>
          <w:szCs w:val="24"/>
        </w:rPr>
        <w:t xml:space="preserve"> provides a sense of status, the</w:t>
      </w:r>
      <w:r w:rsidR="005C3292">
        <w:rPr>
          <w:rFonts w:ascii="Times New Roman" w:hAnsi="Times New Roman" w:cs="Times New Roman"/>
          <w:sz w:val="24"/>
          <w:szCs w:val="24"/>
        </w:rPr>
        <w:t>ir lives and therefore their materiality</w:t>
      </w:r>
      <w:r w:rsidRPr="00F5290D">
        <w:rPr>
          <w:rFonts w:ascii="Times New Roman" w:hAnsi="Times New Roman" w:cs="Times New Roman"/>
          <w:sz w:val="24"/>
          <w:szCs w:val="24"/>
        </w:rPr>
        <w:t xml:space="preserve"> sadly appear </w:t>
      </w:r>
      <w:r w:rsidR="005C3292">
        <w:rPr>
          <w:rFonts w:ascii="Times New Roman" w:hAnsi="Times New Roman" w:cs="Times New Roman"/>
          <w:sz w:val="24"/>
          <w:szCs w:val="24"/>
        </w:rPr>
        <w:t xml:space="preserve">clouded and </w:t>
      </w:r>
      <w:r w:rsidRPr="00F5290D">
        <w:rPr>
          <w:rFonts w:ascii="Times New Roman" w:hAnsi="Times New Roman" w:cs="Times New Roman"/>
          <w:sz w:val="24"/>
          <w:szCs w:val="24"/>
        </w:rPr>
        <w:t xml:space="preserve">forgotten. In </w:t>
      </w:r>
      <w:r w:rsidR="005C3292">
        <w:rPr>
          <w:rFonts w:ascii="Times New Roman" w:hAnsi="Times New Roman" w:cs="Times New Roman"/>
          <w:sz w:val="24"/>
          <w:szCs w:val="24"/>
        </w:rPr>
        <w:t>most</w:t>
      </w:r>
      <w:r w:rsidRPr="00F5290D">
        <w:rPr>
          <w:rFonts w:ascii="Times New Roman" w:hAnsi="Times New Roman" w:cs="Times New Roman"/>
          <w:sz w:val="24"/>
          <w:szCs w:val="24"/>
        </w:rPr>
        <w:t xml:space="preserve"> instances, they receive the same treatment and attributes usually restricted to adults. </w:t>
      </w:r>
      <w:r w:rsidR="00C442DF">
        <w:rPr>
          <w:rFonts w:ascii="Times New Roman" w:hAnsi="Times New Roman" w:cs="Times New Roman"/>
          <w:sz w:val="24"/>
          <w:szCs w:val="24"/>
        </w:rPr>
        <w:t xml:space="preserve">An individual that immediately comes to mind is Tutankhamun, who ascended the throne as Pharaoh at the age of eight following the death of his father (Shaw &amp; Nicholson, </w:t>
      </w:r>
      <w:r w:rsidR="00CE6185">
        <w:rPr>
          <w:rFonts w:ascii="Times New Roman" w:hAnsi="Times New Roman" w:cs="Times New Roman"/>
          <w:sz w:val="24"/>
          <w:szCs w:val="24"/>
        </w:rPr>
        <w:t>2003</w:t>
      </w:r>
      <w:r w:rsidR="00C442DF">
        <w:rPr>
          <w:rFonts w:ascii="Times New Roman" w:hAnsi="Times New Roman" w:cs="Times New Roman"/>
          <w:sz w:val="24"/>
          <w:szCs w:val="24"/>
        </w:rPr>
        <w:t>, pp.297-298). Did Tutankhamun ever experience a real childhood before becoming a living god?</w:t>
      </w:r>
    </w:p>
    <w:p w14:paraId="1E894D8B" w14:textId="1DD4299F" w:rsidR="00840ED0" w:rsidRPr="00840ED0" w:rsidRDefault="00840ED0" w:rsidP="00840ED0">
      <w:pPr>
        <w:rPr>
          <w:rFonts w:ascii="Times New Roman" w:hAnsi="Times New Roman" w:cs="Times New Roman"/>
          <w:sz w:val="24"/>
          <w:szCs w:val="24"/>
        </w:rPr>
      </w:pPr>
      <w:r>
        <w:rPr>
          <w:rFonts w:ascii="Times New Roman" w:hAnsi="Times New Roman" w:cs="Times New Roman"/>
          <w:sz w:val="24"/>
          <w:szCs w:val="24"/>
        </w:rPr>
        <w:t>Hinson</w:t>
      </w:r>
      <w:r w:rsidR="00A5055F" w:rsidRPr="00A5055F">
        <w:rPr>
          <w:rFonts w:ascii="Times New Roman" w:hAnsi="Times New Roman" w:cs="Times New Roman"/>
          <w:sz w:val="24"/>
          <w:szCs w:val="24"/>
        </w:rPr>
        <w:t xml:space="preserve"> admits that his article is not an exhaustive narrative on the materiality of children in ancient Egypt</w:t>
      </w:r>
      <w:r w:rsidR="00E2589A">
        <w:rPr>
          <w:rFonts w:ascii="Times New Roman" w:hAnsi="Times New Roman" w:cs="Times New Roman"/>
          <w:sz w:val="24"/>
          <w:szCs w:val="24"/>
        </w:rPr>
        <w:t>. H</w:t>
      </w:r>
      <w:r w:rsidR="007A18E6">
        <w:rPr>
          <w:rFonts w:ascii="Times New Roman" w:hAnsi="Times New Roman" w:cs="Times New Roman"/>
          <w:sz w:val="24"/>
          <w:szCs w:val="24"/>
        </w:rPr>
        <w:t xml:space="preserve">e has merely tried to highlight </w:t>
      </w:r>
      <w:r w:rsidR="00A5055F" w:rsidRPr="00A5055F">
        <w:rPr>
          <w:rFonts w:ascii="Times New Roman" w:hAnsi="Times New Roman" w:cs="Times New Roman"/>
          <w:sz w:val="24"/>
          <w:szCs w:val="24"/>
        </w:rPr>
        <w:t xml:space="preserve">its </w:t>
      </w:r>
      <w:r w:rsidR="00A5055F">
        <w:rPr>
          <w:rFonts w:ascii="Times New Roman" w:hAnsi="Times New Roman" w:cs="Times New Roman"/>
          <w:sz w:val="24"/>
          <w:szCs w:val="24"/>
        </w:rPr>
        <w:t>biased interpretation</w:t>
      </w:r>
      <w:r w:rsidR="00A5055F" w:rsidRPr="00A5055F">
        <w:rPr>
          <w:rFonts w:ascii="Times New Roman" w:hAnsi="Times New Roman" w:cs="Times New Roman"/>
          <w:sz w:val="24"/>
          <w:szCs w:val="24"/>
        </w:rPr>
        <w:t>.</w:t>
      </w:r>
      <w:r w:rsidR="00A5055F">
        <w:rPr>
          <w:rFonts w:ascii="Times New Roman" w:hAnsi="Times New Roman" w:cs="Times New Roman"/>
          <w:sz w:val="24"/>
          <w:szCs w:val="24"/>
        </w:rPr>
        <w:t xml:space="preserve"> </w:t>
      </w:r>
      <w:r w:rsidR="007A18E6">
        <w:rPr>
          <w:rFonts w:ascii="Times New Roman" w:hAnsi="Times New Roman" w:cs="Times New Roman"/>
          <w:sz w:val="24"/>
          <w:szCs w:val="24"/>
        </w:rPr>
        <w:t>A f</w:t>
      </w:r>
      <w:r w:rsidR="007A18E6" w:rsidRPr="007A18E6">
        <w:rPr>
          <w:rFonts w:ascii="Times New Roman" w:hAnsi="Times New Roman" w:cs="Times New Roman"/>
          <w:sz w:val="24"/>
          <w:szCs w:val="24"/>
        </w:rPr>
        <w:t xml:space="preserve">ailure to incorporate children in interpretation produces an inadequate, if not deceptive, image of material culture. </w:t>
      </w:r>
      <w:r w:rsidR="00A5055F">
        <w:rPr>
          <w:rFonts w:ascii="Times New Roman" w:hAnsi="Times New Roman" w:cs="Times New Roman"/>
          <w:sz w:val="24"/>
          <w:szCs w:val="24"/>
        </w:rPr>
        <w:t>He</w:t>
      </w:r>
      <w:r>
        <w:rPr>
          <w:rFonts w:ascii="Times New Roman" w:hAnsi="Times New Roman" w:cs="Times New Roman"/>
          <w:sz w:val="24"/>
          <w:szCs w:val="24"/>
        </w:rPr>
        <w:t xml:space="preserve"> </w:t>
      </w:r>
      <w:r w:rsidR="007A18E6">
        <w:rPr>
          <w:rFonts w:ascii="Times New Roman" w:hAnsi="Times New Roman" w:cs="Times New Roman"/>
          <w:sz w:val="24"/>
          <w:szCs w:val="24"/>
        </w:rPr>
        <w:t>outlines</w:t>
      </w:r>
      <w:r>
        <w:rPr>
          <w:rFonts w:ascii="Times New Roman" w:hAnsi="Times New Roman" w:cs="Times New Roman"/>
          <w:sz w:val="24"/>
          <w:szCs w:val="24"/>
        </w:rPr>
        <w:t xml:space="preserve"> a number of new avenues </w:t>
      </w:r>
      <w:r w:rsidR="00B850AA">
        <w:rPr>
          <w:rFonts w:ascii="Times New Roman" w:hAnsi="Times New Roman" w:cs="Times New Roman"/>
          <w:sz w:val="24"/>
          <w:szCs w:val="24"/>
        </w:rPr>
        <w:t>for</w:t>
      </w:r>
      <w:r>
        <w:rPr>
          <w:rFonts w:ascii="Times New Roman" w:hAnsi="Times New Roman" w:cs="Times New Roman"/>
          <w:sz w:val="24"/>
          <w:szCs w:val="24"/>
        </w:rPr>
        <w:t xml:space="preserve"> exploring the materiality of children, ultimately by reconsidering </w:t>
      </w:r>
      <w:r w:rsidR="007A18E6">
        <w:rPr>
          <w:rFonts w:ascii="Times New Roman" w:hAnsi="Times New Roman" w:cs="Times New Roman"/>
          <w:sz w:val="24"/>
          <w:szCs w:val="24"/>
        </w:rPr>
        <w:t xml:space="preserve">the </w:t>
      </w:r>
      <w:r>
        <w:rPr>
          <w:rFonts w:ascii="Times New Roman" w:hAnsi="Times New Roman" w:cs="Times New Roman"/>
          <w:sz w:val="24"/>
          <w:szCs w:val="24"/>
        </w:rPr>
        <w:t>old assumptions.</w:t>
      </w:r>
      <w:r w:rsidR="00A3400F">
        <w:rPr>
          <w:rFonts w:ascii="Times New Roman" w:hAnsi="Times New Roman" w:cs="Times New Roman"/>
          <w:sz w:val="24"/>
          <w:szCs w:val="24"/>
        </w:rPr>
        <w:t xml:space="preserve"> </w:t>
      </w:r>
      <w:r>
        <w:rPr>
          <w:rFonts w:ascii="Times New Roman" w:hAnsi="Times New Roman" w:cs="Times New Roman"/>
          <w:sz w:val="24"/>
          <w:szCs w:val="24"/>
        </w:rPr>
        <w:t>He suggests</w:t>
      </w:r>
      <w:r w:rsidR="00A3400F">
        <w:rPr>
          <w:rFonts w:ascii="Times New Roman" w:hAnsi="Times New Roman" w:cs="Times New Roman"/>
          <w:sz w:val="24"/>
          <w:szCs w:val="24"/>
        </w:rPr>
        <w:t xml:space="preserve"> that there is plenty of scope for further examination of this topic and that</w:t>
      </w:r>
      <w:r>
        <w:rPr>
          <w:rFonts w:ascii="Times New Roman" w:hAnsi="Times New Roman" w:cs="Times New Roman"/>
          <w:sz w:val="24"/>
          <w:szCs w:val="24"/>
        </w:rPr>
        <w:t xml:space="preserve"> a </w:t>
      </w:r>
      <w:r w:rsidR="00230B3E">
        <w:rPr>
          <w:rFonts w:ascii="Times New Roman" w:hAnsi="Times New Roman" w:cs="Times New Roman"/>
          <w:sz w:val="24"/>
          <w:szCs w:val="24"/>
        </w:rPr>
        <w:t>‘</w:t>
      </w:r>
      <w:r>
        <w:rPr>
          <w:rFonts w:ascii="Times New Roman" w:hAnsi="Times New Roman" w:cs="Times New Roman"/>
          <w:sz w:val="24"/>
          <w:szCs w:val="24"/>
        </w:rPr>
        <w:t>child</w:t>
      </w:r>
      <w:r w:rsidR="00230B3E">
        <w:rPr>
          <w:rFonts w:ascii="Times New Roman" w:hAnsi="Times New Roman" w:cs="Times New Roman"/>
          <w:sz w:val="24"/>
          <w:szCs w:val="24"/>
        </w:rPr>
        <w:t>ren</w:t>
      </w:r>
      <w:r>
        <w:rPr>
          <w:rFonts w:ascii="Times New Roman" w:hAnsi="Times New Roman" w:cs="Times New Roman"/>
          <w:sz w:val="24"/>
          <w:szCs w:val="24"/>
        </w:rPr>
        <w:t xml:space="preserve"> first</w:t>
      </w:r>
      <w:r w:rsidR="00230B3E">
        <w:rPr>
          <w:rFonts w:ascii="Times New Roman" w:hAnsi="Times New Roman" w:cs="Times New Roman"/>
          <w:sz w:val="24"/>
          <w:szCs w:val="24"/>
        </w:rPr>
        <w:t>’</w:t>
      </w:r>
      <w:r>
        <w:rPr>
          <w:rFonts w:ascii="Times New Roman" w:hAnsi="Times New Roman" w:cs="Times New Roman"/>
          <w:sz w:val="24"/>
          <w:szCs w:val="24"/>
        </w:rPr>
        <w:t xml:space="preserve"> starting point, </w:t>
      </w:r>
      <w:r w:rsidRPr="00840ED0">
        <w:rPr>
          <w:rFonts w:ascii="Times New Roman" w:hAnsi="Times New Roman" w:cs="Times New Roman"/>
          <w:sz w:val="24"/>
          <w:szCs w:val="24"/>
        </w:rPr>
        <w:t xml:space="preserve">might lead to dramatically different findings on the same </w:t>
      </w:r>
      <w:r w:rsidR="00B850AA">
        <w:rPr>
          <w:rFonts w:ascii="Times New Roman" w:hAnsi="Times New Roman" w:cs="Times New Roman"/>
          <w:sz w:val="24"/>
          <w:szCs w:val="24"/>
        </w:rPr>
        <w:t>material</w:t>
      </w:r>
      <w:r w:rsidRPr="00840ED0">
        <w:rPr>
          <w:rFonts w:ascii="Times New Roman" w:hAnsi="Times New Roman" w:cs="Times New Roman"/>
          <w:sz w:val="24"/>
          <w:szCs w:val="24"/>
        </w:rPr>
        <w:t>.</w:t>
      </w:r>
    </w:p>
    <w:p w14:paraId="7739944E" w14:textId="1470852C" w:rsidR="00840ED0" w:rsidRPr="007C4681" w:rsidRDefault="00840ED0" w:rsidP="007C4681">
      <w:pPr>
        <w:rPr>
          <w:rFonts w:ascii="Times New Roman" w:hAnsi="Times New Roman" w:cs="Times New Roman"/>
          <w:sz w:val="24"/>
          <w:szCs w:val="24"/>
        </w:rPr>
      </w:pPr>
    </w:p>
    <w:p w14:paraId="55514805" w14:textId="77777777" w:rsidR="007A18E6" w:rsidRPr="007A18E6" w:rsidRDefault="007A18E6" w:rsidP="007A18E6">
      <w:pPr>
        <w:rPr>
          <w:rFonts w:ascii="Times New Roman" w:hAnsi="Times New Roman" w:cs="Times New Roman"/>
          <w:b/>
          <w:bCs/>
          <w:sz w:val="24"/>
          <w:szCs w:val="24"/>
        </w:rPr>
      </w:pPr>
      <w:r w:rsidRPr="007A18E6">
        <w:rPr>
          <w:rFonts w:ascii="Times New Roman" w:hAnsi="Times New Roman" w:cs="Times New Roman"/>
          <w:b/>
          <w:bCs/>
          <w:sz w:val="24"/>
          <w:szCs w:val="24"/>
        </w:rPr>
        <w:t>Bibliography.</w:t>
      </w:r>
    </w:p>
    <w:p w14:paraId="2A44C0E8" w14:textId="77777777" w:rsidR="007A18E6" w:rsidRPr="007A18E6" w:rsidRDefault="007A18E6" w:rsidP="007A18E6">
      <w:pPr>
        <w:rPr>
          <w:rFonts w:ascii="Times New Roman" w:hAnsi="Times New Roman" w:cs="Times New Roman"/>
          <w:sz w:val="24"/>
          <w:szCs w:val="24"/>
        </w:rPr>
      </w:pPr>
      <w:r w:rsidRPr="007A18E6">
        <w:rPr>
          <w:rFonts w:ascii="Times New Roman" w:hAnsi="Times New Roman" w:cs="Times New Roman"/>
          <w:sz w:val="24"/>
          <w:szCs w:val="24"/>
        </w:rPr>
        <w:t xml:space="preserve">Bennett, J. (2010). </w:t>
      </w:r>
      <w:r w:rsidRPr="007A18E6">
        <w:rPr>
          <w:rFonts w:ascii="Times New Roman" w:hAnsi="Times New Roman" w:cs="Times New Roman"/>
          <w:i/>
          <w:iCs/>
          <w:sz w:val="24"/>
          <w:szCs w:val="24"/>
        </w:rPr>
        <w:t>Vibrant Matter: A Political Ecology of Things.</w:t>
      </w:r>
      <w:r w:rsidRPr="007A18E6">
        <w:rPr>
          <w:rFonts w:ascii="Times New Roman" w:hAnsi="Times New Roman" w:cs="Times New Roman"/>
          <w:sz w:val="24"/>
          <w:szCs w:val="24"/>
        </w:rPr>
        <w:t xml:space="preserve"> Duke University Press.</w:t>
      </w:r>
    </w:p>
    <w:p w14:paraId="2AA95CFF" w14:textId="77777777" w:rsidR="007A18E6" w:rsidRPr="007A18E6" w:rsidRDefault="007A18E6" w:rsidP="007A18E6">
      <w:pPr>
        <w:rPr>
          <w:rFonts w:ascii="Times New Roman" w:hAnsi="Times New Roman" w:cs="Times New Roman"/>
          <w:sz w:val="24"/>
          <w:szCs w:val="24"/>
        </w:rPr>
      </w:pPr>
      <w:r w:rsidRPr="007A18E6">
        <w:rPr>
          <w:rFonts w:ascii="Times New Roman" w:hAnsi="Times New Roman" w:cs="Times New Roman"/>
          <w:sz w:val="24"/>
          <w:szCs w:val="24"/>
        </w:rPr>
        <w:t xml:space="preserve">Brewer, D. J. &amp; Teeter, E. (2001). </w:t>
      </w:r>
      <w:r w:rsidRPr="007A18E6">
        <w:rPr>
          <w:rFonts w:ascii="Times New Roman" w:hAnsi="Times New Roman" w:cs="Times New Roman"/>
          <w:i/>
          <w:iCs/>
          <w:sz w:val="24"/>
          <w:szCs w:val="24"/>
        </w:rPr>
        <w:t>Egypt and the Egyptians</w:t>
      </w:r>
      <w:r w:rsidRPr="007A18E6">
        <w:rPr>
          <w:rFonts w:ascii="Times New Roman" w:hAnsi="Times New Roman" w:cs="Times New Roman"/>
          <w:sz w:val="24"/>
          <w:szCs w:val="24"/>
        </w:rPr>
        <w:t>. Cambridge University Press.</w:t>
      </w:r>
    </w:p>
    <w:p w14:paraId="3E617EE0" w14:textId="77777777" w:rsidR="007A18E6" w:rsidRPr="007A18E6" w:rsidRDefault="007A18E6" w:rsidP="007A18E6">
      <w:pPr>
        <w:rPr>
          <w:rFonts w:ascii="Times New Roman" w:hAnsi="Times New Roman" w:cs="Times New Roman"/>
          <w:sz w:val="24"/>
          <w:szCs w:val="24"/>
        </w:rPr>
      </w:pPr>
      <w:bookmarkStart w:id="1" w:name="_Hlk182819682"/>
      <w:r w:rsidRPr="007A18E6">
        <w:rPr>
          <w:rFonts w:ascii="Times New Roman" w:hAnsi="Times New Roman" w:cs="Times New Roman"/>
          <w:sz w:val="24"/>
          <w:szCs w:val="24"/>
        </w:rPr>
        <w:t>Hinson, B. (2018). Children and materiality in Ancient Egypt. In É. Maynart, C. Velloza, &amp; R. Lemos (Eds.), </w:t>
      </w:r>
      <w:r w:rsidRPr="007A18E6">
        <w:rPr>
          <w:rFonts w:ascii="Times New Roman" w:hAnsi="Times New Roman" w:cs="Times New Roman"/>
          <w:i/>
          <w:iCs/>
          <w:sz w:val="24"/>
          <w:szCs w:val="24"/>
        </w:rPr>
        <w:t>Perspectives on materiality in ancient Egypt: Agency, Cultural Reproduction and Change</w:t>
      </w:r>
      <w:r w:rsidRPr="007A18E6">
        <w:rPr>
          <w:rFonts w:ascii="Times New Roman" w:hAnsi="Times New Roman" w:cs="Times New Roman"/>
          <w:sz w:val="24"/>
          <w:szCs w:val="24"/>
        </w:rPr>
        <w:t> (pp. 10–23)</w:t>
      </w:r>
      <w:bookmarkEnd w:id="1"/>
      <w:r w:rsidRPr="007A18E6">
        <w:rPr>
          <w:rFonts w:ascii="Times New Roman" w:hAnsi="Times New Roman" w:cs="Times New Roman"/>
          <w:sz w:val="24"/>
          <w:szCs w:val="24"/>
        </w:rPr>
        <w:t xml:space="preserve">. Archaeopress. Available at: </w:t>
      </w:r>
      <w:hyperlink r:id="rId7" w:history="1">
        <w:r w:rsidRPr="007A18E6">
          <w:rPr>
            <w:rStyle w:val="Hyperlink"/>
            <w:rFonts w:ascii="Times New Roman" w:hAnsi="Times New Roman" w:cs="Times New Roman"/>
            <w:sz w:val="24"/>
            <w:szCs w:val="24"/>
          </w:rPr>
          <w:t>https://doi.org/10.2307/j.ctv1zcm0m4.6</w:t>
        </w:r>
      </w:hyperlink>
    </w:p>
    <w:p w14:paraId="3D4D21DB" w14:textId="77777777" w:rsidR="007A18E6" w:rsidRPr="007A18E6" w:rsidRDefault="007A18E6" w:rsidP="007A18E6">
      <w:pPr>
        <w:rPr>
          <w:rFonts w:ascii="Times New Roman" w:hAnsi="Times New Roman" w:cs="Times New Roman"/>
          <w:sz w:val="24"/>
          <w:szCs w:val="24"/>
        </w:rPr>
      </w:pPr>
      <w:r w:rsidRPr="007A18E6">
        <w:rPr>
          <w:rFonts w:ascii="Times New Roman" w:hAnsi="Times New Roman" w:cs="Times New Roman"/>
          <w:sz w:val="24"/>
          <w:szCs w:val="24"/>
        </w:rPr>
        <w:t xml:space="preserve">Ikram, S. (2015). ‘Interpreting Ancient Egyptian Material Culture.’ In Hartwig, M. K. (Ed.) </w:t>
      </w:r>
      <w:r w:rsidRPr="007A18E6">
        <w:rPr>
          <w:rFonts w:ascii="Times New Roman" w:hAnsi="Times New Roman" w:cs="Times New Roman"/>
          <w:i/>
          <w:iCs/>
          <w:sz w:val="24"/>
          <w:szCs w:val="24"/>
        </w:rPr>
        <w:t>A Companion to Ancient Egyptian Art, pp.175-188</w:t>
      </w:r>
      <w:r w:rsidRPr="007A18E6">
        <w:rPr>
          <w:rFonts w:ascii="Times New Roman" w:hAnsi="Times New Roman" w:cs="Times New Roman"/>
          <w:sz w:val="24"/>
          <w:szCs w:val="24"/>
        </w:rPr>
        <w:t>. Wiley Blackwell.</w:t>
      </w:r>
    </w:p>
    <w:p w14:paraId="5318972A" w14:textId="77777777" w:rsidR="007A18E6" w:rsidRPr="007A18E6" w:rsidRDefault="007A18E6" w:rsidP="007A18E6">
      <w:pPr>
        <w:rPr>
          <w:rFonts w:ascii="Times New Roman" w:hAnsi="Times New Roman" w:cs="Times New Roman"/>
          <w:sz w:val="24"/>
          <w:szCs w:val="24"/>
        </w:rPr>
      </w:pPr>
      <w:r w:rsidRPr="007A18E6">
        <w:rPr>
          <w:rFonts w:ascii="Times New Roman" w:hAnsi="Times New Roman" w:cs="Times New Roman"/>
          <w:sz w:val="24"/>
          <w:szCs w:val="24"/>
        </w:rPr>
        <w:t xml:space="preserve">Ingold, T. (2013). </w:t>
      </w:r>
      <w:r w:rsidRPr="007A18E6">
        <w:rPr>
          <w:rFonts w:ascii="Times New Roman" w:hAnsi="Times New Roman" w:cs="Times New Roman"/>
          <w:i/>
          <w:iCs/>
          <w:sz w:val="24"/>
          <w:szCs w:val="24"/>
        </w:rPr>
        <w:t>Making: Anthropology, Archaeology, Art and Architecture</w:t>
      </w:r>
      <w:r w:rsidRPr="007A18E6">
        <w:rPr>
          <w:rFonts w:ascii="Times New Roman" w:hAnsi="Times New Roman" w:cs="Times New Roman"/>
          <w:sz w:val="24"/>
          <w:szCs w:val="24"/>
        </w:rPr>
        <w:t>. Routledge.</w:t>
      </w:r>
    </w:p>
    <w:p w14:paraId="716C0078" w14:textId="77777777" w:rsidR="007A18E6" w:rsidRPr="007A18E6" w:rsidRDefault="007A18E6" w:rsidP="007A18E6">
      <w:pPr>
        <w:rPr>
          <w:rFonts w:ascii="Times New Roman" w:hAnsi="Times New Roman" w:cs="Times New Roman"/>
          <w:sz w:val="24"/>
          <w:szCs w:val="24"/>
        </w:rPr>
      </w:pPr>
      <w:r w:rsidRPr="007A18E6">
        <w:rPr>
          <w:rFonts w:ascii="Times New Roman" w:hAnsi="Times New Roman" w:cs="Times New Roman"/>
          <w:sz w:val="24"/>
          <w:szCs w:val="24"/>
        </w:rPr>
        <w:t xml:space="preserve">Johnson, P. (2000). </w:t>
      </w:r>
      <w:r w:rsidRPr="007A18E6">
        <w:rPr>
          <w:rFonts w:ascii="Times New Roman" w:hAnsi="Times New Roman" w:cs="Times New Roman"/>
          <w:i/>
          <w:iCs/>
          <w:sz w:val="24"/>
          <w:szCs w:val="24"/>
        </w:rPr>
        <w:t>The Civilization of Ancient Egypt</w:t>
      </w:r>
      <w:r w:rsidRPr="007A18E6">
        <w:rPr>
          <w:rFonts w:ascii="Times New Roman" w:hAnsi="Times New Roman" w:cs="Times New Roman"/>
          <w:sz w:val="24"/>
          <w:szCs w:val="24"/>
        </w:rPr>
        <w:t>. Seven Dials, Cassell &amp; Co.</w:t>
      </w:r>
    </w:p>
    <w:p w14:paraId="575AF01B" w14:textId="77777777" w:rsidR="007A18E6" w:rsidRPr="007A18E6" w:rsidRDefault="007A18E6" w:rsidP="007A18E6">
      <w:pPr>
        <w:rPr>
          <w:rFonts w:ascii="Times New Roman" w:hAnsi="Times New Roman" w:cs="Times New Roman"/>
          <w:sz w:val="24"/>
          <w:szCs w:val="24"/>
        </w:rPr>
      </w:pPr>
      <w:r w:rsidRPr="007A18E6">
        <w:rPr>
          <w:rFonts w:ascii="Times New Roman" w:hAnsi="Times New Roman" w:cs="Times New Roman"/>
          <w:sz w:val="24"/>
          <w:szCs w:val="24"/>
        </w:rPr>
        <w:t xml:space="preserve">Shaw, I. &amp; Nicholson, P. (2003). </w:t>
      </w:r>
      <w:r w:rsidRPr="007A18E6">
        <w:rPr>
          <w:rFonts w:ascii="Times New Roman" w:hAnsi="Times New Roman" w:cs="Times New Roman"/>
          <w:i/>
          <w:iCs/>
          <w:sz w:val="24"/>
          <w:szCs w:val="24"/>
        </w:rPr>
        <w:t>The Dictionary of Ancient Egypt</w:t>
      </w:r>
      <w:r w:rsidRPr="007A18E6">
        <w:rPr>
          <w:rFonts w:ascii="Times New Roman" w:hAnsi="Times New Roman" w:cs="Times New Roman"/>
          <w:sz w:val="24"/>
          <w:szCs w:val="24"/>
        </w:rPr>
        <w:t>. Harry N. Abrams Inc.</w:t>
      </w:r>
    </w:p>
    <w:p w14:paraId="6A341434" w14:textId="4F384A4A" w:rsidR="001E727A" w:rsidRDefault="001E727A" w:rsidP="001E727A">
      <w:pPr>
        <w:rPr>
          <w:rFonts w:ascii="Times New Roman" w:hAnsi="Times New Roman" w:cs="Times New Roman"/>
          <w:sz w:val="24"/>
          <w:szCs w:val="24"/>
        </w:rPr>
      </w:pPr>
    </w:p>
    <w:p w14:paraId="07E55655" w14:textId="77777777" w:rsidR="001E727A" w:rsidRPr="001E727A" w:rsidRDefault="001E727A" w:rsidP="001E727A">
      <w:pPr>
        <w:rPr>
          <w:rFonts w:ascii="Times New Roman" w:hAnsi="Times New Roman" w:cs="Times New Roman"/>
          <w:sz w:val="24"/>
          <w:szCs w:val="24"/>
        </w:rPr>
      </w:pPr>
    </w:p>
    <w:p w14:paraId="46064BB6" w14:textId="76B41C3B" w:rsidR="00E077E4" w:rsidRDefault="00E077E4" w:rsidP="00E077E4">
      <w:pPr>
        <w:rPr>
          <w:rFonts w:ascii="Times New Roman" w:hAnsi="Times New Roman" w:cs="Times New Roman"/>
          <w:sz w:val="24"/>
          <w:szCs w:val="24"/>
        </w:rPr>
      </w:pPr>
    </w:p>
    <w:p w14:paraId="791D5DD1" w14:textId="77777777" w:rsidR="00E077E4" w:rsidRPr="006804B6" w:rsidRDefault="00E077E4" w:rsidP="00E077E4">
      <w:pPr>
        <w:rPr>
          <w:rFonts w:ascii="Times New Roman" w:hAnsi="Times New Roman" w:cs="Times New Roman"/>
          <w:sz w:val="24"/>
          <w:szCs w:val="24"/>
        </w:rPr>
      </w:pPr>
    </w:p>
    <w:sectPr w:rsidR="00E077E4" w:rsidRPr="006804B6" w:rsidSect="008A3FE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0B33BB" w14:textId="77777777" w:rsidR="00C8270B" w:rsidRDefault="00C8270B" w:rsidP="001F2B9C">
      <w:pPr>
        <w:spacing w:after="0" w:line="240" w:lineRule="auto"/>
      </w:pPr>
      <w:r>
        <w:separator/>
      </w:r>
    </w:p>
  </w:endnote>
  <w:endnote w:type="continuationSeparator" w:id="0">
    <w:p w14:paraId="604B113C" w14:textId="77777777" w:rsidR="00C8270B" w:rsidRDefault="00C8270B" w:rsidP="001F2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8B6F8" w14:textId="77777777" w:rsidR="001F2B9C" w:rsidRDefault="001F2B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9621974"/>
      <w:docPartObj>
        <w:docPartGallery w:val="Page Numbers (Bottom of Page)"/>
        <w:docPartUnique/>
      </w:docPartObj>
    </w:sdtPr>
    <w:sdtEndPr>
      <w:rPr>
        <w:noProof/>
      </w:rPr>
    </w:sdtEndPr>
    <w:sdtContent>
      <w:p w14:paraId="77DD0DA2" w14:textId="003542E4" w:rsidR="001F2B9C" w:rsidRDefault="001F2B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386B8A" w14:textId="77777777" w:rsidR="001F2B9C" w:rsidRDefault="001F2B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7365B" w14:textId="77777777" w:rsidR="001F2B9C" w:rsidRDefault="001F2B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D7574" w14:textId="77777777" w:rsidR="00C8270B" w:rsidRDefault="00C8270B" w:rsidP="001F2B9C">
      <w:pPr>
        <w:spacing w:after="0" w:line="240" w:lineRule="auto"/>
      </w:pPr>
      <w:r>
        <w:separator/>
      </w:r>
    </w:p>
  </w:footnote>
  <w:footnote w:type="continuationSeparator" w:id="0">
    <w:p w14:paraId="5F019AB2" w14:textId="77777777" w:rsidR="00C8270B" w:rsidRDefault="00C8270B" w:rsidP="001F2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7AA7B" w14:textId="77777777" w:rsidR="001F2B9C" w:rsidRDefault="001F2B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8CA56F" w14:textId="77777777" w:rsidR="001F2B9C" w:rsidRDefault="001F2B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95660A" w14:textId="77777777" w:rsidR="001F2B9C" w:rsidRDefault="001F2B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4B6"/>
    <w:rsid w:val="000E1E23"/>
    <w:rsid w:val="00117C40"/>
    <w:rsid w:val="0016504F"/>
    <w:rsid w:val="001D7D4E"/>
    <w:rsid w:val="001E39A9"/>
    <w:rsid w:val="001E727A"/>
    <w:rsid w:val="001F2B9C"/>
    <w:rsid w:val="00211F86"/>
    <w:rsid w:val="002265FF"/>
    <w:rsid w:val="00230B3E"/>
    <w:rsid w:val="002B333A"/>
    <w:rsid w:val="002F2883"/>
    <w:rsid w:val="00375D8C"/>
    <w:rsid w:val="003845FB"/>
    <w:rsid w:val="003F76CF"/>
    <w:rsid w:val="005C3292"/>
    <w:rsid w:val="005C51C0"/>
    <w:rsid w:val="005D2789"/>
    <w:rsid w:val="00623EC4"/>
    <w:rsid w:val="00676C91"/>
    <w:rsid w:val="006804B6"/>
    <w:rsid w:val="006A6B99"/>
    <w:rsid w:val="00720F51"/>
    <w:rsid w:val="00752BAA"/>
    <w:rsid w:val="007A18E6"/>
    <w:rsid w:val="007C4681"/>
    <w:rsid w:val="007E4ED0"/>
    <w:rsid w:val="00840ED0"/>
    <w:rsid w:val="008A3FE8"/>
    <w:rsid w:val="008A5B8F"/>
    <w:rsid w:val="00993A85"/>
    <w:rsid w:val="009B7BA9"/>
    <w:rsid w:val="009E7510"/>
    <w:rsid w:val="00A3400F"/>
    <w:rsid w:val="00A354DC"/>
    <w:rsid w:val="00A429B3"/>
    <w:rsid w:val="00A443FC"/>
    <w:rsid w:val="00A5055F"/>
    <w:rsid w:val="00AB1ECB"/>
    <w:rsid w:val="00AD4F24"/>
    <w:rsid w:val="00B3388F"/>
    <w:rsid w:val="00B33E3D"/>
    <w:rsid w:val="00B850AA"/>
    <w:rsid w:val="00BB26DB"/>
    <w:rsid w:val="00C023B4"/>
    <w:rsid w:val="00C14ADA"/>
    <w:rsid w:val="00C2634E"/>
    <w:rsid w:val="00C32847"/>
    <w:rsid w:val="00C442DF"/>
    <w:rsid w:val="00C44C75"/>
    <w:rsid w:val="00C8270B"/>
    <w:rsid w:val="00CE6185"/>
    <w:rsid w:val="00D72DAD"/>
    <w:rsid w:val="00D837AD"/>
    <w:rsid w:val="00DD7D04"/>
    <w:rsid w:val="00DE53DF"/>
    <w:rsid w:val="00E077E4"/>
    <w:rsid w:val="00E15AF8"/>
    <w:rsid w:val="00E2589A"/>
    <w:rsid w:val="00E274E2"/>
    <w:rsid w:val="00E543C1"/>
    <w:rsid w:val="00F34535"/>
    <w:rsid w:val="00F5290D"/>
    <w:rsid w:val="00F56485"/>
    <w:rsid w:val="00FB1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F2665"/>
  <w15:chartTrackingRefBased/>
  <w15:docId w15:val="{AA62311C-51E0-4325-B13E-031E79E99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04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04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04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04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4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4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4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4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4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4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04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04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04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4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4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4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4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4B6"/>
    <w:rPr>
      <w:rFonts w:eastAsiaTheme="majorEastAsia" w:cstheme="majorBidi"/>
      <w:color w:val="272727" w:themeColor="text1" w:themeTint="D8"/>
    </w:rPr>
  </w:style>
  <w:style w:type="paragraph" w:styleId="Title">
    <w:name w:val="Title"/>
    <w:basedOn w:val="Normal"/>
    <w:next w:val="Normal"/>
    <w:link w:val="TitleChar"/>
    <w:uiPriority w:val="10"/>
    <w:qFormat/>
    <w:rsid w:val="006804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4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4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4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4B6"/>
    <w:pPr>
      <w:spacing w:before="160"/>
      <w:jc w:val="center"/>
    </w:pPr>
    <w:rPr>
      <w:i/>
      <w:iCs/>
      <w:color w:val="404040" w:themeColor="text1" w:themeTint="BF"/>
    </w:rPr>
  </w:style>
  <w:style w:type="character" w:customStyle="1" w:styleId="QuoteChar">
    <w:name w:val="Quote Char"/>
    <w:basedOn w:val="DefaultParagraphFont"/>
    <w:link w:val="Quote"/>
    <w:uiPriority w:val="29"/>
    <w:rsid w:val="006804B6"/>
    <w:rPr>
      <w:i/>
      <w:iCs/>
      <w:color w:val="404040" w:themeColor="text1" w:themeTint="BF"/>
    </w:rPr>
  </w:style>
  <w:style w:type="paragraph" w:styleId="ListParagraph">
    <w:name w:val="List Paragraph"/>
    <w:basedOn w:val="Normal"/>
    <w:uiPriority w:val="34"/>
    <w:qFormat/>
    <w:rsid w:val="006804B6"/>
    <w:pPr>
      <w:ind w:left="720"/>
      <w:contextualSpacing/>
    </w:pPr>
  </w:style>
  <w:style w:type="character" w:styleId="IntenseEmphasis">
    <w:name w:val="Intense Emphasis"/>
    <w:basedOn w:val="DefaultParagraphFont"/>
    <w:uiPriority w:val="21"/>
    <w:qFormat/>
    <w:rsid w:val="006804B6"/>
    <w:rPr>
      <w:i/>
      <w:iCs/>
      <w:color w:val="0F4761" w:themeColor="accent1" w:themeShade="BF"/>
    </w:rPr>
  </w:style>
  <w:style w:type="paragraph" w:styleId="IntenseQuote">
    <w:name w:val="Intense Quote"/>
    <w:basedOn w:val="Normal"/>
    <w:next w:val="Normal"/>
    <w:link w:val="IntenseQuoteChar"/>
    <w:uiPriority w:val="30"/>
    <w:qFormat/>
    <w:rsid w:val="006804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4B6"/>
    <w:rPr>
      <w:i/>
      <w:iCs/>
      <w:color w:val="0F4761" w:themeColor="accent1" w:themeShade="BF"/>
    </w:rPr>
  </w:style>
  <w:style w:type="character" w:styleId="IntenseReference">
    <w:name w:val="Intense Reference"/>
    <w:basedOn w:val="DefaultParagraphFont"/>
    <w:uiPriority w:val="32"/>
    <w:qFormat/>
    <w:rsid w:val="006804B6"/>
    <w:rPr>
      <w:b/>
      <w:bCs/>
      <w:smallCaps/>
      <w:color w:val="0F4761" w:themeColor="accent1" w:themeShade="BF"/>
      <w:spacing w:val="5"/>
    </w:rPr>
  </w:style>
  <w:style w:type="paragraph" w:styleId="Header">
    <w:name w:val="header"/>
    <w:basedOn w:val="Normal"/>
    <w:link w:val="HeaderChar"/>
    <w:uiPriority w:val="99"/>
    <w:unhideWhenUsed/>
    <w:rsid w:val="001F2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B9C"/>
  </w:style>
  <w:style w:type="paragraph" w:styleId="Footer">
    <w:name w:val="footer"/>
    <w:basedOn w:val="Normal"/>
    <w:link w:val="FooterChar"/>
    <w:uiPriority w:val="99"/>
    <w:unhideWhenUsed/>
    <w:rsid w:val="001F2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B9C"/>
  </w:style>
  <w:style w:type="character" w:styleId="Hyperlink">
    <w:name w:val="Hyperlink"/>
    <w:basedOn w:val="DefaultParagraphFont"/>
    <w:uiPriority w:val="99"/>
    <w:unhideWhenUsed/>
    <w:rsid w:val="007A18E6"/>
    <w:rPr>
      <w:color w:val="467886" w:themeColor="hyperlink"/>
      <w:u w:val="single"/>
    </w:rPr>
  </w:style>
  <w:style w:type="character" w:styleId="UnresolvedMention">
    <w:name w:val="Unresolved Mention"/>
    <w:basedOn w:val="DefaultParagraphFont"/>
    <w:uiPriority w:val="99"/>
    <w:semiHidden/>
    <w:unhideWhenUsed/>
    <w:rsid w:val="007A18E6"/>
    <w:rPr>
      <w:color w:val="605E5C"/>
      <w:shd w:val="clear" w:color="auto" w:fill="E1DFDD"/>
    </w:rPr>
  </w:style>
  <w:style w:type="paragraph" w:styleId="NoSpacing">
    <w:name w:val="No Spacing"/>
    <w:link w:val="NoSpacingChar"/>
    <w:uiPriority w:val="1"/>
    <w:qFormat/>
    <w:rsid w:val="008A3F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3FE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17340">
      <w:bodyDiv w:val="1"/>
      <w:marLeft w:val="0"/>
      <w:marRight w:val="0"/>
      <w:marTop w:val="0"/>
      <w:marBottom w:val="0"/>
      <w:divBdr>
        <w:top w:val="none" w:sz="0" w:space="0" w:color="auto"/>
        <w:left w:val="none" w:sz="0" w:space="0" w:color="auto"/>
        <w:bottom w:val="none" w:sz="0" w:space="0" w:color="auto"/>
        <w:right w:val="none" w:sz="0" w:space="0" w:color="auto"/>
      </w:divBdr>
    </w:div>
    <w:div w:id="20864762">
      <w:bodyDiv w:val="1"/>
      <w:marLeft w:val="0"/>
      <w:marRight w:val="0"/>
      <w:marTop w:val="0"/>
      <w:marBottom w:val="0"/>
      <w:divBdr>
        <w:top w:val="none" w:sz="0" w:space="0" w:color="auto"/>
        <w:left w:val="none" w:sz="0" w:space="0" w:color="auto"/>
        <w:bottom w:val="none" w:sz="0" w:space="0" w:color="auto"/>
        <w:right w:val="none" w:sz="0" w:space="0" w:color="auto"/>
      </w:divBdr>
    </w:div>
    <w:div w:id="163058650">
      <w:bodyDiv w:val="1"/>
      <w:marLeft w:val="0"/>
      <w:marRight w:val="0"/>
      <w:marTop w:val="0"/>
      <w:marBottom w:val="0"/>
      <w:divBdr>
        <w:top w:val="none" w:sz="0" w:space="0" w:color="auto"/>
        <w:left w:val="none" w:sz="0" w:space="0" w:color="auto"/>
        <w:bottom w:val="none" w:sz="0" w:space="0" w:color="auto"/>
        <w:right w:val="none" w:sz="0" w:space="0" w:color="auto"/>
      </w:divBdr>
    </w:div>
    <w:div w:id="192764783">
      <w:bodyDiv w:val="1"/>
      <w:marLeft w:val="0"/>
      <w:marRight w:val="0"/>
      <w:marTop w:val="0"/>
      <w:marBottom w:val="0"/>
      <w:divBdr>
        <w:top w:val="none" w:sz="0" w:space="0" w:color="auto"/>
        <w:left w:val="none" w:sz="0" w:space="0" w:color="auto"/>
        <w:bottom w:val="none" w:sz="0" w:space="0" w:color="auto"/>
        <w:right w:val="none" w:sz="0" w:space="0" w:color="auto"/>
      </w:divBdr>
    </w:div>
    <w:div w:id="309484127">
      <w:bodyDiv w:val="1"/>
      <w:marLeft w:val="0"/>
      <w:marRight w:val="0"/>
      <w:marTop w:val="0"/>
      <w:marBottom w:val="0"/>
      <w:divBdr>
        <w:top w:val="none" w:sz="0" w:space="0" w:color="auto"/>
        <w:left w:val="none" w:sz="0" w:space="0" w:color="auto"/>
        <w:bottom w:val="none" w:sz="0" w:space="0" w:color="auto"/>
        <w:right w:val="none" w:sz="0" w:space="0" w:color="auto"/>
      </w:divBdr>
    </w:div>
    <w:div w:id="327367180">
      <w:bodyDiv w:val="1"/>
      <w:marLeft w:val="0"/>
      <w:marRight w:val="0"/>
      <w:marTop w:val="0"/>
      <w:marBottom w:val="0"/>
      <w:divBdr>
        <w:top w:val="none" w:sz="0" w:space="0" w:color="auto"/>
        <w:left w:val="none" w:sz="0" w:space="0" w:color="auto"/>
        <w:bottom w:val="none" w:sz="0" w:space="0" w:color="auto"/>
        <w:right w:val="none" w:sz="0" w:space="0" w:color="auto"/>
      </w:divBdr>
    </w:div>
    <w:div w:id="372921577">
      <w:bodyDiv w:val="1"/>
      <w:marLeft w:val="0"/>
      <w:marRight w:val="0"/>
      <w:marTop w:val="0"/>
      <w:marBottom w:val="0"/>
      <w:divBdr>
        <w:top w:val="none" w:sz="0" w:space="0" w:color="auto"/>
        <w:left w:val="none" w:sz="0" w:space="0" w:color="auto"/>
        <w:bottom w:val="none" w:sz="0" w:space="0" w:color="auto"/>
        <w:right w:val="none" w:sz="0" w:space="0" w:color="auto"/>
      </w:divBdr>
    </w:div>
    <w:div w:id="424426957">
      <w:bodyDiv w:val="1"/>
      <w:marLeft w:val="0"/>
      <w:marRight w:val="0"/>
      <w:marTop w:val="0"/>
      <w:marBottom w:val="0"/>
      <w:divBdr>
        <w:top w:val="none" w:sz="0" w:space="0" w:color="auto"/>
        <w:left w:val="none" w:sz="0" w:space="0" w:color="auto"/>
        <w:bottom w:val="none" w:sz="0" w:space="0" w:color="auto"/>
        <w:right w:val="none" w:sz="0" w:space="0" w:color="auto"/>
      </w:divBdr>
    </w:div>
    <w:div w:id="433985503">
      <w:bodyDiv w:val="1"/>
      <w:marLeft w:val="0"/>
      <w:marRight w:val="0"/>
      <w:marTop w:val="0"/>
      <w:marBottom w:val="0"/>
      <w:divBdr>
        <w:top w:val="none" w:sz="0" w:space="0" w:color="auto"/>
        <w:left w:val="none" w:sz="0" w:space="0" w:color="auto"/>
        <w:bottom w:val="none" w:sz="0" w:space="0" w:color="auto"/>
        <w:right w:val="none" w:sz="0" w:space="0" w:color="auto"/>
      </w:divBdr>
    </w:div>
    <w:div w:id="541595525">
      <w:bodyDiv w:val="1"/>
      <w:marLeft w:val="0"/>
      <w:marRight w:val="0"/>
      <w:marTop w:val="0"/>
      <w:marBottom w:val="0"/>
      <w:divBdr>
        <w:top w:val="none" w:sz="0" w:space="0" w:color="auto"/>
        <w:left w:val="none" w:sz="0" w:space="0" w:color="auto"/>
        <w:bottom w:val="none" w:sz="0" w:space="0" w:color="auto"/>
        <w:right w:val="none" w:sz="0" w:space="0" w:color="auto"/>
      </w:divBdr>
    </w:div>
    <w:div w:id="925267098">
      <w:bodyDiv w:val="1"/>
      <w:marLeft w:val="0"/>
      <w:marRight w:val="0"/>
      <w:marTop w:val="0"/>
      <w:marBottom w:val="0"/>
      <w:divBdr>
        <w:top w:val="none" w:sz="0" w:space="0" w:color="auto"/>
        <w:left w:val="none" w:sz="0" w:space="0" w:color="auto"/>
        <w:bottom w:val="none" w:sz="0" w:space="0" w:color="auto"/>
        <w:right w:val="none" w:sz="0" w:space="0" w:color="auto"/>
      </w:divBdr>
    </w:div>
    <w:div w:id="1146900573">
      <w:bodyDiv w:val="1"/>
      <w:marLeft w:val="0"/>
      <w:marRight w:val="0"/>
      <w:marTop w:val="0"/>
      <w:marBottom w:val="0"/>
      <w:divBdr>
        <w:top w:val="none" w:sz="0" w:space="0" w:color="auto"/>
        <w:left w:val="none" w:sz="0" w:space="0" w:color="auto"/>
        <w:bottom w:val="none" w:sz="0" w:space="0" w:color="auto"/>
        <w:right w:val="none" w:sz="0" w:space="0" w:color="auto"/>
      </w:divBdr>
    </w:div>
    <w:div w:id="1152135173">
      <w:bodyDiv w:val="1"/>
      <w:marLeft w:val="0"/>
      <w:marRight w:val="0"/>
      <w:marTop w:val="0"/>
      <w:marBottom w:val="0"/>
      <w:divBdr>
        <w:top w:val="none" w:sz="0" w:space="0" w:color="auto"/>
        <w:left w:val="none" w:sz="0" w:space="0" w:color="auto"/>
        <w:bottom w:val="none" w:sz="0" w:space="0" w:color="auto"/>
        <w:right w:val="none" w:sz="0" w:space="0" w:color="auto"/>
      </w:divBdr>
    </w:div>
    <w:div w:id="1190412295">
      <w:bodyDiv w:val="1"/>
      <w:marLeft w:val="0"/>
      <w:marRight w:val="0"/>
      <w:marTop w:val="0"/>
      <w:marBottom w:val="0"/>
      <w:divBdr>
        <w:top w:val="none" w:sz="0" w:space="0" w:color="auto"/>
        <w:left w:val="none" w:sz="0" w:space="0" w:color="auto"/>
        <w:bottom w:val="none" w:sz="0" w:space="0" w:color="auto"/>
        <w:right w:val="none" w:sz="0" w:space="0" w:color="auto"/>
      </w:divBdr>
    </w:div>
    <w:div w:id="1207524332">
      <w:bodyDiv w:val="1"/>
      <w:marLeft w:val="0"/>
      <w:marRight w:val="0"/>
      <w:marTop w:val="0"/>
      <w:marBottom w:val="0"/>
      <w:divBdr>
        <w:top w:val="none" w:sz="0" w:space="0" w:color="auto"/>
        <w:left w:val="none" w:sz="0" w:space="0" w:color="auto"/>
        <w:bottom w:val="none" w:sz="0" w:space="0" w:color="auto"/>
        <w:right w:val="none" w:sz="0" w:space="0" w:color="auto"/>
      </w:divBdr>
    </w:div>
    <w:div w:id="1293973339">
      <w:bodyDiv w:val="1"/>
      <w:marLeft w:val="0"/>
      <w:marRight w:val="0"/>
      <w:marTop w:val="0"/>
      <w:marBottom w:val="0"/>
      <w:divBdr>
        <w:top w:val="none" w:sz="0" w:space="0" w:color="auto"/>
        <w:left w:val="none" w:sz="0" w:space="0" w:color="auto"/>
        <w:bottom w:val="none" w:sz="0" w:space="0" w:color="auto"/>
        <w:right w:val="none" w:sz="0" w:space="0" w:color="auto"/>
      </w:divBdr>
    </w:div>
    <w:div w:id="1350794342">
      <w:bodyDiv w:val="1"/>
      <w:marLeft w:val="0"/>
      <w:marRight w:val="0"/>
      <w:marTop w:val="0"/>
      <w:marBottom w:val="0"/>
      <w:divBdr>
        <w:top w:val="none" w:sz="0" w:space="0" w:color="auto"/>
        <w:left w:val="none" w:sz="0" w:space="0" w:color="auto"/>
        <w:bottom w:val="none" w:sz="0" w:space="0" w:color="auto"/>
        <w:right w:val="none" w:sz="0" w:space="0" w:color="auto"/>
      </w:divBdr>
    </w:div>
    <w:div w:id="1354067957">
      <w:bodyDiv w:val="1"/>
      <w:marLeft w:val="0"/>
      <w:marRight w:val="0"/>
      <w:marTop w:val="0"/>
      <w:marBottom w:val="0"/>
      <w:divBdr>
        <w:top w:val="none" w:sz="0" w:space="0" w:color="auto"/>
        <w:left w:val="none" w:sz="0" w:space="0" w:color="auto"/>
        <w:bottom w:val="none" w:sz="0" w:space="0" w:color="auto"/>
        <w:right w:val="none" w:sz="0" w:space="0" w:color="auto"/>
      </w:divBdr>
    </w:div>
    <w:div w:id="1377583233">
      <w:bodyDiv w:val="1"/>
      <w:marLeft w:val="0"/>
      <w:marRight w:val="0"/>
      <w:marTop w:val="0"/>
      <w:marBottom w:val="0"/>
      <w:divBdr>
        <w:top w:val="none" w:sz="0" w:space="0" w:color="auto"/>
        <w:left w:val="none" w:sz="0" w:space="0" w:color="auto"/>
        <w:bottom w:val="none" w:sz="0" w:space="0" w:color="auto"/>
        <w:right w:val="none" w:sz="0" w:space="0" w:color="auto"/>
      </w:divBdr>
    </w:div>
    <w:div w:id="1391728113">
      <w:bodyDiv w:val="1"/>
      <w:marLeft w:val="0"/>
      <w:marRight w:val="0"/>
      <w:marTop w:val="0"/>
      <w:marBottom w:val="0"/>
      <w:divBdr>
        <w:top w:val="none" w:sz="0" w:space="0" w:color="auto"/>
        <w:left w:val="none" w:sz="0" w:space="0" w:color="auto"/>
        <w:bottom w:val="none" w:sz="0" w:space="0" w:color="auto"/>
        <w:right w:val="none" w:sz="0" w:space="0" w:color="auto"/>
      </w:divBdr>
    </w:div>
    <w:div w:id="1425420913">
      <w:bodyDiv w:val="1"/>
      <w:marLeft w:val="0"/>
      <w:marRight w:val="0"/>
      <w:marTop w:val="0"/>
      <w:marBottom w:val="0"/>
      <w:divBdr>
        <w:top w:val="none" w:sz="0" w:space="0" w:color="auto"/>
        <w:left w:val="none" w:sz="0" w:space="0" w:color="auto"/>
        <w:bottom w:val="none" w:sz="0" w:space="0" w:color="auto"/>
        <w:right w:val="none" w:sz="0" w:space="0" w:color="auto"/>
      </w:divBdr>
    </w:div>
    <w:div w:id="1440098881">
      <w:bodyDiv w:val="1"/>
      <w:marLeft w:val="0"/>
      <w:marRight w:val="0"/>
      <w:marTop w:val="0"/>
      <w:marBottom w:val="0"/>
      <w:divBdr>
        <w:top w:val="none" w:sz="0" w:space="0" w:color="auto"/>
        <w:left w:val="none" w:sz="0" w:space="0" w:color="auto"/>
        <w:bottom w:val="none" w:sz="0" w:space="0" w:color="auto"/>
        <w:right w:val="none" w:sz="0" w:space="0" w:color="auto"/>
      </w:divBdr>
    </w:div>
    <w:div w:id="1443957692">
      <w:bodyDiv w:val="1"/>
      <w:marLeft w:val="0"/>
      <w:marRight w:val="0"/>
      <w:marTop w:val="0"/>
      <w:marBottom w:val="0"/>
      <w:divBdr>
        <w:top w:val="none" w:sz="0" w:space="0" w:color="auto"/>
        <w:left w:val="none" w:sz="0" w:space="0" w:color="auto"/>
        <w:bottom w:val="none" w:sz="0" w:space="0" w:color="auto"/>
        <w:right w:val="none" w:sz="0" w:space="0" w:color="auto"/>
      </w:divBdr>
    </w:div>
    <w:div w:id="1524510220">
      <w:bodyDiv w:val="1"/>
      <w:marLeft w:val="0"/>
      <w:marRight w:val="0"/>
      <w:marTop w:val="0"/>
      <w:marBottom w:val="0"/>
      <w:divBdr>
        <w:top w:val="none" w:sz="0" w:space="0" w:color="auto"/>
        <w:left w:val="none" w:sz="0" w:space="0" w:color="auto"/>
        <w:bottom w:val="none" w:sz="0" w:space="0" w:color="auto"/>
        <w:right w:val="none" w:sz="0" w:space="0" w:color="auto"/>
      </w:divBdr>
    </w:div>
    <w:div w:id="1574468623">
      <w:bodyDiv w:val="1"/>
      <w:marLeft w:val="0"/>
      <w:marRight w:val="0"/>
      <w:marTop w:val="0"/>
      <w:marBottom w:val="0"/>
      <w:divBdr>
        <w:top w:val="none" w:sz="0" w:space="0" w:color="auto"/>
        <w:left w:val="none" w:sz="0" w:space="0" w:color="auto"/>
        <w:bottom w:val="none" w:sz="0" w:space="0" w:color="auto"/>
        <w:right w:val="none" w:sz="0" w:space="0" w:color="auto"/>
      </w:divBdr>
    </w:div>
    <w:div w:id="1606501270">
      <w:bodyDiv w:val="1"/>
      <w:marLeft w:val="0"/>
      <w:marRight w:val="0"/>
      <w:marTop w:val="0"/>
      <w:marBottom w:val="0"/>
      <w:divBdr>
        <w:top w:val="none" w:sz="0" w:space="0" w:color="auto"/>
        <w:left w:val="none" w:sz="0" w:space="0" w:color="auto"/>
        <w:bottom w:val="none" w:sz="0" w:space="0" w:color="auto"/>
        <w:right w:val="none" w:sz="0" w:space="0" w:color="auto"/>
      </w:divBdr>
    </w:div>
    <w:div w:id="1640956293">
      <w:bodyDiv w:val="1"/>
      <w:marLeft w:val="0"/>
      <w:marRight w:val="0"/>
      <w:marTop w:val="0"/>
      <w:marBottom w:val="0"/>
      <w:divBdr>
        <w:top w:val="none" w:sz="0" w:space="0" w:color="auto"/>
        <w:left w:val="none" w:sz="0" w:space="0" w:color="auto"/>
        <w:bottom w:val="none" w:sz="0" w:space="0" w:color="auto"/>
        <w:right w:val="none" w:sz="0" w:space="0" w:color="auto"/>
      </w:divBdr>
    </w:div>
    <w:div w:id="1729499662">
      <w:bodyDiv w:val="1"/>
      <w:marLeft w:val="0"/>
      <w:marRight w:val="0"/>
      <w:marTop w:val="0"/>
      <w:marBottom w:val="0"/>
      <w:divBdr>
        <w:top w:val="none" w:sz="0" w:space="0" w:color="auto"/>
        <w:left w:val="none" w:sz="0" w:space="0" w:color="auto"/>
        <w:bottom w:val="none" w:sz="0" w:space="0" w:color="auto"/>
        <w:right w:val="none" w:sz="0" w:space="0" w:color="auto"/>
      </w:divBdr>
    </w:div>
    <w:div w:id="1856075002">
      <w:bodyDiv w:val="1"/>
      <w:marLeft w:val="0"/>
      <w:marRight w:val="0"/>
      <w:marTop w:val="0"/>
      <w:marBottom w:val="0"/>
      <w:divBdr>
        <w:top w:val="none" w:sz="0" w:space="0" w:color="auto"/>
        <w:left w:val="none" w:sz="0" w:space="0" w:color="auto"/>
        <w:bottom w:val="none" w:sz="0" w:space="0" w:color="auto"/>
        <w:right w:val="none" w:sz="0" w:space="0" w:color="auto"/>
      </w:divBdr>
    </w:div>
    <w:div w:id="1869180583">
      <w:bodyDiv w:val="1"/>
      <w:marLeft w:val="0"/>
      <w:marRight w:val="0"/>
      <w:marTop w:val="0"/>
      <w:marBottom w:val="0"/>
      <w:divBdr>
        <w:top w:val="none" w:sz="0" w:space="0" w:color="auto"/>
        <w:left w:val="none" w:sz="0" w:space="0" w:color="auto"/>
        <w:bottom w:val="none" w:sz="0" w:space="0" w:color="auto"/>
        <w:right w:val="none" w:sz="0" w:space="0" w:color="auto"/>
      </w:divBdr>
    </w:div>
    <w:div w:id="212527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oi.org/10.2307/j.ctv1zcm0m4.6"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2024-11-19T00:00:00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1510</Words>
  <Characters>8475</Characters>
  <Application>Microsoft Office Word</Application>
  <DocSecurity>0</DocSecurity>
  <Lines>124</Lines>
  <Paragraphs>27</Paragraphs>
  <ScaleCrop>false</ScaleCrop>
  <HeadingPairs>
    <vt:vector size="2" baseType="variant">
      <vt:variant>
        <vt:lpstr>Title</vt:lpstr>
      </vt:variant>
      <vt:variant>
        <vt:i4>1</vt:i4>
      </vt:variant>
    </vt:vector>
  </HeadingPairs>
  <TitlesOfParts>
    <vt:vector size="1" baseType="lpstr">
      <vt:lpstr/>
    </vt:vector>
  </TitlesOfParts>
  <Company>Student number 99091195</Company>
  <LinksUpToDate>false</LinksUpToDate>
  <CharactersWithSpaces>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Hinson, B. (2018). Children and materiality in Ancient Egypt. In É. Maynart, C. Velloza, &amp; R. Lemos (Eds.), Perspectives on materiality in ancient Egypt: Agency, Cultural Reproduction and Change (pp. 10–23).</dc:title>
  <dc:subject>thinking with things. hpan5013</dc:subject>
  <dc:creator>Gareth Jenkins</dc:creator>
  <cp:keywords/>
  <dc:description/>
  <cp:lastModifiedBy>Gareth Jenkins</cp:lastModifiedBy>
  <cp:revision>9</cp:revision>
  <cp:lastPrinted>2024-11-18T18:33:00Z</cp:lastPrinted>
  <dcterms:created xsi:type="dcterms:W3CDTF">2024-11-18T19:59:00Z</dcterms:created>
  <dcterms:modified xsi:type="dcterms:W3CDTF">2024-11-19T10:21:00Z</dcterms:modified>
</cp:coreProperties>
</file>