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2A0B6F" w14:textId="77777777" w:rsidR="00052008" w:rsidRPr="00BA5DB3" w:rsidRDefault="00052008" w:rsidP="00883BE3">
      <w:pPr>
        <w:jc w:val="center"/>
        <w:rPr>
          <w:rFonts w:ascii="Arial" w:hAnsi="Arial" w:cs="Arial"/>
        </w:rPr>
      </w:pPr>
    </w:p>
    <w:p w14:paraId="78057265" w14:textId="0C7BBE68" w:rsidR="00052008" w:rsidRPr="00BA5DB3" w:rsidRDefault="00A52DA2" w:rsidP="00883BE3">
      <w:pPr>
        <w:jc w:val="center"/>
        <w:rPr>
          <w:rFonts w:ascii="Arial" w:hAnsi="Arial" w:cs="Arial"/>
        </w:rPr>
      </w:pPr>
      <w:r>
        <w:rPr>
          <w:rFonts w:ascii="Arial" w:hAnsi="Arial" w:cs="Arial"/>
          <w:noProof/>
        </w:rPr>
        <w:drawing>
          <wp:inline distT="0" distB="0" distL="0" distR="0" wp14:anchorId="62086888" wp14:editId="3EDF1320">
            <wp:extent cx="2544445" cy="1384300"/>
            <wp:effectExtent l="0" t="0" r="8255" b="6350"/>
            <wp:docPr id="11789807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62842" cy="1394309"/>
                    </a:xfrm>
                    <a:prstGeom prst="rect">
                      <a:avLst/>
                    </a:prstGeom>
                    <a:noFill/>
                  </pic:spPr>
                </pic:pic>
              </a:graphicData>
            </a:graphic>
          </wp:inline>
        </w:drawing>
      </w:r>
    </w:p>
    <w:p w14:paraId="7041AB91" w14:textId="77777777" w:rsidR="00052008" w:rsidRPr="00430DE0" w:rsidRDefault="00052008" w:rsidP="00A52DA2">
      <w:pPr>
        <w:rPr>
          <w:rFonts w:ascii="Arial" w:hAnsi="Arial" w:cs="Arial"/>
          <w:b/>
          <w:bCs/>
        </w:rPr>
      </w:pPr>
    </w:p>
    <w:p w14:paraId="225FBDB5" w14:textId="77777777" w:rsidR="002A6EAA" w:rsidRPr="00A52DA2" w:rsidRDefault="00883BE3" w:rsidP="00883BE3">
      <w:pPr>
        <w:jc w:val="center"/>
        <w:rPr>
          <w:rFonts w:ascii="Arial" w:hAnsi="Arial" w:cs="Arial"/>
          <w:b/>
          <w:bCs/>
          <w:sz w:val="28"/>
          <w:szCs w:val="28"/>
        </w:rPr>
      </w:pPr>
      <w:r w:rsidRPr="00A52DA2">
        <w:rPr>
          <w:rFonts w:ascii="Arial" w:hAnsi="Arial" w:cs="Arial"/>
          <w:b/>
          <w:bCs/>
          <w:sz w:val="28"/>
          <w:szCs w:val="28"/>
        </w:rPr>
        <w:t>MSc Public Health and Social Care in Practice</w:t>
      </w:r>
    </w:p>
    <w:p w14:paraId="44ADD27D" w14:textId="77777777" w:rsidR="00A52DA2" w:rsidRPr="00A52DA2" w:rsidRDefault="00A52DA2" w:rsidP="00883BE3">
      <w:pPr>
        <w:jc w:val="center"/>
        <w:rPr>
          <w:rFonts w:ascii="Arial" w:hAnsi="Arial" w:cs="Arial"/>
          <w:b/>
          <w:bCs/>
          <w:sz w:val="28"/>
          <w:szCs w:val="28"/>
        </w:rPr>
      </w:pPr>
    </w:p>
    <w:p w14:paraId="13681485" w14:textId="77777777" w:rsidR="00CD3289" w:rsidRDefault="00883BE3" w:rsidP="00CD3289">
      <w:pPr>
        <w:jc w:val="center"/>
        <w:rPr>
          <w:rFonts w:ascii="Arial" w:hAnsi="Arial" w:cs="Arial"/>
          <w:b/>
          <w:bCs/>
          <w:sz w:val="28"/>
          <w:szCs w:val="28"/>
        </w:rPr>
      </w:pPr>
      <w:r w:rsidRPr="00A52DA2">
        <w:rPr>
          <w:rFonts w:ascii="Arial" w:hAnsi="Arial" w:cs="Arial"/>
          <w:b/>
          <w:bCs/>
          <w:sz w:val="28"/>
          <w:szCs w:val="28"/>
        </w:rPr>
        <w:t>Social Epidemiology and Public Health Development</w:t>
      </w:r>
    </w:p>
    <w:p w14:paraId="5A6D86C6" w14:textId="77777777" w:rsidR="00A52DA2" w:rsidRDefault="00A52DA2" w:rsidP="00A52DA2">
      <w:pPr>
        <w:jc w:val="center"/>
        <w:rPr>
          <w:rFonts w:ascii="Arial" w:hAnsi="Arial" w:cs="Arial"/>
          <w:b/>
          <w:bCs/>
          <w:sz w:val="28"/>
          <w:szCs w:val="28"/>
        </w:rPr>
      </w:pPr>
      <w:r w:rsidRPr="00A52DA2">
        <w:rPr>
          <w:rFonts w:ascii="Arial" w:hAnsi="Arial" w:cs="Arial"/>
          <w:b/>
          <w:bCs/>
          <w:sz w:val="28"/>
          <w:szCs w:val="28"/>
        </w:rPr>
        <w:t>LCHS7000</w:t>
      </w:r>
    </w:p>
    <w:p w14:paraId="44CBD314" w14:textId="53207E4A" w:rsidR="00A52DA2" w:rsidRPr="00A52DA2" w:rsidRDefault="003E1D74" w:rsidP="00CD3289">
      <w:pPr>
        <w:jc w:val="center"/>
        <w:rPr>
          <w:rFonts w:ascii="Arial" w:hAnsi="Arial" w:cs="Arial"/>
          <w:b/>
          <w:bCs/>
          <w:sz w:val="28"/>
          <w:szCs w:val="28"/>
        </w:rPr>
      </w:pPr>
      <w:r>
        <w:rPr>
          <w:rFonts w:ascii="Arial" w:hAnsi="Arial" w:cs="Arial"/>
          <w:b/>
          <w:bCs/>
          <w:sz w:val="28"/>
          <w:szCs w:val="28"/>
        </w:rPr>
        <w:t xml:space="preserve">Topic: </w:t>
      </w:r>
      <w:r w:rsidRPr="003E1D74">
        <w:rPr>
          <w:rFonts w:ascii="Arial" w:hAnsi="Arial" w:cs="Arial"/>
          <w:b/>
          <w:bCs/>
          <w:sz w:val="28"/>
          <w:szCs w:val="28"/>
        </w:rPr>
        <w:t>An Analytical Public Health Report on Disability, Health Inequalities, and Type 2 Diabetes in the UK</w:t>
      </w:r>
    </w:p>
    <w:p w14:paraId="561C7F2B" w14:textId="77777777" w:rsidR="00A52DA2" w:rsidRPr="00A52DA2" w:rsidRDefault="00A52DA2" w:rsidP="00CD3289">
      <w:pPr>
        <w:jc w:val="center"/>
        <w:rPr>
          <w:rFonts w:ascii="Arial" w:hAnsi="Arial" w:cs="Arial"/>
          <w:b/>
          <w:bCs/>
          <w:sz w:val="28"/>
          <w:szCs w:val="28"/>
        </w:rPr>
      </w:pPr>
    </w:p>
    <w:p w14:paraId="37FA98CB" w14:textId="77777777" w:rsidR="00A52DA2" w:rsidRPr="00A52DA2" w:rsidRDefault="00A52DA2" w:rsidP="00CD3289">
      <w:pPr>
        <w:jc w:val="center"/>
        <w:rPr>
          <w:rFonts w:ascii="Arial" w:hAnsi="Arial" w:cs="Arial"/>
          <w:b/>
          <w:bCs/>
          <w:sz w:val="28"/>
          <w:szCs w:val="28"/>
        </w:rPr>
      </w:pPr>
    </w:p>
    <w:p w14:paraId="3F852C88" w14:textId="77777777" w:rsidR="00A52DA2" w:rsidRPr="00A52DA2" w:rsidRDefault="00A52DA2" w:rsidP="00F21B13">
      <w:pPr>
        <w:spacing w:after="0" w:line="240" w:lineRule="auto"/>
        <w:ind w:left="720"/>
        <w:jc w:val="center"/>
        <w:rPr>
          <w:rFonts w:ascii="Arial" w:hAnsi="Arial" w:cs="Arial"/>
          <w:b/>
          <w:bCs/>
          <w:sz w:val="28"/>
          <w:szCs w:val="28"/>
        </w:rPr>
      </w:pPr>
      <w:r w:rsidRPr="00A52DA2">
        <w:rPr>
          <w:rFonts w:ascii="Arial" w:hAnsi="Arial" w:cs="Arial"/>
          <w:b/>
          <w:bCs/>
          <w:sz w:val="28"/>
          <w:szCs w:val="28"/>
        </w:rPr>
        <w:t>Component 2</w:t>
      </w:r>
    </w:p>
    <w:p w14:paraId="730A300D" w14:textId="77777777" w:rsidR="00A52DA2" w:rsidRPr="00A52DA2" w:rsidRDefault="00A52DA2" w:rsidP="00F21B13">
      <w:pPr>
        <w:spacing w:after="0" w:line="240" w:lineRule="auto"/>
        <w:ind w:left="720"/>
        <w:jc w:val="center"/>
        <w:rPr>
          <w:rFonts w:ascii="Arial" w:hAnsi="Arial" w:cs="Arial"/>
          <w:b/>
          <w:bCs/>
          <w:sz w:val="28"/>
          <w:szCs w:val="28"/>
        </w:rPr>
      </w:pPr>
    </w:p>
    <w:p w14:paraId="45B0A28B" w14:textId="68E249F9" w:rsidR="00A52DA2" w:rsidRDefault="00A52DA2" w:rsidP="00F21B13">
      <w:pPr>
        <w:spacing w:after="0" w:line="240" w:lineRule="auto"/>
        <w:ind w:left="720"/>
        <w:jc w:val="center"/>
        <w:rPr>
          <w:rFonts w:ascii="Arial" w:hAnsi="Arial" w:cs="Arial"/>
          <w:b/>
          <w:bCs/>
          <w:sz w:val="28"/>
          <w:szCs w:val="28"/>
        </w:rPr>
      </w:pPr>
      <w:r w:rsidRPr="00A52DA2">
        <w:rPr>
          <w:rFonts w:ascii="Arial" w:hAnsi="Arial" w:cs="Arial"/>
          <w:b/>
          <w:bCs/>
          <w:sz w:val="28"/>
          <w:szCs w:val="28"/>
        </w:rPr>
        <w:t>Analytical Report</w:t>
      </w:r>
    </w:p>
    <w:p w14:paraId="3D1EC2D4" w14:textId="77777777" w:rsidR="00F21B13" w:rsidRDefault="00F21B13" w:rsidP="00F21B13">
      <w:pPr>
        <w:spacing w:after="0" w:line="240" w:lineRule="auto"/>
        <w:ind w:left="720"/>
        <w:jc w:val="center"/>
        <w:rPr>
          <w:rFonts w:ascii="Arial" w:hAnsi="Arial" w:cs="Arial"/>
          <w:b/>
          <w:bCs/>
          <w:sz w:val="28"/>
          <w:szCs w:val="28"/>
        </w:rPr>
      </w:pPr>
    </w:p>
    <w:p w14:paraId="564935C1" w14:textId="77777777" w:rsidR="00F21B13" w:rsidRDefault="00F21B13" w:rsidP="00A52DA2">
      <w:pPr>
        <w:jc w:val="center"/>
        <w:rPr>
          <w:rFonts w:ascii="Arial" w:hAnsi="Arial" w:cs="Arial"/>
          <w:b/>
          <w:bCs/>
          <w:sz w:val="28"/>
          <w:szCs w:val="28"/>
        </w:rPr>
      </w:pPr>
    </w:p>
    <w:p w14:paraId="499ED249" w14:textId="08A7CD36" w:rsidR="00F21B13" w:rsidRDefault="00F21B13" w:rsidP="00A52DA2">
      <w:pPr>
        <w:jc w:val="center"/>
        <w:rPr>
          <w:rFonts w:ascii="Arial" w:hAnsi="Arial" w:cs="Arial"/>
          <w:b/>
          <w:bCs/>
          <w:sz w:val="28"/>
          <w:szCs w:val="28"/>
        </w:rPr>
      </w:pPr>
      <w:r>
        <w:rPr>
          <w:rFonts w:ascii="Arial" w:hAnsi="Arial" w:cs="Arial"/>
          <w:b/>
          <w:bCs/>
          <w:sz w:val="28"/>
          <w:szCs w:val="28"/>
        </w:rPr>
        <w:t xml:space="preserve">Lecturer: </w:t>
      </w:r>
      <w:r w:rsidRPr="00F21B13">
        <w:rPr>
          <w:rFonts w:ascii="Arial" w:hAnsi="Arial" w:cs="Arial"/>
          <w:b/>
          <w:bCs/>
          <w:sz w:val="28"/>
          <w:szCs w:val="28"/>
        </w:rPr>
        <w:t xml:space="preserve">Dr </w:t>
      </w:r>
      <w:r>
        <w:rPr>
          <w:rFonts w:ascii="Arial" w:hAnsi="Arial" w:cs="Arial"/>
          <w:b/>
          <w:bCs/>
          <w:sz w:val="28"/>
          <w:szCs w:val="28"/>
        </w:rPr>
        <w:t>J</w:t>
      </w:r>
      <w:r w:rsidRPr="00F21B13">
        <w:rPr>
          <w:rFonts w:ascii="Arial" w:hAnsi="Arial" w:cs="Arial"/>
          <w:b/>
          <w:bCs/>
          <w:sz w:val="28"/>
          <w:szCs w:val="28"/>
        </w:rPr>
        <w:t xml:space="preserve">olly </w:t>
      </w:r>
      <w:r>
        <w:rPr>
          <w:rFonts w:ascii="Arial" w:hAnsi="Arial" w:cs="Arial"/>
          <w:b/>
          <w:bCs/>
          <w:sz w:val="28"/>
          <w:szCs w:val="28"/>
        </w:rPr>
        <w:t>N</w:t>
      </w:r>
      <w:r w:rsidRPr="00F21B13">
        <w:rPr>
          <w:rFonts w:ascii="Arial" w:hAnsi="Arial" w:cs="Arial"/>
          <w:b/>
          <w:bCs/>
          <w:sz w:val="28"/>
          <w:szCs w:val="28"/>
        </w:rPr>
        <w:t>wankwo</w:t>
      </w:r>
    </w:p>
    <w:p w14:paraId="286343B2" w14:textId="77777777" w:rsidR="00F21B13" w:rsidRDefault="00F21B13" w:rsidP="00A52DA2">
      <w:pPr>
        <w:jc w:val="center"/>
        <w:rPr>
          <w:rFonts w:ascii="Arial" w:hAnsi="Arial" w:cs="Arial"/>
          <w:b/>
          <w:bCs/>
          <w:sz w:val="28"/>
          <w:szCs w:val="28"/>
        </w:rPr>
      </w:pPr>
    </w:p>
    <w:p w14:paraId="7FC0384F" w14:textId="77777777" w:rsidR="00F21B13" w:rsidRDefault="00F21B13" w:rsidP="00A52DA2">
      <w:pPr>
        <w:jc w:val="center"/>
        <w:rPr>
          <w:rFonts w:ascii="Arial" w:hAnsi="Arial" w:cs="Arial"/>
          <w:b/>
          <w:bCs/>
          <w:sz w:val="28"/>
          <w:szCs w:val="28"/>
        </w:rPr>
      </w:pPr>
    </w:p>
    <w:p w14:paraId="276793FD" w14:textId="27C696C0" w:rsidR="00F21B13" w:rsidRPr="00F21B13" w:rsidRDefault="00F21B13" w:rsidP="00F21B13">
      <w:pPr>
        <w:jc w:val="center"/>
        <w:rPr>
          <w:rFonts w:ascii="Arial" w:hAnsi="Arial" w:cs="Arial"/>
          <w:b/>
          <w:bCs/>
          <w:sz w:val="28"/>
          <w:szCs w:val="28"/>
        </w:rPr>
      </w:pPr>
      <w:r>
        <w:rPr>
          <w:rFonts w:ascii="Arial" w:hAnsi="Arial" w:cs="Arial"/>
          <w:b/>
          <w:bCs/>
          <w:sz w:val="28"/>
          <w:szCs w:val="28"/>
        </w:rPr>
        <w:t xml:space="preserve">Student Name: </w:t>
      </w:r>
      <w:r w:rsidRPr="00F21B13">
        <w:rPr>
          <w:rFonts w:ascii="Arial" w:hAnsi="Arial" w:cs="Arial"/>
          <w:b/>
          <w:bCs/>
          <w:sz w:val="28"/>
          <w:szCs w:val="28"/>
        </w:rPr>
        <w:t xml:space="preserve">Prashant Gajera </w:t>
      </w:r>
    </w:p>
    <w:p w14:paraId="4BA50A74" w14:textId="77777777" w:rsidR="00F21B13" w:rsidRPr="00F21B13" w:rsidRDefault="00F21B13" w:rsidP="00F21B13">
      <w:pPr>
        <w:jc w:val="center"/>
        <w:rPr>
          <w:rFonts w:ascii="Arial" w:hAnsi="Arial" w:cs="Arial"/>
          <w:b/>
          <w:bCs/>
          <w:sz w:val="28"/>
          <w:szCs w:val="28"/>
        </w:rPr>
      </w:pPr>
    </w:p>
    <w:p w14:paraId="20547BA7" w14:textId="4952BBD3" w:rsidR="00F21B13" w:rsidRPr="00A52DA2" w:rsidRDefault="00F21B13" w:rsidP="00F21B13">
      <w:pPr>
        <w:jc w:val="center"/>
        <w:rPr>
          <w:rFonts w:ascii="Arial" w:hAnsi="Arial" w:cs="Arial"/>
          <w:b/>
          <w:bCs/>
          <w:sz w:val="28"/>
          <w:szCs w:val="28"/>
        </w:rPr>
      </w:pPr>
      <w:r w:rsidRPr="00F21B13">
        <w:rPr>
          <w:rFonts w:ascii="Arial" w:hAnsi="Arial" w:cs="Arial"/>
          <w:b/>
          <w:bCs/>
          <w:sz w:val="28"/>
          <w:szCs w:val="28"/>
        </w:rPr>
        <w:t>Student ID</w:t>
      </w:r>
      <w:r w:rsidR="00873844">
        <w:rPr>
          <w:rFonts w:ascii="Arial" w:hAnsi="Arial" w:cs="Arial"/>
          <w:b/>
          <w:bCs/>
          <w:sz w:val="28"/>
          <w:szCs w:val="28"/>
        </w:rPr>
        <w:t xml:space="preserve">: </w:t>
      </w:r>
      <w:r w:rsidRPr="00F21B13">
        <w:rPr>
          <w:rFonts w:ascii="Arial" w:hAnsi="Arial" w:cs="Arial"/>
          <w:b/>
          <w:bCs/>
          <w:sz w:val="28"/>
          <w:szCs w:val="28"/>
        </w:rPr>
        <w:t xml:space="preserve"> 2428140</w:t>
      </w:r>
    </w:p>
    <w:p w14:paraId="1AE7E2A6" w14:textId="77777777" w:rsidR="00356829" w:rsidRPr="00A52DA2" w:rsidRDefault="00356829" w:rsidP="00CD3289">
      <w:pPr>
        <w:jc w:val="center"/>
        <w:rPr>
          <w:rFonts w:ascii="Arial" w:hAnsi="Arial" w:cs="Arial"/>
          <w:sz w:val="32"/>
          <w:szCs w:val="32"/>
        </w:rPr>
      </w:pPr>
    </w:p>
    <w:p w14:paraId="4CEEB3D9" w14:textId="77777777" w:rsidR="001B385A" w:rsidRPr="00A52DA2" w:rsidRDefault="001B385A" w:rsidP="00883BE3">
      <w:pPr>
        <w:jc w:val="center"/>
        <w:rPr>
          <w:rFonts w:ascii="Arial" w:hAnsi="Arial" w:cs="Arial"/>
          <w:sz w:val="32"/>
          <w:szCs w:val="32"/>
        </w:rPr>
      </w:pPr>
    </w:p>
    <w:sdt>
      <w:sdtPr>
        <w:rPr>
          <w:rFonts w:ascii="Arial" w:eastAsiaTheme="minorHAnsi" w:hAnsi="Arial" w:cs="Arial"/>
          <w:color w:val="auto"/>
          <w:sz w:val="22"/>
          <w:szCs w:val="22"/>
          <w:lang w:val="en-CA"/>
        </w:rPr>
        <w:id w:val="-2003659853"/>
        <w:docPartObj>
          <w:docPartGallery w:val="Table of Contents"/>
          <w:docPartUnique/>
        </w:docPartObj>
      </w:sdtPr>
      <w:sdtEndPr>
        <w:rPr>
          <w:b/>
          <w:bCs/>
          <w:noProof/>
          <w:sz w:val="24"/>
          <w:szCs w:val="24"/>
        </w:rPr>
      </w:sdtEndPr>
      <w:sdtContent>
        <w:p w14:paraId="0185BCD3" w14:textId="0ABFF847" w:rsidR="00FD02D9" w:rsidRPr="00A52DA2" w:rsidRDefault="00A52DA2" w:rsidP="00430DE0">
          <w:pPr>
            <w:pStyle w:val="TOCHeading"/>
            <w:jc w:val="center"/>
            <w:rPr>
              <w:rFonts w:ascii="Arial" w:hAnsi="Arial" w:cs="Arial"/>
              <w:b/>
              <w:bCs/>
              <w:color w:val="auto"/>
              <w:sz w:val="28"/>
              <w:szCs w:val="28"/>
            </w:rPr>
          </w:pPr>
          <w:r w:rsidRPr="00A52DA2">
            <w:rPr>
              <w:rFonts w:ascii="Arial" w:eastAsiaTheme="minorHAnsi" w:hAnsi="Arial" w:cs="Arial"/>
              <w:b/>
              <w:bCs/>
              <w:color w:val="auto"/>
              <w:sz w:val="28"/>
              <w:szCs w:val="28"/>
              <w:lang w:val="en-CA"/>
            </w:rPr>
            <w:t xml:space="preserve">Table </w:t>
          </w:r>
          <w:r w:rsidR="00FD02D9" w:rsidRPr="00A52DA2">
            <w:rPr>
              <w:rFonts w:ascii="Arial" w:hAnsi="Arial" w:cs="Arial"/>
              <w:b/>
              <w:bCs/>
              <w:color w:val="auto"/>
              <w:sz w:val="28"/>
              <w:szCs w:val="28"/>
            </w:rPr>
            <w:t>Contents</w:t>
          </w:r>
        </w:p>
        <w:p w14:paraId="1541AD96" w14:textId="0DB9F350" w:rsidR="00F21B13" w:rsidRPr="00F21B13" w:rsidRDefault="00FD02D9" w:rsidP="00F21B13">
          <w:pPr>
            <w:pStyle w:val="TOC1"/>
            <w:tabs>
              <w:tab w:val="right" w:leader="dot" w:pos="9350"/>
            </w:tabs>
            <w:spacing w:line="360" w:lineRule="auto"/>
            <w:rPr>
              <w:rFonts w:ascii="Arial" w:eastAsiaTheme="minorEastAsia" w:hAnsi="Arial" w:cs="Arial"/>
              <w:noProof/>
              <w:kern w:val="2"/>
              <w:sz w:val="24"/>
              <w:szCs w:val="24"/>
              <w:lang w:val="en-IN" w:eastAsia="zh-CN" w:bidi="gu-IN"/>
              <w14:ligatures w14:val="standardContextual"/>
            </w:rPr>
          </w:pPr>
          <w:r w:rsidRPr="00F21B13">
            <w:rPr>
              <w:rFonts w:ascii="Arial" w:hAnsi="Arial" w:cs="Arial"/>
              <w:sz w:val="24"/>
              <w:szCs w:val="24"/>
            </w:rPr>
            <w:fldChar w:fldCharType="begin"/>
          </w:r>
          <w:r w:rsidRPr="00F21B13">
            <w:rPr>
              <w:rFonts w:ascii="Arial" w:hAnsi="Arial" w:cs="Arial"/>
              <w:sz w:val="24"/>
              <w:szCs w:val="24"/>
            </w:rPr>
            <w:instrText xml:space="preserve"> TOC \o "1-3" \h \z \u </w:instrText>
          </w:r>
          <w:r w:rsidRPr="00F21B13">
            <w:rPr>
              <w:rFonts w:ascii="Arial" w:hAnsi="Arial" w:cs="Arial"/>
              <w:sz w:val="24"/>
              <w:szCs w:val="24"/>
            </w:rPr>
            <w:fldChar w:fldCharType="separate"/>
          </w:r>
          <w:hyperlink w:anchor="_Toc216900950" w:history="1">
            <w:r w:rsidR="00F21B13" w:rsidRPr="00F21B13">
              <w:rPr>
                <w:rStyle w:val="Hyperlink"/>
                <w:rFonts w:ascii="Arial" w:hAnsi="Arial" w:cs="Arial"/>
                <w:noProof/>
                <w:sz w:val="24"/>
                <w:szCs w:val="24"/>
              </w:rPr>
              <w:t>Task 1</w:t>
            </w:r>
            <w:r w:rsidR="00F21B13" w:rsidRPr="00F21B13">
              <w:rPr>
                <w:rFonts w:ascii="Arial" w:hAnsi="Arial" w:cs="Arial"/>
                <w:noProof/>
                <w:webHidden/>
                <w:sz w:val="24"/>
                <w:szCs w:val="24"/>
              </w:rPr>
              <w:tab/>
            </w:r>
            <w:r w:rsidR="00F21B13" w:rsidRPr="00F21B13">
              <w:rPr>
                <w:rFonts w:ascii="Arial" w:hAnsi="Arial" w:cs="Arial"/>
                <w:noProof/>
                <w:webHidden/>
                <w:sz w:val="24"/>
                <w:szCs w:val="24"/>
              </w:rPr>
              <w:fldChar w:fldCharType="begin"/>
            </w:r>
            <w:r w:rsidR="00F21B13" w:rsidRPr="00F21B13">
              <w:rPr>
                <w:rFonts w:ascii="Arial" w:hAnsi="Arial" w:cs="Arial"/>
                <w:noProof/>
                <w:webHidden/>
                <w:sz w:val="24"/>
                <w:szCs w:val="24"/>
              </w:rPr>
              <w:instrText xml:space="preserve"> PAGEREF _Toc216900950 \h </w:instrText>
            </w:r>
            <w:r w:rsidR="00F21B13" w:rsidRPr="00F21B13">
              <w:rPr>
                <w:rFonts w:ascii="Arial" w:hAnsi="Arial" w:cs="Arial"/>
                <w:noProof/>
                <w:webHidden/>
                <w:sz w:val="24"/>
                <w:szCs w:val="24"/>
              </w:rPr>
            </w:r>
            <w:r w:rsidR="00F21B13" w:rsidRPr="00F21B13">
              <w:rPr>
                <w:rFonts w:ascii="Arial" w:hAnsi="Arial" w:cs="Arial"/>
                <w:noProof/>
                <w:webHidden/>
                <w:sz w:val="24"/>
                <w:szCs w:val="24"/>
              </w:rPr>
              <w:fldChar w:fldCharType="separate"/>
            </w:r>
            <w:r w:rsidR="00F21B13" w:rsidRPr="00F21B13">
              <w:rPr>
                <w:rFonts w:ascii="Arial" w:hAnsi="Arial" w:cs="Arial"/>
                <w:noProof/>
                <w:webHidden/>
                <w:sz w:val="24"/>
                <w:szCs w:val="24"/>
              </w:rPr>
              <w:t>3</w:t>
            </w:r>
            <w:r w:rsidR="00F21B13" w:rsidRPr="00F21B13">
              <w:rPr>
                <w:rFonts w:ascii="Arial" w:hAnsi="Arial" w:cs="Arial"/>
                <w:noProof/>
                <w:webHidden/>
                <w:sz w:val="24"/>
                <w:szCs w:val="24"/>
              </w:rPr>
              <w:fldChar w:fldCharType="end"/>
            </w:r>
          </w:hyperlink>
        </w:p>
        <w:p w14:paraId="13AD0F10" w14:textId="77F6CDF1" w:rsidR="00F21B13" w:rsidRPr="00F21B13" w:rsidRDefault="00F21B13" w:rsidP="00F21B13">
          <w:pPr>
            <w:pStyle w:val="TOC2"/>
            <w:tabs>
              <w:tab w:val="right" w:leader="dot" w:pos="9350"/>
            </w:tabs>
            <w:spacing w:line="360" w:lineRule="auto"/>
            <w:rPr>
              <w:rFonts w:ascii="Arial" w:eastAsiaTheme="minorEastAsia" w:hAnsi="Arial" w:cs="Arial"/>
              <w:noProof/>
              <w:kern w:val="2"/>
              <w:sz w:val="24"/>
              <w:szCs w:val="24"/>
              <w:lang w:val="en-IN" w:eastAsia="zh-CN" w:bidi="gu-IN"/>
              <w14:ligatures w14:val="standardContextual"/>
            </w:rPr>
          </w:pPr>
          <w:hyperlink w:anchor="_Toc216900951" w:history="1">
            <w:r w:rsidRPr="00F21B13">
              <w:rPr>
                <w:rStyle w:val="Hyperlink"/>
                <w:rFonts w:ascii="Arial" w:hAnsi="Arial" w:cs="Arial"/>
                <w:noProof/>
                <w:sz w:val="24"/>
                <w:szCs w:val="24"/>
              </w:rPr>
              <w:t>Introduction</w:t>
            </w:r>
            <w:r w:rsidRPr="00F21B13">
              <w:rPr>
                <w:rFonts w:ascii="Arial" w:hAnsi="Arial" w:cs="Arial"/>
                <w:noProof/>
                <w:webHidden/>
                <w:sz w:val="24"/>
                <w:szCs w:val="24"/>
              </w:rPr>
              <w:tab/>
            </w:r>
            <w:r w:rsidRPr="00F21B13">
              <w:rPr>
                <w:rFonts w:ascii="Arial" w:hAnsi="Arial" w:cs="Arial"/>
                <w:noProof/>
                <w:webHidden/>
                <w:sz w:val="24"/>
                <w:szCs w:val="24"/>
              </w:rPr>
              <w:fldChar w:fldCharType="begin"/>
            </w:r>
            <w:r w:rsidRPr="00F21B13">
              <w:rPr>
                <w:rFonts w:ascii="Arial" w:hAnsi="Arial" w:cs="Arial"/>
                <w:noProof/>
                <w:webHidden/>
                <w:sz w:val="24"/>
                <w:szCs w:val="24"/>
              </w:rPr>
              <w:instrText xml:space="preserve"> PAGEREF _Toc216900951 \h </w:instrText>
            </w:r>
            <w:r w:rsidRPr="00F21B13">
              <w:rPr>
                <w:rFonts w:ascii="Arial" w:hAnsi="Arial" w:cs="Arial"/>
                <w:noProof/>
                <w:webHidden/>
                <w:sz w:val="24"/>
                <w:szCs w:val="24"/>
              </w:rPr>
            </w:r>
            <w:r w:rsidRPr="00F21B13">
              <w:rPr>
                <w:rFonts w:ascii="Arial" w:hAnsi="Arial" w:cs="Arial"/>
                <w:noProof/>
                <w:webHidden/>
                <w:sz w:val="24"/>
                <w:szCs w:val="24"/>
              </w:rPr>
              <w:fldChar w:fldCharType="separate"/>
            </w:r>
            <w:r w:rsidRPr="00F21B13">
              <w:rPr>
                <w:rFonts w:ascii="Arial" w:hAnsi="Arial" w:cs="Arial"/>
                <w:noProof/>
                <w:webHidden/>
                <w:sz w:val="24"/>
                <w:szCs w:val="24"/>
              </w:rPr>
              <w:t>3</w:t>
            </w:r>
            <w:r w:rsidRPr="00F21B13">
              <w:rPr>
                <w:rFonts w:ascii="Arial" w:hAnsi="Arial" w:cs="Arial"/>
                <w:noProof/>
                <w:webHidden/>
                <w:sz w:val="24"/>
                <w:szCs w:val="24"/>
              </w:rPr>
              <w:fldChar w:fldCharType="end"/>
            </w:r>
          </w:hyperlink>
        </w:p>
        <w:p w14:paraId="71279BCC" w14:textId="1EC8835D" w:rsidR="00F21B13" w:rsidRPr="00F21B13" w:rsidRDefault="00F21B13" w:rsidP="00F21B13">
          <w:pPr>
            <w:pStyle w:val="TOC2"/>
            <w:tabs>
              <w:tab w:val="right" w:leader="dot" w:pos="9350"/>
            </w:tabs>
            <w:spacing w:line="360" w:lineRule="auto"/>
            <w:rPr>
              <w:rFonts w:ascii="Arial" w:eastAsiaTheme="minorEastAsia" w:hAnsi="Arial" w:cs="Arial"/>
              <w:noProof/>
              <w:kern w:val="2"/>
              <w:sz w:val="24"/>
              <w:szCs w:val="24"/>
              <w:lang w:val="en-IN" w:eastAsia="zh-CN" w:bidi="gu-IN"/>
              <w14:ligatures w14:val="standardContextual"/>
            </w:rPr>
          </w:pPr>
          <w:hyperlink w:anchor="_Toc216900952" w:history="1">
            <w:r w:rsidRPr="00F21B13">
              <w:rPr>
                <w:rStyle w:val="Hyperlink"/>
                <w:rFonts w:ascii="Arial" w:hAnsi="Arial" w:cs="Arial"/>
                <w:noProof/>
                <w:sz w:val="24"/>
                <w:szCs w:val="24"/>
              </w:rPr>
              <w:t>Contextual background and underlying factor</w:t>
            </w:r>
            <w:r w:rsidRPr="00F21B13">
              <w:rPr>
                <w:rFonts w:ascii="Arial" w:hAnsi="Arial" w:cs="Arial"/>
                <w:noProof/>
                <w:webHidden/>
                <w:sz w:val="24"/>
                <w:szCs w:val="24"/>
              </w:rPr>
              <w:tab/>
            </w:r>
            <w:r w:rsidRPr="00F21B13">
              <w:rPr>
                <w:rFonts w:ascii="Arial" w:hAnsi="Arial" w:cs="Arial"/>
                <w:noProof/>
                <w:webHidden/>
                <w:sz w:val="24"/>
                <w:szCs w:val="24"/>
              </w:rPr>
              <w:fldChar w:fldCharType="begin"/>
            </w:r>
            <w:r w:rsidRPr="00F21B13">
              <w:rPr>
                <w:rFonts w:ascii="Arial" w:hAnsi="Arial" w:cs="Arial"/>
                <w:noProof/>
                <w:webHidden/>
                <w:sz w:val="24"/>
                <w:szCs w:val="24"/>
              </w:rPr>
              <w:instrText xml:space="preserve"> PAGEREF _Toc216900952 \h </w:instrText>
            </w:r>
            <w:r w:rsidRPr="00F21B13">
              <w:rPr>
                <w:rFonts w:ascii="Arial" w:hAnsi="Arial" w:cs="Arial"/>
                <w:noProof/>
                <w:webHidden/>
                <w:sz w:val="24"/>
                <w:szCs w:val="24"/>
              </w:rPr>
            </w:r>
            <w:r w:rsidRPr="00F21B13">
              <w:rPr>
                <w:rFonts w:ascii="Arial" w:hAnsi="Arial" w:cs="Arial"/>
                <w:noProof/>
                <w:webHidden/>
                <w:sz w:val="24"/>
                <w:szCs w:val="24"/>
              </w:rPr>
              <w:fldChar w:fldCharType="separate"/>
            </w:r>
            <w:r w:rsidRPr="00F21B13">
              <w:rPr>
                <w:rFonts w:ascii="Arial" w:hAnsi="Arial" w:cs="Arial"/>
                <w:noProof/>
                <w:webHidden/>
                <w:sz w:val="24"/>
                <w:szCs w:val="24"/>
              </w:rPr>
              <w:t>3</w:t>
            </w:r>
            <w:r w:rsidRPr="00F21B13">
              <w:rPr>
                <w:rFonts w:ascii="Arial" w:hAnsi="Arial" w:cs="Arial"/>
                <w:noProof/>
                <w:webHidden/>
                <w:sz w:val="24"/>
                <w:szCs w:val="24"/>
              </w:rPr>
              <w:fldChar w:fldCharType="end"/>
            </w:r>
          </w:hyperlink>
        </w:p>
        <w:p w14:paraId="1790C9C9" w14:textId="5B693380" w:rsidR="00F21B13" w:rsidRPr="00F21B13" w:rsidRDefault="00F21B13" w:rsidP="00F21B13">
          <w:pPr>
            <w:pStyle w:val="TOC2"/>
            <w:tabs>
              <w:tab w:val="right" w:leader="dot" w:pos="9350"/>
            </w:tabs>
            <w:spacing w:line="360" w:lineRule="auto"/>
            <w:rPr>
              <w:rFonts w:ascii="Arial" w:eastAsiaTheme="minorEastAsia" w:hAnsi="Arial" w:cs="Arial"/>
              <w:noProof/>
              <w:kern w:val="2"/>
              <w:sz w:val="24"/>
              <w:szCs w:val="24"/>
              <w:lang w:val="en-IN" w:eastAsia="zh-CN" w:bidi="gu-IN"/>
              <w14:ligatures w14:val="standardContextual"/>
            </w:rPr>
          </w:pPr>
          <w:hyperlink w:anchor="_Toc216900953" w:history="1">
            <w:r w:rsidRPr="00F21B13">
              <w:rPr>
                <w:rStyle w:val="Hyperlink"/>
                <w:rFonts w:ascii="Arial" w:hAnsi="Arial" w:cs="Arial"/>
                <w:noProof/>
                <w:sz w:val="24"/>
                <w:szCs w:val="24"/>
              </w:rPr>
              <w:t>National Response to reduce health inequalities in your chosen group</w:t>
            </w:r>
            <w:r w:rsidRPr="00F21B13">
              <w:rPr>
                <w:rFonts w:ascii="Arial" w:hAnsi="Arial" w:cs="Arial"/>
                <w:noProof/>
                <w:webHidden/>
                <w:sz w:val="24"/>
                <w:szCs w:val="24"/>
              </w:rPr>
              <w:tab/>
            </w:r>
            <w:r w:rsidRPr="00F21B13">
              <w:rPr>
                <w:rFonts w:ascii="Arial" w:hAnsi="Arial" w:cs="Arial"/>
                <w:noProof/>
                <w:webHidden/>
                <w:sz w:val="24"/>
                <w:szCs w:val="24"/>
              </w:rPr>
              <w:fldChar w:fldCharType="begin"/>
            </w:r>
            <w:r w:rsidRPr="00F21B13">
              <w:rPr>
                <w:rFonts w:ascii="Arial" w:hAnsi="Arial" w:cs="Arial"/>
                <w:noProof/>
                <w:webHidden/>
                <w:sz w:val="24"/>
                <w:szCs w:val="24"/>
              </w:rPr>
              <w:instrText xml:space="preserve"> PAGEREF _Toc216900953 \h </w:instrText>
            </w:r>
            <w:r w:rsidRPr="00F21B13">
              <w:rPr>
                <w:rFonts w:ascii="Arial" w:hAnsi="Arial" w:cs="Arial"/>
                <w:noProof/>
                <w:webHidden/>
                <w:sz w:val="24"/>
                <w:szCs w:val="24"/>
              </w:rPr>
            </w:r>
            <w:r w:rsidRPr="00F21B13">
              <w:rPr>
                <w:rFonts w:ascii="Arial" w:hAnsi="Arial" w:cs="Arial"/>
                <w:noProof/>
                <w:webHidden/>
                <w:sz w:val="24"/>
                <w:szCs w:val="24"/>
              </w:rPr>
              <w:fldChar w:fldCharType="separate"/>
            </w:r>
            <w:r w:rsidRPr="00F21B13">
              <w:rPr>
                <w:rFonts w:ascii="Arial" w:hAnsi="Arial" w:cs="Arial"/>
                <w:noProof/>
                <w:webHidden/>
                <w:sz w:val="24"/>
                <w:szCs w:val="24"/>
              </w:rPr>
              <w:t>4</w:t>
            </w:r>
            <w:r w:rsidRPr="00F21B13">
              <w:rPr>
                <w:rFonts w:ascii="Arial" w:hAnsi="Arial" w:cs="Arial"/>
                <w:noProof/>
                <w:webHidden/>
                <w:sz w:val="24"/>
                <w:szCs w:val="24"/>
              </w:rPr>
              <w:fldChar w:fldCharType="end"/>
            </w:r>
          </w:hyperlink>
        </w:p>
        <w:p w14:paraId="2899F46B" w14:textId="33FBF07A" w:rsidR="00F21B13" w:rsidRPr="00F21B13" w:rsidRDefault="00F21B13" w:rsidP="00F21B13">
          <w:pPr>
            <w:pStyle w:val="TOC2"/>
            <w:tabs>
              <w:tab w:val="right" w:leader="dot" w:pos="9350"/>
            </w:tabs>
            <w:spacing w:line="360" w:lineRule="auto"/>
            <w:rPr>
              <w:rFonts w:ascii="Arial" w:eastAsiaTheme="minorEastAsia" w:hAnsi="Arial" w:cs="Arial"/>
              <w:noProof/>
              <w:kern w:val="2"/>
              <w:sz w:val="24"/>
              <w:szCs w:val="24"/>
              <w:lang w:val="en-IN" w:eastAsia="zh-CN" w:bidi="gu-IN"/>
              <w14:ligatures w14:val="standardContextual"/>
            </w:rPr>
          </w:pPr>
          <w:hyperlink w:anchor="_Toc216900954" w:history="1">
            <w:r w:rsidRPr="00F21B13">
              <w:rPr>
                <w:rStyle w:val="Hyperlink"/>
                <w:rFonts w:ascii="Arial" w:hAnsi="Arial" w:cs="Arial"/>
                <w:noProof/>
                <w:sz w:val="24"/>
                <w:szCs w:val="24"/>
              </w:rPr>
              <w:t>Organisations that support chosen group</w:t>
            </w:r>
            <w:r w:rsidRPr="00F21B13">
              <w:rPr>
                <w:rFonts w:ascii="Arial" w:hAnsi="Arial" w:cs="Arial"/>
                <w:noProof/>
                <w:webHidden/>
                <w:sz w:val="24"/>
                <w:szCs w:val="24"/>
              </w:rPr>
              <w:tab/>
            </w:r>
            <w:r w:rsidRPr="00F21B13">
              <w:rPr>
                <w:rFonts w:ascii="Arial" w:hAnsi="Arial" w:cs="Arial"/>
                <w:noProof/>
                <w:webHidden/>
                <w:sz w:val="24"/>
                <w:szCs w:val="24"/>
              </w:rPr>
              <w:fldChar w:fldCharType="begin"/>
            </w:r>
            <w:r w:rsidRPr="00F21B13">
              <w:rPr>
                <w:rFonts w:ascii="Arial" w:hAnsi="Arial" w:cs="Arial"/>
                <w:noProof/>
                <w:webHidden/>
                <w:sz w:val="24"/>
                <w:szCs w:val="24"/>
              </w:rPr>
              <w:instrText xml:space="preserve"> PAGEREF _Toc216900954 \h </w:instrText>
            </w:r>
            <w:r w:rsidRPr="00F21B13">
              <w:rPr>
                <w:rFonts w:ascii="Arial" w:hAnsi="Arial" w:cs="Arial"/>
                <w:noProof/>
                <w:webHidden/>
                <w:sz w:val="24"/>
                <w:szCs w:val="24"/>
              </w:rPr>
            </w:r>
            <w:r w:rsidRPr="00F21B13">
              <w:rPr>
                <w:rFonts w:ascii="Arial" w:hAnsi="Arial" w:cs="Arial"/>
                <w:noProof/>
                <w:webHidden/>
                <w:sz w:val="24"/>
                <w:szCs w:val="24"/>
              </w:rPr>
              <w:fldChar w:fldCharType="separate"/>
            </w:r>
            <w:r w:rsidRPr="00F21B13">
              <w:rPr>
                <w:rFonts w:ascii="Arial" w:hAnsi="Arial" w:cs="Arial"/>
                <w:noProof/>
                <w:webHidden/>
                <w:sz w:val="24"/>
                <w:szCs w:val="24"/>
              </w:rPr>
              <w:t>5</w:t>
            </w:r>
            <w:r w:rsidRPr="00F21B13">
              <w:rPr>
                <w:rFonts w:ascii="Arial" w:hAnsi="Arial" w:cs="Arial"/>
                <w:noProof/>
                <w:webHidden/>
                <w:sz w:val="24"/>
                <w:szCs w:val="24"/>
              </w:rPr>
              <w:fldChar w:fldCharType="end"/>
            </w:r>
          </w:hyperlink>
        </w:p>
        <w:p w14:paraId="354282E4" w14:textId="745F8CB8" w:rsidR="00F21B13" w:rsidRPr="00F21B13" w:rsidRDefault="00F21B13" w:rsidP="00F21B13">
          <w:pPr>
            <w:pStyle w:val="TOC2"/>
            <w:tabs>
              <w:tab w:val="right" w:leader="dot" w:pos="9350"/>
            </w:tabs>
            <w:spacing w:line="360" w:lineRule="auto"/>
            <w:rPr>
              <w:rFonts w:ascii="Arial" w:eastAsiaTheme="minorEastAsia" w:hAnsi="Arial" w:cs="Arial"/>
              <w:noProof/>
              <w:kern w:val="2"/>
              <w:sz w:val="24"/>
              <w:szCs w:val="24"/>
              <w:lang w:val="en-IN" w:eastAsia="zh-CN" w:bidi="gu-IN"/>
              <w14:ligatures w14:val="standardContextual"/>
            </w:rPr>
          </w:pPr>
          <w:hyperlink w:anchor="_Toc216900955" w:history="1">
            <w:r w:rsidRPr="00F21B13">
              <w:rPr>
                <w:rStyle w:val="Hyperlink"/>
                <w:rFonts w:ascii="Arial" w:hAnsi="Arial" w:cs="Arial"/>
                <w:noProof/>
                <w:sz w:val="24"/>
                <w:szCs w:val="24"/>
              </w:rPr>
              <w:t>Conclusion</w:t>
            </w:r>
            <w:r w:rsidRPr="00F21B13">
              <w:rPr>
                <w:rFonts w:ascii="Arial" w:hAnsi="Arial" w:cs="Arial"/>
                <w:noProof/>
                <w:webHidden/>
                <w:sz w:val="24"/>
                <w:szCs w:val="24"/>
              </w:rPr>
              <w:tab/>
            </w:r>
            <w:r w:rsidRPr="00F21B13">
              <w:rPr>
                <w:rFonts w:ascii="Arial" w:hAnsi="Arial" w:cs="Arial"/>
                <w:noProof/>
                <w:webHidden/>
                <w:sz w:val="24"/>
                <w:szCs w:val="24"/>
              </w:rPr>
              <w:fldChar w:fldCharType="begin"/>
            </w:r>
            <w:r w:rsidRPr="00F21B13">
              <w:rPr>
                <w:rFonts w:ascii="Arial" w:hAnsi="Arial" w:cs="Arial"/>
                <w:noProof/>
                <w:webHidden/>
                <w:sz w:val="24"/>
                <w:szCs w:val="24"/>
              </w:rPr>
              <w:instrText xml:space="preserve"> PAGEREF _Toc216900955 \h </w:instrText>
            </w:r>
            <w:r w:rsidRPr="00F21B13">
              <w:rPr>
                <w:rFonts w:ascii="Arial" w:hAnsi="Arial" w:cs="Arial"/>
                <w:noProof/>
                <w:webHidden/>
                <w:sz w:val="24"/>
                <w:szCs w:val="24"/>
              </w:rPr>
            </w:r>
            <w:r w:rsidRPr="00F21B13">
              <w:rPr>
                <w:rFonts w:ascii="Arial" w:hAnsi="Arial" w:cs="Arial"/>
                <w:noProof/>
                <w:webHidden/>
                <w:sz w:val="24"/>
                <w:szCs w:val="24"/>
              </w:rPr>
              <w:fldChar w:fldCharType="separate"/>
            </w:r>
            <w:r w:rsidRPr="00F21B13">
              <w:rPr>
                <w:rFonts w:ascii="Arial" w:hAnsi="Arial" w:cs="Arial"/>
                <w:noProof/>
                <w:webHidden/>
                <w:sz w:val="24"/>
                <w:szCs w:val="24"/>
              </w:rPr>
              <w:t>5</w:t>
            </w:r>
            <w:r w:rsidRPr="00F21B13">
              <w:rPr>
                <w:rFonts w:ascii="Arial" w:hAnsi="Arial" w:cs="Arial"/>
                <w:noProof/>
                <w:webHidden/>
                <w:sz w:val="24"/>
                <w:szCs w:val="24"/>
              </w:rPr>
              <w:fldChar w:fldCharType="end"/>
            </w:r>
          </w:hyperlink>
        </w:p>
        <w:p w14:paraId="53A42C62" w14:textId="5C7D6B6A" w:rsidR="00F21B13" w:rsidRPr="00F21B13" w:rsidRDefault="00F21B13" w:rsidP="00F21B13">
          <w:pPr>
            <w:pStyle w:val="TOC1"/>
            <w:tabs>
              <w:tab w:val="right" w:leader="dot" w:pos="9350"/>
            </w:tabs>
            <w:spacing w:line="360" w:lineRule="auto"/>
            <w:rPr>
              <w:rFonts w:ascii="Arial" w:eastAsiaTheme="minorEastAsia" w:hAnsi="Arial" w:cs="Arial"/>
              <w:noProof/>
              <w:kern w:val="2"/>
              <w:sz w:val="24"/>
              <w:szCs w:val="24"/>
              <w:lang w:val="en-IN" w:eastAsia="zh-CN" w:bidi="gu-IN"/>
              <w14:ligatures w14:val="standardContextual"/>
            </w:rPr>
          </w:pPr>
          <w:hyperlink w:anchor="_Toc216900956" w:history="1">
            <w:r w:rsidRPr="00F21B13">
              <w:rPr>
                <w:rStyle w:val="Hyperlink"/>
                <w:rFonts w:ascii="Arial" w:hAnsi="Arial" w:cs="Arial"/>
                <w:noProof/>
                <w:sz w:val="24"/>
                <w:szCs w:val="24"/>
                <w:lang w:val="en-US"/>
              </w:rPr>
              <w:t>Task 2</w:t>
            </w:r>
            <w:r w:rsidRPr="00F21B13">
              <w:rPr>
                <w:rFonts w:ascii="Arial" w:hAnsi="Arial" w:cs="Arial"/>
                <w:noProof/>
                <w:webHidden/>
                <w:sz w:val="24"/>
                <w:szCs w:val="24"/>
              </w:rPr>
              <w:tab/>
            </w:r>
            <w:r w:rsidRPr="00F21B13">
              <w:rPr>
                <w:rFonts w:ascii="Arial" w:hAnsi="Arial" w:cs="Arial"/>
                <w:noProof/>
                <w:webHidden/>
                <w:sz w:val="24"/>
                <w:szCs w:val="24"/>
              </w:rPr>
              <w:fldChar w:fldCharType="begin"/>
            </w:r>
            <w:r w:rsidRPr="00F21B13">
              <w:rPr>
                <w:rFonts w:ascii="Arial" w:hAnsi="Arial" w:cs="Arial"/>
                <w:noProof/>
                <w:webHidden/>
                <w:sz w:val="24"/>
                <w:szCs w:val="24"/>
              </w:rPr>
              <w:instrText xml:space="preserve"> PAGEREF _Toc216900956 \h </w:instrText>
            </w:r>
            <w:r w:rsidRPr="00F21B13">
              <w:rPr>
                <w:rFonts w:ascii="Arial" w:hAnsi="Arial" w:cs="Arial"/>
                <w:noProof/>
                <w:webHidden/>
                <w:sz w:val="24"/>
                <w:szCs w:val="24"/>
              </w:rPr>
            </w:r>
            <w:r w:rsidRPr="00F21B13">
              <w:rPr>
                <w:rFonts w:ascii="Arial" w:hAnsi="Arial" w:cs="Arial"/>
                <w:noProof/>
                <w:webHidden/>
                <w:sz w:val="24"/>
                <w:szCs w:val="24"/>
              </w:rPr>
              <w:fldChar w:fldCharType="separate"/>
            </w:r>
            <w:r w:rsidRPr="00F21B13">
              <w:rPr>
                <w:rFonts w:ascii="Arial" w:hAnsi="Arial" w:cs="Arial"/>
                <w:noProof/>
                <w:webHidden/>
                <w:sz w:val="24"/>
                <w:szCs w:val="24"/>
              </w:rPr>
              <w:t>7</w:t>
            </w:r>
            <w:r w:rsidRPr="00F21B13">
              <w:rPr>
                <w:rFonts w:ascii="Arial" w:hAnsi="Arial" w:cs="Arial"/>
                <w:noProof/>
                <w:webHidden/>
                <w:sz w:val="24"/>
                <w:szCs w:val="24"/>
              </w:rPr>
              <w:fldChar w:fldCharType="end"/>
            </w:r>
          </w:hyperlink>
        </w:p>
        <w:p w14:paraId="5C479759" w14:textId="4676F9A6" w:rsidR="00F21B13" w:rsidRPr="00F21B13" w:rsidRDefault="00F21B13" w:rsidP="00F21B13">
          <w:pPr>
            <w:pStyle w:val="TOC2"/>
            <w:tabs>
              <w:tab w:val="right" w:leader="dot" w:pos="9350"/>
            </w:tabs>
            <w:spacing w:line="360" w:lineRule="auto"/>
            <w:rPr>
              <w:rFonts w:ascii="Arial" w:eastAsiaTheme="minorEastAsia" w:hAnsi="Arial" w:cs="Arial"/>
              <w:noProof/>
              <w:kern w:val="2"/>
              <w:sz w:val="24"/>
              <w:szCs w:val="24"/>
              <w:lang w:val="en-IN" w:eastAsia="zh-CN" w:bidi="gu-IN"/>
              <w14:ligatures w14:val="standardContextual"/>
            </w:rPr>
          </w:pPr>
          <w:hyperlink w:anchor="_Toc216900957" w:history="1">
            <w:r w:rsidRPr="00F21B13">
              <w:rPr>
                <w:rStyle w:val="Hyperlink"/>
                <w:rFonts w:ascii="Arial" w:hAnsi="Arial" w:cs="Arial"/>
                <w:noProof/>
                <w:sz w:val="24"/>
                <w:szCs w:val="24"/>
              </w:rPr>
              <w:t>Introduction</w:t>
            </w:r>
            <w:r w:rsidRPr="00F21B13">
              <w:rPr>
                <w:rFonts w:ascii="Arial" w:hAnsi="Arial" w:cs="Arial"/>
                <w:noProof/>
                <w:webHidden/>
                <w:sz w:val="24"/>
                <w:szCs w:val="24"/>
              </w:rPr>
              <w:tab/>
            </w:r>
            <w:r w:rsidRPr="00F21B13">
              <w:rPr>
                <w:rFonts w:ascii="Arial" w:hAnsi="Arial" w:cs="Arial"/>
                <w:noProof/>
                <w:webHidden/>
                <w:sz w:val="24"/>
                <w:szCs w:val="24"/>
              </w:rPr>
              <w:fldChar w:fldCharType="begin"/>
            </w:r>
            <w:r w:rsidRPr="00F21B13">
              <w:rPr>
                <w:rFonts w:ascii="Arial" w:hAnsi="Arial" w:cs="Arial"/>
                <w:noProof/>
                <w:webHidden/>
                <w:sz w:val="24"/>
                <w:szCs w:val="24"/>
              </w:rPr>
              <w:instrText xml:space="preserve"> PAGEREF _Toc216900957 \h </w:instrText>
            </w:r>
            <w:r w:rsidRPr="00F21B13">
              <w:rPr>
                <w:rFonts w:ascii="Arial" w:hAnsi="Arial" w:cs="Arial"/>
                <w:noProof/>
                <w:webHidden/>
                <w:sz w:val="24"/>
                <w:szCs w:val="24"/>
              </w:rPr>
            </w:r>
            <w:r w:rsidRPr="00F21B13">
              <w:rPr>
                <w:rFonts w:ascii="Arial" w:hAnsi="Arial" w:cs="Arial"/>
                <w:noProof/>
                <w:webHidden/>
                <w:sz w:val="24"/>
                <w:szCs w:val="24"/>
              </w:rPr>
              <w:fldChar w:fldCharType="separate"/>
            </w:r>
            <w:r w:rsidRPr="00F21B13">
              <w:rPr>
                <w:rFonts w:ascii="Arial" w:hAnsi="Arial" w:cs="Arial"/>
                <w:noProof/>
                <w:webHidden/>
                <w:sz w:val="24"/>
                <w:szCs w:val="24"/>
              </w:rPr>
              <w:t>7</w:t>
            </w:r>
            <w:r w:rsidRPr="00F21B13">
              <w:rPr>
                <w:rFonts w:ascii="Arial" w:hAnsi="Arial" w:cs="Arial"/>
                <w:noProof/>
                <w:webHidden/>
                <w:sz w:val="24"/>
                <w:szCs w:val="24"/>
              </w:rPr>
              <w:fldChar w:fldCharType="end"/>
            </w:r>
          </w:hyperlink>
        </w:p>
        <w:p w14:paraId="418612D0" w14:textId="7F59EA5D" w:rsidR="00F21B13" w:rsidRPr="00F21B13" w:rsidRDefault="00F21B13" w:rsidP="00F21B13">
          <w:pPr>
            <w:pStyle w:val="TOC2"/>
            <w:tabs>
              <w:tab w:val="right" w:leader="dot" w:pos="9350"/>
            </w:tabs>
            <w:spacing w:line="360" w:lineRule="auto"/>
            <w:rPr>
              <w:rFonts w:ascii="Arial" w:eastAsiaTheme="minorEastAsia" w:hAnsi="Arial" w:cs="Arial"/>
              <w:noProof/>
              <w:kern w:val="2"/>
              <w:sz w:val="24"/>
              <w:szCs w:val="24"/>
              <w:lang w:val="en-IN" w:eastAsia="zh-CN" w:bidi="gu-IN"/>
              <w14:ligatures w14:val="standardContextual"/>
            </w:rPr>
          </w:pPr>
          <w:hyperlink w:anchor="_Toc216900958" w:history="1">
            <w:r w:rsidRPr="00F21B13">
              <w:rPr>
                <w:rStyle w:val="Hyperlink"/>
                <w:rFonts w:ascii="Arial" w:hAnsi="Arial" w:cs="Arial"/>
                <w:noProof/>
                <w:sz w:val="24"/>
                <w:szCs w:val="24"/>
              </w:rPr>
              <w:t>3Ps and Public Health Measures</w:t>
            </w:r>
            <w:r w:rsidRPr="00F21B13">
              <w:rPr>
                <w:rFonts w:ascii="Arial" w:hAnsi="Arial" w:cs="Arial"/>
                <w:noProof/>
                <w:webHidden/>
                <w:sz w:val="24"/>
                <w:szCs w:val="24"/>
              </w:rPr>
              <w:tab/>
            </w:r>
            <w:r w:rsidRPr="00F21B13">
              <w:rPr>
                <w:rFonts w:ascii="Arial" w:hAnsi="Arial" w:cs="Arial"/>
                <w:noProof/>
                <w:webHidden/>
                <w:sz w:val="24"/>
                <w:szCs w:val="24"/>
              </w:rPr>
              <w:fldChar w:fldCharType="begin"/>
            </w:r>
            <w:r w:rsidRPr="00F21B13">
              <w:rPr>
                <w:rFonts w:ascii="Arial" w:hAnsi="Arial" w:cs="Arial"/>
                <w:noProof/>
                <w:webHidden/>
                <w:sz w:val="24"/>
                <w:szCs w:val="24"/>
              </w:rPr>
              <w:instrText xml:space="preserve"> PAGEREF _Toc216900958 \h </w:instrText>
            </w:r>
            <w:r w:rsidRPr="00F21B13">
              <w:rPr>
                <w:rFonts w:ascii="Arial" w:hAnsi="Arial" w:cs="Arial"/>
                <w:noProof/>
                <w:webHidden/>
                <w:sz w:val="24"/>
                <w:szCs w:val="24"/>
              </w:rPr>
            </w:r>
            <w:r w:rsidRPr="00F21B13">
              <w:rPr>
                <w:rFonts w:ascii="Arial" w:hAnsi="Arial" w:cs="Arial"/>
                <w:noProof/>
                <w:webHidden/>
                <w:sz w:val="24"/>
                <w:szCs w:val="24"/>
              </w:rPr>
              <w:fldChar w:fldCharType="separate"/>
            </w:r>
            <w:r w:rsidRPr="00F21B13">
              <w:rPr>
                <w:rFonts w:ascii="Arial" w:hAnsi="Arial" w:cs="Arial"/>
                <w:noProof/>
                <w:webHidden/>
                <w:sz w:val="24"/>
                <w:szCs w:val="24"/>
              </w:rPr>
              <w:t>7</w:t>
            </w:r>
            <w:r w:rsidRPr="00F21B13">
              <w:rPr>
                <w:rFonts w:ascii="Arial" w:hAnsi="Arial" w:cs="Arial"/>
                <w:noProof/>
                <w:webHidden/>
                <w:sz w:val="24"/>
                <w:szCs w:val="24"/>
              </w:rPr>
              <w:fldChar w:fldCharType="end"/>
            </w:r>
          </w:hyperlink>
        </w:p>
        <w:p w14:paraId="4F8C9B77" w14:textId="67A2764F" w:rsidR="00F21B13" w:rsidRPr="00F21B13" w:rsidRDefault="00F21B13" w:rsidP="00F21B13">
          <w:pPr>
            <w:pStyle w:val="TOC2"/>
            <w:tabs>
              <w:tab w:val="right" w:leader="dot" w:pos="9350"/>
            </w:tabs>
            <w:spacing w:line="360" w:lineRule="auto"/>
            <w:rPr>
              <w:rFonts w:ascii="Arial" w:eastAsiaTheme="minorEastAsia" w:hAnsi="Arial" w:cs="Arial"/>
              <w:noProof/>
              <w:kern w:val="2"/>
              <w:sz w:val="24"/>
              <w:szCs w:val="24"/>
              <w:lang w:val="en-IN" w:eastAsia="zh-CN" w:bidi="gu-IN"/>
              <w14:ligatures w14:val="standardContextual"/>
            </w:rPr>
          </w:pPr>
          <w:hyperlink w:anchor="_Toc216900959" w:history="1">
            <w:r w:rsidRPr="00F21B13">
              <w:rPr>
                <w:rStyle w:val="Hyperlink"/>
                <w:rFonts w:ascii="Arial" w:hAnsi="Arial" w:cs="Arial"/>
                <w:noProof/>
                <w:sz w:val="24"/>
                <w:szCs w:val="24"/>
              </w:rPr>
              <w:t>Determinants and Risk factors</w:t>
            </w:r>
            <w:r w:rsidRPr="00F21B13">
              <w:rPr>
                <w:rFonts w:ascii="Arial" w:hAnsi="Arial" w:cs="Arial"/>
                <w:noProof/>
                <w:webHidden/>
                <w:sz w:val="24"/>
                <w:szCs w:val="24"/>
              </w:rPr>
              <w:tab/>
            </w:r>
            <w:r w:rsidRPr="00F21B13">
              <w:rPr>
                <w:rFonts w:ascii="Arial" w:hAnsi="Arial" w:cs="Arial"/>
                <w:noProof/>
                <w:webHidden/>
                <w:sz w:val="24"/>
                <w:szCs w:val="24"/>
              </w:rPr>
              <w:fldChar w:fldCharType="begin"/>
            </w:r>
            <w:r w:rsidRPr="00F21B13">
              <w:rPr>
                <w:rFonts w:ascii="Arial" w:hAnsi="Arial" w:cs="Arial"/>
                <w:noProof/>
                <w:webHidden/>
                <w:sz w:val="24"/>
                <w:szCs w:val="24"/>
              </w:rPr>
              <w:instrText xml:space="preserve"> PAGEREF _Toc216900959 \h </w:instrText>
            </w:r>
            <w:r w:rsidRPr="00F21B13">
              <w:rPr>
                <w:rFonts w:ascii="Arial" w:hAnsi="Arial" w:cs="Arial"/>
                <w:noProof/>
                <w:webHidden/>
                <w:sz w:val="24"/>
                <w:szCs w:val="24"/>
              </w:rPr>
            </w:r>
            <w:r w:rsidRPr="00F21B13">
              <w:rPr>
                <w:rFonts w:ascii="Arial" w:hAnsi="Arial" w:cs="Arial"/>
                <w:noProof/>
                <w:webHidden/>
                <w:sz w:val="24"/>
                <w:szCs w:val="24"/>
              </w:rPr>
              <w:fldChar w:fldCharType="separate"/>
            </w:r>
            <w:r w:rsidRPr="00F21B13">
              <w:rPr>
                <w:rFonts w:ascii="Arial" w:hAnsi="Arial" w:cs="Arial"/>
                <w:noProof/>
                <w:webHidden/>
                <w:sz w:val="24"/>
                <w:szCs w:val="24"/>
              </w:rPr>
              <w:t>7</w:t>
            </w:r>
            <w:r w:rsidRPr="00F21B13">
              <w:rPr>
                <w:rFonts w:ascii="Arial" w:hAnsi="Arial" w:cs="Arial"/>
                <w:noProof/>
                <w:webHidden/>
                <w:sz w:val="24"/>
                <w:szCs w:val="24"/>
              </w:rPr>
              <w:fldChar w:fldCharType="end"/>
            </w:r>
          </w:hyperlink>
        </w:p>
        <w:p w14:paraId="6034FF44" w14:textId="7A868C07" w:rsidR="00F21B13" w:rsidRPr="00F21B13" w:rsidRDefault="00F21B13" w:rsidP="00F21B13">
          <w:pPr>
            <w:pStyle w:val="TOC2"/>
            <w:tabs>
              <w:tab w:val="right" w:leader="dot" w:pos="9350"/>
            </w:tabs>
            <w:spacing w:line="360" w:lineRule="auto"/>
            <w:rPr>
              <w:rFonts w:ascii="Arial" w:eastAsiaTheme="minorEastAsia" w:hAnsi="Arial" w:cs="Arial"/>
              <w:noProof/>
              <w:kern w:val="2"/>
              <w:sz w:val="24"/>
              <w:szCs w:val="24"/>
              <w:lang w:val="en-IN" w:eastAsia="zh-CN" w:bidi="gu-IN"/>
              <w14:ligatures w14:val="standardContextual"/>
            </w:rPr>
          </w:pPr>
          <w:hyperlink w:anchor="_Toc216900960" w:history="1">
            <w:r w:rsidRPr="00F21B13">
              <w:rPr>
                <w:rStyle w:val="Hyperlink"/>
                <w:rFonts w:ascii="Arial" w:hAnsi="Arial" w:cs="Arial"/>
                <w:noProof/>
                <w:sz w:val="24"/>
                <w:szCs w:val="24"/>
              </w:rPr>
              <w:t>Epidemiological Studies and Health Needs Assessment</w:t>
            </w:r>
            <w:r w:rsidRPr="00F21B13">
              <w:rPr>
                <w:rFonts w:ascii="Arial" w:hAnsi="Arial" w:cs="Arial"/>
                <w:noProof/>
                <w:webHidden/>
                <w:sz w:val="24"/>
                <w:szCs w:val="24"/>
              </w:rPr>
              <w:tab/>
            </w:r>
            <w:r w:rsidRPr="00F21B13">
              <w:rPr>
                <w:rFonts w:ascii="Arial" w:hAnsi="Arial" w:cs="Arial"/>
                <w:noProof/>
                <w:webHidden/>
                <w:sz w:val="24"/>
                <w:szCs w:val="24"/>
              </w:rPr>
              <w:fldChar w:fldCharType="begin"/>
            </w:r>
            <w:r w:rsidRPr="00F21B13">
              <w:rPr>
                <w:rFonts w:ascii="Arial" w:hAnsi="Arial" w:cs="Arial"/>
                <w:noProof/>
                <w:webHidden/>
                <w:sz w:val="24"/>
                <w:szCs w:val="24"/>
              </w:rPr>
              <w:instrText xml:space="preserve"> PAGEREF _Toc216900960 \h </w:instrText>
            </w:r>
            <w:r w:rsidRPr="00F21B13">
              <w:rPr>
                <w:rFonts w:ascii="Arial" w:hAnsi="Arial" w:cs="Arial"/>
                <w:noProof/>
                <w:webHidden/>
                <w:sz w:val="24"/>
                <w:szCs w:val="24"/>
              </w:rPr>
            </w:r>
            <w:r w:rsidRPr="00F21B13">
              <w:rPr>
                <w:rFonts w:ascii="Arial" w:hAnsi="Arial" w:cs="Arial"/>
                <w:noProof/>
                <w:webHidden/>
                <w:sz w:val="24"/>
                <w:szCs w:val="24"/>
              </w:rPr>
              <w:fldChar w:fldCharType="separate"/>
            </w:r>
            <w:r w:rsidRPr="00F21B13">
              <w:rPr>
                <w:rFonts w:ascii="Arial" w:hAnsi="Arial" w:cs="Arial"/>
                <w:noProof/>
                <w:webHidden/>
                <w:sz w:val="24"/>
                <w:szCs w:val="24"/>
              </w:rPr>
              <w:t>8</w:t>
            </w:r>
            <w:r w:rsidRPr="00F21B13">
              <w:rPr>
                <w:rFonts w:ascii="Arial" w:hAnsi="Arial" w:cs="Arial"/>
                <w:noProof/>
                <w:webHidden/>
                <w:sz w:val="24"/>
                <w:szCs w:val="24"/>
              </w:rPr>
              <w:fldChar w:fldCharType="end"/>
            </w:r>
          </w:hyperlink>
        </w:p>
        <w:p w14:paraId="6C31C824" w14:textId="03B805CB" w:rsidR="00F21B13" w:rsidRPr="00F21B13" w:rsidRDefault="00F21B13" w:rsidP="00F21B13">
          <w:pPr>
            <w:pStyle w:val="TOC2"/>
            <w:tabs>
              <w:tab w:val="right" w:leader="dot" w:pos="9350"/>
            </w:tabs>
            <w:spacing w:line="360" w:lineRule="auto"/>
            <w:rPr>
              <w:rFonts w:ascii="Arial" w:eastAsiaTheme="minorEastAsia" w:hAnsi="Arial" w:cs="Arial"/>
              <w:noProof/>
              <w:kern w:val="2"/>
              <w:sz w:val="24"/>
              <w:szCs w:val="24"/>
              <w:lang w:val="en-IN" w:eastAsia="zh-CN" w:bidi="gu-IN"/>
              <w14:ligatures w14:val="standardContextual"/>
            </w:rPr>
          </w:pPr>
          <w:hyperlink w:anchor="_Toc216900961" w:history="1">
            <w:r w:rsidRPr="00F21B13">
              <w:rPr>
                <w:rStyle w:val="Hyperlink"/>
                <w:rFonts w:ascii="Arial" w:hAnsi="Arial" w:cs="Arial"/>
                <w:noProof/>
                <w:sz w:val="24"/>
                <w:szCs w:val="24"/>
              </w:rPr>
              <w:t>Monitoring and Surveillance Systems</w:t>
            </w:r>
            <w:r w:rsidRPr="00F21B13">
              <w:rPr>
                <w:rFonts w:ascii="Arial" w:hAnsi="Arial" w:cs="Arial"/>
                <w:noProof/>
                <w:webHidden/>
                <w:sz w:val="24"/>
                <w:szCs w:val="24"/>
              </w:rPr>
              <w:tab/>
            </w:r>
            <w:r w:rsidRPr="00F21B13">
              <w:rPr>
                <w:rFonts w:ascii="Arial" w:hAnsi="Arial" w:cs="Arial"/>
                <w:noProof/>
                <w:webHidden/>
                <w:sz w:val="24"/>
                <w:szCs w:val="24"/>
              </w:rPr>
              <w:fldChar w:fldCharType="begin"/>
            </w:r>
            <w:r w:rsidRPr="00F21B13">
              <w:rPr>
                <w:rFonts w:ascii="Arial" w:hAnsi="Arial" w:cs="Arial"/>
                <w:noProof/>
                <w:webHidden/>
                <w:sz w:val="24"/>
                <w:szCs w:val="24"/>
              </w:rPr>
              <w:instrText xml:space="preserve"> PAGEREF _Toc216900961 \h </w:instrText>
            </w:r>
            <w:r w:rsidRPr="00F21B13">
              <w:rPr>
                <w:rFonts w:ascii="Arial" w:hAnsi="Arial" w:cs="Arial"/>
                <w:noProof/>
                <w:webHidden/>
                <w:sz w:val="24"/>
                <w:szCs w:val="24"/>
              </w:rPr>
            </w:r>
            <w:r w:rsidRPr="00F21B13">
              <w:rPr>
                <w:rFonts w:ascii="Arial" w:hAnsi="Arial" w:cs="Arial"/>
                <w:noProof/>
                <w:webHidden/>
                <w:sz w:val="24"/>
                <w:szCs w:val="24"/>
              </w:rPr>
              <w:fldChar w:fldCharType="separate"/>
            </w:r>
            <w:r w:rsidRPr="00F21B13">
              <w:rPr>
                <w:rFonts w:ascii="Arial" w:hAnsi="Arial" w:cs="Arial"/>
                <w:noProof/>
                <w:webHidden/>
                <w:sz w:val="24"/>
                <w:szCs w:val="24"/>
              </w:rPr>
              <w:t>8</w:t>
            </w:r>
            <w:r w:rsidRPr="00F21B13">
              <w:rPr>
                <w:rFonts w:ascii="Arial" w:hAnsi="Arial" w:cs="Arial"/>
                <w:noProof/>
                <w:webHidden/>
                <w:sz w:val="24"/>
                <w:szCs w:val="24"/>
              </w:rPr>
              <w:fldChar w:fldCharType="end"/>
            </w:r>
          </w:hyperlink>
        </w:p>
        <w:p w14:paraId="4CD7F142" w14:textId="626CAD8B" w:rsidR="00F21B13" w:rsidRPr="00F21B13" w:rsidRDefault="00F21B13" w:rsidP="00F21B13">
          <w:pPr>
            <w:pStyle w:val="TOC2"/>
            <w:tabs>
              <w:tab w:val="right" w:leader="dot" w:pos="9350"/>
            </w:tabs>
            <w:spacing w:line="360" w:lineRule="auto"/>
            <w:rPr>
              <w:rFonts w:ascii="Arial" w:eastAsiaTheme="minorEastAsia" w:hAnsi="Arial" w:cs="Arial"/>
              <w:noProof/>
              <w:kern w:val="2"/>
              <w:sz w:val="24"/>
              <w:szCs w:val="24"/>
              <w:lang w:val="en-IN" w:eastAsia="zh-CN" w:bidi="gu-IN"/>
              <w14:ligatures w14:val="standardContextual"/>
            </w:rPr>
          </w:pPr>
          <w:hyperlink w:anchor="_Toc216900962" w:history="1">
            <w:r w:rsidRPr="00F21B13">
              <w:rPr>
                <w:rStyle w:val="Hyperlink"/>
                <w:rFonts w:ascii="Arial" w:hAnsi="Arial" w:cs="Arial"/>
                <w:noProof/>
                <w:sz w:val="24"/>
                <w:szCs w:val="24"/>
              </w:rPr>
              <w:t>Public Health Impact</w:t>
            </w:r>
            <w:r w:rsidRPr="00F21B13">
              <w:rPr>
                <w:rFonts w:ascii="Arial" w:hAnsi="Arial" w:cs="Arial"/>
                <w:noProof/>
                <w:webHidden/>
                <w:sz w:val="24"/>
                <w:szCs w:val="24"/>
              </w:rPr>
              <w:tab/>
            </w:r>
            <w:r w:rsidRPr="00F21B13">
              <w:rPr>
                <w:rFonts w:ascii="Arial" w:hAnsi="Arial" w:cs="Arial"/>
                <w:noProof/>
                <w:webHidden/>
                <w:sz w:val="24"/>
                <w:szCs w:val="24"/>
              </w:rPr>
              <w:fldChar w:fldCharType="begin"/>
            </w:r>
            <w:r w:rsidRPr="00F21B13">
              <w:rPr>
                <w:rFonts w:ascii="Arial" w:hAnsi="Arial" w:cs="Arial"/>
                <w:noProof/>
                <w:webHidden/>
                <w:sz w:val="24"/>
                <w:szCs w:val="24"/>
              </w:rPr>
              <w:instrText xml:space="preserve"> PAGEREF _Toc216900962 \h </w:instrText>
            </w:r>
            <w:r w:rsidRPr="00F21B13">
              <w:rPr>
                <w:rFonts w:ascii="Arial" w:hAnsi="Arial" w:cs="Arial"/>
                <w:noProof/>
                <w:webHidden/>
                <w:sz w:val="24"/>
                <w:szCs w:val="24"/>
              </w:rPr>
            </w:r>
            <w:r w:rsidRPr="00F21B13">
              <w:rPr>
                <w:rFonts w:ascii="Arial" w:hAnsi="Arial" w:cs="Arial"/>
                <w:noProof/>
                <w:webHidden/>
                <w:sz w:val="24"/>
                <w:szCs w:val="24"/>
              </w:rPr>
              <w:fldChar w:fldCharType="separate"/>
            </w:r>
            <w:r w:rsidRPr="00F21B13">
              <w:rPr>
                <w:rFonts w:ascii="Arial" w:hAnsi="Arial" w:cs="Arial"/>
                <w:noProof/>
                <w:webHidden/>
                <w:sz w:val="24"/>
                <w:szCs w:val="24"/>
              </w:rPr>
              <w:t>8</w:t>
            </w:r>
            <w:r w:rsidRPr="00F21B13">
              <w:rPr>
                <w:rFonts w:ascii="Arial" w:hAnsi="Arial" w:cs="Arial"/>
                <w:noProof/>
                <w:webHidden/>
                <w:sz w:val="24"/>
                <w:szCs w:val="24"/>
              </w:rPr>
              <w:fldChar w:fldCharType="end"/>
            </w:r>
          </w:hyperlink>
        </w:p>
        <w:p w14:paraId="134F4546" w14:textId="0BF4A2E4" w:rsidR="00F21B13" w:rsidRPr="00F21B13" w:rsidRDefault="00F21B13" w:rsidP="00F21B13">
          <w:pPr>
            <w:pStyle w:val="TOC2"/>
            <w:tabs>
              <w:tab w:val="right" w:leader="dot" w:pos="9350"/>
            </w:tabs>
            <w:spacing w:line="360" w:lineRule="auto"/>
            <w:rPr>
              <w:rFonts w:ascii="Arial" w:eastAsiaTheme="minorEastAsia" w:hAnsi="Arial" w:cs="Arial"/>
              <w:noProof/>
              <w:kern w:val="2"/>
              <w:sz w:val="24"/>
              <w:szCs w:val="24"/>
              <w:lang w:val="en-IN" w:eastAsia="zh-CN" w:bidi="gu-IN"/>
              <w14:ligatures w14:val="standardContextual"/>
            </w:rPr>
          </w:pPr>
          <w:hyperlink w:anchor="_Toc216900963" w:history="1">
            <w:r w:rsidRPr="00F21B13">
              <w:rPr>
                <w:rStyle w:val="Hyperlink"/>
                <w:rFonts w:ascii="Arial" w:hAnsi="Arial" w:cs="Arial"/>
                <w:noProof/>
                <w:sz w:val="24"/>
                <w:szCs w:val="24"/>
              </w:rPr>
              <w:t>Intervention Programme Design</w:t>
            </w:r>
            <w:r w:rsidRPr="00F21B13">
              <w:rPr>
                <w:rFonts w:ascii="Arial" w:hAnsi="Arial" w:cs="Arial"/>
                <w:noProof/>
                <w:webHidden/>
                <w:sz w:val="24"/>
                <w:szCs w:val="24"/>
              </w:rPr>
              <w:tab/>
            </w:r>
            <w:r w:rsidRPr="00F21B13">
              <w:rPr>
                <w:rFonts w:ascii="Arial" w:hAnsi="Arial" w:cs="Arial"/>
                <w:noProof/>
                <w:webHidden/>
                <w:sz w:val="24"/>
                <w:szCs w:val="24"/>
              </w:rPr>
              <w:fldChar w:fldCharType="begin"/>
            </w:r>
            <w:r w:rsidRPr="00F21B13">
              <w:rPr>
                <w:rFonts w:ascii="Arial" w:hAnsi="Arial" w:cs="Arial"/>
                <w:noProof/>
                <w:webHidden/>
                <w:sz w:val="24"/>
                <w:szCs w:val="24"/>
              </w:rPr>
              <w:instrText xml:space="preserve"> PAGEREF _Toc216900963 \h </w:instrText>
            </w:r>
            <w:r w:rsidRPr="00F21B13">
              <w:rPr>
                <w:rFonts w:ascii="Arial" w:hAnsi="Arial" w:cs="Arial"/>
                <w:noProof/>
                <w:webHidden/>
                <w:sz w:val="24"/>
                <w:szCs w:val="24"/>
              </w:rPr>
            </w:r>
            <w:r w:rsidRPr="00F21B13">
              <w:rPr>
                <w:rFonts w:ascii="Arial" w:hAnsi="Arial" w:cs="Arial"/>
                <w:noProof/>
                <w:webHidden/>
                <w:sz w:val="24"/>
                <w:szCs w:val="24"/>
              </w:rPr>
              <w:fldChar w:fldCharType="separate"/>
            </w:r>
            <w:r w:rsidRPr="00F21B13">
              <w:rPr>
                <w:rFonts w:ascii="Arial" w:hAnsi="Arial" w:cs="Arial"/>
                <w:noProof/>
                <w:webHidden/>
                <w:sz w:val="24"/>
                <w:szCs w:val="24"/>
              </w:rPr>
              <w:t>9</w:t>
            </w:r>
            <w:r w:rsidRPr="00F21B13">
              <w:rPr>
                <w:rFonts w:ascii="Arial" w:hAnsi="Arial" w:cs="Arial"/>
                <w:noProof/>
                <w:webHidden/>
                <w:sz w:val="24"/>
                <w:szCs w:val="24"/>
              </w:rPr>
              <w:fldChar w:fldCharType="end"/>
            </w:r>
          </w:hyperlink>
        </w:p>
        <w:p w14:paraId="63214F2A" w14:textId="4F66BB7C" w:rsidR="00F21B13" w:rsidRPr="00F21B13" w:rsidRDefault="00F21B13" w:rsidP="00F21B13">
          <w:pPr>
            <w:pStyle w:val="TOC2"/>
            <w:tabs>
              <w:tab w:val="right" w:leader="dot" w:pos="9350"/>
            </w:tabs>
            <w:spacing w:line="360" w:lineRule="auto"/>
            <w:rPr>
              <w:rFonts w:ascii="Arial" w:eastAsiaTheme="minorEastAsia" w:hAnsi="Arial" w:cs="Arial"/>
              <w:noProof/>
              <w:kern w:val="2"/>
              <w:sz w:val="24"/>
              <w:szCs w:val="24"/>
              <w:lang w:val="en-IN" w:eastAsia="zh-CN" w:bidi="gu-IN"/>
              <w14:ligatures w14:val="standardContextual"/>
            </w:rPr>
          </w:pPr>
          <w:hyperlink w:anchor="_Toc216900964" w:history="1">
            <w:r w:rsidRPr="00F21B13">
              <w:rPr>
                <w:rStyle w:val="Hyperlink"/>
                <w:rFonts w:ascii="Arial" w:hAnsi="Arial" w:cs="Arial"/>
                <w:noProof/>
                <w:sz w:val="24"/>
                <w:szCs w:val="24"/>
              </w:rPr>
              <w:t>Strengths and Weaknesses of Epidemiological Approach</w:t>
            </w:r>
            <w:r w:rsidRPr="00F21B13">
              <w:rPr>
                <w:rFonts w:ascii="Arial" w:hAnsi="Arial" w:cs="Arial"/>
                <w:noProof/>
                <w:webHidden/>
                <w:sz w:val="24"/>
                <w:szCs w:val="24"/>
              </w:rPr>
              <w:tab/>
            </w:r>
            <w:r w:rsidRPr="00F21B13">
              <w:rPr>
                <w:rFonts w:ascii="Arial" w:hAnsi="Arial" w:cs="Arial"/>
                <w:noProof/>
                <w:webHidden/>
                <w:sz w:val="24"/>
                <w:szCs w:val="24"/>
              </w:rPr>
              <w:fldChar w:fldCharType="begin"/>
            </w:r>
            <w:r w:rsidRPr="00F21B13">
              <w:rPr>
                <w:rFonts w:ascii="Arial" w:hAnsi="Arial" w:cs="Arial"/>
                <w:noProof/>
                <w:webHidden/>
                <w:sz w:val="24"/>
                <w:szCs w:val="24"/>
              </w:rPr>
              <w:instrText xml:space="preserve"> PAGEREF _Toc216900964 \h </w:instrText>
            </w:r>
            <w:r w:rsidRPr="00F21B13">
              <w:rPr>
                <w:rFonts w:ascii="Arial" w:hAnsi="Arial" w:cs="Arial"/>
                <w:noProof/>
                <w:webHidden/>
                <w:sz w:val="24"/>
                <w:szCs w:val="24"/>
              </w:rPr>
            </w:r>
            <w:r w:rsidRPr="00F21B13">
              <w:rPr>
                <w:rFonts w:ascii="Arial" w:hAnsi="Arial" w:cs="Arial"/>
                <w:noProof/>
                <w:webHidden/>
                <w:sz w:val="24"/>
                <w:szCs w:val="24"/>
              </w:rPr>
              <w:fldChar w:fldCharType="separate"/>
            </w:r>
            <w:r w:rsidRPr="00F21B13">
              <w:rPr>
                <w:rFonts w:ascii="Arial" w:hAnsi="Arial" w:cs="Arial"/>
                <w:noProof/>
                <w:webHidden/>
                <w:sz w:val="24"/>
                <w:szCs w:val="24"/>
              </w:rPr>
              <w:t>10</w:t>
            </w:r>
            <w:r w:rsidRPr="00F21B13">
              <w:rPr>
                <w:rFonts w:ascii="Arial" w:hAnsi="Arial" w:cs="Arial"/>
                <w:noProof/>
                <w:webHidden/>
                <w:sz w:val="24"/>
                <w:szCs w:val="24"/>
              </w:rPr>
              <w:fldChar w:fldCharType="end"/>
            </w:r>
          </w:hyperlink>
        </w:p>
        <w:p w14:paraId="0FE6FC11" w14:textId="584EB4FA" w:rsidR="00F21B13" w:rsidRPr="00F21B13" w:rsidRDefault="00F21B13" w:rsidP="00F21B13">
          <w:pPr>
            <w:pStyle w:val="TOC2"/>
            <w:tabs>
              <w:tab w:val="right" w:leader="dot" w:pos="9350"/>
            </w:tabs>
            <w:spacing w:line="360" w:lineRule="auto"/>
            <w:rPr>
              <w:rFonts w:ascii="Arial" w:eastAsiaTheme="minorEastAsia" w:hAnsi="Arial" w:cs="Arial"/>
              <w:noProof/>
              <w:kern w:val="2"/>
              <w:sz w:val="24"/>
              <w:szCs w:val="24"/>
              <w:lang w:val="en-IN" w:eastAsia="zh-CN" w:bidi="gu-IN"/>
              <w14:ligatures w14:val="standardContextual"/>
            </w:rPr>
          </w:pPr>
          <w:hyperlink w:anchor="_Toc216900965" w:history="1">
            <w:r w:rsidRPr="00F21B13">
              <w:rPr>
                <w:rStyle w:val="Hyperlink"/>
                <w:rFonts w:ascii="Arial" w:hAnsi="Arial" w:cs="Arial"/>
                <w:noProof/>
                <w:sz w:val="24"/>
                <w:szCs w:val="24"/>
              </w:rPr>
              <w:t>Conclusion</w:t>
            </w:r>
            <w:r w:rsidRPr="00F21B13">
              <w:rPr>
                <w:rFonts w:ascii="Arial" w:hAnsi="Arial" w:cs="Arial"/>
                <w:noProof/>
                <w:webHidden/>
                <w:sz w:val="24"/>
                <w:szCs w:val="24"/>
              </w:rPr>
              <w:tab/>
            </w:r>
            <w:r w:rsidRPr="00F21B13">
              <w:rPr>
                <w:rFonts w:ascii="Arial" w:hAnsi="Arial" w:cs="Arial"/>
                <w:noProof/>
                <w:webHidden/>
                <w:sz w:val="24"/>
                <w:szCs w:val="24"/>
              </w:rPr>
              <w:fldChar w:fldCharType="begin"/>
            </w:r>
            <w:r w:rsidRPr="00F21B13">
              <w:rPr>
                <w:rFonts w:ascii="Arial" w:hAnsi="Arial" w:cs="Arial"/>
                <w:noProof/>
                <w:webHidden/>
                <w:sz w:val="24"/>
                <w:szCs w:val="24"/>
              </w:rPr>
              <w:instrText xml:space="preserve"> PAGEREF _Toc216900965 \h </w:instrText>
            </w:r>
            <w:r w:rsidRPr="00F21B13">
              <w:rPr>
                <w:rFonts w:ascii="Arial" w:hAnsi="Arial" w:cs="Arial"/>
                <w:noProof/>
                <w:webHidden/>
                <w:sz w:val="24"/>
                <w:szCs w:val="24"/>
              </w:rPr>
            </w:r>
            <w:r w:rsidRPr="00F21B13">
              <w:rPr>
                <w:rFonts w:ascii="Arial" w:hAnsi="Arial" w:cs="Arial"/>
                <w:noProof/>
                <w:webHidden/>
                <w:sz w:val="24"/>
                <w:szCs w:val="24"/>
              </w:rPr>
              <w:fldChar w:fldCharType="separate"/>
            </w:r>
            <w:r w:rsidRPr="00F21B13">
              <w:rPr>
                <w:rFonts w:ascii="Arial" w:hAnsi="Arial" w:cs="Arial"/>
                <w:noProof/>
                <w:webHidden/>
                <w:sz w:val="24"/>
                <w:szCs w:val="24"/>
              </w:rPr>
              <w:t>10</w:t>
            </w:r>
            <w:r w:rsidRPr="00F21B13">
              <w:rPr>
                <w:rFonts w:ascii="Arial" w:hAnsi="Arial" w:cs="Arial"/>
                <w:noProof/>
                <w:webHidden/>
                <w:sz w:val="24"/>
                <w:szCs w:val="24"/>
              </w:rPr>
              <w:fldChar w:fldCharType="end"/>
            </w:r>
          </w:hyperlink>
        </w:p>
        <w:p w14:paraId="2B60CAAE" w14:textId="30CE8B23" w:rsidR="00F21B13" w:rsidRPr="00F21B13" w:rsidRDefault="00F21B13" w:rsidP="00F21B13">
          <w:pPr>
            <w:pStyle w:val="TOC1"/>
            <w:tabs>
              <w:tab w:val="right" w:leader="dot" w:pos="9350"/>
            </w:tabs>
            <w:spacing w:line="360" w:lineRule="auto"/>
            <w:rPr>
              <w:rFonts w:ascii="Arial" w:eastAsiaTheme="minorEastAsia" w:hAnsi="Arial" w:cs="Arial"/>
              <w:noProof/>
              <w:kern w:val="2"/>
              <w:sz w:val="24"/>
              <w:szCs w:val="24"/>
              <w:lang w:val="en-IN" w:eastAsia="zh-CN" w:bidi="gu-IN"/>
              <w14:ligatures w14:val="standardContextual"/>
            </w:rPr>
          </w:pPr>
          <w:hyperlink w:anchor="_Toc216900966" w:history="1">
            <w:r w:rsidRPr="00F21B13">
              <w:rPr>
                <w:rStyle w:val="Hyperlink"/>
                <w:rFonts w:ascii="Arial" w:hAnsi="Arial" w:cs="Arial"/>
                <w:noProof/>
                <w:sz w:val="24"/>
                <w:szCs w:val="24"/>
              </w:rPr>
              <w:t>Reference list</w:t>
            </w:r>
            <w:r w:rsidRPr="00F21B13">
              <w:rPr>
                <w:rFonts w:ascii="Arial" w:hAnsi="Arial" w:cs="Arial"/>
                <w:noProof/>
                <w:webHidden/>
                <w:sz w:val="24"/>
                <w:szCs w:val="24"/>
              </w:rPr>
              <w:tab/>
            </w:r>
            <w:r w:rsidRPr="00F21B13">
              <w:rPr>
                <w:rFonts w:ascii="Arial" w:hAnsi="Arial" w:cs="Arial"/>
                <w:noProof/>
                <w:webHidden/>
                <w:sz w:val="24"/>
                <w:szCs w:val="24"/>
              </w:rPr>
              <w:fldChar w:fldCharType="begin"/>
            </w:r>
            <w:r w:rsidRPr="00F21B13">
              <w:rPr>
                <w:rFonts w:ascii="Arial" w:hAnsi="Arial" w:cs="Arial"/>
                <w:noProof/>
                <w:webHidden/>
                <w:sz w:val="24"/>
                <w:szCs w:val="24"/>
              </w:rPr>
              <w:instrText xml:space="preserve"> PAGEREF _Toc216900966 \h </w:instrText>
            </w:r>
            <w:r w:rsidRPr="00F21B13">
              <w:rPr>
                <w:rFonts w:ascii="Arial" w:hAnsi="Arial" w:cs="Arial"/>
                <w:noProof/>
                <w:webHidden/>
                <w:sz w:val="24"/>
                <w:szCs w:val="24"/>
              </w:rPr>
            </w:r>
            <w:r w:rsidRPr="00F21B13">
              <w:rPr>
                <w:rFonts w:ascii="Arial" w:hAnsi="Arial" w:cs="Arial"/>
                <w:noProof/>
                <w:webHidden/>
                <w:sz w:val="24"/>
                <w:szCs w:val="24"/>
              </w:rPr>
              <w:fldChar w:fldCharType="separate"/>
            </w:r>
            <w:r w:rsidRPr="00F21B13">
              <w:rPr>
                <w:rFonts w:ascii="Arial" w:hAnsi="Arial" w:cs="Arial"/>
                <w:noProof/>
                <w:webHidden/>
                <w:sz w:val="24"/>
                <w:szCs w:val="24"/>
              </w:rPr>
              <w:t>11</w:t>
            </w:r>
            <w:r w:rsidRPr="00F21B13">
              <w:rPr>
                <w:rFonts w:ascii="Arial" w:hAnsi="Arial" w:cs="Arial"/>
                <w:noProof/>
                <w:webHidden/>
                <w:sz w:val="24"/>
                <w:szCs w:val="24"/>
              </w:rPr>
              <w:fldChar w:fldCharType="end"/>
            </w:r>
          </w:hyperlink>
        </w:p>
        <w:p w14:paraId="49ABDD53" w14:textId="3B4C3906" w:rsidR="00FD02D9" w:rsidRPr="00F21B13" w:rsidRDefault="00FD02D9" w:rsidP="00F21B13">
          <w:pPr>
            <w:spacing w:line="360" w:lineRule="auto"/>
            <w:jc w:val="center"/>
            <w:rPr>
              <w:rFonts w:ascii="Arial" w:hAnsi="Arial" w:cs="Arial"/>
              <w:sz w:val="24"/>
              <w:szCs w:val="24"/>
            </w:rPr>
          </w:pPr>
          <w:r w:rsidRPr="00F21B13">
            <w:rPr>
              <w:rFonts w:ascii="Arial" w:hAnsi="Arial" w:cs="Arial"/>
              <w:b/>
              <w:bCs/>
              <w:noProof/>
              <w:sz w:val="24"/>
              <w:szCs w:val="24"/>
            </w:rPr>
            <w:fldChar w:fldCharType="end"/>
          </w:r>
        </w:p>
      </w:sdtContent>
    </w:sdt>
    <w:p w14:paraId="6156A665" w14:textId="77777777" w:rsidR="00307A87" w:rsidRPr="00A52DA2" w:rsidRDefault="00FD02D9" w:rsidP="00F21B13">
      <w:pPr>
        <w:spacing w:line="360" w:lineRule="auto"/>
        <w:rPr>
          <w:rFonts w:ascii="Arial" w:eastAsiaTheme="majorEastAsia" w:hAnsi="Arial" w:cs="Arial"/>
          <w:b/>
          <w:sz w:val="24"/>
          <w:szCs w:val="24"/>
        </w:rPr>
      </w:pPr>
      <w:r w:rsidRPr="00F21B13">
        <w:rPr>
          <w:rFonts w:ascii="Arial" w:eastAsiaTheme="majorEastAsia" w:hAnsi="Arial" w:cs="Arial"/>
          <w:b/>
          <w:sz w:val="24"/>
          <w:szCs w:val="24"/>
        </w:rPr>
        <w:br w:type="page"/>
      </w:r>
    </w:p>
    <w:p w14:paraId="08DD4468" w14:textId="29F6EE44" w:rsidR="00D724B8" w:rsidRPr="00A52DA2" w:rsidRDefault="00D724B8" w:rsidP="00A52DA2">
      <w:pPr>
        <w:pStyle w:val="Heading1"/>
      </w:pPr>
      <w:bookmarkStart w:id="0" w:name="_Toc216900950"/>
      <w:r w:rsidRPr="00A52DA2">
        <w:lastRenderedPageBreak/>
        <w:t>Task 1</w:t>
      </w:r>
      <w:bookmarkEnd w:id="0"/>
    </w:p>
    <w:p w14:paraId="543A6A73" w14:textId="6C3358A9" w:rsidR="00B343B8" w:rsidRDefault="00DC6EB7" w:rsidP="00D724B8">
      <w:pPr>
        <w:pStyle w:val="Heading2"/>
      </w:pPr>
      <w:bookmarkStart w:id="1" w:name="_Toc216900951"/>
      <w:r w:rsidRPr="00266DE9">
        <w:t>Introduction</w:t>
      </w:r>
      <w:bookmarkEnd w:id="1"/>
      <w:r w:rsidRPr="00266DE9">
        <w:t xml:space="preserve"> </w:t>
      </w:r>
    </w:p>
    <w:p w14:paraId="60129DFC" w14:textId="77777777" w:rsidR="00F17D47" w:rsidRPr="00A6349E" w:rsidRDefault="00F17D47" w:rsidP="002A451A">
      <w:pPr>
        <w:spacing w:line="360" w:lineRule="auto"/>
        <w:jc w:val="both"/>
        <w:rPr>
          <w:rFonts w:ascii="Arial" w:hAnsi="Arial" w:cs="Arial"/>
        </w:rPr>
      </w:pPr>
      <w:r w:rsidRPr="00A6349E">
        <w:rPr>
          <w:rFonts w:ascii="Arial" w:hAnsi="Arial" w:cs="Arial"/>
        </w:rPr>
        <w:t>According to the definition of the World Health Organization, disability refers to long-term physical, mental, intellectual, or sensory impairments that when combined with barriers can act as barriers to full and effective interaction with the rest of soci</w:t>
      </w:r>
      <w:r w:rsidR="00B71CE3" w:rsidRPr="00A6349E">
        <w:rPr>
          <w:rFonts w:ascii="Arial" w:hAnsi="Arial" w:cs="Arial"/>
        </w:rPr>
        <w:t>ety at an equal level</w:t>
      </w:r>
      <w:r w:rsidRPr="00A6349E">
        <w:rPr>
          <w:rFonts w:ascii="Arial" w:hAnsi="Arial" w:cs="Arial"/>
        </w:rPr>
        <w:t xml:space="preserve">. </w:t>
      </w:r>
      <w:r w:rsidR="00624618" w:rsidRPr="00A6349E">
        <w:rPr>
          <w:rFonts w:ascii="Arial" w:hAnsi="Arial" w:cs="Arial"/>
        </w:rPr>
        <w:t xml:space="preserve">As per the UK </w:t>
      </w:r>
      <w:r w:rsidR="003E0682" w:rsidRPr="00A6349E">
        <w:rPr>
          <w:rFonts w:ascii="Arial" w:hAnsi="Arial" w:cs="Arial"/>
        </w:rPr>
        <w:t>statistics</w:t>
      </w:r>
      <w:r w:rsidR="00A6349E" w:rsidRPr="00A6349E">
        <w:rPr>
          <w:rFonts w:ascii="Arial" w:hAnsi="Arial" w:cs="Arial"/>
        </w:rPr>
        <w:t>, every five adult have a disability and disabled person goes through health inequalities which are related to doubled</w:t>
      </w:r>
      <w:r w:rsidR="00624618" w:rsidRPr="00A6349E">
        <w:rPr>
          <w:rFonts w:ascii="Arial" w:hAnsi="Arial" w:cs="Arial"/>
        </w:rPr>
        <w:t xml:space="preserve"> socioeconomic disadvantage and discrimination, inaccessible services, and preventive and primary care differences (ONS, 2023; Health Foundation, 2023). </w:t>
      </w:r>
      <w:r w:rsidRPr="00A6349E">
        <w:rPr>
          <w:rFonts w:ascii="Arial" w:hAnsi="Arial" w:cs="Arial"/>
        </w:rPr>
        <w:t>These inequalities can be seen as increased prevalence of mental illness, chronic morbidity, and untimely death, all of which are indicators of social determinants of health as well as the failure of sensible adjustments made to health systems (NHS England, 2023; Equality Act, 2010).</w:t>
      </w:r>
    </w:p>
    <w:p w14:paraId="4543AF14" w14:textId="77777777" w:rsidR="00DC6EB7" w:rsidRDefault="008A2149" w:rsidP="00D724B8">
      <w:pPr>
        <w:pStyle w:val="Heading2"/>
      </w:pPr>
      <w:bookmarkStart w:id="2" w:name="_Toc216900952"/>
      <w:r w:rsidRPr="00266DE9">
        <w:t>Contextual b</w:t>
      </w:r>
      <w:r w:rsidR="007351C4" w:rsidRPr="00266DE9">
        <w:t>ackground and underlying factor</w:t>
      </w:r>
      <w:bookmarkEnd w:id="2"/>
    </w:p>
    <w:p w14:paraId="50A066A2" w14:textId="77777777" w:rsidR="00CA56E8" w:rsidRPr="003B160B" w:rsidRDefault="002D3DD7" w:rsidP="002D3DD7">
      <w:pPr>
        <w:rPr>
          <w:rFonts w:ascii="Arial" w:hAnsi="Arial" w:cs="Arial"/>
          <w:b/>
        </w:rPr>
      </w:pPr>
      <w:r w:rsidRPr="003B160B">
        <w:rPr>
          <w:rFonts w:ascii="Arial" w:hAnsi="Arial" w:cs="Arial"/>
          <w:b/>
        </w:rPr>
        <w:t xml:space="preserve">Disease and illness rates </w:t>
      </w:r>
    </w:p>
    <w:p w14:paraId="348E42EC" w14:textId="77777777" w:rsidR="00FA1BEE" w:rsidRPr="00CB746F" w:rsidRDefault="00FA1BEE" w:rsidP="000A7485">
      <w:pPr>
        <w:spacing w:line="360" w:lineRule="auto"/>
        <w:jc w:val="both"/>
        <w:rPr>
          <w:rFonts w:ascii="Arial" w:hAnsi="Arial" w:cs="Arial"/>
        </w:rPr>
      </w:pPr>
      <w:r w:rsidRPr="00CB746F">
        <w:rPr>
          <w:rFonts w:ascii="Arial" w:hAnsi="Arial" w:cs="Arial"/>
        </w:rPr>
        <w:t>Disabled adults have a much greater prevalence of reporting about depression and anxiety than non-disabled adults, which is associated with chronic pain, isolation, stigma, and economic stressors (ONS, 2023; Health Foundation, 2023). According to population surveys, the poorer assertion of good health of the disabled groups is habitually marked with enormous disparities on mental wellbeing pointers (ONS, 2023). It is evident that primary care barriers to talking therapies and reasonable adjustments are some of the factors that result in unmet need (NHS England, 2023).</w:t>
      </w:r>
    </w:p>
    <w:p w14:paraId="50AA2B0E" w14:textId="77777777" w:rsidR="00FA1BEE" w:rsidRPr="00CB746F" w:rsidRDefault="00FA1BEE" w:rsidP="000A7485">
      <w:pPr>
        <w:spacing w:line="360" w:lineRule="auto"/>
        <w:jc w:val="both"/>
        <w:rPr>
          <w:rFonts w:ascii="Arial" w:hAnsi="Arial" w:cs="Arial"/>
        </w:rPr>
      </w:pPr>
      <w:r w:rsidRPr="00CB746F">
        <w:rPr>
          <w:rFonts w:ascii="Arial" w:hAnsi="Arial" w:cs="Arial"/>
        </w:rPr>
        <w:t>Disabled populations have increased rates of obesity, diabetes and cardiovascular disease, caused by the lack of mobility, medication impacts, physical activity and physical activity opportunities and is increased by unequal access to screening and lifestyle-related services (WHO, 2011; UKHSA, 2023). The disabled adults have a lower probability of receiving regular preventive health services, including check-ups and cancer screening, which leads to subsequent diagnoses and poorer outcomes (NHS Digital, 2022; NHS England, 2023).</w:t>
      </w:r>
    </w:p>
    <w:p w14:paraId="2B429154" w14:textId="77777777" w:rsidR="00FA1BEE" w:rsidRDefault="00FA1BEE" w:rsidP="000A7485">
      <w:pPr>
        <w:spacing w:line="360" w:lineRule="auto"/>
        <w:jc w:val="both"/>
        <w:rPr>
          <w:rFonts w:ascii="Arial" w:hAnsi="Arial" w:cs="Arial"/>
        </w:rPr>
      </w:pPr>
      <w:r w:rsidRPr="00CB746F">
        <w:rPr>
          <w:rFonts w:ascii="Arial" w:hAnsi="Arial" w:cs="Arial"/>
        </w:rPr>
        <w:t>People with learning disabilities die prematurely based on these outcomes significantly more; life expectancy gaps determined in analyses have exceeded 10 years of the general population with avoidable deaths attributed to diagnostic overshadowing, communication problems, and inability to make reasonable adaptations (PHE, 2018; NHS England, 2023). The LeDeR reviews repeatedly discover that increased care escalation and insufficient monitoring are contributory factors (NHS England, 2023).</w:t>
      </w:r>
    </w:p>
    <w:p w14:paraId="33CE03CE" w14:textId="77777777" w:rsidR="00CA711B" w:rsidRPr="003A1CE9" w:rsidRDefault="00CA711B" w:rsidP="00CA711B">
      <w:pPr>
        <w:spacing w:line="360" w:lineRule="auto"/>
        <w:jc w:val="both"/>
        <w:rPr>
          <w:rFonts w:ascii="Arial" w:hAnsi="Arial" w:cs="Arial"/>
          <w:b/>
        </w:rPr>
      </w:pPr>
      <w:r w:rsidRPr="003A1CE9">
        <w:rPr>
          <w:rFonts w:ascii="Arial" w:hAnsi="Arial" w:cs="Arial"/>
          <w:b/>
        </w:rPr>
        <w:lastRenderedPageBreak/>
        <w:t>Social issues</w:t>
      </w:r>
    </w:p>
    <w:p w14:paraId="0174C9D6" w14:textId="77777777" w:rsidR="0096038B" w:rsidRPr="001A675F" w:rsidRDefault="00CA711B" w:rsidP="006451A5">
      <w:pPr>
        <w:spacing w:line="360" w:lineRule="auto"/>
        <w:jc w:val="both"/>
        <w:rPr>
          <w:rFonts w:ascii="Arial" w:hAnsi="Arial" w:cs="Arial"/>
        </w:rPr>
      </w:pPr>
      <w:r w:rsidRPr="001A675F">
        <w:rPr>
          <w:rFonts w:ascii="Arial" w:hAnsi="Arial" w:cs="Arial"/>
        </w:rPr>
        <w:t>The employment rate of disabled people is lower and they incur additional costs of disability which increases their risk of poverty (Scope, 2019; Scope, 2023). The average expenses of disabled households on scope are extra money each month that limits access to nutritious food, transport, available housing and health-enhancing opportunities (Scope, 2019; Scope, 2023). Poverty is an influential factor contributing to ill health outcomes throughout life (Health Foundation, 2023).</w:t>
      </w:r>
    </w:p>
    <w:p w14:paraId="786FBB9B" w14:textId="77777777" w:rsidR="00360E9A" w:rsidRPr="001A675F" w:rsidRDefault="00CA711B" w:rsidP="006451A5">
      <w:pPr>
        <w:spacing w:line="360" w:lineRule="auto"/>
        <w:jc w:val="both"/>
        <w:rPr>
          <w:rFonts w:ascii="Arial" w:hAnsi="Arial" w:cs="Arial"/>
        </w:rPr>
      </w:pPr>
      <w:r w:rsidRPr="001A675F">
        <w:rPr>
          <w:rFonts w:ascii="Arial" w:hAnsi="Arial" w:cs="Arial"/>
        </w:rPr>
        <w:t xml:space="preserve">The discrimination and the negative attitude diminish educational, occupational, and civic engagement, making people more isolated and mentally ill (WHO, 2011; ONS, 2023). Stigma overlaps with the type of disability (e.g., mental, intellectual, sensory) and with gender, ethnicity, and age, which increases </w:t>
      </w:r>
      <w:r w:rsidR="00360E9A" w:rsidRPr="001A675F">
        <w:rPr>
          <w:rFonts w:ascii="Arial" w:hAnsi="Arial" w:cs="Arial"/>
        </w:rPr>
        <w:t>the disadvantage (UKHSA, 2023).</w:t>
      </w:r>
    </w:p>
    <w:p w14:paraId="717D113C" w14:textId="77777777" w:rsidR="00CA711B" w:rsidRPr="00CB746F" w:rsidRDefault="00CA711B" w:rsidP="000A7485">
      <w:pPr>
        <w:spacing w:line="360" w:lineRule="auto"/>
        <w:jc w:val="both"/>
        <w:rPr>
          <w:rFonts w:ascii="Arial" w:hAnsi="Arial" w:cs="Arial"/>
        </w:rPr>
      </w:pPr>
      <w:r w:rsidRPr="001A675F">
        <w:rPr>
          <w:rFonts w:ascii="Arial" w:hAnsi="Arial" w:cs="Arial"/>
        </w:rPr>
        <w:t>Physical barriers (inaccessible buildings/equipment), communication (the absence of interpreters or easy-read materials), and systemic (long waits, lack of flexibility in an appointment system) barriers are faced by disabled patients (NHS England, 2016; NHS England, 2023). Such access concerns help to reduce the use of prevention services and the quality of disease control (NHS Digital, 2022; PHE, 2018).</w:t>
      </w:r>
    </w:p>
    <w:p w14:paraId="660B0DC6" w14:textId="77777777" w:rsidR="00987EDD" w:rsidRDefault="0078270E" w:rsidP="00D724B8">
      <w:pPr>
        <w:pStyle w:val="Heading2"/>
      </w:pPr>
      <w:bookmarkStart w:id="3" w:name="_Toc216900953"/>
      <w:r w:rsidRPr="00266DE9">
        <w:t>National Response to reduce health inequalities in your chosen group</w:t>
      </w:r>
      <w:bookmarkEnd w:id="3"/>
    </w:p>
    <w:p w14:paraId="511C632F" w14:textId="77777777" w:rsidR="005704EB" w:rsidRPr="00796754" w:rsidRDefault="00340A5A" w:rsidP="008965DB">
      <w:pPr>
        <w:spacing w:line="360" w:lineRule="auto"/>
        <w:jc w:val="both"/>
        <w:rPr>
          <w:rFonts w:ascii="Arial" w:hAnsi="Arial" w:cs="Arial"/>
        </w:rPr>
      </w:pPr>
      <w:r w:rsidRPr="00796754">
        <w:rPr>
          <w:rFonts w:ascii="Arial" w:hAnsi="Arial" w:cs="Arial"/>
        </w:rPr>
        <w:t>There are policy frameworks and obligations in the UK to diminish</w:t>
      </w:r>
      <w:r w:rsidR="00452B4C" w:rsidRPr="00796754">
        <w:rPr>
          <w:rFonts w:ascii="Arial" w:hAnsi="Arial" w:cs="Arial"/>
        </w:rPr>
        <w:t xml:space="preserve"> inequalities about disability</w:t>
      </w:r>
      <w:r w:rsidR="003A7CF8">
        <w:rPr>
          <w:rFonts w:ascii="Arial" w:hAnsi="Arial" w:cs="Arial"/>
        </w:rPr>
        <w:t>:</w:t>
      </w:r>
      <w:r w:rsidR="00452B4C" w:rsidRPr="00796754">
        <w:rPr>
          <w:rFonts w:ascii="Arial" w:hAnsi="Arial" w:cs="Arial"/>
        </w:rPr>
        <w:t xml:space="preserve"> </w:t>
      </w:r>
    </w:p>
    <w:p w14:paraId="4915DE63" w14:textId="77777777" w:rsidR="00340A5A" w:rsidRPr="00796754" w:rsidRDefault="00340A5A" w:rsidP="008965DB">
      <w:pPr>
        <w:pStyle w:val="ListParagraph"/>
        <w:numPr>
          <w:ilvl w:val="0"/>
          <w:numId w:val="1"/>
        </w:numPr>
        <w:spacing w:line="360" w:lineRule="auto"/>
        <w:jc w:val="both"/>
        <w:rPr>
          <w:rFonts w:ascii="Arial" w:hAnsi="Arial" w:cs="Arial"/>
        </w:rPr>
      </w:pPr>
      <w:r w:rsidRPr="00DA4354">
        <w:rPr>
          <w:rFonts w:ascii="Arial" w:hAnsi="Arial" w:cs="Arial"/>
          <w:b/>
        </w:rPr>
        <w:t>Equality Act 2010</w:t>
      </w:r>
      <w:r w:rsidRPr="00796754">
        <w:rPr>
          <w:rFonts w:ascii="Arial" w:hAnsi="Arial" w:cs="Arial"/>
        </w:rPr>
        <w:t>: Laws against discrimination and requires reasonable adjustments in all service including he</w:t>
      </w:r>
      <w:r w:rsidR="00A83FBE" w:rsidRPr="00796754">
        <w:rPr>
          <w:rFonts w:ascii="Arial" w:hAnsi="Arial" w:cs="Arial"/>
        </w:rPr>
        <w:t xml:space="preserve">althcare </w:t>
      </w:r>
      <w:r w:rsidR="002B5046" w:rsidRPr="00796754">
        <w:rPr>
          <w:rFonts w:ascii="Arial" w:hAnsi="Arial" w:cs="Arial"/>
        </w:rPr>
        <w:t>(Equality</w:t>
      </w:r>
      <w:r w:rsidR="00A83FBE" w:rsidRPr="00796754">
        <w:rPr>
          <w:rFonts w:ascii="Arial" w:hAnsi="Arial" w:cs="Arial"/>
        </w:rPr>
        <w:t xml:space="preserve"> Act, 2010).</w:t>
      </w:r>
    </w:p>
    <w:p w14:paraId="67014D69" w14:textId="77777777" w:rsidR="00340A5A" w:rsidRPr="00796754" w:rsidRDefault="00340A5A" w:rsidP="008965DB">
      <w:pPr>
        <w:pStyle w:val="ListParagraph"/>
        <w:numPr>
          <w:ilvl w:val="0"/>
          <w:numId w:val="1"/>
        </w:numPr>
        <w:spacing w:line="360" w:lineRule="auto"/>
        <w:jc w:val="both"/>
        <w:rPr>
          <w:rFonts w:ascii="Arial" w:hAnsi="Arial" w:cs="Arial"/>
        </w:rPr>
      </w:pPr>
      <w:r w:rsidRPr="00DA4354">
        <w:rPr>
          <w:rFonts w:ascii="Arial" w:hAnsi="Arial" w:cs="Arial"/>
          <w:b/>
        </w:rPr>
        <w:t>NHS Accessible Information Standard (2016)</w:t>
      </w:r>
      <w:r w:rsidRPr="00796754">
        <w:rPr>
          <w:rFonts w:ascii="Arial" w:hAnsi="Arial" w:cs="Arial"/>
        </w:rPr>
        <w:t>: Provides that providers should recognize and address the communication needs (e.g. BSL interpreters, easy-read) to provide equi</w:t>
      </w:r>
      <w:r w:rsidR="0093511E" w:rsidRPr="00796754">
        <w:rPr>
          <w:rFonts w:ascii="Arial" w:hAnsi="Arial" w:cs="Arial"/>
        </w:rPr>
        <w:t>table care (NHS England, 2016).</w:t>
      </w:r>
    </w:p>
    <w:p w14:paraId="38039FFE" w14:textId="77777777" w:rsidR="00340A5A" w:rsidRPr="00796754" w:rsidRDefault="00340A5A" w:rsidP="008965DB">
      <w:pPr>
        <w:pStyle w:val="ListParagraph"/>
        <w:numPr>
          <w:ilvl w:val="0"/>
          <w:numId w:val="1"/>
        </w:numPr>
        <w:spacing w:line="360" w:lineRule="auto"/>
        <w:jc w:val="both"/>
        <w:rPr>
          <w:rFonts w:ascii="Arial" w:hAnsi="Arial" w:cs="Arial"/>
        </w:rPr>
      </w:pPr>
      <w:r w:rsidRPr="00DA4354">
        <w:rPr>
          <w:rFonts w:ascii="Arial" w:hAnsi="Arial" w:cs="Arial"/>
          <w:b/>
        </w:rPr>
        <w:t>Health inequalities responsibility and integrated care system (ICS)</w:t>
      </w:r>
      <w:r w:rsidRPr="00796754">
        <w:rPr>
          <w:rFonts w:ascii="Arial" w:hAnsi="Arial" w:cs="Arial"/>
        </w:rPr>
        <w:t>: The Health and Care Act 2022 and the NHS guidance creates stronger organisational accountability in enhancing access, experience, and outcomes of underserved populations, such as disabled people (NHS England, 2023).</w:t>
      </w:r>
    </w:p>
    <w:p w14:paraId="7E1DADDC" w14:textId="77777777" w:rsidR="00340A5A" w:rsidRPr="00796754" w:rsidRDefault="00340A5A" w:rsidP="008965DB">
      <w:pPr>
        <w:pStyle w:val="ListParagraph"/>
        <w:numPr>
          <w:ilvl w:val="0"/>
          <w:numId w:val="1"/>
        </w:numPr>
        <w:spacing w:line="360" w:lineRule="auto"/>
        <w:jc w:val="both"/>
        <w:rPr>
          <w:rFonts w:ascii="Arial" w:hAnsi="Arial" w:cs="Arial"/>
        </w:rPr>
      </w:pPr>
      <w:r w:rsidRPr="00DA4354">
        <w:rPr>
          <w:rFonts w:ascii="Arial" w:hAnsi="Arial" w:cs="Arial"/>
          <w:b/>
        </w:rPr>
        <w:t>LeDeR and regular health examinations</w:t>
      </w:r>
      <w:r w:rsidRPr="00796754">
        <w:rPr>
          <w:rFonts w:ascii="Arial" w:hAnsi="Arial" w:cs="Arial"/>
        </w:rPr>
        <w:t>: Initiatives to enhance the standard of care and decrease the premature death rate among individuals with learning disabilities by using system reviews and taking proactive primary care examinations (PHE, 2018; NHS England, 2023).</w:t>
      </w:r>
    </w:p>
    <w:p w14:paraId="53A3C1EA" w14:textId="77777777" w:rsidR="00340A5A" w:rsidRPr="00DA4354" w:rsidRDefault="005704EB" w:rsidP="00DA4354">
      <w:pPr>
        <w:spacing w:line="360" w:lineRule="auto"/>
        <w:jc w:val="both"/>
        <w:rPr>
          <w:rFonts w:ascii="Arial" w:hAnsi="Arial" w:cs="Arial"/>
        </w:rPr>
      </w:pPr>
      <w:r w:rsidRPr="00796754">
        <w:rPr>
          <w:rFonts w:ascii="Arial" w:hAnsi="Arial" w:cs="Arial"/>
        </w:rPr>
        <w:lastRenderedPageBreak/>
        <w:t>Although such measures are crucial, gaps in implementation persist, especially when it comes to reasonable adjustments, staff training, quality of data, and accountability, which hamper impact (UKHSA, 2023; Health Foundation, 2023).</w:t>
      </w:r>
    </w:p>
    <w:p w14:paraId="4C53048D" w14:textId="77777777" w:rsidR="0078270E" w:rsidRDefault="006A33B1" w:rsidP="00D724B8">
      <w:pPr>
        <w:pStyle w:val="Heading2"/>
      </w:pPr>
      <w:bookmarkStart w:id="4" w:name="_Toc216900954"/>
      <w:r w:rsidRPr="00266DE9">
        <w:t>Organisations that support chosen group</w:t>
      </w:r>
      <w:bookmarkEnd w:id="4"/>
    </w:p>
    <w:p w14:paraId="27E26732" w14:textId="77777777" w:rsidR="00034BB9" w:rsidRPr="009C6109" w:rsidRDefault="00034BB9" w:rsidP="006828E8">
      <w:pPr>
        <w:spacing w:line="360" w:lineRule="auto"/>
        <w:jc w:val="both"/>
        <w:rPr>
          <w:rFonts w:ascii="Arial" w:hAnsi="Arial" w:cs="Arial"/>
          <w:b/>
        </w:rPr>
      </w:pPr>
      <w:r w:rsidRPr="009C6109">
        <w:rPr>
          <w:rFonts w:ascii="Arial" w:hAnsi="Arial" w:cs="Arial"/>
          <w:b/>
        </w:rPr>
        <w:t xml:space="preserve">Scope (UK) </w:t>
      </w:r>
    </w:p>
    <w:p w14:paraId="339DB811" w14:textId="77777777" w:rsidR="00034BB9" w:rsidRPr="009C6109" w:rsidRDefault="00034BB9" w:rsidP="006828E8">
      <w:pPr>
        <w:spacing w:line="360" w:lineRule="auto"/>
        <w:jc w:val="both"/>
        <w:rPr>
          <w:rFonts w:ascii="Arial" w:hAnsi="Arial" w:cs="Arial"/>
        </w:rPr>
      </w:pPr>
      <w:r w:rsidRPr="009C6109">
        <w:rPr>
          <w:rFonts w:ascii="Arial" w:hAnsi="Arial" w:cs="Arial"/>
        </w:rPr>
        <w:t>Scope offers advice and advocacy, undertakes research on the additional cost of disability and leads a policy and practice campaign. The Disability Price Tag reports it releases into the national discourse on the issues of poverty and affordability and advocates more equitable markets and social security changes (Scope, 2019; Scope, 2023). The goals of Scope are to help decrease poverty, enhance accessibility, and change the attitude</w:t>
      </w:r>
      <w:r w:rsidR="00EA7C9E" w:rsidRPr="009C6109">
        <w:rPr>
          <w:rFonts w:ascii="Arial" w:hAnsi="Arial" w:cs="Arial"/>
        </w:rPr>
        <w:t xml:space="preserve"> of the populace (Scope, 2023).</w:t>
      </w:r>
    </w:p>
    <w:p w14:paraId="44AB21EB" w14:textId="77777777" w:rsidR="00BC284F" w:rsidRPr="009C6109" w:rsidRDefault="00034BB9" w:rsidP="006828E8">
      <w:pPr>
        <w:spacing w:line="360" w:lineRule="auto"/>
        <w:jc w:val="both"/>
        <w:rPr>
          <w:rFonts w:ascii="Arial" w:hAnsi="Arial" w:cs="Arial"/>
          <w:b/>
        </w:rPr>
      </w:pPr>
      <w:r w:rsidRPr="009C6109">
        <w:rPr>
          <w:rFonts w:ascii="Arial" w:hAnsi="Arial" w:cs="Arial"/>
          <w:b/>
        </w:rPr>
        <w:t xml:space="preserve">Mencap (learning disability) </w:t>
      </w:r>
    </w:p>
    <w:p w14:paraId="7441019F" w14:textId="77777777" w:rsidR="00AE1B1E" w:rsidRPr="009C6109" w:rsidRDefault="00034BB9" w:rsidP="006828E8">
      <w:pPr>
        <w:spacing w:line="360" w:lineRule="auto"/>
        <w:jc w:val="both"/>
        <w:rPr>
          <w:rFonts w:ascii="Arial" w:hAnsi="Arial" w:cs="Arial"/>
        </w:rPr>
      </w:pPr>
      <w:r w:rsidRPr="009C6109">
        <w:rPr>
          <w:rFonts w:ascii="Arial" w:hAnsi="Arial" w:cs="Arial"/>
        </w:rPr>
        <w:t>Mencap seeks to eradicate preventable deaths and health disparities of people with learning disabilities, offers advocacy and co-creates training on NHS staff on reasonable adjustments and communication (Mencap, 2023). Mencap aims to achieve the equitable access to preventative care and immediate treatment through the help of familial support and p</w:t>
      </w:r>
      <w:r w:rsidR="00AE1B1E" w:rsidRPr="009C6109">
        <w:rPr>
          <w:rFonts w:ascii="Arial" w:hAnsi="Arial" w:cs="Arial"/>
        </w:rPr>
        <w:t>ublic campaigns (Mencap, 2023).</w:t>
      </w:r>
    </w:p>
    <w:p w14:paraId="7CE81503" w14:textId="77777777" w:rsidR="00034BB9" w:rsidRPr="009C6109" w:rsidRDefault="00034BB9" w:rsidP="006828E8">
      <w:pPr>
        <w:spacing w:line="360" w:lineRule="auto"/>
        <w:jc w:val="both"/>
        <w:rPr>
          <w:rFonts w:ascii="Arial" w:hAnsi="Arial" w:cs="Arial"/>
        </w:rPr>
      </w:pPr>
      <w:r w:rsidRPr="009C6109">
        <w:rPr>
          <w:rFonts w:ascii="Arial" w:hAnsi="Arial" w:cs="Arial"/>
        </w:rPr>
        <w:t>These organisations create awareness, produce evidence and hold institutions to account, adding to the role of statutory responsibilities and triggering practice change (Scope, 2023; Mencap, 2023).</w:t>
      </w:r>
    </w:p>
    <w:p w14:paraId="6E7B15CA" w14:textId="77777777" w:rsidR="006A33B1" w:rsidRDefault="00156F4E" w:rsidP="00D724B8">
      <w:pPr>
        <w:pStyle w:val="Heading2"/>
      </w:pPr>
      <w:bookmarkStart w:id="5" w:name="_Toc216900955"/>
      <w:r w:rsidRPr="00266DE9">
        <w:t>Conclusion</w:t>
      </w:r>
      <w:bookmarkEnd w:id="5"/>
      <w:r w:rsidR="006A33B1" w:rsidRPr="00266DE9">
        <w:t xml:space="preserve"> </w:t>
      </w:r>
    </w:p>
    <w:p w14:paraId="02FFD069" w14:textId="77777777" w:rsidR="00687C52" w:rsidRDefault="00344287" w:rsidP="00007B7A">
      <w:pPr>
        <w:spacing w:line="360" w:lineRule="auto"/>
        <w:jc w:val="both"/>
        <w:rPr>
          <w:rFonts w:ascii="Arial" w:hAnsi="Arial" w:cs="Arial"/>
        </w:rPr>
      </w:pPr>
      <w:r w:rsidRPr="00007B7A">
        <w:rPr>
          <w:rFonts w:ascii="Arial" w:hAnsi="Arial" w:cs="Arial"/>
        </w:rPr>
        <w:t xml:space="preserve">In the UK, disabled individuals experience institutionalized health disparities in the domains of mental health, chronic illness, and mortality with poverty, stigma, and recurring access to care being the major factors (ONS, 2023; Health Foundation, 2023). There are national frameworks that offer a base: The Equality Act, Accessible Information Standard, ICS duties, LeDeR, but the apparent lack of consistency in their implementation maintains certain gaps in the quality of preventive access and care (NHS England, 2016; PHE, 2018). The increased advocacy and practical support through charities such as Scope and Mencap improves sustained progress, however, the necessary outcome would be achieved through a solid enforcement of reasonable adjustment, increased data on disability in health services, inclusive care pathway design, and specific investments to address the socioeconomic drivers (UKHSA, 2023; WHO, 2011). Attaining </w:t>
      </w:r>
      <w:r w:rsidRPr="00007B7A">
        <w:rPr>
          <w:rFonts w:ascii="Arial" w:hAnsi="Arial" w:cs="Arial"/>
        </w:rPr>
        <w:lastRenderedPageBreak/>
        <w:t>equity requires that the disabled be held to account and co-produce at all levels of the public health policy and practice (NHS England, 2023).</w:t>
      </w:r>
    </w:p>
    <w:p w14:paraId="2AEB0085" w14:textId="77777777" w:rsidR="00344287" w:rsidRDefault="00687C52" w:rsidP="00687C52">
      <w:pPr>
        <w:rPr>
          <w:rFonts w:ascii="Arial" w:hAnsi="Arial" w:cs="Arial"/>
        </w:rPr>
      </w:pPr>
      <w:r>
        <w:rPr>
          <w:rFonts w:ascii="Arial" w:hAnsi="Arial" w:cs="Arial"/>
        </w:rPr>
        <w:br w:type="page"/>
      </w:r>
    </w:p>
    <w:p w14:paraId="7FA31A13" w14:textId="59CB3476" w:rsidR="00D724B8" w:rsidRDefault="00D724B8" w:rsidP="00D724B8">
      <w:pPr>
        <w:pStyle w:val="Heading1"/>
        <w:rPr>
          <w:lang w:val="en-US"/>
        </w:rPr>
      </w:pPr>
      <w:bookmarkStart w:id="6" w:name="_Toc216900956"/>
      <w:r>
        <w:rPr>
          <w:lang w:val="en-US"/>
        </w:rPr>
        <w:lastRenderedPageBreak/>
        <w:t>Task 2</w:t>
      </w:r>
      <w:bookmarkEnd w:id="6"/>
    </w:p>
    <w:p w14:paraId="7F9A645F" w14:textId="6B60E7A2" w:rsidR="00D724B8" w:rsidRPr="00D724B8" w:rsidRDefault="00D724B8" w:rsidP="00D724B8">
      <w:pPr>
        <w:pStyle w:val="Heading2"/>
      </w:pPr>
      <w:bookmarkStart w:id="7" w:name="_Toc216900957"/>
      <w:r w:rsidRPr="00D724B8">
        <w:t>Introduction</w:t>
      </w:r>
      <w:bookmarkEnd w:id="7"/>
      <w:r w:rsidRPr="00D724B8">
        <w:t xml:space="preserve"> </w:t>
      </w:r>
    </w:p>
    <w:p w14:paraId="61098BD8" w14:textId="77777777" w:rsidR="00D724B8" w:rsidRDefault="00D724B8" w:rsidP="00D724B8">
      <w:pPr>
        <w:spacing w:line="360" w:lineRule="auto"/>
        <w:jc w:val="both"/>
        <w:rPr>
          <w:rFonts w:ascii="Arial" w:hAnsi="Arial" w:cs="Arial"/>
          <w:lang w:val="en-US"/>
        </w:rPr>
      </w:pPr>
      <w:r w:rsidRPr="001C3885">
        <w:rPr>
          <w:rFonts w:ascii="Arial" w:hAnsi="Arial" w:cs="Arial"/>
          <w:lang w:val="en-US"/>
        </w:rPr>
        <w:t>Diabetes mellitus type 2 (T2DM) is a significant non-communicable disease and health issue that affects the population around the world and the UK. It is characterised by insulin resistance and progressive beta - cell dysfunction, resulting in hyperglycemia and eventual complications of the condition in the long-term, such as cardiovascular disease, renal failure, and neuropathy. T2DM has a severe social, cultural, and health impact, such as decreased quality of life, elevated healthcare expenditure, and early death (Zhou et al., 2019). The International Diabetes Federation estimated that 537 million adults lived with diabetes in 2021, and the number will increase to 643 million estimated in 2030 because of diabetes spread globally (Cho et al., 2021). The prevalence rate in the UK has increased twofold over the last 20 years, and now about 4.9 million individuals are diagnosed with it, with high disparities based on the socioeconomic and ethnic backgrounds (Holman et al., 2020). In London, the prevalence rates in boroughs like Tower Hamlets and Newham are more than 8% (a national average is 6.9%), respectively (Public Health England, 2019). These statistics outline the gravity of the problem and the necessity of the specific epidemiological investigation.</w:t>
      </w:r>
    </w:p>
    <w:p w14:paraId="4646B6B5" w14:textId="77777777" w:rsidR="00D724B8" w:rsidRDefault="00D724B8" w:rsidP="00D724B8">
      <w:pPr>
        <w:pStyle w:val="Heading2"/>
      </w:pPr>
      <w:bookmarkStart w:id="8" w:name="_Toc216900958"/>
      <w:r>
        <w:t>3Ps and Public Health Measures</w:t>
      </w:r>
      <w:bookmarkEnd w:id="8"/>
    </w:p>
    <w:p w14:paraId="21DC2468" w14:textId="77777777" w:rsidR="00D724B8" w:rsidRDefault="00D724B8" w:rsidP="00D724B8">
      <w:pPr>
        <w:spacing w:line="360" w:lineRule="auto"/>
        <w:jc w:val="both"/>
        <w:rPr>
          <w:rFonts w:ascii="Arial" w:hAnsi="Arial" w:cs="Arial"/>
          <w:lang w:val="en-US"/>
        </w:rPr>
      </w:pPr>
      <w:r w:rsidRPr="00EF13B9">
        <w:rPr>
          <w:rFonts w:ascii="Arial" w:hAnsi="Arial" w:cs="Arial"/>
          <w:lang w:val="en-US"/>
        </w:rPr>
        <w:t>It is possible to develop a public health approach to type 2 diabetes using the three Ps prevention, protection, and promotion. Examples of preventive strategies include lifestyle therapies that are primarily based on nutrition, exercise, and reduction in obesity. Major lifestyle changes were found to reduce the cases by 58% in randomized control trials like the Diabetes Prevention Program (Noller et al., 2002). One of the prevention strategies is early detection, which is achieved by screening and risk stratification, particularly in high-risk groups. Community based education and empowerment are part of promotion to maintain behavior change. Efforts like the NHS Diabetes Prevention Program (NDPP) have been implemented in the London localities, yet they have not been assessed to indicate any significant differences in take-ups and retention, and minority ethnic communities have low engagement (Valbhaji et al., 2020).</w:t>
      </w:r>
    </w:p>
    <w:p w14:paraId="156D7DC7" w14:textId="77777777" w:rsidR="00D724B8" w:rsidRDefault="00D724B8" w:rsidP="00D724B8">
      <w:pPr>
        <w:pStyle w:val="Heading2"/>
      </w:pPr>
      <w:bookmarkStart w:id="9" w:name="_Toc216900959"/>
      <w:r>
        <w:t>Determinants and Risk factors</w:t>
      </w:r>
      <w:bookmarkEnd w:id="9"/>
      <w:r>
        <w:t xml:space="preserve"> </w:t>
      </w:r>
    </w:p>
    <w:p w14:paraId="247F0686" w14:textId="77777777" w:rsidR="00D724B8" w:rsidRDefault="00D724B8" w:rsidP="00D724B8">
      <w:pPr>
        <w:spacing w:line="360" w:lineRule="auto"/>
        <w:jc w:val="both"/>
        <w:rPr>
          <w:rFonts w:ascii="Arial" w:hAnsi="Arial" w:cs="Arial"/>
          <w:lang w:val="en-US"/>
        </w:rPr>
      </w:pPr>
      <w:r w:rsidRPr="008C6C06">
        <w:rPr>
          <w:rFonts w:ascii="Arial" w:hAnsi="Arial" w:cs="Arial"/>
          <w:lang w:val="en-US"/>
        </w:rPr>
        <w:t xml:space="preserve">There have always been epidemiological studies that specify obesity, sedentary behaviour, poor diet and genetic predisposition as the main risk factors of T2DM (Hu, 2011). Poverty, housing insecurity and food deserts are social determinants that worsen risk in London. Ethnic inequality is shocking: the populations of South Asian and Black African/Caribbean are two to four times more at risk than Whites (Tillin et al., 2012). These differences are partly attributed to genetic </w:t>
      </w:r>
      <w:r w:rsidRPr="008C6C06">
        <w:rPr>
          <w:rFonts w:ascii="Arial" w:hAnsi="Arial" w:cs="Arial"/>
          <w:lang w:val="en-US"/>
        </w:rPr>
        <w:lastRenderedPageBreak/>
        <w:t>predisposition, although cultural eating habits, reduced physical activity, and structural disparity explain it. Risk is also further contributed by psychosocial stress and environmental exposures (Hackett et al., 2019). Therefore, determinants are multifactorial and they entail combined measures.</w:t>
      </w:r>
    </w:p>
    <w:p w14:paraId="382A043E" w14:textId="77777777" w:rsidR="00D724B8" w:rsidRDefault="00D724B8" w:rsidP="00D724B8">
      <w:pPr>
        <w:pStyle w:val="Heading2"/>
      </w:pPr>
      <w:bookmarkStart w:id="10" w:name="_Toc216900960"/>
      <w:r>
        <w:t>Epidemiological Studies and Health Needs Assessment</w:t>
      </w:r>
      <w:bookmarkEnd w:id="10"/>
    </w:p>
    <w:p w14:paraId="3EF195E4" w14:textId="77777777" w:rsidR="00D724B8" w:rsidRDefault="00D724B8" w:rsidP="00D724B8">
      <w:pPr>
        <w:spacing w:line="360" w:lineRule="auto"/>
        <w:jc w:val="both"/>
        <w:rPr>
          <w:rFonts w:ascii="Arial" w:hAnsi="Arial" w:cs="Arial"/>
          <w:lang w:val="en-US"/>
        </w:rPr>
      </w:pPr>
      <w:r w:rsidRPr="00A14426">
        <w:rPr>
          <w:rFonts w:ascii="Arial" w:hAnsi="Arial" w:cs="Arial"/>
          <w:lang w:val="en-US"/>
        </w:rPr>
        <w:t>The assessment of health needs across boroughs including Tower Hamlets shows that the prevalence of T2DM is high, and it concentrates in deprived wards with high ethnic minorities (Public Health England, 2019). Strong evidence of ethnic disparity in incidence and outcome is available through cohort studies like SABRE (Southall and Brent Revisited) (Tillin et al., 2012). These researches indicate that South Asians have earlier onset and more complications, which makes culturally oriented interventions necessary. Avoiding awareness and self-management is also the point in cross-sectional surveys, and disadvantaged populations have a lower health literacy level (Gao et al., 2019). Resource allocation and intervention design are therefore formulated with epidemiological evidence.</w:t>
      </w:r>
    </w:p>
    <w:p w14:paraId="55101DB9" w14:textId="77777777" w:rsidR="00D724B8" w:rsidRDefault="00D724B8" w:rsidP="00D724B8">
      <w:pPr>
        <w:pStyle w:val="Heading2"/>
      </w:pPr>
      <w:bookmarkStart w:id="11" w:name="_Toc216900961"/>
      <w:r>
        <w:t>Monitoring and Surveillance Systems</w:t>
      </w:r>
      <w:bookmarkEnd w:id="11"/>
    </w:p>
    <w:p w14:paraId="66513080" w14:textId="77777777" w:rsidR="00D724B8" w:rsidRDefault="00D724B8" w:rsidP="00D724B8">
      <w:pPr>
        <w:spacing w:line="360" w:lineRule="auto"/>
        <w:jc w:val="both"/>
        <w:rPr>
          <w:rFonts w:ascii="Arial" w:hAnsi="Arial" w:cs="Arial"/>
          <w:lang w:val="en-US"/>
        </w:rPr>
      </w:pPr>
      <w:r w:rsidRPr="00CB5DFD">
        <w:rPr>
          <w:rFonts w:ascii="Arial" w:hAnsi="Arial" w:cs="Arial"/>
          <w:lang w:val="en-US"/>
        </w:rPr>
        <w:t>Surveillance of T2DM is based on various surveillance systems. National Diabetes Audit (NDA) in the UK offers annual data regarding care process and outcomes, which allows benchmarking of regions (NHS Digital, 2020). Local Clinical Commissioning Groups (CCGs) make use of Quality and Outcomes Framework (QOF) indicators to keep track of primary care performance. Electronic health records can be used to conduct real-time surveillance, but the completeness and accuracy of data and codes continue to be an issue (Holman et al., 2020). Additional prevalence estimates are offered by surveys of population like Health Survey for England. In London boroughs, primary care, hospital, and community data needs to be integrated in order to monitor and evaluate.</w:t>
      </w:r>
    </w:p>
    <w:p w14:paraId="53BE86B9" w14:textId="77777777" w:rsidR="00D724B8" w:rsidRDefault="00D724B8" w:rsidP="00D724B8">
      <w:pPr>
        <w:pStyle w:val="Heading2"/>
      </w:pPr>
      <w:bookmarkStart w:id="12" w:name="_Toc216900962"/>
      <w:r>
        <w:t>Public Health Impact</w:t>
      </w:r>
      <w:bookmarkEnd w:id="12"/>
      <w:r>
        <w:t xml:space="preserve"> </w:t>
      </w:r>
    </w:p>
    <w:p w14:paraId="4F435A72" w14:textId="77777777" w:rsidR="00D724B8" w:rsidRPr="008711D7" w:rsidRDefault="00D724B8" w:rsidP="00D724B8">
      <w:pPr>
        <w:spacing w:line="360" w:lineRule="auto"/>
        <w:jc w:val="both"/>
        <w:rPr>
          <w:rFonts w:ascii="Arial" w:hAnsi="Arial" w:cs="Arial"/>
          <w:lang w:val="en-US"/>
        </w:rPr>
      </w:pPr>
      <w:r w:rsidRPr="008711D7">
        <w:rPr>
          <w:rFonts w:ascii="Arial" w:hAnsi="Arial" w:cs="Arial"/>
          <w:lang w:val="en-US"/>
        </w:rPr>
        <w:t>The acute effects of T2DM are high-level primary care use, higher expenses on drugs and high-level hospitalizations in cases of acute complications. The long-term effects are also high: cardiovascular disease, renal failure, blindness, and amputations cause disability and early death (Zhou et al., 2019). In the UK, the economic costs have been estimated to cost the UK 10 billion a year and this is 10 percent of the spending in the NHS (Hex et al., 2012). On a community level, T2DM increases the inequality of health to the disadvantage of deprived and minority groups. Family caregiving and low productivity are some of the burdens to the family. Therefore, the population health impact is multidimensional and falls under clinical, economic, and social realms.</w:t>
      </w:r>
    </w:p>
    <w:p w14:paraId="65F1AF30" w14:textId="77777777" w:rsidR="00D724B8" w:rsidRDefault="00D724B8" w:rsidP="00D724B8">
      <w:pPr>
        <w:pStyle w:val="Heading2"/>
      </w:pPr>
      <w:bookmarkStart w:id="13" w:name="_Toc216900963"/>
      <w:r>
        <w:lastRenderedPageBreak/>
        <w:t>Intervention Programme Design</w:t>
      </w:r>
      <w:bookmarkEnd w:id="13"/>
    </w:p>
    <w:p w14:paraId="03DAB43C" w14:textId="77777777" w:rsidR="00D724B8" w:rsidRPr="00BD4FDE" w:rsidRDefault="00D724B8" w:rsidP="00D724B8">
      <w:pPr>
        <w:spacing w:line="360" w:lineRule="auto"/>
        <w:jc w:val="both"/>
        <w:rPr>
          <w:rFonts w:ascii="Arial" w:hAnsi="Arial" w:cs="Arial"/>
        </w:rPr>
      </w:pPr>
      <w:r w:rsidRPr="00BD4FDE">
        <w:rPr>
          <w:rFonts w:ascii="Arial" w:hAnsi="Arial" w:cs="Arial"/>
        </w:rPr>
        <w:t xml:space="preserve">The complex needs of developing a successful intervention programme to manage type 2 diabetes in a London borough include multi-level programme that incorporates the behaviour change of individuals, community mobilisation, and systems policy change. The results of two large randomised controlled trials indicate that dietary, physical and weight-loss lifestyle modification programmes have the potential to greatly decrease the occurrence of diabetes in high-risk groups (Knowler et al., 2002; Tuomilehto et al., 2001). But there is translation to real life world that requires cultural adaptation and long term interaction. To illustrate, culturally tailored interventions with South Asian communities in the UK demonstrated higher adherence and effectiveness levels than generic programmes, which makes the integration of cultural dietary habits and language assistance into an intervention more crucial (Gadzhanova et al., 2019). Mobile applications and telehealth are examples of digital interventions that can help increase accessibility and ensure continuous observation, especially among young people and individuals with mobility limitations (Hou et al., 2018). </w:t>
      </w:r>
    </w:p>
    <w:p w14:paraId="78411592" w14:textId="77777777" w:rsidR="00D724B8" w:rsidRPr="00BD4FDE" w:rsidRDefault="00D724B8" w:rsidP="00D724B8">
      <w:pPr>
        <w:spacing w:line="360" w:lineRule="auto"/>
        <w:jc w:val="both"/>
        <w:rPr>
          <w:rFonts w:ascii="Arial" w:hAnsi="Arial" w:cs="Arial"/>
        </w:rPr>
      </w:pPr>
      <w:r w:rsidRPr="00BD4FDE">
        <w:rPr>
          <w:rFonts w:ascii="Arial" w:hAnsi="Arial" w:cs="Arial"/>
        </w:rPr>
        <w:t xml:space="preserve">Innovations based on the incorporation of individualised risk assessment with the help of electronic health records can also be used to select high-risk people and provide them with intensive support (Holman et al., 2020). At community level, strengthening engagement and sustainability can be done through peer support groups, community health workers and faith based initiatives. It has been indicated that peer led interventions enhance self-management behaviours and lower HbA1c levels especially among the deprived populations (Bailey et al., 2016). Local health workers implemented in local organisations can overcome cultural and language barriers, build trust, and enhance the use of preventive services (Islam et al., 2014). </w:t>
      </w:r>
    </w:p>
    <w:p w14:paraId="73E56F95" w14:textId="77777777" w:rsidR="00D724B8" w:rsidRPr="00BD4FDE" w:rsidRDefault="00D724B8" w:rsidP="00D724B8">
      <w:pPr>
        <w:spacing w:line="360" w:lineRule="auto"/>
        <w:jc w:val="both"/>
        <w:rPr>
          <w:rFonts w:ascii="Arial" w:hAnsi="Arial" w:cs="Arial"/>
        </w:rPr>
      </w:pPr>
      <w:r w:rsidRPr="00BD4FDE">
        <w:rPr>
          <w:rFonts w:ascii="Arial" w:hAnsi="Arial" w:cs="Arial"/>
        </w:rPr>
        <w:t xml:space="preserve">Policy interventions are necessary at the system level in order to deal with structural determinants. Sedentary behaviour can be minimized by urban planning that encourages walking, access to green environments, and usage of safe spaces to engage in physical activities (Sallis et al., 2016). Dietary environments can be enhanced with food policy action through limiting fast-food stores around schools and subsidizing healthy food (Fraser et al., 2010). The sustainability strategy of diabetes prevention would involve the provision of incentives to encourage the detection and management of diabetes in primary care lines. Notably, interventions should be not only effective, but also equitable and able to minimize the disparities instead of enhancing them (Valabhji et al., 2020). The programme assessment must be based on the mixed-methods approach, which is a mixture of quantitative reduction of HbA1c, incidence, hospital admission and qualitative patient experience, cultural acceptability data. Process evaluation is important to know the obstacles to </w:t>
      </w:r>
      <w:r w:rsidRPr="00BD4FDE">
        <w:rPr>
          <w:rFonts w:ascii="Arial" w:hAnsi="Arial" w:cs="Arial"/>
        </w:rPr>
        <w:lastRenderedPageBreak/>
        <w:t xml:space="preserve">implementation like low recruitment or retention and outcome evaluation measures the clinical and behavioural outcomes. </w:t>
      </w:r>
    </w:p>
    <w:p w14:paraId="43F6968C" w14:textId="77777777" w:rsidR="00D724B8" w:rsidRDefault="00D724B8" w:rsidP="00D724B8">
      <w:pPr>
        <w:pStyle w:val="Heading2"/>
      </w:pPr>
      <w:bookmarkStart w:id="14" w:name="_Toc216900964"/>
      <w:r>
        <w:t>Strengths and Weaknesses of Epidemiological Approach</w:t>
      </w:r>
      <w:bookmarkEnd w:id="14"/>
    </w:p>
    <w:p w14:paraId="65FA5698" w14:textId="77777777" w:rsidR="00D724B8" w:rsidRPr="00BD5625" w:rsidRDefault="00D724B8" w:rsidP="00D724B8">
      <w:pPr>
        <w:spacing w:line="360" w:lineRule="auto"/>
        <w:jc w:val="both"/>
        <w:rPr>
          <w:rFonts w:ascii="Arial" w:hAnsi="Arial" w:cs="Arial"/>
        </w:rPr>
      </w:pPr>
      <w:r w:rsidRPr="005A5AE3">
        <w:rPr>
          <w:rFonts w:ascii="Arial" w:hAnsi="Arial" w:cs="Arial"/>
        </w:rPr>
        <w:t>Epidemiological approach gives a systematic evidence on incidence, prevalence, risk factors, and outcomes, which are used to allocate resources rationally and to design policies. It has strengths such as the utilization of large cohort studies, sound statistical analysis as well as the utilization of both biological and social determinants (Hu, 2011; Tillin et al., 2012). However, limitations exist. Observational research is prone to confounding and bias. The inaccuracy is decreased by data quality problems, including the records that are not fully finished in electronic health records (Holman et al., 2020). This can be a problem in generalisability where studies are conducted on certain ethnic groups or areas. In addition, epidemiology is, in many cases, able to establish relationships but not to comprehensively take into account lived experiences or structural determinants. In this way, it is necessary to complement the evidence provided by epidemiological investigations with qualitative studies and participatory strategies.</w:t>
      </w:r>
    </w:p>
    <w:p w14:paraId="4FD8E7F9" w14:textId="77777777" w:rsidR="00D724B8" w:rsidRDefault="00D724B8" w:rsidP="00D724B8">
      <w:pPr>
        <w:pStyle w:val="Heading2"/>
      </w:pPr>
      <w:bookmarkStart w:id="15" w:name="_Toc216900965"/>
      <w:r>
        <w:t>Conclusion</w:t>
      </w:r>
      <w:bookmarkEnd w:id="15"/>
      <w:r>
        <w:t xml:space="preserve"> </w:t>
      </w:r>
    </w:p>
    <w:p w14:paraId="4F4824BB" w14:textId="77777777" w:rsidR="00D724B8" w:rsidRDefault="00D724B8" w:rsidP="00D724B8">
      <w:pPr>
        <w:spacing w:line="360" w:lineRule="auto"/>
        <w:jc w:val="both"/>
        <w:rPr>
          <w:rFonts w:ascii="Arial" w:hAnsi="Arial" w:cs="Arial"/>
          <w:lang w:val="en-US"/>
        </w:rPr>
      </w:pPr>
      <w:r w:rsidRPr="006A2AC8">
        <w:rPr>
          <w:rFonts w:ascii="Arial" w:hAnsi="Arial" w:cs="Arial"/>
          <w:lang w:val="en-US"/>
        </w:rPr>
        <w:t>Diabetes type 2 is a significant issue of the London boroughs with a high prevalence, ethnic differences, and severe social implications. Epidemiological analysis shows time-and-time-again the multifactorial determinants, such as obesity, poverty, and ethnicity and gives evidence of specific interventions. NDA and QOF are surveillance systems, which allow monitoring, however, quality of data and equity are areas of concern. The intervention needs to be culturally sensitive in terms of lifestyle programme, community mobilization, and systemic policy transformation to tackle food environments and physical activity opportunities. Although epidemiology has strong evidence, this does not rule out the need to incorporate qualitative and participatory methods. The T2DM issue in London boroughs requires a long-term commitment, intersectional cooperation, and equity-based approaches that would lead to the decrease of health disparities and enhance the overall outcomes.</w:t>
      </w:r>
    </w:p>
    <w:p w14:paraId="1DB5FBA4" w14:textId="77777777" w:rsidR="00D724B8" w:rsidRDefault="00D724B8" w:rsidP="00D724B8">
      <w:pPr>
        <w:spacing w:line="360" w:lineRule="auto"/>
        <w:jc w:val="both"/>
        <w:rPr>
          <w:rFonts w:ascii="Arial" w:hAnsi="Arial" w:cs="Arial"/>
          <w:lang w:val="en-US"/>
        </w:rPr>
      </w:pPr>
    </w:p>
    <w:p w14:paraId="69839705" w14:textId="77777777" w:rsidR="00D724B8" w:rsidRDefault="00D724B8" w:rsidP="00D724B8">
      <w:pPr>
        <w:spacing w:line="360" w:lineRule="auto"/>
        <w:jc w:val="both"/>
        <w:rPr>
          <w:rFonts w:ascii="Arial" w:hAnsi="Arial" w:cs="Arial"/>
          <w:lang w:val="en-US"/>
        </w:rPr>
      </w:pPr>
    </w:p>
    <w:p w14:paraId="78458FDA" w14:textId="77777777" w:rsidR="00D724B8" w:rsidRDefault="00D724B8" w:rsidP="00D724B8">
      <w:pPr>
        <w:spacing w:line="360" w:lineRule="auto"/>
        <w:jc w:val="both"/>
        <w:rPr>
          <w:rFonts w:ascii="Arial" w:hAnsi="Arial" w:cs="Arial"/>
          <w:lang w:val="en-US"/>
        </w:rPr>
      </w:pPr>
    </w:p>
    <w:p w14:paraId="1FAC93C3" w14:textId="77777777" w:rsidR="00D724B8" w:rsidRDefault="00D724B8" w:rsidP="00D724B8">
      <w:pPr>
        <w:spacing w:line="360" w:lineRule="auto"/>
        <w:jc w:val="both"/>
        <w:rPr>
          <w:rFonts w:ascii="Arial" w:hAnsi="Arial" w:cs="Arial"/>
          <w:lang w:val="en-US"/>
        </w:rPr>
      </w:pPr>
    </w:p>
    <w:p w14:paraId="3AAD532B" w14:textId="77777777" w:rsidR="00D724B8" w:rsidRDefault="00D724B8" w:rsidP="00D724B8">
      <w:pPr>
        <w:spacing w:line="360" w:lineRule="auto"/>
        <w:jc w:val="both"/>
        <w:rPr>
          <w:rFonts w:ascii="Arial" w:hAnsi="Arial" w:cs="Arial"/>
          <w:lang w:val="en-US"/>
        </w:rPr>
      </w:pPr>
    </w:p>
    <w:p w14:paraId="23D99D4C" w14:textId="39139248" w:rsidR="00B16816" w:rsidRDefault="00B16816" w:rsidP="00B16816">
      <w:pPr>
        <w:pStyle w:val="Heading1"/>
      </w:pPr>
      <w:bookmarkStart w:id="16" w:name="_Toc216900966"/>
      <w:r>
        <w:lastRenderedPageBreak/>
        <w:t>Reference list</w:t>
      </w:r>
      <w:bookmarkEnd w:id="16"/>
    </w:p>
    <w:p w14:paraId="1E816158" w14:textId="6E0DD60D" w:rsidR="00B16816" w:rsidRPr="000D0324" w:rsidRDefault="00B16816" w:rsidP="00B16816">
      <w:pPr>
        <w:pStyle w:val="NormalWeb"/>
        <w:tabs>
          <w:tab w:val="left" w:pos="0"/>
        </w:tabs>
        <w:spacing w:line="360" w:lineRule="auto"/>
        <w:jc w:val="both"/>
        <w:rPr>
          <w:rFonts w:ascii="Arial" w:hAnsi="Arial" w:cs="Arial"/>
          <w:sz w:val="22"/>
          <w:szCs w:val="22"/>
        </w:rPr>
      </w:pPr>
      <w:r w:rsidRPr="000D0324">
        <w:rPr>
          <w:rFonts w:ascii="Arial" w:hAnsi="Arial" w:cs="Arial"/>
          <w:sz w:val="22"/>
          <w:szCs w:val="22"/>
        </w:rPr>
        <w:t xml:space="preserve">Bailey, J.V., Murray, E., Rait, G., Mercer, C.H., Morris, R.W., Peacock, R., Cassell, J.A. and Nazareth, I. (2016) ‘Interactive computer-based interventions for sexual health promotion’, </w:t>
      </w:r>
      <w:r w:rsidRPr="000D0324">
        <w:rPr>
          <w:rStyle w:val="Emphasis"/>
          <w:rFonts w:ascii="Arial" w:hAnsi="Arial" w:cs="Arial"/>
          <w:sz w:val="22"/>
          <w:szCs w:val="22"/>
        </w:rPr>
        <w:t>Cochrane Database of Systematic Reviews</w:t>
      </w:r>
      <w:r w:rsidRPr="000D0324">
        <w:rPr>
          <w:rFonts w:ascii="Arial" w:hAnsi="Arial" w:cs="Arial"/>
          <w:sz w:val="22"/>
          <w:szCs w:val="22"/>
        </w:rPr>
        <w:t>, 2016(9), CD006483.</w:t>
      </w:r>
    </w:p>
    <w:p w14:paraId="64803306" w14:textId="77777777" w:rsidR="00B16816" w:rsidRPr="000D0324" w:rsidRDefault="00B16816" w:rsidP="00B16816">
      <w:pPr>
        <w:pStyle w:val="NormalWeb"/>
        <w:tabs>
          <w:tab w:val="left" w:pos="0"/>
        </w:tabs>
        <w:spacing w:line="360" w:lineRule="auto"/>
        <w:jc w:val="both"/>
        <w:rPr>
          <w:rFonts w:ascii="Arial" w:hAnsi="Arial" w:cs="Arial"/>
          <w:sz w:val="22"/>
          <w:szCs w:val="22"/>
        </w:rPr>
      </w:pPr>
      <w:r w:rsidRPr="000D0324">
        <w:rPr>
          <w:rFonts w:ascii="Arial" w:hAnsi="Arial" w:cs="Arial"/>
          <w:sz w:val="22"/>
          <w:szCs w:val="22"/>
        </w:rPr>
        <w:t xml:space="preserve">Cho, N.H., Shaw, J.E., Karuranga, S., Huang, Y., da Rocha Fernandes, J.D., Ohlrogge, A.W. and Malanda, B. (2021) ‘IDF Diabetes Atlas: Global estimates of diabetes prevalence for 2019 and projections for 2030 and 2045’, </w:t>
      </w:r>
      <w:r w:rsidRPr="000D0324">
        <w:rPr>
          <w:rStyle w:val="Emphasis"/>
          <w:rFonts w:ascii="Arial" w:hAnsi="Arial" w:cs="Arial"/>
          <w:sz w:val="22"/>
          <w:szCs w:val="22"/>
        </w:rPr>
        <w:t>Diabetes Research and Clinical Practice</w:t>
      </w:r>
      <w:r w:rsidRPr="000D0324">
        <w:rPr>
          <w:rFonts w:ascii="Arial" w:hAnsi="Arial" w:cs="Arial"/>
          <w:sz w:val="22"/>
          <w:szCs w:val="22"/>
        </w:rPr>
        <w:t>, 157, 107843.</w:t>
      </w:r>
    </w:p>
    <w:p w14:paraId="25326704" w14:textId="77777777" w:rsidR="00B16816" w:rsidRPr="000D0324" w:rsidRDefault="00B16816" w:rsidP="00B16816">
      <w:pPr>
        <w:pStyle w:val="NormalWeb"/>
        <w:tabs>
          <w:tab w:val="left" w:pos="0"/>
        </w:tabs>
        <w:spacing w:line="360" w:lineRule="auto"/>
        <w:jc w:val="both"/>
        <w:rPr>
          <w:rFonts w:ascii="Arial" w:hAnsi="Arial" w:cs="Arial"/>
          <w:sz w:val="22"/>
          <w:szCs w:val="22"/>
        </w:rPr>
      </w:pPr>
      <w:r w:rsidRPr="000D0324">
        <w:rPr>
          <w:rFonts w:ascii="Arial" w:hAnsi="Arial" w:cs="Arial"/>
          <w:sz w:val="22"/>
          <w:szCs w:val="22"/>
        </w:rPr>
        <w:t xml:space="preserve">Davies, M.J., Heller, S., Skinner, T.C., Campbell, M.J., Carey, M.E., Cradock, H.M., Daly, H., Doherty, Y., Eaton, S., Fox, C., Oliver, L., Rantell, K., Rayman, G. and Khunti, K. (2008) ‘Effectiveness of the diabetes education and self management for ongoing and newly diagnosed (DESMOND) programme for people with newly diagnosed type 2 diabetes: cluster randomised controlled trial’, </w:t>
      </w:r>
      <w:r w:rsidRPr="000D0324">
        <w:rPr>
          <w:rStyle w:val="Emphasis"/>
          <w:rFonts w:ascii="Arial" w:hAnsi="Arial" w:cs="Arial"/>
          <w:sz w:val="22"/>
          <w:szCs w:val="22"/>
        </w:rPr>
        <w:t>BMJ</w:t>
      </w:r>
      <w:r w:rsidRPr="000D0324">
        <w:rPr>
          <w:rFonts w:ascii="Arial" w:hAnsi="Arial" w:cs="Arial"/>
          <w:sz w:val="22"/>
          <w:szCs w:val="22"/>
        </w:rPr>
        <w:t>, 336(7642), pp. 491–495.</w:t>
      </w:r>
    </w:p>
    <w:p w14:paraId="19A6C545" w14:textId="77777777" w:rsidR="00B16816" w:rsidRPr="00D1133D" w:rsidRDefault="00B16816" w:rsidP="00B16816">
      <w:pPr>
        <w:pStyle w:val="NormalWeb"/>
        <w:spacing w:line="360" w:lineRule="auto"/>
        <w:jc w:val="both"/>
        <w:rPr>
          <w:rFonts w:ascii="Arial" w:hAnsi="Arial" w:cs="Arial"/>
          <w:sz w:val="22"/>
          <w:szCs w:val="22"/>
        </w:rPr>
      </w:pPr>
      <w:r w:rsidRPr="00D1133D">
        <w:rPr>
          <w:rFonts w:ascii="Arial" w:hAnsi="Arial" w:cs="Arial"/>
          <w:sz w:val="22"/>
          <w:szCs w:val="22"/>
        </w:rPr>
        <w:t>Equality Act (2010) Equality Act 2010. Available at: https://www.legislation.gov.uk/ukpga/2010/15/contents (Accessed: 5 December 2025).</w:t>
      </w:r>
    </w:p>
    <w:p w14:paraId="2DEAA01D" w14:textId="77777777" w:rsidR="00B16816" w:rsidRPr="000D0324" w:rsidRDefault="00B16816" w:rsidP="00B16816">
      <w:pPr>
        <w:pStyle w:val="NormalWeb"/>
        <w:tabs>
          <w:tab w:val="left" w:pos="0"/>
        </w:tabs>
        <w:spacing w:line="360" w:lineRule="auto"/>
        <w:jc w:val="both"/>
        <w:rPr>
          <w:rFonts w:ascii="Arial" w:hAnsi="Arial" w:cs="Arial"/>
          <w:sz w:val="22"/>
          <w:szCs w:val="22"/>
        </w:rPr>
      </w:pPr>
      <w:r w:rsidRPr="000D0324">
        <w:rPr>
          <w:rFonts w:ascii="Arial" w:hAnsi="Arial" w:cs="Arial"/>
          <w:sz w:val="22"/>
          <w:szCs w:val="22"/>
        </w:rPr>
        <w:t xml:space="preserve">Fraser, L.K., Edwards, K.L., Cade, J.E. and Clarke, G.P. (2010) ‘The geography of fast food outlets: a review’, </w:t>
      </w:r>
      <w:r w:rsidRPr="000D0324">
        <w:rPr>
          <w:rStyle w:val="Emphasis"/>
          <w:rFonts w:ascii="Arial" w:hAnsi="Arial" w:cs="Arial"/>
          <w:sz w:val="22"/>
          <w:szCs w:val="22"/>
        </w:rPr>
        <w:t>International Journal of Environmental Research and Public Health</w:t>
      </w:r>
      <w:r w:rsidRPr="000D0324">
        <w:rPr>
          <w:rFonts w:ascii="Arial" w:hAnsi="Arial" w:cs="Arial"/>
          <w:sz w:val="22"/>
          <w:szCs w:val="22"/>
        </w:rPr>
        <w:t>, 7(5), pp. 2290–2308.</w:t>
      </w:r>
    </w:p>
    <w:p w14:paraId="1D0D4D48" w14:textId="77777777" w:rsidR="00B16816" w:rsidRPr="000D0324" w:rsidRDefault="00B16816" w:rsidP="00B16816">
      <w:pPr>
        <w:pStyle w:val="NormalWeb"/>
        <w:tabs>
          <w:tab w:val="left" w:pos="0"/>
        </w:tabs>
        <w:spacing w:line="360" w:lineRule="auto"/>
        <w:jc w:val="both"/>
        <w:rPr>
          <w:rFonts w:ascii="Arial" w:hAnsi="Arial" w:cs="Arial"/>
          <w:sz w:val="22"/>
          <w:szCs w:val="22"/>
        </w:rPr>
      </w:pPr>
      <w:r w:rsidRPr="000D0324">
        <w:rPr>
          <w:rFonts w:ascii="Arial" w:hAnsi="Arial" w:cs="Arial"/>
          <w:sz w:val="22"/>
          <w:szCs w:val="22"/>
        </w:rPr>
        <w:t xml:space="preserve">Gadzhanova, S., Reed, R. and Ward, P. (2019) ‘Culturally adapted interventions for diabetes prevention in South Asian populations: A systematic review’, </w:t>
      </w:r>
      <w:r w:rsidRPr="000D0324">
        <w:rPr>
          <w:rStyle w:val="Emphasis"/>
          <w:rFonts w:ascii="Arial" w:hAnsi="Arial" w:cs="Arial"/>
          <w:sz w:val="22"/>
          <w:szCs w:val="22"/>
        </w:rPr>
        <w:t>Journal of Epidemiology and Community Health</w:t>
      </w:r>
      <w:r w:rsidRPr="000D0324">
        <w:rPr>
          <w:rFonts w:ascii="Arial" w:hAnsi="Arial" w:cs="Arial"/>
          <w:sz w:val="22"/>
          <w:szCs w:val="22"/>
        </w:rPr>
        <w:t>, 73(6), pp. 547–554.</w:t>
      </w:r>
    </w:p>
    <w:p w14:paraId="225A8758" w14:textId="77777777" w:rsidR="00B16816" w:rsidRPr="000D0324" w:rsidRDefault="00B16816" w:rsidP="00B16816">
      <w:pPr>
        <w:pStyle w:val="NormalWeb"/>
        <w:tabs>
          <w:tab w:val="left" w:pos="0"/>
        </w:tabs>
        <w:spacing w:line="360" w:lineRule="auto"/>
        <w:jc w:val="both"/>
        <w:rPr>
          <w:rFonts w:ascii="Arial" w:hAnsi="Arial" w:cs="Arial"/>
          <w:sz w:val="22"/>
          <w:szCs w:val="22"/>
        </w:rPr>
      </w:pPr>
      <w:r w:rsidRPr="000D0324">
        <w:rPr>
          <w:rFonts w:ascii="Arial" w:hAnsi="Arial" w:cs="Arial"/>
          <w:sz w:val="22"/>
          <w:szCs w:val="22"/>
        </w:rPr>
        <w:t xml:space="preserve">Gao, L., Sun, H., Wang, T. and Zhang, Y. (2019) ‘Health literacy and self-management of type 2 diabetes: A cross-sectional study’, </w:t>
      </w:r>
      <w:r w:rsidRPr="000D0324">
        <w:rPr>
          <w:rStyle w:val="Emphasis"/>
          <w:rFonts w:ascii="Arial" w:hAnsi="Arial" w:cs="Arial"/>
          <w:sz w:val="22"/>
          <w:szCs w:val="22"/>
        </w:rPr>
        <w:t>BMC Public Health</w:t>
      </w:r>
      <w:r w:rsidRPr="000D0324">
        <w:rPr>
          <w:rFonts w:ascii="Arial" w:hAnsi="Arial" w:cs="Arial"/>
          <w:sz w:val="22"/>
          <w:szCs w:val="22"/>
        </w:rPr>
        <w:t>, 19(1), 1447.</w:t>
      </w:r>
    </w:p>
    <w:p w14:paraId="0606F9B0" w14:textId="77777777" w:rsidR="00B16816" w:rsidRPr="000D0324" w:rsidRDefault="00B16816" w:rsidP="00B16816">
      <w:pPr>
        <w:pStyle w:val="NormalWeb"/>
        <w:tabs>
          <w:tab w:val="left" w:pos="0"/>
        </w:tabs>
        <w:spacing w:line="360" w:lineRule="auto"/>
        <w:jc w:val="both"/>
        <w:rPr>
          <w:rFonts w:ascii="Arial" w:hAnsi="Arial" w:cs="Arial"/>
          <w:sz w:val="22"/>
          <w:szCs w:val="22"/>
        </w:rPr>
      </w:pPr>
      <w:r w:rsidRPr="000D0324">
        <w:rPr>
          <w:rFonts w:ascii="Arial" w:hAnsi="Arial" w:cs="Arial"/>
          <w:sz w:val="22"/>
          <w:szCs w:val="22"/>
        </w:rPr>
        <w:t xml:space="preserve">Grace, C., Begum, R., Subhani, S., Kopelman, P. and Greenhalgh, T. (2008) ‘Prevention of type 2 diabetes in British Bangladeshis: qualitative study of community, religious, and professional perspectives’, </w:t>
      </w:r>
      <w:r w:rsidRPr="000D0324">
        <w:rPr>
          <w:rStyle w:val="Emphasis"/>
          <w:rFonts w:ascii="Arial" w:hAnsi="Arial" w:cs="Arial"/>
          <w:sz w:val="22"/>
          <w:szCs w:val="22"/>
        </w:rPr>
        <w:t>BMJ</w:t>
      </w:r>
      <w:r w:rsidRPr="000D0324">
        <w:rPr>
          <w:rFonts w:ascii="Arial" w:hAnsi="Arial" w:cs="Arial"/>
          <w:sz w:val="22"/>
          <w:szCs w:val="22"/>
        </w:rPr>
        <w:t>, 337, a1934.</w:t>
      </w:r>
    </w:p>
    <w:p w14:paraId="54A589B0" w14:textId="77777777" w:rsidR="00B16816" w:rsidRPr="000D0324" w:rsidRDefault="00B16816" w:rsidP="00B16816">
      <w:pPr>
        <w:pStyle w:val="NormalWeb"/>
        <w:tabs>
          <w:tab w:val="left" w:pos="0"/>
        </w:tabs>
        <w:spacing w:line="360" w:lineRule="auto"/>
        <w:jc w:val="both"/>
        <w:rPr>
          <w:rFonts w:ascii="Arial" w:hAnsi="Arial" w:cs="Arial"/>
          <w:sz w:val="22"/>
          <w:szCs w:val="22"/>
        </w:rPr>
      </w:pPr>
      <w:r w:rsidRPr="000D0324">
        <w:rPr>
          <w:rFonts w:ascii="Arial" w:hAnsi="Arial" w:cs="Arial"/>
          <w:sz w:val="22"/>
          <w:szCs w:val="22"/>
        </w:rPr>
        <w:t xml:space="preserve">Hackett, R.A., Steptoe, A. and Jackson, S.E. (2019) ‘Sexual orientation differences in diabetes-related risk factors: A population-based study’, </w:t>
      </w:r>
      <w:r w:rsidRPr="000D0324">
        <w:rPr>
          <w:rStyle w:val="Emphasis"/>
          <w:rFonts w:ascii="Arial" w:hAnsi="Arial" w:cs="Arial"/>
          <w:sz w:val="22"/>
          <w:szCs w:val="22"/>
        </w:rPr>
        <w:t>Diabetologia</w:t>
      </w:r>
      <w:r w:rsidRPr="000D0324">
        <w:rPr>
          <w:rFonts w:ascii="Arial" w:hAnsi="Arial" w:cs="Arial"/>
          <w:sz w:val="22"/>
          <w:szCs w:val="22"/>
        </w:rPr>
        <w:t>, 62(8), pp. 1331–1340.</w:t>
      </w:r>
    </w:p>
    <w:p w14:paraId="6D9FF9FB" w14:textId="77777777" w:rsidR="00B16816" w:rsidRPr="00D1133D" w:rsidRDefault="00B16816" w:rsidP="00B16816">
      <w:pPr>
        <w:pStyle w:val="NormalWeb"/>
        <w:spacing w:line="360" w:lineRule="auto"/>
        <w:jc w:val="both"/>
        <w:rPr>
          <w:rFonts w:ascii="Arial" w:hAnsi="Arial" w:cs="Arial"/>
          <w:sz w:val="22"/>
          <w:szCs w:val="22"/>
        </w:rPr>
      </w:pPr>
      <w:r w:rsidRPr="00D1133D">
        <w:rPr>
          <w:rFonts w:ascii="Arial" w:hAnsi="Arial" w:cs="Arial"/>
          <w:sz w:val="22"/>
          <w:szCs w:val="22"/>
        </w:rPr>
        <w:t xml:space="preserve">Health Foundation (2023) Inequalities in good health by disability status. Available at: https://www.health.org.uk/evidence-hub/health-inequalities/inequalities-in-good-health-by-disability-status (Accessed: </w:t>
      </w:r>
      <w:r>
        <w:rPr>
          <w:rFonts w:ascii="Arial" w:hAnsi="Arial" w:cs="Arial"/>
          <w:sz w:val="22"/>
          <w:szCs w:val="22"/>
        </w:rPr>
        <w:t>1</w:t>
      </w:r>
      <w:r w:rsidRPr="00D1133D">
        <w:rPr>
          <w:rFonts w:ascii="Arial" w:hAnsi="Arial" w:cs="Arial"/>
          <w:sz w:val="22"/>
          <w:szCs w:val="22"/>
        </w:rPr>
        <w:t xml:space="preserve"> December 2025).</w:t>
      </w:r>
    </w:p>
    <w:p w14:paraId="2D45F23E" w14:textId="77777777" w:rsidR="00B16816" w:rsidRPr="000D0324" w:rsidRDefault="00B16816" w:rsidP="00B16816">
      <w:pPr>
        <w:pStyle w:val="NormalWeb"/>
        <w:tabs>
          <w:tab w:val="left" w:pos="0"/>
        </w:tabs>
        <w:spacing w:line="360" w:lineRule="auto"/>
        <w:jc w:val="both"/>
        <w:rPr>
          <w:rFonts w:ascii="Arial" w:hAnsi="Arial" w:cs="Arial"/>
          <w:sz w:val="22"/>
          <w:szCs w:val="22"/>
        </w:rPr>
      </w:pPr>
      <w:r w:rsidRPr="000D0324">
        <w:rPr>
          <w:rFonts w:ascii="Arial" w:hAnsi="Arial" w:cs="Arial"/>
          <w:sz w:val="22"/>
          <w:szCs w:val="22"/>
        </w:rPr>
        <w:t xml:space="preserve">Hex, N., Bartlett, C., Wright, D., Taylor, M. and Varley, D. (2012) ‘Estimating the current and future costs of Type 1 and Type 2 diabetes in the UK, including direct health costs and indirect societal and productivity costs’, </w:t>
      </w:r>
      <w:r w:rsidRPr="000D0324">
        <w:rPr>
          <w:rStyle w:val="Emphasis"/>
          <w:rFonts w:ascii="Arial" w:hAnsi="Arial" w:cs="Arial"/>
          <w:sz w:val="22"/>
          <w:szCs w:val="22"/>
        </w:rPr>
        <w:t>Diabetic Medicine</w:t>
      </w:r>
      <w:r w:rsidRPr="000D0324">
        <w:rPr>
          <w:rFonts w:ascii="Arial" w:hAnsi="Arial" w:cs="Arial"/>
          <w:sz w:val="22"/>
          <w:szCs w:val="22"/>
        </w:rPr>
        <w:t>, 29(7), pp. 855–862.</w:t>
      </w:r>
    </w:p>
    <w:p w14:paraId="6F6B0944" w14:textId="77777777" w:rsidR="00B16816" w:rsidRPr="000D0324" w:rsidRDefault="00B16816" w:rsidP="00B16816">
      <w:pPr>
        <w:pStyle w:val="NormalWeb"/>
        <w:tabs>
          <w:tab w:val="left" w:pos="0"/>
        </w:tabs>
        <w:spacing w:line="360" w:lineRule="auto"/>
        <w:jc w:val="both"/>
        <w:rPr>
          <w:rFonts w:ascii="Arial" w:hAnsi="Arial" w:cs="Arial"/>
          <w:sz w:val="22"/>
          <w:szCs w:val="22"/>
        </w:rPr>
      </w:pPr>
      <w:r w:rsidRPr="000D0324">
        <w:rPr>
          <w:rFonts w:ascii="Arial" w:hAnsi="Arial" w:cs="Arial"/>
          <w:sz w:val="22"/>
          <w:szCs w:val="22"/>
        </w:rPr>
        <w:t xml:space="preserve">Holman, N., Young, B. and Gadsby, R. (2020) ‘Current prevalence of Type 1 and Type 2 diabetes in England’, </w:t>
      </w:r>
      <w:r w:rsidRPr="000D0324">
        <w:rPr>
          <w:rStyle w:val="Emphasis"/>
          <w:rFonts w:ascii="Arial" w:hAnsi="Arial" w:cs="Arial"/>
          <w:sz w:val="22"/>
          <w:szCs w:val="22"/>
        </w:rPr>
        <w:t>Diabetic Medicine</w:t>
      </w:r>
      <w:r w:rsidRPr="000D0324">
        <w:rPr>
          <w:rFonts w:ascii="Arial" w:hAnsi="Arial" w:cs="Arial"/>
          <w:sz w:val="22"/>
          <w:szCs w:val="22"/>
        </w:rPr>
        <w:t>, 37(9), pp. 1531–1538.</w:t>
      </w:r>
    </w:p>
    <w:p w14:paraId="784F6040" w14:textId="77777777" w:rsidR="00B16816" w:rsidRPr="000D0324" w:rsidRDefault="00B16816" w:rsidP="00B16816">
      <w:pPr>
        <w:pStyle w:val="NormalWeb"/>
        <w:tabs>
          <w:tab w:val="left" w:pos="0"/>
        </w:tabs>
        <w:spacing w:line="360" w:lineRule="auto"/>
        <w:jc w:val="both"/>
        <w:rPr>
          <w:rFonts w:ascii="Arial" w:hAnsi="Arial" w:cs="Arial"/>
          <w:sz w:val="22"/>
          <w:szCs w:val="22"/>
        </w:rPr>
      </w:pPr>
      <w:r w:rsidRPr="000D0324">
        <w:rPr>
          <w:rFonts w:ascii="Arial" w:hAnsi="Arial" w:cs="Arial"/>
          <w:sz w:val="22"/>
          <w:szCs w:val="22"/>
        </w:rPr>
        <w:t xml:space="preserve">Hou, C., Xu, Q., Diao, S., Hewitt, J., Li, J. and Carter, B. (2018) ‘Mobile phone applications and self-management of diabetes: A systematic review with meta-analysis, meta-regression of 21 randomised trials’, </w:t>
      </w:r>
      <w:r w:rsidRPr="000D0324">
        <w:rPr>
          <w:rStyle w:val="Emphasis"/>
          <w:rFonts w:ascii="Arial" w:hAnsi="Arial" w:cs="Arial"/>
          <w:sz w:val="22"/>
          <w:szCs w:val="22"/>
        </w:rPr>
        <w:t>International Journal of Medical Informatics</w:t>
      </w:r>
      <w:r w:rsidRPr="000D0324">
        <w:rPr>
          <w:rFonts w:ascii="Arial" w:hAnsi="Arial" w:cs="Arial"/>
          <w:sz w:val="22"/>
          <w:szCs w:val="22"/>
        </w:rPr>
        <w:t>, 115, pp. 63–71.</w:t>
      </w:r>
    </w:p>
    <w:p w14:paraId="182C5C7B" w14:textId="77777777" w:rsidR="00B16816" w:rsidRPr="000D0324" w:rsidRDefault="00B16816" w:rsidP="00B16816">
      <w:pPr>
        <w:pStyle w:val="NormalWeb"/>
        <w:tabs>
          <w:tab w:val="left" w:pos="0"/>
        </w:tabs>
        <w:spacing w:line="360" w:lineRule="auto"/>
        <w:jc w:val="both"/>
        <w:rPr>
          <w:rFonts w:ascii="Arial" w:hAnsi="Arial" w:cs="Arial"/>
          <w:sz w:val="22"/>
          <w:szCs w:val="22"/>
        </w:rPr>
      </w:pPr>
      <w:r w:rsidRPr="000D0324">
        <w:rPr>
          <w:rFonts w:ascii="Arial" w:hAnsi="Arial" w:cs="Arial"/>
          <w:sz w:val="22"/>
          <w:szCs w:val="22"/>
        </w:rPr>
        <w:t xml:space="preserve">Hu, F.B. (2011) ‘Globalization of diabetes: The role of diet, lifestyle, and genes’, </w:t>
      </w:r>
      <w:r w:rsidRPr="000D0324">
        <w:rPr>
          <w:rStyle w:val="Emphasis"/>
          <w:rFonts w:ascii="Arial" w:hAnsi="Arial" w:cs="Arial"/>
          <w:sz w:val="22"/>
          <w:szCs w:val="22"/>
        </w:rPr>
        <w:t>Diabetes Care</w:t>
      </w:r>
      <w:r w:rsidRPr="000D0324">
        <w:rPr>
          <w:rFonts w:ascii="Arial" w:hAnsi="Arial" w:cs="Arial"/>
          <w:sz w:val="22"/>
          <w:szCs w:val="22"/>
        </w:rPr>
        <w:t>, 34(6), pp. 1249–1257.</w:t>
      </w:r>
    </w:p>
    <w:p w14:paraId="78E49D71" w14:textId="77777777" w:rsidR="00B16816" w:rsidRPr="000D0324" w:rsidRDefault="00B16816" w:rsidP="00B16816">
      <w:pPr>
        <w:pStyle w:val="NormalWeb"/>
        <w:tabs>
          <w:tab w:val="left" w:pos="0"/>
        </w:tabs>
        <w:spacing w:line="360" w:lineRule="auto"/>
        <w:jc w:val="both"/>
        <w:rPr>
          <w:rFonts w:ascii="Arial" w:hAnsi="Arial" w:cs="Arial"/>
          <w:sz w:val="22"/>
          <w:szCs w:val="22"/>
        </w:rPr>
      </w:pPr>
      <w:r w:rsidRPr="000D0324">
        <w:rPr>
          <w:rFonts w:ascii="Arial" w:hAnsi="Arial" w:cs="Arial"/>
          <w:sz w:val="22"/>
          <w:szCs w:val="22"/>
        </w:rPr>
        <w:t xml:space="preserve">Islam, N.S., Wyatt, L.C., Patel, S.D., Shapiro, E., Tandon, S.D., Mukherji, B.R., Rey, M.J. and Trinh-Shevrin, C. (2014) ‘Evaluation of a community health worker pilot intervention to improve diabetes management in Bangladeshi adults in New York City’, </w:t>
      </w:r>
      <w:r w:rsidRPr="000D0324">
        <w:rPr>
          <w:rStyle w:val="Emphasis"/>
          <w:rFonts w:ascii="Arial" w:hAnsi="Arial" w:cs="Arial"/>
          <w:sz w:val="22"/>
          <w:szCs w:val="22"/>
        </w:rPr>
        <w:t>Diabetes Educator</w:t>
      </w:r>
      <w:r w:rsidRPr="000D0324">
        <w:rPr>
          <w:rFonts w:ascii="Arial" w:hAnsi="Arial" w:cs="Arial"/>
          <w:sz w:val="22"/>
          <w:szCs w:val="22"/>
        </w:rPr>
        <w:t>, 40(6), pp. 697–705.</w:t>
      </w:r>
    </w:p>
    <w:p w14:paraId="7578F22E" w14:textId="77777777" w:rsidR="00B16816" w:rsidRPr="000D0324" w:rsidRDefault="00B16816" w:rsidP="00B16816">
      <w:pPr>
        <w:pStyle w:val="NormalWeb"/>
        <w:tabs>
          <w:tab w:val="left" w:pos="0"/>
        </w:tabs>
        <w:spacing w:line="360" w:lineRule="auto"/>
        <w:jc w:val="both"/>
        <w:rPr>
          <w:rFonts w:ascii="Arial" w:hAnsi="Arial" w:cs="Arial"/>
          <w:sz w:val="22"/>
          <w:szCs w:val="22"/>
        </w:rPr>
      </w:pPr>
      <w:r w:rsidRPr="000D0324">
        <w:rPr>
          <w:rFonts w:ascii="Arial" w:hAnsi="Arial" w:cs="Arial"/>
          <w:sz w:val="22"/>
          <w:szCs w:val="22"/>
        </w:rPr>
        <w:t xml:space="preserve">Knowler, W.C., Barrett-Connor, E., Fowler, S.E., Hamman, R.F., Lachin, J.M., Walker, E.A. and Nathan, D.M. (2002) ‘Reduction in the incidence of type 2 diabetes with lifestyle intervention or metformin’, </w:t>
      </w:r>
      <w:r w:rsidRPr="000D0324">
        <w:rPr>
          <w:rStyle w:val="Emphasis"/>
          <w:rFonts w:ascii="Arial" w:hAnsi="Arial" w:cs="Arial"/>
          <w:sz w:val="22"/>
          <w:szCs w:val="22"/>
        </w:rPr>
        <w:t>New England Journal of Medicine</w:t>
      </w:r>
      <w:r w:rsidRPr="000D0324">
        <w:rPr>
          <w:rFonts w:ascii="Arial" w:hAnsi="Arial" w:cs="Arial"/>
          <w:sz w:val="22"/>
          <w:szCs w:val="22"/>
        </w:rPr>
        <w:t>, 346(6), pp. 393–403.</w:t>
      </w:r>
    </w:p>
    <w:p w14:paraId="3BEFD1E9" w14:textId="77777777" w:rsidR="00B16816" w:rsidRPr="00D1133D" w:rsidRDefault="00B16816" w:rsidP="00B16816">
      <w:pPr>
        <w:pStyle w:val="NormalWeb"/>
        <w:spacing w:line="360" w:lineRule="auto"/>
        <w:jc w:val="both"/>
        <w:rPr>
          <w:rFonts w:ascii="Arial" w:hAnsi="Arial" w:cs="Arial"/>
          <w:sz w:val="22"/>
          <w:szCs w:val="22"/>
        </w:rPr>
      </w:pPr>
      <w:r w:rsidRPr="00D1133D">
        <w:rPr>
          <w:rFonts w:ascii="Arial" w:hAnsi="Arial" w:cs="Arial"/>
          <w:sz w:val="22"/>
          <w:szCs w:val="22"/>
        </w:rPr>
        <w:t>Mencap (2023) Health inequalities for people with a learning disability. Available at: https://www.mencap.org.uk/health-inequalities (Accessed: 5 December 2025).</w:t>
      </w:r>
    </w:p>
    <w:p w14:paraId="7A54B394" w14:textId="77777777" w:rsidR="00B16816" w:rsidRPr="00D1133D" w:rsidRDefault="00B16816" w:rsidP="00B16816">
      <w:pPr>
        <w:pStyle w:val="NormalWeb"/>
        <w:spacing w:line="360" w:lineRule="auto"/>
        <w:jc w:val="both"/>
        <w:rPr>
          <w:rFonts w:ascii="Arial" w:hAnsi="Arial" w:cs="Arial"/>
          <w:sz w:val="22"/>
          <w:szCs w:val="22"/>
        </w:rPr>
      </w:pPr>
      <w:r w:rsidRPr="00D1133D">
        <w:rPr>
          <w:rFonts w:ascii="Arial" w:hAnsi="Arial" w:cs="Arial"/>
          <w:sz w:val="22"/>
          <w:szCs w:val="22"/>
        </w:rPr>
        <w:t xml:space="preserve">NHS Digital (2022) Statistics on screening and preventive services: Disability breakdowns. Available at: https://digital.nhs.uk (Accessed: </w:t>
      </w:r>
      <w:r>
        <w:rPr>
          <w:rFonts w:ascii="Arial" w:hAnsi="Arial" w:cs="Arial"/>
          <w:sz w:val="22"/>
          <w:szCs w:val="22"/>
        </w:rPr>
        <w:t>3</w:t>
      </w:r>
      <w:r w:rsidRPr="00D1133D">
        <w:rPr>
          <w:rFonts w:ascii="Arial" w:hAnsi="Arial" w:cs="Arial"/>
          <w:sz w:val="22"/>
          <w:szCs w:val="22"/>
        </w:rPr>
        <w:t xml:space="preserve"> December 2025).</w:t>
      </w:r>
    </w:p>
    <w:p w14:paraId="1E7A301A" w14:textId="77777777" w:rsidR="00B16816" w:rsidRPr="00D1133D" w:rsidRDefault="00B16816" w:rsidP="00B16816">
      <w:pPr>
        <w:pStyle w:val="NormalWeb"/>
        <w:spacing w:line="360" w:lineRule="auto"/>
        <w:jc w:val="both"/>
        <w:rPr>
          <w:rFonts w:ascii="Arial" w:hAnsi="Arial" w:cs="Arial"/>
          <w:sz w:val="22"/>
          <w:szCs w:val="22"/>
        </w:rPr>
      </w:pPr>
      <w:r w:rsidRPr="00D1133D">
        <w:rPr>
          <w:rFonts w:ascii="Arial" w:hAnsi="Arial" w:cs="Arial"/>
          <w:sz w:val="22"/>
          <w:szCs w:val="22"/>
        </w:rPr>
        <w:t>NHS England (2016) Accessible Information Standard. Available at: https://www.england.nhs.uk/ourwork/accessibleinfo/ (Accessed: 5 December 2025).</w:t>
      </w:r>
    </w:p>
    <w:p w14:paraId="50940852" w14:textId="77777777" w:rsidR="00B16816" w:rsidRPr="00D1133D" w:rsidRDefault="00B16816" w:rsidP="00B16816">
      <w:pPr>
        <w:pStyle w:val="NormalWeb"/>
        <w:spacing w:line="360" w:lineRule="auto"/>
        <w:jc w:val="both"/>
        <w:rPr>
          <w:rFonts w:ascii="Arial" w:hAnsi="Arial" w:cs="Arial"/>
          <w:sz w:val="22"/>
          <w:szCs w:val="22"/>
        </w:rPr>
      </w:pPr>
      <w:r w:rsidRPr="00D1133D">
        <w:rPr>
          <w:rFonts w:ascii="Arial" w:hAnsi="Arial" w:cs="Arial"/>
          <w:sz w:val="22"/>
          <w:szCs w:val="22"/>
        </w:rPr>
        <w:t xml:space="preserve">NHS England (2023) Health inequalities and equality legal duties. Available at: https://www.england.nhs.uk/long-read/health-inequalities-equality-legal-duties/ (Accessed: </w:t>
      </w:r>
      <w:r>
        <w:rPr>
          <w:rFonts w:ascii="Arial" w:hAnsi="Arial" w:cs="Arial"/>
          <w:sz w:val="22"/>
          <w:szCs w:val="22"/>
        </w:rPr>
        <w:t>2</w:t>
      </w:r>
      <w:r w:rsidRPr="00D1133D">
        <w:rPr>
          <w:rFonts w:ascii="Arial" w:hAnsi="Arial" w:cs="Arial"/>
          <w:sz w:val="22"/>
          <w:szCs w:val="22"/>
        </w:rPr>
        <w:t xml:space="preserve"> December 2025).</w:t>
      </w:r>
    </w:p>
    <w:p w14:paraId="5A101871" w14:textId="77777777" w:rsidR="00B16816" w:rsidRPr="00D1133D" w:rsidRDefault="00B16816" w:rsidP="00B16816">
      <w:pPr>
        <w:pStyle w:val="NormalWeb"/>
        <w:spacing w:line="360" w:lineRule="auto"/>
        <w:jc w:val="both"/>
        <w:rPr>
          <w:rFonts w:ascii="Arial" w:hAnsi="Arial" w:cs="Arial"/>
          <w:sz w:val="22"/>
          <w:szCs w:val="22"/>
        </w:rPr>
      </w:pPr>
      <w:r w:rsidRPr="00D1133D">
        <w:rPr>
          <w:rFonts w:ascii="Arial" w:hAnsi="Arial" w:cs="Arial"/>
          <w:sz w:val="22"/>
          <w:szCs w:val="22"/>
        </w:rPr>
        <w:t>Office for National Statistics (ONS) (2023) Disability, well-being and health inequalities in the UK. Available at: https://www.ons.gov.uk (Accessed: 5 December 2025).</w:t>
      </w:r>
    </w:p>
    <w:p w14:paraId="36867B0C" w14:textId="77777777" w:rsidR="00B16816" w:rsidRPr="00D1133D" w:rsidRDefault="00B16816" w:rsidP="00B16816">
      <w:pPr>
        <w:pStyle w:val="NormalWeb"/>
        <w:spacing w:line="360" w:lineRule="auto"/>
        <w:jc w:val="both"/>
        <w:rPr>
          <w:rFonts w:ascii="Arial" w:hAnsi="Arial" w:cs="Arial"/>
          <w:sz w:val="22"/>
          <w:szCs w:val="22"/>
        </w:rPr>
      </w:pPr>
      <w:r w:rsidRPr="00D1133D">
        <w:rPr>
          <w:rFonts w:ascii="Arial" w:hAnsi="Arial" w:cs="Arial"/>
          <w:sz w:val="22"/>
          <w:szCs w:val="22"/>
        </w:rPr>
        <w:t xml:space="preserve">Public Health England (PHE) (2018) Learning Disabilities Mortality Review (LeDeR): Annual report. Available at: https://www.gov.uk/government/collections/learning-disabilities-mortality-review-lder-programme (Accessed: </w:t>
      </w:r>
      <w:r>
        <w:rPr>
          <w:rFonts w:ascii="Arial" w:hAnsi="Arial" w:cs="Arial"/>
          <w:sz w:val="22"/>
          <w:szCs w:val="22"/>
        </w:rPr>
        <w:t>2</w:t>
      </w:r>
      <w:r w:rsidRPr="00D1133D">
        <w:rPr>
          <w:rFonts w:ascii="Arial" w:hAnsi="Arial" w:cs="Arial"/>
          <w:sz w:val="22"/>
          <w:szCs w:val="22"/>
        </w:rPr>
        <w:t xml:space="preserve"> December 2025).</w:t>
      </w:r>
    </w:p>
    <w:p w14:paraId="602B4696" w14:textId="77777777" w:rsidR="00B16816" w:rsidRPr="000D0324" w:rsidRDefault="00B16816" w:rsidP="00B16816">
      <w:pPr>
        <w:pStyle w:val="NormalWeb"/>
        <w:tabs>
          <w:tab w:val="left" w:pos="0"/>
        </w:tabs>
        <w:spacing w:line="360" w:lineRule="auto"/>
        <w:jc w:val="both"/>
        <w:rPr>
          <w:rFonts w:ascii="Arial" w:hAnsi="Arial" w:cs="Arial"/>
          <w:sz w:val="22"/>
          <w:szCs w:val="22"/>
        </w:rPr>
      </w:pPr>
      <w:r w:rsidRPr="000D0324">
        <w:rPr>
          <w:rFonts w:ascii="Arial" w:hAnsi="Arial" w:cs="Arial"/>
          <w:sz w:val="22"/>
          <w:szCs w:val="22"/>
        </w:rPr>
        <w:t xml:space="preserve">Sallis, J.F., Bull, F., Burdett, R., Frank, L.D., Griffiths, P., Giles-Corti, B. and Stevenson, M. (2016) ‘Use of science to guide city planning policy and practice: how to achieve healthy and sustainable future cities’, </w:t>
      </w:r>
      <w:r w:rsidRPr="000D0324">
        <w:rPr>
          <w:rStyle w:val="Emphasis"/>
          <w:rFonts w:ascii="Arial" w:hAnsi="Arial" w:cs="Arial"/>
          <w:sz w:val="22"/>
          <w:szCs w:val="22"/>
        </w:rPr>
        <w:t>The Lancet</w:t>
      </w:r>
      <w:r w:rsidRPr="000D0324">
        <w:rPr>
          <w:rFonts w:ascii="Arial" w:hAnsi="Arial" w:cs="Arial"/>
          <w:sz w:val="22"/>
          <w:szCs w:val="22"/>
        </w:rPr>
        <w:t>, 388(10062), pp. 2936–2947.</w:t>
      </w:r>
    </w:p>
    <w:p w14:paraId="773FD06A" w14:textId="77777777" w:rsidR="00B16816" w:rsidRPr="00D1133D" w:rsidRDefault="00B16816" w:rsidP="00B16816">
      <w:pPr>
        <w:pStyle w:val="NormalWeb"/>
        <w:spacing w:line="360" w:lineRule="auto"/>
        <w:jc w:val="both"/>
        <w:rPr>
          <w:rFonts w:ascii="Arial" w:hAnsi="Arial" w:cs="Arial"/>
          <w:sz w:val="22"/>
          <w:szCs w:val="22"/>
        </w:rPr>
      </w:pPr>
      <w:r w:rsidRPr="00D1133D">
        <w:rPr>
          <w:rFonts w:ascii="Arial" w:hAnsi="Arial" w:cs="Arial"/>
          <w:sz w:val="22"/>
          <w:szCs w:val="22"/>
        </w:rPr>
        <w:t xml:space="preserve">Scope (2019) The Disability Price Tag 2019. London: Scope. Available at: https://www.scope.org.uk/campaigns/extra-costs (Accessed: </w:t>
      </w:r>
      <w:r>
        <w:rPr>
          <w:rFonts w:ascii="Arial" w:hAnsi="Arial" w:cs="Arial"/>
          <w:sz w:val="22"/>
          <w:szCs w:val="22"/>
        </w:rPr>
        <w:t>1</w:t>
      </w:r>
      <w:r w:rsidRPr="00D1133D">
        <w:rPr>
          <w:rFonts w:ascii="Arial" w:hAnsi="Arial" w:cs="Arial"/>
          <w:sz w:val="22"/>
          <w:szCs w:val="22"/>
        </w:rPr>
        <w:t xml:space="preserve"> December 2025).</w:t>
      </w:r>
    </w:p>
    <w:p w14:paraId="662B703C" w14:textId="77777777" w:rsidR="00B16816" w:rsidRPr="00D1133D" w:rsidRDefault="00B16816" w:rsidP="00B16816">
      <w:pPr>
        <w:pStyle w:val="NormalWeb"/>
        <w:spacing w:line="360" w:lineRule="auto"/>
        <w:jc w:val="both"/>
        <w:rPr>
          <w:rFonts w:ascii="Arial" w:hAnsi="Arial" w:cs="Arial"/>
          <w:sz w:val="22"/>
          <w:szCs w:val="22"/>
        </w:rPr>
      </w:pPr>
      <w:r w:rsidRPr="00D1133D">
        <w:rPr>
          <w:rFonts w:ascii="Arial" w:hAnsi="Arial" w:cs="Arial"/>
          <w:sz w:val="22"/>
          <w:szCs w:val="22"/>
        </w:rPr>
        <w:t>Scope (2023) Disability Price Tag: Updated analysis. London: Scope. Available at: https://www.scope.org.uk/campaigns/extra-costs (Accessed: 5 December 2025).</w:t>
      </w:r>
    </w:p>
    <w:p w14:paraId="2B7DA635" w14:textId="77777777" w:rsidR="00B16816" w:rsidRPr="000D0324" w:rsidRDefault="00B16816" w:rsidP="00B16816">
      <w:pPr>
        <w:pStyle w:val="NormalWeb"/>
        <w:tabs>
          <w:tab w:val="left" w:pos="0"/>
        </w:tabs>
        <w:spacing w:line="360" w:lineRule="auto"/>
        <w:jc w:val="both"/>
        <w:rPr>
          <w:rFonts w:ascii="Arial" w:hAnsi="Arial" w:cs="Arial"/>
          <w:sz w:val="22"/>
          <w:szCs w:val="22"/>
        </w:rPr>
      </w:pPr>
      <w:r w:rsidRPr="000D0324">
        <w:rPr>
          <w:rFonts w:ascii="Arial" w:hAnsi="Arial" w:cs="Arial"/>
          <w:sz w:val="22"/>
          <w:szCs w:val="22"/>
        </w:rPr>
        <w:t xml:space="preserve">Tillin, T., Hughes, A.D., Mayet, J., Whincup, P., Sattar, N., Forouhi, N.G., McKeigue, P.M. and Chaturvedi, N. (2012) ‘The relationship between metabolic risk factors and incident cardiovascular disease in Europeans, South Asians, and African Caribbeans: SABRE cohort’, </w:t>
      </w:r>
      <w:r w:rsidRPr="000D0324">
        <w:rPr>
          <w:rStyle w:val="Emphasis"/>
          <w:rFonts w:ascii="Arial" w:hAnsi="Arial" w:cs="Arial"/>
          <w:sz w:val="22"/>
          <w:szCs w:val="22"/>
        </w:rPr>
        <w:t>Journal of the American College of Cardiology</w:t>
      </w:r>
      <w:r w:rsidRPr="000D0324">
        <w:rPr>
          <w:rFonts w:ascii="Arial" w:hAnsi="Arial" w:cs="Arial"/>
          <w:sz w:val="22"/>
          <w:szCs w:val="22"/>
        </w:rPr>
        <w:t>, 59(5), pp. 460–468.</w:t>
      </w:r>
    </w:p>
    <w:p w14:paraId="0E5E1520" w14:textId="77777777" w:rsidR="00B16816" w:rsidRPr="000D0324" w:rsidRDefault="00B16816" w:rsidP="00B16816">
      <w:pPr>
        <w:pStyle w:val="NormalWeb"/>
        <w:tabs>
          <w:tab w:val="left" w:pos="0"/>
        </w:tabs>
        <w:spacing w:line="360" w:lineRule="auto"/>
        <w:jc w:val="both"/>
        <w:rPr>
          <w:rFonts w:ascii="Arial" w:hAnsi="Arial" w:cs="Arial"/>
          <w:sz w:val="22"/>
          <w:szCs w:val="22"/>
        </w:rPr>
      </w:pPr>
      <w:r w:rsidRPr="000D0324">
        <w:rPr>
          <w:rFonts w:ascii="Arial" w:hAnsi="Arial" w:cs="Arial"/>
          <w:sz w:val="22"/>
          <w:szCs w:val="22"/>
        </w:rPr>
        <w:t xml:space="preserve">Tuomilehto, J., Lindström, J., Eriksson, J.G., Valle, T.T., Hämäläinen, H., Ilanne-Parikka, P., Keinänen-Kiukaanniemi, S., Laakso, M., Louheranta, A., Rastas, M., Salminen, V. and Uusitupa, M. (2001) ‘Prevention of type 2 diabetes mellitus by changes in lifestyle among subjects with impaired glucose tolerance’, </w:t>
      </w:r>
      <w:r w:rsidRPr="000D0324">
        <w:rPr>
          <w:rStyle w:val="Emphasis"/>
          <w:rFonts w:ascii="Arial" w:hAnsi="Arial" w:cs="Arial"/>
          <w:sz w:val="22"/>
          <w:szCs w:val="22"/>
        </w:rPr>
        <w:t>New England Journal of Medicine</w:t>
      </w:r>
      <w:r w:rsidRPr="000D0324">
        <w:rPr>
          <w:rFonts w:ascii="Arial" w:hAnsi="Arial" w:cs="Arial"/>
          <w:sz w:val="22"/>
          <w:szCs w:val="22"/>
        </w:rPr>
        <w:t>, 344(18), pp. 1343–1350.</w:t>
      </w:r>
    </w:p>
    <w:p w14:paraId="4A5D263F" w14:textId="77777777" w:rsidR="00B16816" w:rsidRPr="00D1133D" w:rsidRDefault="00B16816" w:rsidP="00B16816">
      <w:pPr>
        <w:pStyle w:val="NormalWeb"/>
        <w:spacing w:line="360" w:lineRule="auto"/>
        <w:jc w:val="both"/>
        <w:rPr>
          <w:rFonts w:ascii="Arial" w:hAnsi="Arial" w:cs="Arial"/>
          <w:sz w:val="22"/>
          <w:szCs w:val="22"/>
        </w:rPr>
      </w:pPr>
      <w:r w:rsidRPr="00D1133D">
        <w:rPr>
          <w:rFonts w:ascii="Arial" w:hAnsi="Arial" w:cs="Arial"/>
          <w:sz w:val="22"/>
          <w:szCs w:val="22"/>
        </w:rPr>
        <w:t>UK Health Security Agency (UKHSA) (2023) Health inequalities in health protection: Report. Available at: https://www.gov.uk/government/publications/health-inequalities-in-health-protection-report (Accessed: 5 December 2025).</w:t>
      </w:r>
    </w:p>
    <w:p w14:paraId="72910C82" w14:textId="77777777" w:rsidR="00B16816" w:rsidRPr="000D0324" w:rsidRDefault="00B16816" w:rsidP="00B16816">
      <w:pPr>
        <w:pStyle w:val="NormalWeb"/>
        <w:tabs>
          <w:tab w:val="left" w:pos="0"/>
        </w:tabs>
        <w:spacing w:line="360" w:lineRule="auto"/>
        <w:jc w:val="both"/>
        <w:rPr>
          <w:rFonts w:ascii="Arial" w:hAnsi="Arial" w:cs="Arial"/>
          <w:sz w:val="22"/>
          <w:szCs w:val="22"/>
        </w:rPr>
      </w:pPr>
      <w:r w:rsidRPr="000D0324">
        <w:rPr>
          <w:rFonts w:ascii="Arial" w:hAnsi="Arial" w:cs="Arial"/>
          <w:sz w:val="22"/>
          <w:szCs w:val="22"/>
        </w:rPr>
        <w:t xml:space="preserve">Valabhji, J., Barron, E., Bradley, D., Bakhai, C., Fagg, J., O’Neill, S., Misra, S. and Khunti, K. (2020) ‘Early outcomes from the English National Health Service Diabetes Prevention Programme’, </w:t>
      </w:r>
      <w:r w:rsidRPr="000D0324">
        <w:rPr>
          <w:rStyle w:val="Emphasis"/>
          <w:rFonts w:ascii="Arial" w:hAnsi="Arial" w:cs="Arial"/>
          <w:sz w:val="22"/>
          <w:szCs w:val="22"/>
        </w:rPr>
        <w:t>Diabetologia</w:t>
      </w:r>
      <w:r w:rsidRPr="000D0324">
        <w:rPr>
          <w:rFonts w:ascii="Arial" w:hAnsi="Arial" w:cs="Arial"/>
          <w:sz w:val="22"/>
          <w:szCs w:val="22"/>
        </w:rPr>
        <w:t>, 63(1), pp. 87–95.</w:t>
      </w:r>
    </w:p>
    <w:p w14:paraId="4199DE53" w14:textId="77777777" w:rsidR="00B16816" w:rsidRPr="00D1133D" w:rsidRDefault="00B16816" w:rsidP="00B16816">
      <w:pPr>
        <w:pStyle w:val="NormalWeb"/>
        <w:spacing w:line="360" w:lineRule="auto"/>
        <w:jc w:val="both"/>
        <w:rPr>
          <w:rFonts w:ascii="Arial" w:hAnsi="Arial" w:cs="Arial"/>
          <w:sz w:val="22"/>
          <w:szCs w:val="22"/>
        </w:rPr>
      </w:pPr>
      <w:r w:rsidRPr="00D1133D">
        <w:rPr>
          <w:rFonts w:ascii="Arial" w:hAnsi="Arial" w:cs="Arial"/>
          <w:sz w:val="22"/>
          <w:szCs w:val="22"/>
        </w:rPr>
        <w:t xml:space="preserve">World Health Organization (WHO) (2011) World Report on Disability. Geneva: WHO. Available at: https://www.who.int/publications/i/item/world-report-on-disability (Accessed: </w:t>
      </w:r>
      <w:r>
        <w:rPr>
          <w:rFonts w:ascii="Arial" w:hAnsi="Arial" w:cs="Arial"/>
          <w:sz w:val="22"/>
          <w:szCs w:val="22"/>
        </w:rPr>
        <w:t>4</w:t>
      </w:r>
      <w:r w:rsidRPr="00D1133D">
        <w:rPr>
          <w:rFonts w:ascii="Arial" w:hAnsi="Arial" w:cs="Arial"/>
          <w:sz w:val="22"/>
          <w:szCs w:val="22"/>
        </w:rPr>
        <w:t xml:space="preserve"> December 2025).</w:t>
      </w:r>
    </w:p>
    <w:p w14:paraId="46F2DCCF" w14:textId="77777777" w:rsidR="00B16816" w:rsidRPr="000D0324" w:rsidRDefault="00B16816" w:rsidP="00B16816">
      <w:pPr>
        <w:pStyle w:val="NormalWeb"/>
        <w:tabs>
          <w:tab w:val="left" w:pos="0"/>
        </w:tabs>
        <w:spacing w:line="360" w:lineRule="auto"/>
        <w:jc w:val="both"/>
        <w:rPr>
          <w:rFonts w:ascii="Arial" w:hAnsi="Arial" w:cs="Arial"/>
          <w:sz w:val="22"/>
          <w:szCs w:val="22"/>
        </w:rPr>
      </w:pPr>
      <w:r w:rsidRPr="000D0324">
        <w:rPr>
          <w:rFonts w:ascii="Arial" w:hAnsi="Arial" w:cs="Arial"/>
          <w:sz w:val="22"/>
          <w:szCs w:val="22"/>
        </w:rPr>
        <w:t xml:space="preserve">Zhou, B., Lu, Y., Hajifathalian, K., Bentham, J., Di Cesare, M., Danaei, G., Bixby, H., Cowan, M.J., Paciorek, C.J., Singh, G., Stevens, G.A., Riley, L.M., Taddei, C., Bilano, V., Salomon, J.A., Lopez, A.D., Ezzati, M. and NCD Risk Factor Collaboration (2019) ‘Worldwide trends in diabetes since 1980: A pooled analysis of 751 population-based studies with 4.4 million participants’, </w:t>
      </w:r>
      <w:r w:rsidRPr="000D0324">
        <w:rPr>
          <w:rStyle w:val="Emphasis"/>
          <w:rFonts w:ascii="Arial" w:hAnsi="Arial" w:cs="Arial"/>
          <w:sz w:val="22"/>
          <w:szCs w:val="22"/>
        </w:rPr>
        <w:t>The Lancet</w:t>
      </w:r>
      <w:r w:rsidRPr="000D0324">
        <w:rPr>
          <w:rFonts w:ascii="Arial" w:hAnsi="Arial" w:cs="Arial"/>
          <w:sz w:val="22"/>
          <w:szCs w:val="22"/>
        </w:rPr>
        <w:t>, 387(10027), pp. 1513–1530.</w:t>
      </w:r>
    </w:p>
    <w:p w14:paraId="3B04A2CA" w14:textId="77777777" w:rsidR="00D724B8" w:rsidRPr="003743BF" w:rsidRDefault="00D724B8" w:rsidP="00D724B8">
      <w:pPr>
        <w:rPr>
          <w:lang w:val="en-US"/>
        </w:rPr>
      </w:pPr>
    </w:p>
    <w:p w14:paraId="24AC4331" w14:textId="77777777" w:rsidR="00D724B8" w:rsidRPr="00007B7A" w:rsidRDefault="00D724B8" w:rsidP="00687C52">
      <w:pPr>
        <w:rPr>
          <w:rFonts w:ascii="Arial" w:hAnsi="Arial" w:cs="Arial"/>
        </w:rPr>
      </w:pPr>
    </w:p>
    <w:p w14:paraId="30AAAA74" w14:textId="77777777" w:rsidR="00852CA4" w:rsidRPr="00D1133D" w:rsidRDefault="00852CA4" w:rsidP="00D1133D">
      <w:pPr>
        <w:spacing w:line="360" w:lineRule="auto"/>
        <w:jc w:val="both"/>
        <w:rPr>
          <w:rFonts w:ascii="Arial" w:hAnsi="Arial" w:cs="Arial"/>
        </w:rPr>
      </w:pPr>
    </w:p>
    <w:p w14:paraId="1E59F73D" w14:textId="77777777" w:rsidR="00B343B8" w:rsidRPr="00266DE9" w:rsidRDefault="00B343B8" w:rsidP="00883BE3">
      <w:pPr>
        <w:jc w:val="center"/>
        <w:rPr>
          <w:rFonts w:ascii="Arial" w:hAnsi="Arial" w:cs="Arial"/>
          <w:sz w:val="24"/>
          <w:szCs w:val="24"/>
        </w:rPr>
      </w:pPr>
    </w:p>
    <w:p w14:paraId="7C6EA37E" w14:textId="77777777" w:rsidR="00B343B8" w:rsidRPr="00266DE9" w:rsidRDefault="00B343B8" w:rsidP="00883BE3">
      <w:pPr>
        <w:jc w:val="center"/>
        <w:rPr>
          <w:rFonts w:ascii="Arial" w:hAnsi="Arial" w:cs="Arial"/>
          <w:sz w:val="24"/>
          <w:szCs w:val="24"/>
        </w:rPr>
      </w:pPr>
    </w:p>
    <w:sectPr w:rsidR="00B343B8" w:rsidRPr="00266DE9" w:rsidSect="00F21B13">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137688" w14:textId="77777777" w:rsidR="00130718" w:rsidRDefault="00130718" w:rsidP="000B1012">
      <w:pPr>
        <w:spacing w:after="0" w:line="240" w:lineRule="auto"/>
      </w:pPr>
      <w:r>
        <w:separator/>
      </w:r>
    </w:p>
  </w:endnote>
  <w:endnote w:type="continuationSeparator" w:id="0">
    <w:p w14:paraId="640006B0" w14:textId="77777777" w:rsidR="00130718" w:rsidRDefault="00130718" w:rsidP="000B10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Shruti">
    <w:panose1 w:val="020B0502040204020203"/>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32636719"/>
      <w:docPartObj>
        <w:docPartGallery w:val="Page Numbers (Bottom of Page)"/>
        <w:docPartUnique/>
      </w:docPartObj>
    </w:sdtPr>
    <w:sdtEndPr>
      <w:rPr>
        <w:noProof/>
      </w:rPr>
    </w:sdtEndPr>
    <w:sdtContent>
      <w:p w14:paraId="6F0702F6" w14:textId="77777777" w:rsidR="000B1012" w:rsidRDefault="000B1012">
        <w:pPr>
          <w:pStyle w:val="Footer"/>
          <w:jc w:val="center"/>
        </w:pPr>
        <w:r>
          <w:fldChar w:fldCharType="begin"/>
        </w:r>
        <w:r>
          <w:instrText xml:space="preserve"> PAGE   \* MERGEFORMAT </w:instrText>
        </w:r>
        <w:r>
          <w:fldChar w:fldCharType="separate"/>
        </w:r>
        <w:r w:rsidR="007A3887">
          <w:rPr>
            <w:noProof/>
          </w:rPr>
          <w:t>6</w:t>
        </w:r>
        <w:r>
          <w:rPr>
            <w:noProof/>
          </w:rPr>
          <w:fldChar w:fldCharType="end"/>
        </w:r>
      </w:p>
    </w:sdtContent>
  </w:sdt>
  <w:p w14:paraId="7B099A57" w14:textId="77777777" w:rsidR="000B1012" w:rsidRDefault="000B10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D2758D" w14:textId="77777777" w:rsidR="00130718" w:rsidRDefault="00130718" w:rsidP="000B1012">
      <w:pPr>
        <w:spacing w:after="0" w:line="240" w:lineRule="auto"/>
      </w:pPr>
      <w:r>
        <w:separator/>
      </w:r>
    </w:p>
  </w:footnote>
  <w:footnote w:type="continuationSeparator" w:id="0">
    <w:p w14:paraId="21FA4FF5" w14:textId="77777777" w:rsidR="00130718" w:rsidRDefault="00130718" w:rsidP="000B10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D4C7EB0"/>
    <w:multiLevelType w:val="hybridMultilevel"/>
    <w:tmpl w:val="784C7484"/>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 w15:restartNumberingAfterBreak="0">
    <w:nsid w:val="75A62CDE"/>
    <w:multiLevelType w:val="hybridMultilevel"/>
    <w:tmpl w:val="E43688D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000695021">
    <w:abstractNumId w:val="0"/>
  </w:num>
  <w:num w:numId="2" w16cid:durableId="16544060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66"/>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0715"/>
    <w:rsid w:val="00007B7A"/>
    <w:rsid w:val="00034BB9"/>
    <w:rsid w:val="00052008"/>
    <w:rsid w:val="00062F7E"/>
    <w:rsid w:val="0009015D"/>
    <w:rsid w:val="000A4856"/>
    <w:rsid w:val="000A7485"/>
    <w:rsid w:val="000B1012"/>
    <w:rsid w:val="000B1E29"/>
    <w:rsid w:val="0010737F"/>
    <w:rsid w:val="00130718"/>
    <w:rsid w:val="0014611E"/>
    <w:rsid w:val="00156F4E"/>
    <w:rsid w:val="00176EBB"/>
    <w:rsid w:val="001A675F"/>
    <w:rsid w:val="001B385A"/>
    <w:rsid w:val="00266DE9"/>
    <w:rsid w:val="002A3257"/>
    <w:rsid w:val="002A451A"/>
    <w:rsid w:val="002A6EAA"/>
    <w:rsid w:val="002B5046"/>
    <w:rsid w:val="002C5761"/>
    <w:rsid w:val="002D3DD7"/>
    <w:rsid w:val="002F6CD8"/>
    <w:rsid w:val="00307A87"/>
    <w:rsid w:val="00340A5A"/>
    <w:rsid w:val="00342B10"/>
    <w:rsid w:val="00344287"/>
    <w:rsid w:val="00351B81"/>
    <w:rsid w:val="00356829"/>
    <w:rsid w:val="00360E9A"/>
    <w:rsid w:val="003625A6"/>
    <w:rsid w:val="00391E57"/>
    <w:rsid w:val="003A1CE9"/>
    <w:rsid w:val="003A5702"/>
    <w:rsid w:val="003A7CF8"/>
    <w:rsid w:val="003B160B"/>
    <w:rsid w:val="003E0682"/>
    <w:rsid w:val="003E1D74"/>
    <w:rsid w:val="00430DE0"/>
    <w:rsid w:val="00452B4C"/>
    <w:rsid w:val="004B5B69"/>
    <w:rsid w:val="00505332"/>
    <w:rsid w:val="00517C18"/>
    <w:rsid w:val="00555107"/>
    <w:rsid w:val="005609CA"/>
    <w:rsid w:val="005704EB"/>
    <w:rsid w:val="00624618"/>
    <w:rsid w:val="006451A5"/>
    <w:rsid w:val="006828E8"/>
    <w:rsid w:val="00687C52"/>
    <w:rsid w:val="006A33B1"/>
    <w:rsid w:val="006D28A7"/>
    <w:rsid w:val="00710700"/>
    <w:rsid w:val="0072178A"/>
    <w:rsid w:val="007351C4"/>
    <w:rsid w:val="0078270E"/>
    <w:rsid w:val="00796754"/>
    <w:rsid w:val="007A3887"/>
    <w:rsid w:val="007B0D6B"/>
    <w:rsid w:val="007C2BFC"/>
    <w:rsid w:val="007C74F2"/>
    <w:rsid w:val="00816E1F"/>
    <w:rsid w:val="00852CA4"/>
    <w:rsid w:val="00873844"/>
    <w:rsid w:val="00880F00"/>
    <w:rsid w:val="00883BE3"/>
    <w:rsid w:val="00891030"/>
    <w:rsid w:val="008965DB"/>
    <w:rsid w:val="008A2149"/>
    <w:rsid w:val="008D616B"/>
    <w:rsid w:val="008D62D2"/>
    <w:rsid w:val="008D728F"/>
    <w:rsid w:val="0093511E"/>
    <w:rsid w:val="0096038B"/>
    <w:rsid w:val="009666ED"/>
    <w:rsid w:val="00987EDD"/>
    <w:rsid w:val="009C1FAA"/>
    <w:rsid w:val="009C6109"/>
    <w:rsid w:val="009C6E97"/>
    <w:rsid w:val="009E0715"/>
    <w:rsid w:val="00A15F7A"/>
    <w:rsid w:val="00A2757B"/>
    <w:rsid w:val="00A27B7C"/>
    <w:rsid w:val="00A52DA2"/>
    <w:rsid w:val="00A56984"/>
    <w:rsid w:val="00A6349E"/>
    <w:rsid w:val="00A70E0A"/>
    <w:rsid w:val="00A83FBE"/>
    <w:rsid w:val="00A843A9"/>
    <w:rsid w:val="00AB3F82"/>
    <w:rsid w:val="00AE1B1E"/>
    <w:rsid w:val="00AE1FD6"/>
    <w:rsid w:val="00AE3F28"/>
    <w:rsid w:val="00B16816"/>
    <w:rsid w:val="00B3372E"/>
    <w:rsid w:val="00B343B8"/>
    <w:rsid w:val="00B71CE3"/>
    <w:rsid w:val="00BA1A41"/>
    <w:rsid w:val="00BA5DB3"/>
    <w:rsid w:val="00BC284F"/>
    <w:rsid w:val="00BF667D"/>
    <w:rsid w:val="00C22A7B"/>
    <w:rsid w:val="00C603F2"/>
    <w:rsid w:val="00C84BFE"/>
    <w:rsid w:val="00CA56E8"/>
    <w:rsid w:val="00CA711B"/>
    <w:rsid w:val="00CB746F"/>
    <w:rsid w:val="00CD3289"/>
    <w:rsid w:val="00D1133D"/>
    <w:rsid w:val="00D36EC6"/>
    <w:rsid w:val="00D524B7"/>
    <w:rsid w:val="00D724B8"/>
    <w:rsid w:val="00DA4354"/>
    <w:rsid w:val="00DB5DBE"/>
    <w:rsid w:val="00DC6EB7"/>
    <w:rsid w:val="00DD797D"/>
    <w:rsid w:val="00E34F9E"/>
    <w:rsid w:val="00E42FB4"/>
    <w:rsid w:val="00E51F1B"/>
    <w:rsid w:val="00EA7C9E"/>
    <w:rsid w:val="00ED0AEB"/>
    <w:rsid w:val="00F17D47"/>
    <w:rsid w:val="00F21B13"/>
    <w:rsid w:val="00F3272C"/>
    <w:rsid w:val="00FA1BEE"/>
    <w:rsid w:val="00FD02D9"/>
  </w:rsids>
  <m:mathPr>
    <m:mathFont m:val="Cambria Math"/>
    <m:brkBin m:val="before"/>
    <m:brkBinSub m:val="--"/>
    <m:smallFrac m:val="0"/>
    <m:dispDef/>
    <m:lMargin m:val="0"/>
    <m:rMargin m:val="0"/>
    <m:defJc m:val="centerGroup"/>
    <m:wrapIndent m:val="1440"/>
    <m:intLim m:val="subSup"/>
    <m:naryLim m:val="undOvr"/>
  </m:mathPr>
  <w:themeFontLang w:val="en-CA" w:eastAsia="zh-C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EA5570"/>
  <w15:chartTrackingRefBased/>
  <w15:docId w15:val="{0E908DCC-1D23-45C6-98F9-892E5CA0ED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2DA2"/>
    <w:pPr>
      <w:keepNext/>
      <w:keepLines/>
      <w:spacing w:before="120" w:after="120"/>
      <w:outlineLvl w:val="0"/>
    </w:pPr>
    <w:rPr>
      <w:rFonts w:ascii="Arial" w:eastAsiaTheme="majorEastAsia" w:hAnsi="Arial" w:cstheme="majorBidi"/>
      <w:b/>
      <w:sz w:val="28"/>
      <w:szCs w:val="32"/>
    </w:rPr>
  </w:style>
  <w:style w:type="paragraph" w:styleId="Heading2">
    <w:name w:val="heading 2"/>
    <w:basedOn w:val="Heading1"/>
    <w:next w:val="Normal"/>
    <w:link w:val="Heading2Char"/>
    <w:uiPriority w:val="9"/>
    <w:unhideWhenUsed/>
    <w:qFormat/>
    <w:rsid w:val="00A52DA2"/>
    <w:pPr>
      <w:outlineLvl w:val="1"/>
    </w:pPr>
    <w:rPr>
      <w:sz w:val="24"/>
      <w:szCs w:val="2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B1012"/>
    <w:pPr>
      <w:tabs>
        <w:tab w:val="center" w:pos="4680"/>
        <w:tab w:val="right" w:pos="9360"/>
      </w:tabs>
      <w:spacing w:after="0" w:line="240" w:lineRule="auto"/>
    </w:pPr>
  </w:style>
  <w:style w:type="character" w:customStyle="1" w:styleId="HeaderChar">
    <w:name w:val="Header Char"/>
    <w:basedOn w:val="DefaultParagraphFont"/>
    <w:link w:val="Header"/>
    <w:uiPriority w:val="99"/>
    <w:rsid w:val="000B1012"/>
  </w:style>
  <w:style w:type="paragraph" w:styleId="Footer">
    <w:name w:val="footer"/>
    <w:basedOn w:val="Normal"/>
    <w:link w:val="FooterChar"/>
    <w:uiPriority w:val="99"/>
    <w:unhideWhenUsed/>
    <w:rsid w:val="000B1012"/>
    <w:pPr>
      <w:tabs>
        <w:tab w:val="center" w:pos="4680"/>
        <w:tab w:val="right" w:pos="9360"/>
      </w:tabs>
      <w:spacing w:after="0" w:line="240" w:lineRule="auto"/>
    </w:pPr>
  </w:style>
  <w:style w:type="character" w:customStyle="1" w:styleId="FooterChar">
    <w:name w:val="Footer Char"/>
    <w:basedOn w:val="DefaultParagraphFont"/>
    <w:link w:val="Footer"/>
    <w:uiPriority w:val="99"/>
    <w:rsid w:val="000B1012"/>
  </w:style>
  <w:style w:type="character" w:customStyle="1" w:styleId="Heading1Char">
    <w:name w:val="Heading 1 Char"/>
    <w:basedOn w:val="DefaultParagraphFont"/>
    <w:link w:val="Heading1"/>
    <w:uiPriority w:val="9"/>
    <w:rsid w:val="00A52DA2"/>
    <w:rPr>
      <w:rFonts w:ascii="Arial" w:eastAsiaTheme="majorEastAsia" w:hAnsi="Arial" w:cstheme="majorBidi"/>
      <w:b/>
      <w:sz w:val="28"/>
      <w:szCs w:val="32"/>
    </w:rPr>
  </w:style>
  <w:style w:type="paragraph" w:styleId="TOCHeading">
    <w:name w:val="TOC Heading"/>
    <w:basedOn w:val="Heading1"/>
    <w:next w:val="Normal"/>
    <w:uiPriority w:val="39"/>
    <w:unhideWhenUsed/>
    <w:qFormat/>
    <w:rsid w:val="00FD02D9"/>
    <w:pPr>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FD02D9"/>
    <w:pPr>
      <w:spacing w:after="100"/>
    </w:pPr>
  </w:style>
  <w:style w:type="character" w:styleId="Hyperlink">
    <w:name w:val="Hyperlink"/>
    <w:basedOn w:val="DefaultParagraphFont"/>
    <w:uiPriority w:val="99"/>
    <w:unhideWhenUsed/>
    <w:rsid w:val="00FD02D9"/>
    <w:rPr>
      <w:color w:val="0563C1" w:themeColor="hyperlink"/>
      <w:u w:val="single"/>
    </w:rPr>
  </w:style>
  <w:style w:type="paragraph" w:styleId="ListParagraph">
    <w:name w:val="List Paragraph"/>
    <w:basedOn w:val="Normal"/>
    <w:uiPriority w:val="34"/>
    <w:qFormat/>
    <w:rsid w:val="00452B4C"/>
    <w:pPr>
      <w:ind w:left="720"/>
      <w:contextualSpacing/>
    </w:pPr>
  </w:style>
  <w:style w:type="paragraph" w:styleId="NormalWeb">
    <w:name w:val="Normal (Web)"/>
    <w:basedOn w:val="Normal"/>
    <w:uiPriority w:val="99"/>
    <w:semiHidden/>
    <w:unhideWhenUsed/>
    <w:rsid w:val="00342B10"/>
    <w:pPr>
      <w:spacing w:before="100" w:beforeAutospacing="1" w:after="100" w:afterAutospacing="1" w:line="240" w:lineRule="auto"/>
    </w:pPr>
    <w:rPr>
      <w:rFonts w:ascii="Times New Roman" w:eastAsia="Times New Roman" w:hAnsi="Times New Roman" w:cs="Times New Roman"/>
      <w:sz w:val="24"/>
      <w:szCs w:val="24"/>
      <w:lang w:eastAsia="en-CA"/>
    </w:rPr>
  </w:style>
  <w:style w:type="character" w:styleId="Emphasis">
    <w:name w:val="Emphasis"/>
    <w:basedOn w:val="DefaultParagraphFont"/>
    <w:uiPriority w:val="20"/>
    <w:qFormat/>
    <w:rsid w:val="00D724B8"/>
    <w:rPr>
      <w:i/>
      <w:iCs/>
    </w:rPr>
  </w:style>
  <w:style w:type="character" w:customStyle="1" w:styleId="Heading2Char">
    <w:name w:val="Heading 2 Char"/>
    <w:basedOn w:val="DefaultParagraphFont"/>
    <w:link w:val="Heading2"/>
    <w:uiPriority w:val="9"/>
    <w:rsid w:val="00A52DA2"/>
    <w:rPr>
      <w:rFonts w:ascii="Arial" w:eastAsiaTheme="majorEastAsia" w:hAnsi="Arial" w:cstheme="majorBidi"/>
      <w:b/>
      <w:sz w:val="24"/>
      <w:szCs w:val="28"/>
      <w:lang w:val="en-US"/>
    </w:rPr>
  </w:style>
  <w:style w:type="paragraph" w:styleId="TOC2">
    <w:name w:val="toc 2"/>
    <w:basedOn w:val="Normal"/>
    <w:next w:val="Normal"/>
    <w:autoRedefine/>
    <w:uiPriority w:val="39"/>
    <w:unhideWhenUsed/>
    <w:rsid w:val="00430DE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767311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345A9D-36D2-4BC4-8C53-A98D14C01B7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4034</Words>
  <Characters>22998</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Prashant Hirjibhai Gajera</cp:lastModifiedBy>
  <cp:revision>2</cp:revision>
  <dcterms:created xsi:type="dcterms:W3CDTF">2025-12-17T19:58:00Z</dcterms:created>
  <dcterms:modified xsi:type="dcterms:W3CDTF">2025-12-17T19:58:00Z</dcterms:modified>
</cp:coreProperties>
</file>