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0EEA" w:rsidRPr="00327204" w:rsidRDefault="00A40EEA" w:rsidP="00A40EEA">
      <w:pPr>
        <w:pStyle w:val="NoSpacing"/>
        <w:spacing w:before="1540" w:after="240"/>
        <w:jc w:val="center"/>
        <w:rPr>
          <w:rFonts w:ascii="Times New Roman" w:hAnsi="Times New Roman" w:cs="Times New Roman"/>
        </w:rPr>
      </w:pPr>
      <w:r w:rsidRPr="00327204">
        <w:rPr>
          <w:rFonts w:ascii="Times New Roman" w:hAnsi="Times New Roman" w:cs="Times New Roman"/>
          <w:noProof/>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b/>
          <w:bCs/>
          <w:caps/>
          <w:sz w:val="72"/>
          <w:szCs w:val="72"/>
        </w:rPr>
        <w:alias w:val="Title"/>
        <w:tag w:val=""/>
        <w:id w:val="1735040861"/>
        <w:placeholder>
          <w:docPart w:val="65613FD837AF4921B8AFC13746646DB9"/>
        </w:placeholder>
        <w:dataBinding w:prefixMappings="xmlns:ns0='http://purl.org/dc/elements/1.1/' xmlns:ns1='http://schemas.openxmlformats.org/package/2006/metadata/core-properties' " w:xpath="/ns1:coreProperties[1]/ns0:title[1]" w:storeItemID="{6C3C8BC8-F283-45AE-878A-BAB7291924A1}"/>
        <w:text/>
      </w:sdtPr>
      <w:sdtContent>
        <w:p w:rsidR="00A40EEA" w:rsidRPr="00327204" w:rsidRDefault="00A40EEA" w:rsidP="00A40EEA">
          <w:pPr>
            <w:pStyle w:val="NoSpacing"/>
            <w:pBdr>
              <w:top w:val="single" w:sz="6" w:space="6" w:color="4472C4" w:themeColor="accent1"/>
              <w:bottom w:val="single" w:sz="6" w:space="6" w:color="4472C4" w:themeColor="accent1"/>
            </w:pBdr>
            <w:spacing w:after="240"/>
            <w:jc w:val="center"/>
            <w:rPr>
              <w:rFonts w:ascii="Times New Roman" w:eastAsiaTheme="majorEastAsia" w:hAnsi="Times New Roman" w:cs="Times New Roman"/>
              <w:caps/>
              <w:sz w:val="80"/>
              <w:szCs w:val="80"/>
            </w:rPr>
          </w:pPr>
          <w:r w:rsidRPr="00A40EEA">
            <w:rPr>
              <w:rFonts w:ascii="Times New Roman" w:eastAsiaTheme="majorEastAsia" w:hAnsi="Times New Roman" w:cs="Times New Roman"/>
              <w:b/>
              <w:bCs/>
              <w:caps/>
              <w:sz w:val="72"/>
              <w:szCs w:val="72"/>
            </w:rPr>
            <w:t>Financial Performance Analysis of Diageo PLC &amp; Capital Investment Appraisal for Westward PLC</w:t>
          </w:r>
        </w:p>
      </w:sdtContent>
    </w:sdt>
    <w:sdt>
      <w:sdtPr>
        <w:rPr>
          <w:rFonts w:ascii="Times New Roman" w:hAnsi="Times New Roman" w:cs="Times New Roman"/>
          <w:sz w:val="24"/>
          <w:szCs w:val="24"/>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rsidR="00A40EEA" w:rsidRPr="00327204" w:rsidRDefault="00C47ACB" w:rsidP="00A40EEA">
          <w:pPr>
            <w:pStyle w:val="NoSpacing"/>
            <w:jc w:val="center"/>
            <w:rPr>
              <w:rFonts w:ascii="Times New Roman" w:hAnsi="Times New Roman" w:cs="Times New Roman"/>
              <w:sz w:val="28"/>
              <w:szCs w:val="28"/>
            </w:rPr>
          </w:pPr>
          <w:r w:rsidRPr="00C47ACB">
            <w:rPr>
              <w:rFonts w:ascii="Times New Roman" w:hAnsi="Times New Roman" w:cs="Times New Roman"/>
              <w:sz w:val="24"/>
              <w:szCs w:val="24"/>
            </w:rPr>
            <w:t>Finance for Business Managers (</w:t>
          </w:r>
          <w:r w:rsidRPr="00C47ACB">
            <w:rPr>
              <w:rFonts w:ascii="Times New Roman" w:hAnsi="Times New Roman" w:cs="Times New Roman"/>
              <w:sz w:val="24"/>
              <w:szCs w:val="24"/>
            </w:rPr>
            <w:t>BMMB7005D</w:t>
          </w:r>
          <w:r w:rsidRPr="00C47ACB">
            <w:rPr>
              <w:rFonts w:ascii="Times New Roman" w:hAnsi="Times New Roman" w:cs="Times New Roman"/>
              <w:sz w:val="24"/>
              <w:szCs w:val="24"/>
            </w:rPr>
            <w:t>)</w:t>
          </w:r>
        </w:p>
      </w:sdtContent>
    </w:sdt>
    <w:p w:rsidR="00A40EEA" w:rsidRPr="00327204" w:rsidRDefault="00A40EEA" w:rsidP="00A40EEA">
      <w:pPr>
        <w:pStyle w:val="NoSpacing"/>
        <w:spacing w:before="480"/>
        <w:jc w:val="center"/>
        <w:rPr>
          <w:rFonts w:ascii="Times New Roman" w:hAnsi="Times New Roman" w:cs="Times New Roman"/>
        </w:rPr>
      </w:pPr>
      <w:r w:rsidRPr="00327204">
        <w:rPr>
          <w:rFonts w:ascii="Times New Roman" w:hAnsi="Times New Roman" w:cs="Times New Roman"/>
          <w:noProof/>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758952" cy="478932"/>
                    </a:xfrm>
                    <a:prstGeom prst="rect">
                      <a:avLst/>
                    </a:prstGeom>
                  </pic:spPr>
                </pic:pic>
              </a:graphicData>
            </a:graphic>
          </wp:inline>
        </w:drawing>
      </w:r>
    </w:p>
    <w:p w:rsidR="00C47ACB" w:rsidRDefault="00C47ACB" w:rsidP="00A40EEA">
      <w:pPr>
        <w:rPr>
          <w:rFonts w:eastAsiaTheme="minorEastAsia"/>
          <w:b/>
          <w:bCs/>
          <w:sz w:val="36"/>
          <w:szCs w:val="36"/>
        </w:rPr>
      </w:pPr>
      <w:bookmarkStart w:id="0" w:name="_Toc227451802"/>
      <w:bookmarkStart w:id="1" w:name="_Toc227453461"/>
    </w:p>
    <w:p w:rsidR="00C47ACB" w:rsidRDefault="00C47ACB" w:rsidP="00A40EEA">
      <w:pPr>
        <w:rPr>
          <w:rFonts w:eastAsiaTheme="minorEastAsia"/>
          <w:b/>
          <w:bCs/>
          <w:sz w:val="36"/>
          <w:szCs w:val="36"/>
        </w:rPr>
      </w:pPr>
    </w:p>
    <w:p w:rsidR="00C47ACB" w:rsidRDefault="00C47ACB" w:rsidP="00A40EEA">
      <w:pPr>
        <w:rPr>
          <w:rFonts w:eastAsiaTheme="minorEastAsia"/>
          <w:b/>
          <w:bCs/>
          <w:sz w:val="36"/>
          <w:szCs w:val="36"/>
        </w:rPr>
      </w:pPr>
    </w:p>
    <w:p w:rsidR="00A40EEA" w:rsidRPr="00A40EEA" w:rsidRDefault="00A40EEA" w:rsidP="00A40EEA">
      <w:pPr>
        <w:rPr>
          <w:rFonts w:eastAsiaTheme="minorEastAsia"/>
          <w:sz w:val="36"/>
          <w:szCs w:val="36"/>
        </w:rPr>
      </w:pPr>
      <w:r w:rsidRPr="00A40EEA">
        <w:rPr>
          <w:rFonts w:eastAsiaTheme="minorEastAsia"/>
          <w:b/>
          <w:bCs/>
          <w:sz w:val="36"/>
          <w:szCs w:val="36"/>
        </w:rPr>
        <w:t>Student Name:</w:t>
      </w:r>
      <w:r w:rsidR="00C47ACB">
        <w:rPr>
          <w:rFonts w:eastAsiaTheme="minorEastAsia"/>
          <w:b/>
          <w:bCs/>
          <w:sz w:val="36"/>
          <w:szCs w:val="36"/>
        </w:rPr>
        <w:t xml:space="preserve"> </w:t>
      </w:r>
      <w:r w:rsidRPr="00A40EEA">
        <w:rPr>
          <w:rFonts w:eastAsiaTheme="minorEastAsia"/>
          <w:sz w:val="36"/>
          <w:szCs w:val="36"/>
        </w:rPr>
        <w:t>MINHAJUR RAHMAN KHAN MISU</w:t>
      </w:r>
    </w:p>
    <w:p w:rsidR="00A40EEA" w:rsidRPr="00A40EEA" w:rsidRDefault="00A40EEA" w:rsidP="00A40EEA">
      <w:pPr>
        <w:rPr>
          <w:rFonts w:eastAsiaTheme="minorEastAsia"/>
          <w:sz w:val="36"/>
          <w:szCs w:val="36"/>
        </w:rPr>
      </w:pPr>
      <w:r w:rsidRPr="00A40EEA">
        <w:rPr>
          <w:rFonts w:eastAsiaTheme="minorEastAsia"/>
          <w:b/>
          <w:bCs/>
          <w:sz w:val="36"/>
          <w:szCs w:val="36"/>
        </w:rPr>
        <w:t>Student ID:</w:t>
      </w:r>
      <w:r w:rsidRPr="00A40EEA">
        <w:rPr>
          <w:rFonts w:eastAsiaTheme="minorEastAsia"/>
          <w:sz w:val="36"/>
          <w:szCs w:val="36"/>
        </w:rPr>
        <w:tab/>
        <w:t>2511789</w:t>
      </w:r>
    </w:p>
    <w:p w:rsidR="00A40EEA" w:rsidRPr="00A40EEA" w:rsidRDefault="00A40EEA" w:rsidP="00A40EEA">
      <w:pPr>
        <w:rPr>
          <w:rFonts w:eastAsiaTheme="minorEastAsia"/>
          <w:sz w:val="36"/>
          <w:szCs w:val="36"/>
        </w:rPr>
      </w:pPr>
      <w:r w:rsidRPr="00A40EEA">
        <w:rPr>
          <w:rFonts w:eastAsiaTheme="minorEastAsia"/>
          <w:b/>
          <w:bCs/>
          <w:sz w:val="36"/>
          <w:szCs w:val="36"/>
        </w:rPr>
        <w:t>Programme:</w:t>
      </w:r>
      <w:r w:rsidRPr="00A40EEA">
        <w:rPr>
          <w:rFonts w:eastAsiaTheme="minorEastAsia"/>
          <w:sz w:val="36"/>
          <w:szCs w:val="36"/>
        </w:rPr>
        <w:tab/>
        <w:t>MBA</w:t>
      </w:r>
    </w:p>
    <w:p w:rsidR="00A40EEA" w:rsidRPr="00A40EEA" w:rsidRDefault="00A40EEA" w:rsidP="00A40EEA">
      <w:pPr>
        <w:rPr>
          <w:rFonts w:eastAsiaTheme="minorEastAsia"/>
          <w:sz w:val="36"/>
          <w:szCs w:val="36"/>
        </w:rPr>
      </w:pPr>
      <w:r w:rsidRPr="00A40EEA">
        <w:rPr>
          <w:rFonts w:eastAsiaTheme="minorEastAsia"/>
          <w:b/>
          <w:bCs/>
          <w:sz w:val="36"/>
          <w:szCs w:val="36"/>
        </w:rPr>
        <w:t>Lecturer:</w:t>
      </w:r>
      <w:r w:rsidRPr="00A40EEA">
        <w:rPr>
          <w:rFonts w:eastAsiaTheme="minorEastAsia"/>
          <w:sz w:val="36"/>
          <w:szCs w:val="36"/>
        </w:rPr>
        <w:tab/>
        <w:t>Marie Pitson</w:t>
      </w:r>
    </w:p>
    <w:p w:rsidR="00A40EEA" w:rsidRPr="00A40EEA" w:rsidRDefault="00A40EEA" w:rsidP="00A40EEA">
      <w:pPr>
        <w:rPr>
          <w:rFonts w:eastAsiaTheme="minorEastAsia"/>
          <w:sz w:val="36"/>
          <w:szCs w:val="36"/>
        </w:rPr>
      </w:pPr>
      <w:r w:rsidRPr="00A40EEA">
        <w:rPr>
          <w:rFonts w:eastAsiaTheme="minorEastAsia"/>
          <w:b/>
          <w:bCs/>
          <w:sz w:val="36"/>
          <w:szCs w:val="36"/>
        </w:rPr>
        <w:t>Submission Date:</w:t>
      </w:r>
      <w:r w:rsidR="00C47ACB">
        <w:rPr>
          <w:rFonts w:eastAsiaTheme="minorEastAsia"/>
          <w:sz w:val="36"/>
          <w:szCs w:val="36"/>
        </w:rPr>
        <w:tab/>
        <w:t>19</w:t>
      </w:r>
      <w:r w:rsidRPr="00A40EEA">
        <w:rPr>
          <w:rFonts w:eastAsiaTheme="minorEastAsia"/>
          <w:sz w:val="36"/>
          <w:szCs w:val="36"/>
        </w:rPr>
        <w:t>th April 2026</w:t>
      </w:r>
    </w:p>
    <w:p w:rsidR="00A40EEA" w:rsidRDefault="00A40EEA" w:rsidP="00A40EEA">
      <w:pPr>
        <w:rPr>
          <w:rFonts w:eastAsiaTheme="minorEastAsia"/>
          <w:sz w:val="36"/>
          <w:szCs w:val="36"/>
        </w:rPr>
      </w:pPr>
      <w:r w:rsidRPr="00A40EEA">
        <w:rPr>
          <w:rFonts w:eastAsiaTheme="minorEastAsia"/>
          <w:b/>
          <w:bCs/>
          <w:sz w:val="36"/>
          <w:szCs w:val="36"/>
        </w:rPr>
        <w:t>Word Count:</w:t>
      </w:r>
      <w:r w:rsidRPr="00A40EEA">
        <w:rPr>
          <w:rFonts w:eastAsiaTheme="minorEastAsia"/>
          <w:b/>
          <w:bCs/>
          <w:sz w:val="36"/>
          <w:szCs w:val="36"/>
        </w:rPr>
        <w:tab/>
      </w:r>
      <w:r w:rsidRPr="00A40EEA">
        <w:rPr>
          <w:rFonts w:eastAsiaTheme="minorEastAsia"/>
          <w:sz w:val="36"/>
          <w:szCs w:val="36"/>
        </w:rPr>
        <w:t>~</w:t>
      </w:r>
      <w:r w:rsidR="00C47ACB">
        <w:rPr>
          <w:rFonts w:eastAsiaTheme="minorEastAsia"/>
          <w:sz w:val="36"/>
          <w:szCs w:val="36"/>
        </w:rPr>
        <w:t>6,891</w:t>
      </w:r>
      <w:r w:rsidRPr="00A40EEA">
        <w:rPr>
          <w:rFonts w:eastAsiaTheme="minorEastAsia"/>
          <w:sz w:val="36"/>
          <w:szCs w:val="36"/>
        </w:rPr>
        <w:t xml:space="preserve"> words</w:t>
      </w:r>
    </w:p>
    <w:p w:rsidR="00A40EEA" w:rsidRDefault="00A40EEA" w:rsidP="00A40EEA">
      <w:pPr>
        <w:jc w:val="both"/>
        <w:rPr>
          <w:rFonts w:eastAsiaTheme="minorEastAsia"/>
          <w:sz w:val="36"/>
          <w:szCs w:val="36"/>
        </w:rPr>
      </w:pPr>
    </w:p>
    <w:p w:rsidR="00AE7AFE" w:rsidRPr="00C47ACB" w:rsidRDefault="00E52464" w:rsidP="00A40EEA">
      <w:pPr>
        <w:pStyle w:val="Heading1"/>
        <w:spacing w:line="276" w:lineRule="auto"/>
        <w:jc w:val="both"/>
        <w:rPr>
          <w:color w:val="auto"/>
          <w:szCs w:val="24"/>
        </w:rPr>
      </w:pPr>
      <w:r w:rsidRPr="00C47ACB">
        <w:rPr>
          <w:color w:val="auto"/>
          <w:szCs w:val="24"/>
        </w:rPr>
        <w:lastRenderedPageBreak/>
        <w:t>Executive Summary</w:t>
      </w:r>
      <w:bookmarkEnd w:id="0"/>
      <w:bookmarkEnd w:id="1"/>
    </w:p>
    <w:p w:rsidR="005C591E" w:rsidRPr="00597234" w:rsidRDefault="005C591E" w:rsidP="00C47ACB">
      <w:pPr>
        <w:spacing w:line="276" w:lineRule="auto"/>
        <w:jc w:val="both"/>
        <w:rPr>
          <w:sz w:val="24"/>
          <w:szCs w:val="24"/>
        </w:rPr>
      </w:pPr>
      <w:r w:rsidRPr="00597234">
        <w:rPr>
          <w:sz w:val="24"/>
          <w:szCs w:val="24"/>
        </w:rPr>
        <w:t>In this report, there are two sections combined. Part 1 consists of a strategic financial performance analysis of Vodafone Group PLC covering the 2024 and 2025 financial years, and applying the ratio analysis in five key dimensions, i.e., profitability, liquidity, and gearing, efficiency, and returns to the investor. Part 2 provides a capital investment analysis of Westward Plc a UK based manufacturer of quality curtains on the basis of three strategic expansion options using Net Present Value and Internal rate of return analysis.</w:t>
      </w:r>
    </w:p>
    <w:p w:rsidR="005C591E" w:rsidRPr="00597234" w:rsidRDefault="005C591E" w:rsidP="00C47ACB">
      <w:pPr>
        <w:spacing w:line="276" w:lineRule="auto"/>
        <w:jc w:val="both"/>
        <w:rPr>
          <w:sz w:val="24"/>
          <w:szCs w:val="24"/>
        </w:rPr>
      </w:pPr>
      <w:r w:rsidRPr="00597234">
        <w:rPr>
          <w:sz w:val="24"/>
          <w:szCs w:val="24"/>
        </w:rPr>
        <w:t>The review period did not show very good Vodafone financial performance. Revenue was slightly increased to show an increase between the years of 36, 717m to 37, 448m with gross profit margin being the same in both years at about 33.4% which shows that direct costs were well controlled. Nevertheless, the operating profit margin decreased drastically by 9.98% to -1.10% and ROCE went into the negative zone at -0.38% due to a large amount of impairment charges in 2025. There was significant improvement in liquidity, a current ratio of 0.92 increased to 1.26 and quick ratio of 0.89 to 1.23. The debt-to-equity ratio was a little more than 93.42 and it has risen to 98.57 implying an ongoing reliance on the debt financing. The ROE was at -6.95, which means that the net loss position is 2025.</w:t>
      </w:r>
    </w:p>
    <w:p w:rsidR="00AE7AFE" w:rsidRPr="00597234" w:rsidRDefault="005C591E" w:rsidP="00C47ACB">
      <w:pPr>
        <w:spacing w:line="276" w:lineRule="auto"/>
        <w:jc w:val="both"/>
        <w:rPr>
          <w:sz w:val="24"/>
          <w:szCs w:val="24"/>
        </w:rPr>
      </w:pPr>
      <w:r w:rsidRPr="00597234">
        <w:rPr>
          <w:sz w:val="24"/>
          <w:szCs w:val="24"/>
        </w:rPr>
        <w:t>Under option B in Part 2, an internet sales channel with a start-up cost equals 1,000, 000 is recommended as the value maximising investment with a NPV of 792.23k once NPV analysis is done at a cost of capital of 6 percent with a corporation tax of 25 per cent and straight-line capital allowances of 20 per cent. The rough IRR of option B is 32.23. The best policy of divisible investment with a budget of capital rationing of 2,500,000 would give a total NPV of 1853.04k. The report ends with a critical evaluation of ways Westward Plc can be financed.</w:t>
      </w:r>
      <w:r w:rsidR="00E52464" w:rsidRPr="00597234">
        <w:rPr>
          <w:sz w:val="24"/>
          <w:szCs w:val="24"/>
        </w:rPr>
        <w:br w:type="page"/>
      </w:r>
    </w:p>
    <w:sdt>
      <w:sdtPr>
        <w:rPr>
          <w:rFonts w:ascii="Times New Roman" w:eastAsia="Times New Roman" w:hAnsi="Times New Roman" w:cs="Times New Roman"/>
          <w:color w:val="auto"/>
          <w:sz w:val="22"/>
          <w:szCs w:val="22"/>
        </w:rPr>
        <w:id w:val="-732855440"/>
        <w:docPartObj>
          <w:docPartGallery w:val="Table of Contents"/>
          <w:docPartUnique/>
        </w:docPartObj>
      </w:sdtPr>
      <w:sdtEndPr>
        <w:rPr>
          <w:b/>
          <w:bCs/>
          <w:noProof/>
        </w:rPr>
      </w:sdtEndPr>
      <w:sdtContent>
        <w:p w:rsidR="00151DA8" w:rsidRDefault="00151DA8">
          <w:pPr>
            <w:pStyle w:val="TOCHeading"/>
          </w:pPr>
          <w:r>
            <w:t>Table of Contents</w:t>
          </w:r>
        </w:p>
        <w:p w:rsidR="00151DA8" w:rsidRDefault="006B04DE">
          <w:pPr>
            <w:pStyle w:val="TOC1"/>
            <w:tabs>
              <w:tab w:val="right" w:leader="dot" w:pos="9156"/>
            </w:tabs>
            <w:rPr>
              <w:rFonts w:asciiTheme="minorHAnsi" w:eastAsiaTheme="minorEastAsia" w:hAnsiTheme="minorHAnsi" w:cstheme="minorBidi"/>
              <w:noProof/>
            </w:rPr>
          </w:pPr>
          <w:r w:rsidRPr="006B04DE">
            <w:fldChar w:fldCharType="begin"/>
          </w:r>
          <w:r w:rsidR="00151DA8">
            <w:instrText xml:space="preserve"> TOC \o "1-3" \h \z \u </w:instrText>
          </w:r>
          <w:r w:rsidRPr="006B04DE">
            <w:fldChar w:fldCharType="separate"/>
          </w:r>
          <w:hyperlink w:anchor="_Toc227453461" w:history="1">
            <w:r w:rsidR="00151DA8" w:rsidRPr="00701209">
              <w:rPr>
                <w:rStyle w:val="Hyperlink"/>
                <w:noProof/>
              </w:rPr>
              <w:t>Executive Summary</w:t>
            </w:r>
            <w:r w:rsidR="00151DA8">
              <w:rPr>
                <w:noProof/>
                <w:webHidden/>
              </w:rPr>
              <w:tab/>
            </w:r>
            <w:r>
              <w:rPr>
                <w:noProof/>
                <w:webHidden/>
              </w:rPr>
              <w:fldChar w:fldCharType="begin"/>
            </w:r>
            <w:r w:rsidR="00151DA8">
              <w:rPr>
                <w:noProof/>
                <w:webHidden/>
              </w:rPr>
              <w:instrText xml:space="preserve"> PAGEREF _Toc227453461 \h </w:instrText>
            </w:r>
            <w:r>
              <w:rPr>
                <w:noProof/>
                <w:webHidden/>
              </w:rPr>
            </w:r>
            <w:r>
              <w:rPr>
                <w:noProof/>
                <w:webHidden/>
              </w:rPr>
              <w:fldChar w:fldCharType="separate"/>
            </w:r>
            <w:r w:rsidR="00151DA8">
              <w:rPr>
                <w:noProof/>
                <w:webHidden/>
              </w:rPr>
              <w:t>2</w:t>
            </w:r>
            <w:r>
              <w:rPr>
                <w:noProof/>
                <w:webHidden/>
              </w:rPr>
              <w:fldChar w:fldCharType="end"/>
            </w:r>
          </w:hyperlink>
        </w:p>
        <w:p w:rsidR="00151DA8" w:rsidRDefault="006B04DE">
          <w:pPr>
            <w:pStyle w:val="TOC1"/>
            <w:tabs>
              <w:tab w:val="right" w:leader="dot" w:pos="9156"/>
            </w:tabs>
            <w:rPr>
              <w:rFonts w:asciiTheme="minorHAnsi" w:eastAsiaTheme="minorEastAsia" w:hAnsiTheme="minorHAnsi" w:cstheme="minorBidi"/>
              <w:noProof/>
            </w:rPr>
          </w:pPr>
          <w:hyperlink w:anchor="_Toc227453462" w:history="1">
            <w:r w:rsidR="00151DA8" w:rsidRPr="00701209">
              <w:rPr>
                <w:rStyle w:val="Hyperlink"/>
                <w:noProof/>
              </w:rPr>
              <w:t>Part 1: Financial Performance Analysis of Diageo plc</w:t>
            </w:r>
            <w:r w:rsidR="00151DA8">
              <w:rPr>
                <w:noProof/>
                <w:webHidden/>
              </w:rPr>
              <w:tab/>
            </w:r>
            <w:r>
              <w:rPr>
                <w:noProof/>
                <w:webHidden/>
              </w:rPr>
              <w:fldChar w:fldCharType="begin"/>
            </w:r>
            <w:r w:rsidR="00151DA8">
              <w:rPr>
                <w:noProof/>
                <w:webHidden/>
              </w:rPr>
              <w:instrText xml:space="preserve"> PAGEREF _Toc227453462 \h </w:instrText>
            </w:r>
            <w:r>
              <w:rPr>
                <w:noProof/>
                <w:webHidden/>
              </w:rPr>
            </w:r>
            <w:r>
              <w:rPr>
                <w:noProof/>
                <w:webHidden/>
              </w:rPr>
              <w:fldChar w:fldCharType="separate"/>
            </w:r>
            <w:r w:rsidR="00151DA8">
              <w:rPr>
                <w:noProof/>
                <w:webHidden/>
              </w:rPr>
              <w:t>4</w:t>
            </w:r>
            <w:r>
              <w:rPr>
                <w:noProof/>
                <w:webHidden/>
              </w:rPr>
              <w:fldChar w:fldCharType="end"/>
            </w:r>
          </w:hyperlink>
        </w:p>
        <w:p w:rsidR="00151DA8" w:rsidRDefault="006B04DE">
          <w:pPr>
            <w:pStyle w:val="TOC1"/>
            <w:tabs>
              <w:tab w:val="right" w:leader="dot" w:pos="9156"/>
            </w:tabs>
            <w:rPr>
              <w:rFonts w:asciiTheme="minorHAnsi" w:eastAsiaTheme="minorEastAsia" w:hAnsiTheme="minorHAnsi" w:cstheme="minorBidi"/>
              <w:noProof/>
            </w:rPr>
          </w:pPr>
          <w:hyperlink w:anchor="_Toc227453463" w:history="1">
            <w:r w:rsidR="00151DA8" w:rsidRPr="00701209">
              <w:rPr>
                <w:rStyle w:val="Hyperlink"/>
                <w:noProof/>
              </w:rPr>
              <w:t>Introduction</w:t>
            </w:r>
            <w:r w:rsidR="00151DA8">
              <w:rPr>
                <w:noProof/>
                <w:webHidden/>
              </w:rPr>
              <w:tab/>
            </w:r>
            <w:r>
              <w:rPr>
                <w:noProof/>
                <w:webHidden/>
              </w:rPr>
              <w:fldChar w:fldCharType="begin"/>
            </w:r>
            <w:r w:rsidR="00151DA8">
              <w:rPr>
                <w:noProof/>
                <w:webHidden/>
              </w:rPr>
              <w:instrText xml:space="preserve"> PAGEREF _Toc227453463 \h </w:instrText>
            </w:r>
            <w:r>
              <w:rPr>
                <w:noProof/>
                <w:webHidden/>
              </w:rPr>
            </w:r>
            <w:r>
              <w:rPr>
                <w:noProof/>
                <w:webHidden/>
              </w:rPr>
              <w:fldChar w:fldCharType="separate"/>
            </w:r>
            <w:r w:rsidR="00151DA8">
              <w:rPr>
                <w:noProof/>
                <w:webHidden/>
              </w:rPr>
              <w:t>4</w:t>
            </w:r>
            <w:r>
              <w:rPr>
                <w:noProof/>
                <w:webHidden/>
              </w:rPr>
              <w:fldChar w:fldCharType="end"/>
            </w:r>
          </w:hyperlink>
        </w:p>
        <w:p w:rsidR="00151DA8" w:rsidRDefault="006B04DE">
          <w:pPr>
            <w:pStyle w:val="TOC1"/>
            <w:tabs>
              <w:tab w:val="right" w:leader="dot" w:pos="9156"/>
            </w:tabs>
            <w:rPr>
              <w:rFonts w:asciiTheme="minorHAnsi" w:eastAsiaTheme="minorEastAsia" w:hAnsiTheme="minorHAnsi" w:cstheme="minorBidi"/>
              <w:noProof/>
            </w:rPr>
          </w:pPr>
          <w:hyperlink w:anchor="_Toc227453464" w:history="1">
            <w:r w:rsidR="00151DA8" w:rsidRPr="00701209">
              <w:rPr>
                <w:rStyle w:val="Hyperlink"/>
                <w:noProof/>
              </w:rPr>
              <w:t>1. Strategic Financial Performance Review</w:t>
            </w:r>
            <w:r w:rsidR="00151DA8">
              <w:rPr>
                <w:noProof/>
                <w:webHidden/>
              </w:rPr>
              <w:tab/>
            </w:r>
            <w:r>
              <w:rPr>
                <w:noProof/>
                <w:webHidden/>
              </w:rPr>
              <w:fldChar w:fldCharType="begin"/>
            </w:r>
            <w:r w:rsidR="00151DA8">
              <w:rPr>
                <w:noProof/>
                <w:webHidden/>
              </w:rPr>
              <w:instrText xml:space="preserve"> PAGEREF _Toc227453464 \h </w:instrText>
            </w:r>
            <w:r>
              <w:rPr>
                <w:noProof/>
                <w:webHidden/>
              </w:rPr>
            </w:r>
            <w:r>
              <w:rPr>
                <w:noProof/>
                <w:webHidden/>
              </w:rPr>
              <w:fldChar w:fldCharType="separate"/>
            </w:r>
            <w:r w:rsidR="00151DA8">
              <w:rPr>
                <w:noProof/>
                <w:webHidden/>
              </w:rPr>
              <w:t>4</w:t>
            </w:r>
            <w:r>
              <w:rPr>
                <w:noProof/>
                <w:webHidden/>
              </w:rPr>
              <w:fldChar w:fldCharType="end"/>
            </w:r>
          </w:hyperlink>
        </w:p>
        <w:p w:rsidR="00151DA8" w:rsidRDefault="006B04DE">
          <w:pPr>
            <w:pStyle w:val="TOC2"/>
            <w:tabs>
              <w:tab w:val="right" w:leader="dot" w:pos="9156"/>
            </w:tabs>
            <w:rPr>
              <w:rFonts w:asciiTheme="minorHAnsi" w:eastAsiaTheme="minorEastAsia" w:hAnsiTheme="minorHAnsi" w:cstheme="minorBidi"/>
              <w:noProof/>
            </w:rPr>
          </w:pPr>
          <w:hyperlink w:anchor="_Toc227453465" w:history="1">
            <w:r w:rsidR="00151DA8" w:rsidRPr="00701209">
              <w:rPr>
                <w:rStyle w:val="Hyperlink"/>
                <w:noProof/>
              </w:rPr>
              <w:t>1.1 Profitability Ratios</w:t>
            </w:r>
            <w:r w:rsidR="00151DA8">
              <w:rPr>
                <w:noProof/>
                <w:webHidden/>
              </w:rPr>
              <w:tab/>
            </w:r>
            <w:r>
              <w:rPr>
                <w:noProof/>
                <w:webHidden/>
              </w:rPr>
              <w:fldChar w:fldCharType="begin"/>
            </w:r>
            <w:r w:rsidR="00151DA8">
              <w:rPr>
                <w:noProof/>
                <w:webHidden/>
              </w:rPr>
              <w:instrText xml:space="preserve"> PAGEREF _Toc227453465 \h </w:instrText>
            </w:r>
            <w:r>
              <w:rPr>
                <w:noProof/>
                <w:webHidden/>
              </w:rPr>
            </w:r>
            <w:r>
              <w:rPr>
                <w:noProof/>
                <w:webHidden/>
              </w:rPr>
              <w:fldChar w:fldCharType="separate"/>
            </w:r>
            <w:r w:rsidR="00151DA8">
              <w:rPr>
                <w:noProof/>
                <w:webHidden/>
              </w:rPr>
              <w:t>4</w:t>
            </w:r>
            <w:r>
              <w:rPr>
                <w:noProof/>
                <w:webHidden/>
              </w:rPr>
              <w:fldChar w:fldCharType="end"/>
            </w:r>
          </w:hyperlink>
        </w:p>
        <w:p w:rsidR="00151DA8" w:rsidRDefault="006B04DE">
          <w:pPr>
            <w:pStyle w:val="TOC2"/>
            <w:tabs>
              <w:tab w:val="right" w:leader="dot" w:pos="9156"/>
            </w:tabs>
            <w:rPr>
              <w:rFonts w:asciiTheme="minorHAnsi" w:eastAsiaTheme="minorEastAsia" w:hAnsiTheme="minorHAnsi" w:cstheme="minorBidi"/>
              <w:noProof/>
            </w:rPr>
          </w:pPr>
          <w:hyperlink w:anchor="_Toc227453466" w:history="1">
            <w:r w:rsidR="00151DA8" w:rsidRPr="00701209">
              <w:rPr>
                <w:rStyle w:val="Hyperlink"/>
                <w:noProof/>
              </w:rPr>
              <w:t>1.2 Liquidity Ratios</w:t>
            </w:r>
            <w:r w:rsidR="00151DA8">
              <w:rPr>
                <w:noProof/>
                <w:webHidden/>
              </w:rPr>
              <w:tab/>
            </w:r>
            <w:r>
              <w:rPr>
                <w:noProof/>
                <w:webHidden/>
              </w:rPr>
              <w:fldChar w:fldCharType="begin"/>
            </w:r>
            <w:r w:rsidR="00151DA8">
              <w:rPr>
                <w:noProof/>
                <w:webHidden/>
              </w:rPr>
              <w:instrText xml:space="preserve"> PAGEREF _Toc227453466 \h </w:instrText>
            </w:r>
            <w:r>
              <w:rPr>
                <w:noProof/>
                <w:webHidden/>
              </w:rPr>
            </w:r>
            <w:r>
              <w:rPr>
                <w:noProof/>
                <w:webHidden/>
              </w:rPr>
              <w:fldChar w:fldCharType="separate"/>
            </w:r>
            <w:r w:rsidR="00151DA8">
              <w:rPr>
                <w:noProof/>
                <w:webHidden/>
              </w:rPr>
              <w:t>5</w:t>
            </w:r>
            <w:r>
              <w:rPr>
                <w:noProof/>
                <w:webHidden/>
              </w:rPr>
              <w:fldChar w:fldCharType="end"/>
            </w:r>
          </w:hyperlink>
        </w:p>
        <w:p w:rsidR="00151DA8" w:rsidRDefault="006B04DE">
          <w:pPr>
            <w:pStyle w:val="TOC2"/>
            <w:tabs>
              <w:tab w:val="right" w:leader="dot" w:pos="9156"/>
            </w:tabs>
            <w:rPr>
              <w:rFonts w:asciiTheme="minorHAnsi" w:eastAsiaTheme="minorEastAsia" w:hAnsiTheme="minorHAnsi" w:cstheme="minorBidi"/>
              <w:noProof/>
            </w:rPr>
          </w:pPr>
          <w:hyperlink w:anchor="_Toc227453467" w:history="1">
            <w:r w:rsidR="00151DA8" w:rsidRPr="00701209">
              <w:rPr>
                <w:rStyle w:val="Hyperlink"/>
                <w:noProof/>
              </w:rPr>
              <w:t>1.3 Gearing Ratios</w:t>
            </w:r>
            <w:r w:rsidR="00151DA8">
              <w:rPr>
                <w:noProof/>
                <w:webHidden/>
              </w:rPr>
              <w:tab/>
            </w:r>
            <w:r>
              <w:rPr>
                <w:noProof/>
                <w:webHidden/>
              </w:rPr>
              <w:fldChar w:fldCharType="begin"/>
            </w:r>
            <w:r w:rsidR="00151DA8">
              <w:rPr>
                <w:noProof/>
                <w:webHidden/>
              </w:rPr>
              <w:instrText xml:space="preserve"> PAGEREF _Toc227453467 \h </w:instrText>
            </w:r>
            <w:r>
              <w:rPr>
                <w:noProof/>
                <w:webHidden/>
              </w:rPr>
            </w:r>
            <w:r>
              <w:rPr>
                <w:noProof/>
                <w:webHidden/>
              </w:rPr>
              <w:fldChar w:fldCharType="separate"/>
            </w:r>
            <w:r w:rsidR="00151DA8">
              <w:rPr>
                <w:noProof/>
                <w:webHidden/>
              </w:rPr>
              <w:t>5</w:t>
            </w:r>
            <w:r>
              <w:rPr>
                <w:noProof/>
                <w:webHidden/>
              </w:rPr>
              <w:fldChar w:fldCharType="end"/>
            </w:r>
          </w:hyperlink>
        </w:p>
        <w:p w:rsidR="00151DA8" w:rsidRDefault="006B04DE">
          <w:pPr>
            <w:pStyle w:val="TOC2"/>
            <w:tabs>
              <w:tab w:val="right" w:leader="dot" w:pos="9156"/>
            </w:tabs>
            <w:rPr>
              <w:rFonts w:asciiTheme="minorHAnsi" w:eastAsiaTheme="minorEastAsia" w:hAnsiTheme="minorHAnsi" w:cstheme="minorBidi"/>
              <w:noProof/>
            </w:rPr>
          </w:pPr>
          <w:hyperlink w:anchor="_Toc227453468" w:history="1">
            <w:r w:rsidR="00151DA8" w:rsidRPr="00701209">
              <w:rPr>
                <w:rStyle w:val="Hyperlink"/>
                <w:noProof/>
              </w:rPr>
              <w:t>1.4 Efficiency Ratios</w:t>
            </w:r>
            <w:r w:rsidR="00151DA8">
              <w:rPr>
                <w:noProof/>
                <w:webHidden/>
              </w:rPr>
              <w:tab/>
            </w:r>
            <w:r>
              <w:rPr>
                <w:noProof/>
                <w:webHidden/>
              </w:rPr>
              <w:fldChar w:fldCharType="begin"/>
            </w:r>
            <w:r w:rsidR="00151DA8">
              <w:rPr>
                <w:noProof/>
                <w:webHidden/>
              </w:rPr>
              <w:instrText xml:space="preserve"> PAGEREF _Toc227453468 \h </w:instrText>
            </w:r>
            <w:r>
              <w:rPr>
                <w:noProof/>
                <w:webHidden/>
              </w:rPr>
            </w:r>
            <w:r>
              <w:rPr>
                <w:noProof/>
                <w:webHidden/>
              </w:rPr>
              <w:fldChar w:fldCharType="separate"/>
            </w:r>
            <w:r w:rsidR="00151DA8">
              <w:rPr>
                <w:noProof/>
                <w:webHidden/>
              </w:rPr>
              <w:t>6</w:t>
            </w:r>
            <w:r>
              <w:rPr>
                <w:noProof/>
                <w:webHidden/>
              </w:rPr>
              <w:fldChar w:fldCharType="end"/>
            </w:r>
          </w:hyperlink>
        </w:p>
        <w:p w:rsidR="00151DA8" w:rsidRDefault="006B04DE">
          <w:pPr>
            <w:pStyle w:val="TOC2"/>
            <w:tabs>
              <w:tab w:val="right" w:leader="dot" w:pos="9156"/>
            </w:tabs>
            <w:rPr>
              <w:rFonts w:asciiTheme="minorHAnsi" w:eastAsiaTheme="minorEastAsia" w:hAnsiTheme="minorHAnsi" w:cstheme="minorBidi"/>
              <w:noProof/>
            </w:rPr>
          </w:pPr>
          <w:hyperlink w:anchor="_Toc227453469" w:history="1">
            <w:r w:rsidR="00151DA8" w:rsidRPr="00701209">
              <w:rPr>
                <w:rStyle w:val="Hyperlink"/>
                <w:noProof/>
              </w:rPr>
              <w:t>1.5 Investor Ratios</w:t>
            </w:r>
            <w:r w:rsidR="00151DA8">
              <w:rPr>
                <w:noProof/>
                <w:webHidden/>
              </w:rPr>
              <w:tab/>
            </w:r>
            <w:r>
              <w:rPr>
                <w:noProof/>
                <w:webHidden/>
              </w:rPr>
              <w:fldChar w:fldCharType="begin"/>
            </w:r>
            <w:r w:rsidR="00151DA8">
              <w:rPr>
                <w:noProof/>
                <w:webHidden/>
              </w:rPr>
              <w:instrText xml:space="preserve"> PAGEREF _Toc227453469 \h </w:instrText>
            </w:r>
            <w:r>
              <w:rPr>
                <w:noProof/>
                <w:webHidden/>
              </w:rPr>
            </w:r>
            <w:r>
              <w:rPr>
                <w:noProof/>
                <w:webHidden/>
              </w:rPr>
              <w:fldChar w:fldCharType="separate"/>
            </w:r>
            <w:r w:rsidR="00151DA8">
              <w:rPr>
                <w:noProof/>
                <w:webHidden/>
              </w:rPr>
              <w:t>6</w:t>
            </w:r>
            <w:r>
              <w:rPr>
                <w:noProof/>
                <w:webHidden/>
              </w:rPr>
              <w:fldChar w:fldCharType="end"/>
            </w:r>
          </w:hyperlink>
        </w:p>
        <w:p w:rsidR="00151DA8" w:rsidRDefault="006B04DE">
          <w:pPr>
            <w:pStyle w:val="TOC1"/>
            <w:tabs>
              <w:tab w:val="right" w:leader="dot" w:pos="9156"/>
            </w:tabs>
            <w:rPr>
              <w:rFonts w:asciiTheme="minorHAnsi" w:eastAsiaTheme="minorEastAsia" w:hAnsiTheme="minorHAnsi" w:cstheme="minorBidi"/>
              <w:noProof/>
            </w:rPr>
          </w:pPr>
          <w:hyperlink w:anchor="_Toc227453470" w:history="1">
            <w:r w:rsidR="00151DA8" w:rsidRPr="00701209">
              <w:rPr>
                <w:rStyle w:val="Hyperlink"/>
                <w:noProof/>
              </w:rPr>
              <w:t>2. Limitations of Ratio Analysis</w:t>
            </w:r>
            <w:r w:rsidR="00151DA8">
              <w:rPr>
                <w:noProof/>
                <w:webHidden/>
              </w:rPr>
              <w:tab/>
            </w:r>
            <w:r>
              <w:rPr>
                <w:noProof/>
                <w:webHidden/>
              </w:rPr>
              <w:fldChar w:fldCharType="begin"/>
            </w:r>
            <w:r w:rsidR="00151DA8">
              <w:rPr>
                <w:noProof/>
                <w:webHidden/>
              </w:rPr>
              <w:instrText xml:space="preserve"> PAGEREF _Toc227453470 \h </w:instrText>
            </w:r>
            <w:r>
              <w:rPr>
                <w:noProof/>
                <w:webHidden/>
              </w:rPr>
            </w:r>
            <w:r>
              <w:rPr>
                <w:noProof/>
                <w:webHidden/>
              </w:rPr>
              <w:fldChar w:fldCharType="separate"/>
            </w:r>
            <w:r w:rsidR="00151DA8">
              <w:rPr>
                <w:noProof/>
                <w:webHidden/>
              </w:rPr>
              <w:t>7</w:t>
            </w:r>
            <w:r>
              <w:rPr>
                <w:noProof/>
                <w:webHidden/>
              </w:rPr>
              <w:fldChar w:fldCharType="end"/>
            </w:r>
          </w:hyperlink>
        </w:p>
        <w:p w:rsidR="00151DA8" w:rsidRDefault="006B04DE">
          <w:pPr>
            <w:pStyle w:val="TOC1"/>
            <w:tabs>
              <w:tab w:val="right" w:leader="dot" w:pos="9156"/>
            </w:tabs>
            <w:rPr>
              <w:rFonts w:asciiTheme="minorHAnsi" w:eastAsiaTheme="minorEastAsia" w:hAnsiTheme="minorHAnsi" w:cstheme="minorBidi"/>
              <w:noProof/>
            </w:rPr>
          </w:pPr>
          <w:hyperlink w:anchor="_Toc227453471" w:history="1">
            <w:r w:rsidR="00151DA8" w:rsidRPr="00701209">
              <w:rPr>
                <w:rStyle w:val="Hyperlink"/>
                <w:noProof/>
              </w:rPr>
              <w:t>Conclusion</w:t>
            </w:r>
            <w:r w:rsidR="00151DA8">
              <w:rPr>
                <w:noProof/>
                <w:webHidden/>
              </w:rPr>
              <w:tab/>
            </w:r>
            <w:r>
              <w:rPr>
                <w:noProof/>
                <w:webHidden/>
              </w:rPr>
              <w:fldChar w:fldCharType="begin"/>
            </w:r>
            <w:r w:rsidR="00151DA8">
              <w:rPr>
                <w:noProof/>
                <w:webHidden/>
              </w:rPr>
              <w:instrText xml:space="preserve"> PAGEREF _Toc227453471 \h </w:instrText>
            </w:r>
            <w:r>
              <w:rPr>
                <w:noProof/>
                <w:webHidden/>
              </w:rPr>
            </w:r>
            <w:r>
              <w:rPr>
                <w:noProof/>
                <w:webHidden/>
              </w:rPr>
              <w:fldChar w:fldCharType="separate"/>
            </w:r>
            <w:r w:rsidR="00151DA8">
              <w:rPr>
                <w:noProof/>
                <w:webHidden/>
              </w:rPr>
              <w:t>7</w:t>
            </w:r>
            <w:r>
              <w:rPr>
                <w:noProof/>
                <w:webHidden/>
              </w:rPr>
              <w:fldChar w:fldCharType="end"/>
            </w:r>
          </w:hyperlink>
        </w:p>
        <w:p w:rsidR="00151DA8" w:rsidRDefault="006B04DE">
          <w:pPr>
            <w:pStyle w:val="TOC1"/>
            <w:tabs>
              <w:tab w:val="right" w:leader="dot" w:pos="9156"/>
            </w:tabs>
            <w:rPr>
              <w:rFonts w:asciiTheme="minorHAnsi" w:eastAsiaTheme="minorEastAsia" w:hAnsiTheme="minorHAnsi" w:cstheme="minorBidi"/>
              <w:noProof/>
            </w:rPr>
          </w:pPr>
          <w:hyperlink w:anchor="_Toc227453472" w:history="1">
            <w:r w:rsidR="00151DA8" w:rsidRPr="00701209">
              <w:rPr>
                <w:rStyle w:val="Hyperlink"/>
                <w:noProof/>
              </w:rPr>
              <w:t>Recommendations</w:t>
            </w:r>
            <w:r w:rsidR="00151DA8">
              <w:rPr>
                <w:noProof/>
                <w:webHidden/>
              </w:rPr>
              <w:tab/>
            </w:r>
            <w:r>
              <w:rPr>
                <w:noProof/>
                <w:webHidden/>
              </w:rPr>
              <w:fldChar w:fldCharType="begin"/>
            </w:r>
            <w:r w:rsidR="00151DA8">
              <w:rPr>
                <w:noProof/>
                <w:webHidden/>
              </w:rPr>
              <w:instrText xml:space="preserve"> PAGEREF _Toc227453472 \h </w:instrText>
            </w:r>
            <w:r>
              <w:rPr>
                <w:noProof/>
                <w:webHidden/>
              </w:rPr>
            </w:r>
            <w:r>
              <w:rPr>
                <w:noProof/>
                <w:webHidden/>
              </w:rPr>
              <w:fldChar w:fldCharType="separate"/>
            </w:r>
            <w:r w:rsidR="00151DA8">
              <w:rPr>
                <w:noProof/>
                <w:webHidden/>
              </w:rPr>
              <w:t>8</w:t>
            </w:r>
            <w:r>
              <w:rPr>
                <w:noProof/>
                <w:webHidden/>
              </w:rPr>
              <w:fldChar w:fldCharType="end"/>
            </w:r>
          </w:hyperlink>
        </w:p>
        <w:p w:rsidR="00151DA8" w:rsidRDefault="006B04DE">
          <w:pPr>
            <w:pStyle w:val="TOC1"/>
            <w:tabs>
              <w:tab w:val="right" w:leader="dot" w:pos="9156"/>
            </w:tabs>
            <w:rPr>
              <w:rFonts w:asciiTheme="minorHAnsi" w:eastAsiaTheme="minorEastAsia" w:hAnsiTheme="minorHAnsi" w:cstheme="minorBidi"/>
              <w:noProof/>
            </w:rPr>
          </w:pPr>
          <w:hyperlink w:anchor="_Toc227453473" w:history="1">
            <w:r w:rsidR="00151DA8" w:rsidRPr="00701209">
              <w:rPr>
                <w:rStyle w:val="Hyperlink"/>
                <w:rFonts w:eastAsia="Georgia"/>
                <w:noProof/>
              </w:rPr>
              <w:t>1.  Context and Scope of the Appraisal</w:t>
            </w:r>
            <w:r w:rsidR="00151DA8">
              <w:rPr>
                <w:noProof/>
                <w:webHidden/>
              </w:rPr>
              <w:tab/>
            </w:r>
            <w:r>
              <w:rPr>
                <w:noProof/>
                <w:webHidden/>
              </w:rPr>
              <w:fldChar w:fldCharType="begin"/>
            </w:r>
            <w:r w:rsidR="00151DA8">
              <w:rPr>
                <w:noProof/>
                <w:webHidden/>
              </w:rPr>
              <w:instrText xml:space="preserve"> PAGEREF _Toc227453473 \h </w:instrText>
            </w:r>
            <w:r>
              <w:rPr>
                <w:noProof/>
                <w:webHidden/>
              </w:rPr>
            </w:r>
            <w:r>
              <w:rPr>
                <w:noProof/>
                <w:webHidden/>
              </w:rPr>
              <w:fldChar w:fldCharType="separate"/>
            </w:r>
            <w:r w:rsidR="00151DA8">
              <w:rPr>
                <w:noProof/>
                <w:webHidden/>
              </w:rPr>
              <w:t>9</w:t>
            </w:r>
            <w:r>
              <w:rPr>
                <w:noProof/>
                <w:webHidden/>
              </w:rPr>
              <w:fldChar w:fldCharType="end"/>
            </w:r>
          </w:hyperlink>
        </w:p>
        <w:p w:rsidR="00151DA8" w:rsidRDefault="006B04DE">
          <w:pPr>
            <w:pStyle w:val="TOC1"/>
            <w:tabs>
              <w:tab w:val="right" w:leader="dot" w:pos="9156"/>
            </w:tabs>
            <w:rPr>
              <w:rFonts w:asciiTheme="minorHAnsi" w:eastAsiaTheme="minorEastAsia" w:hAnsiTheme="minorHAnsi" w:cstheme="minorBidi"/>
              <w:noProof/>
            </w:rPr>
          </w:pPr>
          <w:hyperlink w:anchor="_Toc227453474" w:history="1">
            <w:r w:rsidR="00151DA8" w:rsidRPr="00701209">
              <w:rPr>
                <w:rStyle w:val="Hyperlink"/>
                <w:rFonts w:eastAsia="Georgia"/>
                <w:noProof/>
              </w:rPr>
              <w:t>2.  Net Present Value Analysis</w:t>
            </w:r>
            <w:r w:rsidR="00151DA8">
              <w:rPr>
                <w:noProof/>
                <w:webHidden/>
              </w:rPr>
              <w:tab/>
            </w:r>
            <w:r>
              <w:rPr>
                <w:noProof/>
                <w:webHidden/>
              </w:rPr>
              <w:fldChar w:fldCharType="begin"/>
            </w:r>
            <w:r w:rsidR="00151DA8">
              <w:rPr>
                <w:noProof/>
                <w:webHidden/>
              </w:rPr>
              <w:instrText xml:space="preserve"> PAGEREF _Toc227453474 \h </w:instrText>
            </w:r>
            <w:r>
              <w:rPr>
                <w:noProof/>
                <w:webHidden/>
              </w:rPr>
            </w:r>
            <w:r>
              <w:rPr>
                <w:noProof/>
                <w:webHidden/>
              </w:rPr>
              <w:fldChar w:fldCharType="separate"/>
            </w:r>
            <w:r w:rsidR="00151DA8">
              <w:rPr>
                <w:noProof/>
                <w:webHidden/>
              </w:rPr>
              <w:t>9</w:t>
            </w:r>
            <w:r>
              <w:rPr>
                <w:noProof/>
                <w:webHidden/>
              </w:rPr>
              <w:fldChar w:fldCharType="end"/>
            </w:r>
          </w:hyperlink>
        </w:p>
        <w:p w:rsidR="00151DA8" w:rsidRDefault="006B04DE">
          <w:pPr>
            <w:pStyle w:val="TOC2"/>
            <w:tabs>
              <w:tab w:val="right" w:leader="dot" w:pos="9156"/>
            </w:tabs>
            <w:rPr>
              <w:rFonts w:asciiTheme="minorHAnsi" w:eastAsiaTheme="minorEastAsia" w:hAnsiTheme="minorHAnsi" w:cstheme="minorBidi"/>
              <w:noProof/>
            </w:rPr>
          </w:pPr>
          <w:hyperlink w:anchor="_Toc227453475" w:history="1">
            <w:r w:rsidR="00151DA8" w:rsidRPr="00701209">
              <w:rPr>
                <w:rStyle w:val="Hyperlink"/>
                <w:rFonts w:eastAsia="Georgia"/>
                <w:noProof/>
              </w:rPr>
              <w:t>2.1  Methodology</w:t>
            </w:r>
            <w:r w:rsidR="00151DA8">
              <w:rPr>
                <w:noProof/>
                <w:webHidden/>
              </w:rPr>
              <w:tab/>
            </w:r>
            <w:r>
              <w:rPr>
                <w:noProof/>
                <w:webHidden/>
              </w:rPr>
              <w:fldChar w:fldCharType="begin"/>
            </w:r>
            <w:r w:rsidR="00151DA8">
              <w:rPr>
                <w:noProof/>
                <w:webHidden/>
              </w:rPr>
              <w:instrText xml:space="preserve"> PAGEREF _Toc227453475 \h </w:instrText>
            </w:r>
            <w:r>
              <w:rPr>
                <w:noProof/>
                <w:webHidden/>
              </w:rPr>
            </w:r>
            <w:r>
              <w:rPr>
                <w:noProof/>
                <w:webHidden/>
              </w:rPr>
              <w:fldChar w:fldCharType="separate"/>
            </w:r>
            <w:r w:rsidR="00151DA8">
              <w:rPr>
                <w:noProof/>
                <w:webHidden/>
              </w:rPr>
              <w:t>9</w:t>
            </w:r>
            <w:r>
              <w:rPr>
                <w:noProof/>
                <w:webHidden/>
              </w:rPr>
              <w:fldChar w:fldCharType="end"/>
            </w:r>
          </w:hyperlink>
        </w:p>
        <w:p w:rsidR="00151DA8" w:rsidRDefault="006B04DE">
          <w:pPr>
            <w:pStyle w:val="TOC2"/>
            <w:tabs>
              <w:tab w:val="right" w:leader="dot" w:pos="9156"/>
            </w:tabs>
            <w:rPr>
              <w:rFonts w:asciiTheme="minorHAnsi" w:eastAsiaTheme="minorEastAsia" w:hAnsiTheme="minorHAnsi" w:cstheme="minorBidi"/>
              <w:noProof/>
            </w:rPr>
          </w:pPr>
          <w:hyperlink w:anchor="_Toc227453476" w:history="1">
            <w:r w:rsidR="00151DA8" w:rsidRPr="00701209">
              <w:rPr>
                <w:rStyle w:val="Hyperlink"/>
                <w:rFonts w:eastAsia="Georgia"/>
                <w:noProof/>
              </w:rPr>
              <w:t>2.2  NPV Calculation Table – All Three Options</w:t>
            </w:r>
            <w:r w:rsidR="00151DA8">
              <w:rPr>
                <w:noProof/>
                <w:webHidden/>
              </w:rPr>
              <w:tab/>
            </w:r>
            <w:r>
              <w:rPr>
                <w:noProof/>
                <w:webHidden/>
              </w:rPr>
              <w:fldChar w:fldCharType="begin"/>
            </w:r>
            <w:r w:rsidR="00151DA8">
              <w:rPr>
                <w:noProof/>
                <w:webHidden/>
              </w:rPr>
              <w:instrText xml:space="preserve"> PAGEREF _Toc227453476 \h </w:instrText>
            </w:r>
            <w:r>
              <w:rPr>
                <w:noProof/>
                <w:webHidden/>
              </w:rPr>
            </w:r>
            <w:r>
              <w:rPr>
                <w:noProof/>
                <w:webHidden/>
              </w:rPr>
              <w:fldChar w:fldCharType="separate"/>
            </w:r>
            <w:r w:rsidR="00151DA8">
              <w:rPr>
                <w:noProof/>
                <w:webHidden/>
              </w:rPr>
              <w:t>9</w:t>
            </w:r>
            <w:r>
              <w:rPr>
                <w:noProof/>
                <w:webHidden/>
              </w:rPr>
              <w:fldChar w:fldCharType="end"/>
            </w:r>
          </w:hyperlink>
        </w:p>
        <w:p w:rsidR="00151DA8" w:rsidRDefault="006B04DE">
          <w:pPr>
            <w:pStyle w:val="TOC2"/>
            <w:tabs>
              <w:tab w:val="right" w:leader="dot" w:pos="9156"/>
            </w:tabs>
            <w:rPr>
              <w:rFonts w:asciiTheme="minorHAnsi" w:eastAsiaTheme="minorEastAsia" w:hAnsiTheme="minorHAnsi" w:cstheme="minorBidi"/>
              <w:noProof/>
            </w:rPr>
          </w:pPr>
          <w:hyperlink w:anchor="_Toc227453477" w:history="1">
            <w:r w:rsidR="00151DA8" w:rsidRPr="00701209">
              <w:rPr>
                <w:rStyle w:val="Hyperlink"/>
                <w:rFonts w:eastAsia="Georgia"/>
                <w:noProof/>
              </w:rPr>
              <w:t>2.3  Results and Recommendation</w:t>
            </w:r>
            <w:r w:rsidR="00151DA8">
              <w:rPr>
                <w:noProof/>
                <w:webHidden/>
              </w:rPr>
              <w:tab/>
            </w:r>
            <w:r>
              <w:rPr>
                <w:noProof/>
                <w:webHidden/>
              </w:rPr>
              <w:fldChar w:fldCharType="begin"/>
            </w:r>
            <w:r w:rsidR="00151DA8">
              <w:rPr>
                <w:noProof/>
                <w:webHidden/>
              </w:rPr>
              <w:instrText xml:space="preserve"> PAGEREF _Toc227453477 \h </w:instrText>
            </w:r>
            <w:r>
              <w:rPr>
                <w:noProof/>
                <w:webHidden/>
              </w:rPr>
            </w:r>
            <w:r>
              <w:rPr>
                <w:noProof/>
                <w:webHidden/>
              </w:rPr>
              <w:fldChar w:fldCharType="separate"/>
            </w:r>
            <w:r w:rsidR="00151DA8">
              <w:rPr>
                <w:noProof/>
                <w:webHidden/>
              </w:rPr>
              <w:t>10</w:t>
            </w:r>
            <w:r>
              <w:rPr>
                <w:noProof/>
                <w:webHidden/>
              </w:rPr>
              <w:fldChar w:fldCharType="end"/>
            </w:r>
          </w:hyperlink>
        </w:p>
        <w:p w:rsidR="00151DA8" w:rsidRDefault="006B04DE">
          <w:pPr>
            <w:pStyle w:val="TOC1"/>
            <w:tabs>
              <w:tab w:val="right" w:leader="dot" w:pos="9156"/>
            </w:tabs>
            <w:rPr>
              <w:rFonts w:asciiTheme="minorHAnsi" w:eastAsiaTheme="minorEastAsia" w:hAnsiTheme="minorHAnsi" w:cstheme="minorBidi"/>
              <w:noProof/>
            </w:rPr>
          </w:pPr>
          <w:hyperlink w:anchor="_Toc227453478" w:history="1">
            <w:r w:rsidR="00151DA8" w:rsidRPr="00701209">
              <w:rPr>
                <w:rStyle w:val="Hyperlink"/>
                <w:rFonts w:eastAsia="Georgia"/>
                <w:noProof/>
              </w:rPr>
              <w:t>3.  Internal Rate of Return – Option B</w:t>
            </w:r>
            <w:r w:rsidR="00151DA8">
              <w:rPr>
                <w:noProof/>
                <w:webHidden/>
              </w:rPr>
              <w:tab/>
            </w:r>
            <w:r>
              <w:rPr>
                <w:noProof/>
                <w:webHidden/>
              </w:rPr>
              <w:fldChar w:fldCharType="begin"/>
            </w:r>
            <w:r w:rsidR="00151DA8">
              <w:rPr>
                <w:noProof/>
                <w:webHidden/>
              </w:rPr>
              <w:instrText xml:space="preserve"> PAGEREF _Toc227453478 \h </w:instrText>
            </w:r>
            <w:r>
              <w:rPr>
                <w:noProof/>
                <w:webHidden/>
              </w:rPr>
            </w:r>
            <w:r>
              <w:rPr>
                <w:noProof/>
                <w:webHidden/>
              </w:rPr>
              <w:fldChar w:fldCharType="separate"/>
            </w:r>
            <w:r w:rsidR="00151DA8">
              <w:rPr>
                <w:noProof/>
                <w:webHidden/>
              </w:rPr>
              <w:t>11</w:t>
            </w:r>
            <w:r>
              <w:rPr>
                <w:noProof/>
                <w:webHidden/>
              </w:rPr>
              <w:fldChar w:fldCharType="end"/>
            </w:r>
          </w:hyperlink>
        </w:p>
        <w:p w:rsidR="00151DA8" w:rsidRDefault="006B04DE">
          <w:pPr>
            <w:pStyle w:val="TOC2"/>
            <w:tabs>
              <w:tab w:val="right" w:leader="dot" w:pos="9156"/>
            </w:tabs>
            <w:rPr>
              <w:rFonts w:asciiTheme="minorHAnsi" w:eastAsiaTheme="minorEastAsia" w:hAnsiTheme="minorHAnsi" w:cstheme="minorBidi"/>
              <w:noProof/>
            </w:rPr>
          </w:pPr>
          <w:hyperlink w:anchor="_Toc227453479" w:history="1">
            <w:r w:rsidR="00151DA8" w:rsidRPr="00701209">
              <w:rPr>
                <w:rStyle w:val="Hyperlink"/>
                <w:rFonts w:eastAsia="Georgia"/>
                <w:noProof/>
              </w:rPr>
              <w:t>3.1  Method and Workings</w:t>
            </w:r>
            <w:r w:rsidR="00151DA8">
              <w:rPr>
                <w:noProof/>
                <w:webHidden/>
              </w:rPr>
              <w:tab/>
            </w:r>
            <w:r>
              <w:rPr>
                <w:noProof/>
                <w:webHidden/>
              </w:rPr>
              <w:fldChar w:fldCharType="begin"/>
            </w:r>
            <w:r w:rsidR="00151DA8">
              <w:rPr>
                <w:noProof/>
                <w:webHidden/>
              </w:rPr>
              <w:instrText xml:space="preserve"> PAGEREF _Toc227453479 \h </w:instrText>
            </w:r>
            <w:r>
              <w:rPr>
                <w:noProof/>
                <w:webHidden/>
              </w:rPr>
            </w:r>
            <w:r>
              <w:rPr>
                <w:noProof/>
                <w:webHidden/>
              </w:rPr>
              <w:fldChar w:fldCharType="separate"/>
            </w:r>
            <w:r w:rsidR="00151DA8">
              <w:rPr>
                <w:noProof/>
                <w:webHidden/>
              </w:rPr>
              <w:t>11</w:t>
            </w:r>
            <w:r>
              <w:rPr>
                <w:noProof/>
                <w:webHidden/>
              </w:rPr>
              <w:fldChar w:fldCharType="end"/>
            </w:r>
          </w:hyperlink>
        </w:p>
        <w:p w:rsidR="00151DA8" w:rsidRDefault="006B04DE">
          <w:pPr>
            <w:pStyle w:val="TOC2"/>
            <w:tabs>
              <w:tab w:val="right" w:leader="dot" w:pos="9156"/>
            </w:tabs>
            <w:rPr>
              <w:rFonts w:asciiTheme="minorHAnsi" w:eastAsiaTheme="minorEastAsia" w:hAnsiTheme="minorHAnsi" w:cstheme="minorBidi"/>
              <w:noProof/>
            </w:rPr>
          </w:pPr>
          <w:hyperlink w:anchor="_Toc227453480" w:history="1">
            <w:r w:rsidR="00151DA8" w:rsidRPr="00701209">
              <w:rPr>
                <w:rStyle w:val="Hyperlink"/>
                <w:rFonts w:eastAsia="Georgia"/>
                <w:noProof/>
              </w:rPr>
              <w:t>3.2  IRR Calculation and Interpretation</w:t>
            </w:r>
            <w:r w:rsidR="00151DA8">
              <w:rPr>
                <w:noProof/>
                <w:webHidden/>
              </w:rPr>
              <w:tab/>
            </w:r>
            <w:r>
              <w:rPr>
                <w:noProof/>
                <w:webHidden/>
              </w:rPr>
              <w:fldChar w:fldCharType="begin"/>
            </w:r>
            <w:r w:rsidR="00151DA8">
              <w:rPr>
                <w:noProof/>
                <w:webHidden/>
              </w:rPr>
              <w:instrText xml:space="preserve"> PAGEREF _Toc227453480 \h </w:instrText>
            </w:r>
            <w:r>
              <w:rPr>
                <w:noProof/>
                <w:webHidden/>
              </w:rPr>
            </w:r>
            <w:r>
              <w:rPr>
                <w:noProof/>
                <w:webHidden/>
              </w:rPr>
              <w:fldChar w:fldCharType="separate"/>
            </w:r>
            <w:r w:rsidR="00151DA8">
              <w:rPr>
                <w:noProof/>
                <w:webHidden/>
              </w:rPr>
              <w:t>11</w:t>
            </w:r>
            <w:r>
              <w:rPr>
                <w:noProof/>
                <w:webHidden/>
              </w:rPr>
              <w:fldChar w:fldCharType="end"/>
            </w:r>
          </w:hyperlink>
        </w:p>
        <w:p w:rsidR="00151DA8" w:rsidRDefault="006B04DE">
          <w:pPr>
            <w:pStyle w:val="TOC1"/>
            <w:tabs>
              <w:tab w:val="right" w:leader="dot" w:pos="9156"/>
            </w:tabs>
            <w:rPr>
              <w:rFonts w:asciiTheme="minorHAnsi" w:eastAsiaTheme="minorEastAsia" w:hAnsiTheme="minorHAnsi" w:cstheme="minorBidi"/>
              <w:noProof/>
            </w:rPr>
          </w:pPr>
          <w:hyperlink w:anchor="_Toc227453481" w:history="1">
            <w:r w:rsidR="00151DA8" w:rsidRPr="00701209">
              <w:rPr>
                <w:rStyle w:val="Hyperlink"/>
                <w:rFonts w:eastAsia="Georgia"/>
                <w:noProof/>
              </w:rPr>
              <w:t>4.  Interpretation of Results</w:t>
            </w:r>
            <w:r w:rsidR="00151DA8">
              <w:rPr>
                <w:noProof/>
                <w:webHidden/>
              </w:rPr>
              <w:tab/>
            </w:r>
            <w:r>
              <w:rPr>
                <w:noProof/>
                <w:webHidden/>
              </w:rPr>
              <w:fldChar w:fldCharType="begin"/>
            </w:r>
            <w:r w:rsidR="00151DA8">
              <w:rPr>
                <w:noProof/>
                <w:webHidden/>
              </w:rPr>
              <w:instrText xml:space="preserve"> PAGEREF _Toc227453481 \h </w:instrText>
            </w:r>
            <w:r>
              <w:rPr>
                <w:noProof/>
                <w:webHidden/>
              </w:rPr>
            </w:r>
            <w:r>
              <w:rPr>
                <w:noProof/>
                <w:webHidden/>
              </w:rPr>
              <w:fldChar w:fldCharType="separate"/>
            </w:r>
            <w:r w:rsidR="00151DA8">
              <w:rPr>
                <w:noProof/>
                <w:webHidden/>
              </w:rPr>
              <w:t>11</w:t>
            </w:r>
            <w:r>
              <w:rPr>
                <w:noProof/>
                <w:webHidden/>
              </w:rPr>
              <w:fldChar w:fldCharType="end"/>
            </w:r>
          </w:hyperlink>
        </w:p>
        <w:p w:rsidR="00151DA8" w:rsidRDefault="006B04DE">
          <w:pPr>
            <w:pStyle w:val="TOC2"/>
            <w:tabs>
              <w:tab w:val="right" w:leader="dot" w:pos="9156"/>
            </w:tabs>
            <w:rPr>
              <w:rFonts w:asciiTheme="minorHAnsi" w:eastAsiaTheme="minorEastAsia" w:hAnsiTheme="minorHAnsi" w:cstheme="minorBidi"/>
              <w:noProof/>
            </w:rPr>
          </w:pPr>
          <w:hyperlink w:anchor="_Toc227453482" w:history="1">
            <w:r w:rsidR="00151DA8" w:rsidRPr="00701209">
              <w:rPr>
                <w:rStyle w:val="Hyperlink"/>
                <w:rFonts w:eastAsia="Georgia"/>
                <w:noProof/>
              </w:rPr>
              <w:t>4.1  Theoretical Arguments for NPV as the Superior Appraisal Method</w:t>
            </w:r>
            <w:r w:rsidR="00151DA8">
              <w:rPr>
                <w:noProof/>
                <w:webHidden/>
              </w:rPr>
              <w:tab/>
            </w:r>
            <w:r>
              <w:rPr>
                <w:noProof/>
                <w:webHidden/>
              </w:rPr>
              <w:fldChar w:fldCharType="begin"/>
            </w:r>
            <w:r w:rsidR="00151DA8">
              <w:rPr>
                <w:noProof/>
                <w:webHidden/>
              </w:rPr>
              <w:instrText xml:space="preserve"> PAGEREF _Toc227453482 \h </w:instrText>
            </w:r>
            <w:r>
              <w:rPr>
                <w:noProof/>
                <w:webHidden/>
              </w:rPr>
            </w:r>
            <w:r>
              <w:rPr>
                <w:noProof/>
                <w:webHidden/>
              </w:rPr>
              <w:fldChar w:fldCharType="separate"/>
            </w:r>
            <w:r w:rsidR="00151DA8">
              <w:rPr>
                <w:noProof/>
                <w:webHidden/>
              </w:rPr>
              <w:t>11</w:t>
            </w:r>
            <w:r>
              <w:rPr>
                <w:noProof/>
                <w:webHidden/>
              </w:rPr>
              <w:fldChar w:fldCharType="end"/>
            </w:r>
          </w:hyperlink>
        </w:p>
        <w:p w:rsidR="00151DA8" w:rsidRDefault="006B04DE">
          <w:pPr>
            <w:pStyle w:val="TOC2"/>
            <w:tabs>
              <w:tab w:val="right" w:leader="dot" w:pos="9156"/>
            </w:tabs>
            <w:rPr>
              <w:rFonts w:asciiTheme="minorHAnsi" w:eastAsiaTheme="minorEastAsia" w:hAnsiTheme="minorHAnsi" w:cstheme="minorBidi"/>
              <w:noProof/>
            </w:rPr>
          </w:pPr>
          <w:hyperlink w:anchor="_Toc227453483" w:history="1">
            <w:r w:rsidR="00151DA8" w:rsidRPr="00701209">
              <w:rPr>
                <w:rStyle w:val="Hyperlink"/>
                <w:rFonts w:eastAsia="Georgia"/>
                <w:noProof/>
              </w:rPr>
              <w:t>4.2  The Continued Popularity of Non-Discounting Methods</w:t>
            </w:r>
            <w:r w:rsidR="00151DA8">
              <w:rPr>
                <w:noProof/>
                <w:webHidden/>
              </w:rPr>
              <w:tab/>
            </w:r>
            <w:r>
              <w:rPr>
                <w:noProof/>
                <w:webHidden/>
              </w:rPr>
              <w:fldChar w:fldCharType="begin"/>
            </w:r>
            <w:r w:rsidR="00151DA8">
              <w:rPr>
                <w:noProof/>
                <w:webHidden/>
              </w:rPr>
              <w:instrText xml:space="preserve"> PAGEREF _Toc227453483 \h </w:instrText>
            </w:r>
            <w:r>
              <w:rPr>
                <w:noProof/>
                <w:webHidden/>
              </w:rPr>
            </w:r>
            <w:r>
              <w:rPr>
                <w:noProof/>
                <w:webHidden/>
              </w:rPr>
              <w:fldChar w:fldCharType="separate"/>
            </w:r>
            <w:r w:rsidR="00151DA8">
              <w:rPr>
                <w:noProof/>
                <w:webHidden/>
              </w:rPr>
              <w:t>12</w:t>
            </w:r>
            <w:r>
              <w:rPr>
                <w:noProof/>
                <w:webHidden/>
              </w:rPr>
              <w:fldChar w:fldCharType="end"/>
            </w:r>
          </w:hyperlink>
        </w:p>
        <w:p w:rsidR="00151DA8" w:rsidRDefault="006B04DE">
          <w:pPr>
            <w:pStyle w:val="TOC2"/>
            <w:tabs>
              <w:tab w:val="right" w:leader="dot" w:pos="9156"/>
            </w:tabs>
            <w:rPr>
              <w:rFonts w:asciiTheme="minorHAnsi" w:eastAsiaTheme="minorEastAsia" w:hAnsiTheme="minorHAnsi" w:cstheme="minorBidi"/>
              <w:noProof/>
            </w:rPr>
          </w:pPr>
          <w:hyperlink w:anchor="_Toc227453484" w:history="1">
            <w:r w:rsidR="00151DA8" w:rsidRPr="00701209">
              <w:rPr>
                <w:rStyle w:val="Hyperlink"/>
                <w:rFonts w:eastAsia="Georgia"/>
                <w:noProof/>
              </w:rPr>
              <w:t>4.3  Other Factors to Consider Before Investment</w:t>
            </w:r>
            <w:r w:rsidR="00151DA8">
              <w:rPr>
                <w:noProof/>
                <w:webHidden/>
              </w:rPr>
              <w:tab/>
            </w:r>
            <w:r>
              <w:rPr>
                <w:noProof/>
                <w:webHidden/>
              </w:rPr>
              <w:fldChar w:fldCharType="begin"/>
            </w:r>
            <w:r w:rsidR="00151DA8">
              <w:rPr>
                <w:noProof/>
                <w:webHidden/>
              </w:rPr>
              <w:instrText xml:space="preserve"> PAGEREF _Toc227453484 \h </w:instrText>
            </w:r>
            <w:r>
              <w:rPr>
                <w:noProof/>
                <w:webHidden/>
              </w:rPr>
            </w:r>
            <w:r>
              <w:rPr>
                <w:noProof/>
                <w:webHidden/>
              </w:rPr>
              <w:fldChar w:fldCharType="separate"/>
            </w:r>
            <w:r w:rsidR="00151DA8">
              <w:rPr>
                <w:noProof/>
                <w:webHidden/>
              </w:rPr>
              <w:t>12</w:t>
            </w:r>
            <w:r>
              <w:rPr>
                <w:noProof/>
                <w:webHidden/>
              </w:rPr>
              <w:fldChar w:fldCharType="end"/>
            </w:r>
          </w:hyperlink>
        </w:p>
        <w:p w:rsidR="00151DA8" w:rsidRDefault="006B04DE">
          <w:pPr>
            <w:pStyle w:val="TOC1"/>
            <w:tabs>
              <w:tab w:val="right" w:leader="dot" w:pos="9156"/>
            </w:tabs>
            <w:rPr>
              <w:rFonts w:asciiTheme="minorHAnsi" w:eastAsiaTheme="minorEastAsia" w:hAnsiTheme="minorHAnsi" w:cstheme="minorBidi"/>
              <w:noProof/>
            </w:rPr>
          </w:pPr>
          <w:hyperlink w:anchor="_Toc227453485" w:history="1">
            <w:r w:rsidR="00151DA8" w:rsidRPr="00701209">
              <w:rPr>
                <w:rStyle w:val="Hyperlink"/>
                <w:rFonts w:eastAsia="Georgia"/>
                <w:noProof/>
              </w:rPr>
              <w:t>5.  Capital Rationing: Optimal Investment Policy</w:t>
            </w:r>
            <w:r w:rsidR="00151DA8">
              <w:rPr>
                <w:noProof/>
                <w:webHidden/>
              </w:rPr>
              <w:tab/>
            </w:r>
            <w:r>
              <w:rPr>
                <w:noProof/>
                <w:webHidden/>
              </w:rPr>
              <w:fldChar w:fldCharType="begin"/>
            </w:r>
            <w:r w:rsidR="00151DA8">
              <w:rPr>
                <w:noProof/>
                <w:webHidden/>
              </w:rPr>
              <w:instrText xml:space="preserve"> PAGEREF _Toc227453485 \h </w:instrText>
            </w:r>
            <w:r>
              <w:rPr>
                <w:noProof/>
                <w:webHidden/>
              </w:rPr>
            </w:r>
            <w:r>
              <w:rPr>
                <w:noProof/>
                <w:webHidden/>
              </w:rPr>
              <w:fldChar w:fldCharType="separate"/>
            </w:r>
            <w:r w:rsidR="00151DA8">
              <w:rPr>
                <w:noProof/>
                <w:webHidden/>
              </w:rPr>
              <w:t>13</w:t>
            </w:r>
            <w:r>
              <w:rPr>
                <w:noProof/>
                <w:webHidden/>
              </w:rPr>
              <w:fldChar w:fldCharType="end"/>
            </w:r>
          </w:hyperlink>
        </w:p>
        <w:p w:rsidR="00151DA8" w:rsidRDefault="006B04DE">
          <w:pPr>
            <w:pStyle w:val="TOC2"/>
            <w:tabs>
              <w:tab w:val="right" w:leader="dot" w:pos="9156"/>
            </w:tabs>
            <w:rPr>
              <w:rFonts w:asciiTheme="minorHAnsi" w:eastAsiaTheme="minorEastAsia" w:hAnsiTheme="minorHAnsi" w:cstheme="minorBidi"/>
              <w:noProof/>
            </w:rPr>
          </w:pPr>
          <w:hyperlink w:anchor="_Toc227453486" w:history="1">
            <w:r w:rsidR="00151DA8" w:rsidRPr="00701209">
              <w:rPr>
                <w:rStyle w:val="Hyperlink"/>
                <w:rFonts w:eastAsia="Georgia"/>
                <w:noProof/>
              </w:rPr>
              <w:t>5.1  Framework</w:t>
            </w:r>
            <w:r w:rsidR="00151DA8">
              <w:rPr>
                <w:noProof/>
                <w:webHidden/>
              </w:rPr>
              <w:tab/>
            </w:r>
            <w:r>
              <w:rPr>
                <w:noProof/>
                <w:webHidden/>
              </w:rPr>
              <w:fldChar w:fldCharType="begin"/>
            </w:r>
            <w:r w:rsidR="00151DA8">
              <w:rPr>
                <w:noProof/>
                <w:webHidden/>
              </w:rPr>
              <w:instrText xml:space="preserve"> PAGEREF _Toc227453486 \h </w:instrText>
            </w:r>
            <w:r>
              <w:rPr>
                <w:noProof/>
                <w:webHidden/>
              </w:rPr>
            </w:r>
            <w:r>
              <w:rPr>
                <w:noProof/>
                <w:webHidden/>
              </w:rPr>
              <w:fldChar w:fldCharType="separate"/>
            </w:r>
            <w:r w:rsidR="00151DA8">
              <w:rPr>
                <w:noProof/>
                <w:webHidden/>
              </w:rPr>
              <w:t>13</w:t>
            </w:r>
            <w:r>
              <w:rPr>
                <w:noProof/>
                <w:webHidden/>
              </w:rPr>
              <w:fldChar w:fldCharType="end"/>
            </w:r>
          </w:hyperlink>
        </w:p>
        <w:p w:rsidR="00151DA8" w:rsidRDefault="006B04DE">
          <w:pPr>
            <w:pStyle w:val="TOC2"/>
            <w:tabs>
              <w:tab w:val="right" w:leader="dot" w:pos="9156"/>
            </w:tabs>
            <w:rPr>
              <w:rFonts w:asciiTheme="minorHAnsi" w:eastAsiaTheme="minorEastAsia" w:hAnsiTheme="minorHAnsi" w:cstheme="minorBidi"/>
              <w:noProof/>
            </w:rPr>
          </w:pPr>
          <w:hyperlink w:anchor="_Toc227453487" w:history="1">
            <w:r w:rsidR="00151DA8" w:rsidRPr="00701209">
              <w:rPr>
                <w:rStyle w:val="Hyperlink"/>
                <w:rFonts w:eastAsia="Georgia"/>
                <w:noProof/>
              </w:rPr>
              <w:t>5.2  Optimal Allocation Table</w:t>
            </w:r>
            <w:r w:rsidR="00151DA8">
              <w:rPr>
                <w:noProof/>
                <w:webHidden/>
              </w:rPr>
              <w:tab/>
            </w:r>
            <w:r>
              <w:rPr>
                <w:noProof/>
                <w:webHidden/>
              </w:rPr>
              <w:fldChar w:fldCharType="begin"/>
            </w:r>
            <w:r w:rsidR="00151DA8">
              <w:rPr>
                <w:noProof/>
                <w:webHidden/>
              </w:rPr>
              <w:instrText xml:space="preserve"> PAGEREF _Toc227453487 \h </w:instrText>
            </w:r>
            <w:r>
              <w:rPr>
                <w:noProof/>
                <w:webHidden/>
              </w:rPr>
            </w:r>
            <w:r>
              <w:rPr>
                <w:noProof/>
                <w:webHidden/>
              </w:rPr>
              <w:fldChar w:fldCharType="separate"/>
            </w:r>
            <w:r w:rsidR="00151DA8">
              <w:rPr>
                <w:noProof/>
                <w:webHidden/>
              </w:rPr>
              <w:t>13</w:t>
            </w:r>
            <w:r>
              <w:rPr>
                <w:noProof/>
                <w:webHidden/>
              </w:rPr>
              <w:fldChar w:fldCharType="end"/>
            </w:r>
          </w:hyperlink>
        </w:p>
        <w:p w:rsidR="00151DA8" w:rsidRDefault="006B04DE">
          <w:pPr>
            <w:pStyle w:val="TOC2"/>
            <w:tabs>
              <w:tab w:val="right" w:leader="dot" w:pos="9156"/>
            </w:tabs>
            <w:rPr>
              <w:rFonts w:asciiTheme="minorHAnsi" w:eastAsiaTheme="minorEastAsia" w:hAnsiTheme="minorHAnsi" w:cstheme="minorBidi"/>
              <w:noProof/>
            </w:rPr>
          </w:pPr>
          <w:hyperlink w:anchor="_Toc227453488" w:history="1">
            <w:r w:rsidR="00151DA8" w:rsidRPr="00701209">
              <w:rPr>
                <w:rStyle w:val="Hyperlink"/>
                <w:rFonts w:eastAsia="Georgia"/>
                <w:noProof/>
              </w:rPr>
              <w:t>5.3  Conclusion on Capital Rationing</w:t>
            </w:r>
            <w:r w:rsidR="00151DA8">
              <w:rPr>
                <w:noProof/>
                <w:webHidden/>
              </w:rPr>
              <w:tab/>
            </w:r>
            <w:r>
              <w:rPr>
                <w:noProof/>
                <w:webHidden/>
              </w:rPr>
              <w:fldChar w:fldCharType="begin"/>
            </w:r>
            <w:r w:rsidR="00151DA8">
              <w:rPr>
                <w:noProof/>
                <w:webHidden/>
              </w:rPr>
              <w:instrText xml:space="preserve"> PAGEREF _Toc227453488 \h </w:instrText>
            </w:r>
            <w:r>
              <w:rPr>
                <w:noProof/>
                <w:webHidden/>
              </w:rPr>
            </w:r>
            <w:r>
              <w:rPr>
                <w:noProof/>
                <w:webHidden/>
              </w:rPr>
              <w:fldChar w:fldCharType="separate"/>
            </w:r>
            <w:r w:rsidR="00151DA8">
              <w:rPr>
                <w:noProof/>
                <w:webHidden/>
              </w:rPr>
              <w:t>14</w:t>
            </w:r>
            <w:r>
              <w:rPr>
                <w:noProof/>
                <w:webHidden/>
              </w:rPr>
              <w:fldChar w:fldCharType="end"/>
            </w:r>
          </w:hyperlink>
        </w:p>
        <w:p w:rsidR="00151DA8" w:rsidRDefault="006B04DE">
          <w:pPr>
            <w:pStyle w:val="TOC1"/>
            <w:tabs>
              <w:tab w:val="right" w:leader="dot" w:pos="9156"/>
            </w:tabs>
            <w:rPr>
              <w:rFonts w:asciiTheme="minorHAnsi" w:eastAsiaTheme="minorEastAsia" w:hAnsiTheme="minorHAnsi" w:cstheme="minorBidi"/>
              <w:noProof/>
            </w:rPr>
          </w:pPr>
          <w:hyperlink w:anchor="_Toc227453489" w:history="1">
            <w:r w:rsidR="00151DA8" w:rsidRPr="00701209">
              <w:rPr>
                <w:rStyle w:val="Hyperlink"/>
                <w:rFonts w:eastAsia="Georgia"/>
                <w:noProof/>
              </w:rPr>
              <w:t>6.  Financing the Investment Programme</w:t>
            </w:r>
            <w:r w:rsidR="00151DA8">
              <w:rPr>
                <w:noProof/>
                <w:webHidden/>
              </w:rPr>
              <w:tab/>
            </w:r>
            <w:r>
              <w:rPr>
                <w:noProof/>
                <w:webHidden/>
              </w:rPr>
              <w:fldChar w:fldCharType="begin"/>
            </w:r>
            <w:r w:rsidR="00151DA8">
              <w:rPr>
                <w:noProof/>
                <w:webHidden/>
              </w:rPr>
              <w:instrText xml:space="preserve"> PAGEREF _Toc227453489 \h </w:instrText>
            </w:r>
            <w:r>
              <w:rPr>
                <w:noProof/>
                <w:webHidden/>
              </w:rPr>
            </w:r>
            <w:r>
              <w:rPr>
                <w:noProof/>
                <w:webHidden/>
              </w:rPr>
              <w:fldChar w:fldCharType="separate"/>
            </w:r>
            <w:r w:rsidR="00151DA8">
              <w:rPr>
                <w:noProof/>
                <w:webHidden/>
              </w:rPr>
              <w:t>14</w:t>
            </w:r>
            <w:r>
              <w:rPr>
                <w:noProof/>
                <w:webHidden/>
              </w:rPr>
              <w:fldChar w:fldCharType="end"/>
            </w:r>
          </w:hyperlink>
        </w:p>
        <w:p w:rsidR="00151DA8" w:rsidRDefault="006B04DE">
          <w:pPr>
            <w:pStyle w:val="TOC2"/>
            <w:tabs>
              <w:tab w:val="right" w:leader="dot" w:pos="9156"/>
            </w:tabs>
            <w:rPr>
              <w:rFonts w:asciiTheme="minorHAnsi" w:eastAsiaTheme="minorEastAsia" w:hAnsiTheme="minorHAnsi" w:cstheme="minorBidi"/>
              <w:noProof/>
            </w:rPr>
          </w:pPr>
          <w:hyperlink w:anchor="_Toc227453490" w:history="1">
            <w:r w:rsidR="00151DA8" w:rsidRPr="00701209">
              <w:rPr>
                <w:rStyle w:val="Hyperlink"/>
                <w:rFonts w:eastAsia="Georgia"/>
                <w:noProof/>
              </w:rPr>
              <w:t>6.1  Retained Earnings</w:t>
            </w:r>
            <w:r w:rsidR="00151DA8">
              <w:rPr>
                <w:noProof/>
                <w:webHidden/>
              </w:rPr>
              <w:tab/>
            </w:r>
            <w:r>
              <w:rPr>
                <w:noProof/>
                <w:webHidden/>
              </w:rPr>
              <w:fldChar w:fldCharType="begin"/>
            </w:r>
            <w:r w:rsidR="00151DA8">
              <w:rPr>
                <w:noProof/>
                <w:webHidden/>
              </w:rPr>
              <w:instrText xml:space="preserve"> PAGEREF _Toc227453490 \h </w:instrText>
            </w:r>
            <w:r>
              <w:rPr>
                <w:noProof/>
                <w:webHidden/>
              </w:rPr>
            </w:r>
            <w:r>
              <w:rPr>
                <w:noProof/>
                <w:webHidden/>
              </w:rPr>
              <w:fldChar w:fldCharType="separate"/>
            </w:r>
            <w:r w:rsidR="00151DA8">
              <w:rPr>
                <w:noProof/>
                <w:webHidden/>
              </w:rPr>
              <w:t>14</w:t>
            </w:r>
            <w:r>
              <w:rPr>
                <w:noProof/>
                <w:webHidden/>
              </w:rPr>
              <w:fldChar w:fldCharType="end"/>
            </w:r>
          </w:hyperlink>
        </w:p>
        <w:p w:rsidR="00151DA8" w:rsidRDefault="006B04DE">
          <w:pPr>
            <w:pStyle w:val="TOC2"/>
            <w:tabs>
              <w:tab w:val="right" w:leader="dot" w:pos="9156"/>
            </w:tabs>
            <w:rPr>
              <w:rFonts w:asciiTheme="minorHAnsi" w:eastAsiaTheme="minorEastAsia" w:hAnsiTheme="minorHAnsi" w:cstheme="minorBidi"/>
              <w:noProof/>
            </w:rPr>
          </w:pPr>
          <w:hyperlink w:anchor="_Toc227453491" w:history="1">
            <w:r w:rsidR="00151DA8" w:rsidRPr="00701209">
              <w:rPr>
                <w:rStyle w:val="Hyperlink"/>
                <w:rFonts w:eastAsia="Georgia"/>
                <w:noProof/>
              </w:rPr>
              <w:t>6.2  Bank Term Loan (Secured Debt)</w:t>
            </w:r>
            <w:r w:rsidR="00151DA8">
              <w:rPr>
                <w:noProof/>
                <w:webHidden/>
              </w:rPr>
              <w:tab/>
            </w:r>
            <w:r>
              <w:rPr>
                <w:noProof/>
                <w:webHidden/>
              </w:rPr>
              <w:fldChar w:fldCharType="begin"/>
            </w:r>
            <w:r w:rsidR="00151DA8">
              <w:rPr>
                <w:noProof/>
                <w:webHidden/>
              </w:rPr>
              <w:instrText xml:space="preserve"> PAGEREF _Toc227453491 \h </w:instrText>
            </w:r>
            <w:r>
              <w:rPr>
                <w:noProof/>
                <w:webHidden/>
              </w:rPr>
            </w:r>
            <w:r>
              <w:rPr>
                <w:noProof/>
                <w:webHidden/>
              </w:rPr>
              <w:fldChar w:fldCharType="separate"/>
            </w:r>
            <w:r w:rsidR="00151DA8">
              <w:rPr>
                <w:noProof/>
                <w:webHidden/>
              </w:rPr>
              <w:t>14</w:t>
            </w:r>
            <w:r>
              <w:rPr>
                <w:noProof/>
                <w:webHidden/>
              </w:rPr>
              <w:fldChar w:fldCharType="end"/>
            </w:r>
          </w:hyperlink>
        </w:p>
        <w:p w:rsidR="00151DA8" w:rsidRDefault="006B04DE">
          <w:pPr>
            <w:pStyle w:val="TOC2"/>
            <w:tabs>
              <w:tab w:val="right" w:leader="dot" w:pos="9156"/>
            </w:tabs>
            <w:rPr>
              <w:rFonts w:asciiTheme="minorHAnsi" w:eastAsiaTheme="minorEastAsia" w:hAnsiTheme="minorHAnsi" w:cstheme="minorBidi"/>
              <w:noProof/>
            </w:rPr>
          </w:pPr>
          <w:hyperlink w:anchor="_Toc227453492" w:history="1">
            <w:r w:rsidR="00151DA8" w:rsidRPr="00701209">
              <w:rPr>
                <w:rStyle w:val="Hyperlink"/>
                <w:rFonts w:eastAsia="Georgia"/>
                <w:noProof/>
              </w:rPr>
              <w:t>6.3  Equity Finance</w:t>
            </w:r>
            <w:r w:rsidR="00151DA8">
              <w:rPr>
                <w:noProof/>
                <w:webHidden/>
              </w:rPr>
              <w:tab/>
            </w:r>
            <w:r>
              <w:rPr>
                <w:noProof/>
                <w:webHidden/>
              </w:rPr>
              <w:fldChar w:fldCharType="begin"/>
            </w:r>
            <w:r w:rsidR="00151DA8">
              <w:rPr>
                <w:noProof/>
                <w:webHidden/>
              </w:rPr>
              <w:instrText xml:space="preserve"> PAGEREF _Toc227453492 \h </w:instrText>
            </w:r>
            <w:r>
              <w:rPr>
                <w:noProof/>
                <w:webHidden/>
              </w:rPr>
            </w:r>
            <w:r>
              <w:rPr>
                <w:noProof/>
                <w:webHidden/>
              </w:rPr>
              <w:fldChar w:fldCharType="separate"/>
            </w:r>
            <w:r w:rsidR="00151DA8">
              <w:rPr>
                <w:noProof/>
                <w:webHidden/>
              </w:rPr>
              <w:t>14</w:t>
            </w:r>
            <w:r>
              <w:rPr>
                <w:noProof/>
                <w:webHidden/>
              </w:rPr>
              <w:fldChar w:fldCharType="end"/>
            </w:r>
          </w:hyperlink>
        </w:p>
        <w:p w:rsidR="00151DA8" w:rsidRDefault="006B04DE">
          <w:pPr>
            <w:pStyle w:val="TOC2"/>
            <w:tabs>
              <w:tab w:val="right" w:leader="dot" w:pos="9156"/>
            </w:tabs>
            <w:rPr>
              <w:rFonts w:asciiTheme="minorHAnsi" w:eastAsiaTheme="minorEastAsia" w:hAnsiTheme="minorHAnsi" w:cstheme="minorBidi"/>
              <w:noProof/>
            </w:rPr>
          </w:pPr>
          <w:hyperlink w:anchor="_Toc227453493" w:history="1">
            <w:r w:rsidR="00151DA8" w:rsidRPr="00701209">
              <w:rPr>
                <w:rStyle w:val="Hyperlink"/>
                <w:rFonts w:eastAsia="Georgia"/>
                <w:noProof/>
              </w:rPr>
              <w:t>6.4  Asset Finance and Leasing</w:t>
            </w:r>
            <w:r w:rsidR="00151DA8">
              <w:rPr>
                <w:noProof/>
                <w:webHidden/>
              </w:rPr>
              <w:tab/>
            </w:r>
            <w:r>
              <w:rPr>
                <w:noProof/>
                <w:webHidden/>
              </w:rPr>
              <w:fldChar w:fldCharType="begin"/>
            </w:r>
            <w:r w:rsidR="00151DA8">
              <w:rPr>
                <w:noProof/>
                <w:webHidden/>
              </w:rPr>
              <w:instrText xml:space="preserve"> PAGEREF _Toc227453493 \h </w:instrText>
            </w:r>
            <w:r>
              <w:rPr>
                <w:noProof/>
                <w:webHidden/>
              </w:rPr>
            </w:r>
            <w:r>
              <w:rPr>
                <w:noProof/>
                <w:webHidden/>
              </w:rPr>
              <w:fldChar w:fldCharType="separate"/>
            </w:r>
            <w:r w:rsidR="00151DA8">
              <w:rPr>
                <w:noProof/>
                <w:webHidden/>
              </w:rPr>
              <w:t>15</w:t>
            </w:r>
            <w:r>
              <w:rPr>
                <w:noProof/>
                <w:webHidden/>
              </w:rPr>
              <w:fldChar w:fldCharType="end"/>
            </w:r>
          </w:hyperlink>
        </w:p>
        <w:p w:rsidR="00151DA8" w:rsidRDefault="006B04DE">
          <w:pPr>
            <w:pStyle w:val="TOC2"/>
            <w:tabs>
              <w:tab w:val="right" w:leader="dot" w:pos="9156"/>
            </w:tabs>
            <w:rPr>
              <w:rFonts w:asciiTheme="minorHAnsi" w:eastAsiaTheme="minorEastAsia" w:hAnsiTheme="minorHAnsi" w:cstheme="minorBidi"/>
              <w:noProof/>
            </w:rPr>
          </w:pPr>
          <w:hyperlink w:anchor="_Toc227453494" w:history="1">
            <w:r w:rsidR="00151DA8" w:rsidRPr="00701209">
              <w:rPr>
                <w:rStyle w:val="Hyperlink"/>
                <w:rFonts w:eastAsia="Georgia"/>
                <w:noProof/>
              </w:rPr>
              <w:t>6.5  Government Enterprise Finance Schemes</w:t>
            </w:r>
            <w:r w:rsidR="00151DA8">
              <w:rPr>
                <w:noProof/>
                <w:webHidden/>
              </w:rPr>
              <w:tab/>
            </w:r>
            <w:r>
              <w:rPr>
                <w:noProof/>
                <w:webHidden/>
              </w:rPr>
              <w:fldChar w:fldCharType="begin"/>
            </w:r>
            <w:r w:rsidR="00151DA8">
              <w:rPr>
                <w:noProof/>
                <w:webHidden/>
              </w:rPr>
              <w:instrText xml:space="preserve"> PAGEREF _Toc227453494 \h </w:instrText>
            </w:r>
            <w:r>
              <w:rPr>
                <w:noProof/>
                <w:webHidden/>
              </w:rPr>
            </w:r>
            <w:r>
              <w:rPr>
                <w:noProof/>
                <w:webHidden/>
              </w:rPr>
              <w:fldChar w:fldCharType="separate"/>
            </w:r>
            <w:r w:rsidR="00151DA8">
              <w:rPr>
                <w:noProof/>
                <w:webHidden/>
              </w:rPr>
              <w:t>15</w:t>
            </w:r>
            <w:r>
              <w:rPr>
                <w:noProof/>
                <w:webHidden/>
              </w:rPr>
              <w:fldChar w:fldCharType="end"/>
            </w:r>
          </w:hyperlink>
        </w:p>
        <w:p w:rsidR="00151DA8" w:rsidRDefault="006B04DE">
          <w:pPr>
            <w:pStyle w:val="TOC1"/>
            <w:tabs>
              <w:tab w:val="right" w:leader="dot" w:pos="9156"/>
            </w:tabs>
            <w:rPr>
              <w:rFonts w:asciiTheme="minorHAnsi" w:eastAsiaTheme="minorEastAsia" w:hAnsiTheme="minorHAnsi" w:cstheme="minorBidi"/>
              <w:noProof/>
            </w:rPr>
          </w:pPr>
          <w:hyperlink w:anchor="_Toc227453495" w:history="1">
            <w:r w:rsidR="00151DA8" w:rsidRPr="00701209">
              <w:rPr>
                <w:rStyle w:val="Hyperlink"/>
                <w:noProof/>
              </w:rPr>
              <w:t>References</w:t>
            </w:r>
            <w:r w:rsidR="00151DA8">
              <w:rPr>
                <w:noProof/>
                <w:webHidden/>
              </w:rPr>
              <w:tab/>
            </w:r>
            <w:r>
              <w:rPr>
                <w:noProof/>
                <w:webHidden/>
              </w:rPr>
              <w:fldChar w:fldCharType="begin"/>
            </w:r>
            <w:r w:rsidR="00151DA8">
              <w:rPr>
                <w:noProof/>
                <w:webHidden/>
              </w:rPr>
              <w:instrText xml:space="preserve"> PAGEREF _Toc227453495 \h </w:instrText>
            </w:r>
            <w:r>
              <w:rPr>
                <w:noProof/>
                <w:webHidden/>
              </w:rPr>
            </w:r>
            <w:r>
              <w:rPr>
                <w:noProof/>
                <w:webHidden/>
              </w:rPr>
              <w:fldChar w:fldCharType="separate"/>
            </w:r>
            <w:r w:rsidR="00151DA8">
              <w:rPr>
                <w:noProof/>
                <w:webHidden/>
              </w:rPr>
              <w:t>16</w:t>
            </w:r>
            <w:r>
              <w:rPr>
                <w:noProof/>
                <w:webHidden/>
              </w:rPr>
              <w:fldChar w:fldCharType="end"/>
            </w:r>
          </w:hyperlink>
        </w:p>
        <w:p w:rsidR="00151DA8" w:rsidRDefault="006B04DE">
          <w:pPr>
            <w:pStyle w:val="TOC1"/>
            <w:tabs>
              <w:tab w:val="right" w:leader="dot" w:pos="9156"/>
            </w:tabs>
            <w:rPr>
              <w:rFonts w:asciiTheme="minorHAnsi" w:eastAsiaTheme="minorEastAsia" w:hAnsiTheme="minorHAnsi" w:cstheme="minorBidi"/>
              <w:noProof/>
            </w:rPr>
          </w:pPr>
          <w:hyperlink w:anchor="_Toc227453496" w:history="1">
            <w:r w:rsidR="00151DA8" w:rsidRPr="00701209">
              <w:rPr>
                <w:rStyle w:val="Hyperlink"/>
                <w:noProof/>
              </w:rPr>
              <w:t>Appendices</w:t>
            </w:r>
            <w:r w:rsidR="00151DA8">
              <w:rPr>
                <w:noProof/>
                <w:webHidden/>
              </w:rPr>
              <w:tab/>
            </w:r>
            <w:r>
              <w:rPr>
                <w:noProof/>
                <w:webHidden/>
              </w:rPr>
              <w:fldChar w:fldCharType="begin"/>
            </w:r>
            <w:r w:rsidR="00151DA8">
              <w:rPr>
                <w:noProof/>
                <w:webHidden/>
              </w:rPr>
              <w:instrText xml:space="preserve"> PAGEREF _Toc227453496 \h </w:instrText>
            </w:r>
            <w:r>
              <w:rPr>
                <w:noProof/>
                <w:webHidden/>
              </w:rPr>
            </w:r>
            <w:r>
              <w:rPr>
                <w:noProof/>
                <w:webHidden/>
              </w:rPr>
              <w:fldChar w:fldCharType="separate"/>
            </w:r>
            <w:r w:rsidR="00151DA8">
              <w:rPr>
                <w:noProof/>
                <w:webHidden/>
              </w:rPr>
              <w:t>18</w:t>
            </w:r>
            <w:r>
              <w:rPr>
                <w:noProof/>
                <w:webHidden/>
              </w:rPr>
              <w:fldChar w:fldCharType="end"/>
            </w:r>
          </w:hyperlink>
        </w:p>
        <w:p w:rsidR="00151DA8" w:rsidRDefault="006B04DE">
          <w:pPr>
            <w:pStyle w:val="TOC2"/>
            <w:tabs>
              <w:tab w:val="right" w:leader="dot" w:pos="9156"/>
            </w:tabs>
            <w:rPr>
              <w:rFonts w:asciiTheme="minorHAnsi" w:eastAsiaTheme="minorEastAsia" w:hAnsiTheme="minorHAnsi" w:cstheme="minorBidi"/>
              <w:noProof/>
            </w:rPr>
          </w:pPr>
          <w:hyperlink w:anchor="_Toc227453497" w:history="1">
            <w:r w:rsidR="00151DA8" w:rsidRPr="00701209">
              <w:rPr>
                <w:rStyle w:val="Hyperlink"/>
                <w:noProof/>
              </w:rPr>
              <w:t>Appendix A – Diageo plc: Financial Statements (FY2024 &amp; FY2025)</w:t>
            </w:r>
            <w:r w:rsidR="00151DA8">
              <w:rPr>
                <w:noProof/>
                <w:webHidden/>
              </w:rPr>
              <w:tab/>
            </w:r>
            <w:r>
              <w:rPr>
                <w:noProof/>
                <w:webHidden/>
              </w:rPr>
              <w:fldChar w:fldCharType="begin"/>
            </w:r>
            <w:r w:rsidR="00151DA8">
              <w:rPr>
                <w:noProof/>
                <w:webHidden/>
              </w:rPr>
              <w:instrText xml:space="preserve"> PAGEREF _Toc227453497 \h </w:instrText>
            </w:r>
            <w:r>
              <w:rPr>
                <w:noProof/>
                <w:webHidden/>
              </w:rPr>
            </w:r>
            <w:r>
              <w:rPr>
                <w:noProof/>
                <w:webHidden/>
              </w:rPr>
              <w:fldChar w:fldCharType="separate"/>
            </w:r>
            <w:r w:rsidR="00151DA8">
              <w:rPr>
                <w:noProof/>
                <w:webHidden/>
              </w:rPr>
              <w:t>18</w:t>
            </w:r>
            <w:r>
              <w:rPr>
                <w:noProof/>
                <w:webHidden/>
              </w:rPr>
              <w:fldChar w:fldCharType="end"/>
            </w:r>
          </w:hyperlink>
        </w:p>
        <w:p w:rsidR="00151DA8" w:rsidRDefault="006B04DE">
          <w:pPr>
            <w:pStyle w:val="TOC2"/>
            <w:tabs>
              <w:tab w:val="right" w:leader="dot" w:pos="9156"/>
            </w:tabs>
            <w:rPr>
              <w:rFonts w:asciiTheme="minorHAnsi" w:eastAsiaTheme="minorEastAsia" w:hAnsiTheme="minorHAnsi" w:cstheme="minorBidi"/>
              <w:noProof/>
            </w:rPr>
          </w:pPr>
          <w:hyperlink w:anchor="_Toc227453498" w:history="1">
            <w:r w:rsidR="00151DA8" w:rsidRPr="00701209">
              <w:rPr>
                <w:rStyle w:val="Hyperlink"/>
                <w:noProof/>
              </w:rPr>
              <w:t>Appendix C – Westward Plc: After-Tax Cash Flow Workings</w:t>
            </w:r>
            <w:r w:rsidR="00151DA8">
              <w:rPr>
                <w:noProof/>
                <w:webHidden/>
              </w:rPr>
              <w:tab/>
            </w:r>
            <w:r>
              <w:rPr>
                <w:noProof/>
                <w:webHidden/>
              </w:rPr>
              <w:fldChar w:fldCharType="begin"/>
            </w:r>
            <w:r w:rsidR="00151DA8">
              <w:rPr>
                <w:noProof/>
                <w:webHidden/>
              </w:rPr>
              <w:instrText xml:space="preserve"> PAGEREF _Toc227453498 \h </w:instrText>
            </w:r>
            <w:r>
              <w:rPr>
                <w:noProof/>
                <w:webHidden/>
              </w:rPr>
            </w:r>
            <w:r>
              <w:rPr>
                <w:noProof/>
                <w:webHidden/>
              </w:rPr>
              <w:fldChar w:fldCharType="separate"/>
            </w:r>
            <w:r w:rsidR="00151DA8">
              <w:rPr>
                <w:noProof/>
                <w:webHidden/>
              </w:rPr>
              <w:t>23</w:t>
            </w:r>
            <w:r>
              <w:rPr>
                <w:noProof/>
                <w:webHidden/>
              </w:rPr>
              <w:fldChar w:fldCharType="end"/>
            </w:r>
          </w:hyperlink>
        </w:p>
        <w:p w:rsidR="00AE7AFE" w:rsidRPr="00151DA8" w:rsidRDefault="006B04DE" w:rsidP="00151DA8">
          <w:r>
            <w:rPr>
              <w:b/>
              <w:bCs/>
              <w:noProof/>
            </w:rPr>
            <w:fldChar w:fldCharType="end"/>
          </w:r>
        </w:p>
      </w:sdtContent>
    </w:sdt>
    <w:p w:rsidR="00BA7389" w:rsidRPr="00597234" w:rsidRDefault="00BA7389" w:rsidP="00597234">
      <w:pPr>
        <w:pStyle w:val="Heading1"/>
        <w:rPr>
          <w:color w:val="auto"/>
        </w:rPr>
      </w:pPr>
      <w:bookmarkStart w:id="2" w:name="_Toc227354134"/>
      <w:bookmarkStart w:id="3" w:name="_Toc227359527"/>
      <w:bookmarkStart w:id="4" w:name="_Toc227453462"/>
      <w:r w:rsidRPr="00597234">
        <w:rPr>
          <w:color w:val="auto"/>
        </w:rPr>
        <w:lastRenderedPageBreak/>
        <w:t>Part 1: Financial Performance Analysis of Diageo plc</w:t>
      </w:r>
      <w:bookmarkEnd w:id="2"/>
      <w:bookmarkEnd w:id="3"/>
      <w:bookmarkEnd w:id="4"/>
    </w:p>
    <w:p w:rsidR="00BA7389" w:rsidRPr="00597234" w:rsidRDefault="00BA7389" w:rsidP="00597234">
      <w:pPr>
        <w:pStyle w:val="Heading1"/>
        <w:rPr>
          <w:color w:val="auto"/>
        </w:rPr>
      </w:pPr>
      <w:bookmarkStart w:id="5" w:name="_Toc227354135"/>
      <w:bookmarkStart w:id="6" w:name="_Toc227359528"/>
      <w:bookmarkStart w:id="7" w:name="_Toc227453463"/>
      <w:r w:rsidRPr="00597234">
        <w:rPr>
          <w:color w:val="auto"/>
        </w:rPr>
        <w:t>Introduction</w:t>
      </w:r>
      <w:bookmarkEnd w:id="5"/>
      <w:bookmarkEnd w:id="6"/>
      <w:bookmarkEnd w:id="7"/>
    </w:p>
    <w:p w:rsidR="00BA7389" w:rsidRPr="00597234" w:rsidRDefault="00BA7389" w:rsidP="00597234">
      <w:pPr>
        <w:spacing w:line="276" w:lineRule="auto"/>
        <w:jc w:val="both"/>
        <w:rPr>
          <w:sz w:val="24"/>
          <w:szCs w:val="24"/>
        </w:rPr>
      </w:pPr>
      <w:bookmarkStart w:id="8" w:name="_Toc227354136"/>
      <w:r w:rsidRPr="00597234">
        <w:rPr>
          <w:sz w:val="24"/>
          <w:szCs w:val="24"/>
        </w:rPr>
        <w:t>Diageo plc is a major firm in high quality alcohol business in the entire globe. It has an outstanding portfolio of over 200 brands, including Johnnie Walker, Guinness and Smirnoff that are consumed by people in over 180 countries (Diageo, 2025). The business of this particular consumer goods industry involves huge investments in worldwide brand marketing and inventory preservation. It has complex operation demands and requires a strong financial standing to facilitate their operation and provide regular dividend payouts to shareholders (Niu, 2024).</w:t>
      </w:r>
    </w:p>
    <w:p w:rsidR="00BA7389" w:rsidRPr="00597234" w:rsidRDefault="00BA7389" w:rsidP="00597234">
      <w:pPr>
        <w:spacing w:line="276" w:lineRule="auto"/>
        <w:jc w:val="both"/>
        <w:rPr>
          <w:sz w:val="24"/>
          <w:szCs w:val="24"/>
        </w:rPr>
      </w:pPr>
      <w:r w:rsidRPr="00597234">
        <w:rPr>
          <w:sz w:val="24"/>
          <w:szCs w:val="24"/>
        </w:rPr>
        <w:t>The main aim of this report is to provide an in-depth financial analysis of the Diageo plc to the senior management team that includes the fiscal years 2024 and 2025. Published financial statements are a crucial means of communication, as it gives the stakeholders a chance to assess the past performance and adopt future business strategies. The systematic application of the ratio analysis is employed in this report to transform the tricky accounting numbers into managerial knowledge (Arunkumar, 2025).</w:t>
      </w:r>
    </w:p>
    <w:p w:rsidR="00BA7389" w:rsidRPr="00597234" w:rsidRDefault="00BA7389" w:rsidP="00597234">
      <w:pPr>
        <w:spacing w:line="276" w:lineRule="auto"/>
        <w:jc w:val="both"/>
        <w:rPr>
          <w:b/>
          <w:bCs/>
          <w:sz w:val="24"/>
          <w:szCs w:val="24"/>
        </w:rPr>
      </w:pPr>
      <w:r w:rsidRPr="00597234">
        <w:rPr>
          <w:sz w:val="24"/>
          <w:szCs w:val="24"/>
        </w:rPr>
        <w:t>This evaluation will be based on the five key performance categories; profitability, liquidity, gearing, efficiency and investor returns. The trend analysis of the two years has demonstrated the strengths of the company in their operations and those areas that might result in a source of financial risk (Andiena et al., 2024). Limitations that come with the inherent application of ratio analysis will also be identified in the discussion and finally, actionable recommendations of the overall financial strategy of the organisation will be made (Effiong and Enya, 2020).</w:t>
      </w:r>
    </w:p>
    <w:p w:rsidR="00BA7389" w:rsidRPr="00597234" w:rsidRDefault="00BA7389" w:rsidP="00597234">
      <w:pPr>
        <w:pStyle w:val="Heading1"/>
        <w:rPr>
          <w:color w:val="auto"/>
        </w:rPr>
      </w:pPr>
      <w:bookmarkStart w:id="9" w:name="_Toc227359529"/>
      <w:bookmarkStart w:id="10" w:name="_Toc227453464"/>
      <w:r w:rsidRPr="00597234">
        <w:rPr>
          <w:color w:val="auto"/>
        </w:rPr>
        <w:t>1. Strategic Financial Performance Review</w:t>
      </w:r>
      <w:bookmarkEnd w:id="8"/>
      <w:bookmarkEnd w:id="9"/>
      <w:bookmarkEnd w:id="10"/>
    </w:p>
    <w:p w:rsidR="00BA7389" w:rsidRPr="00597234" w:rsidRDefault="00BA7389" w:rsidP="00597234">
      <w:pPr>
        <w:spacing w:line="276" w:lineRule="auto"/>
        <w:jc w:val="both"/>
        <w:rPr>
          <w:b/>
          <w:bCs/>
          <w:sz w:val="24"/>
          <w:szCs w:val="24"/>
        </w:rPr>
      </w:pPr>
      <w:bookmarkStart w:id="11" w:name="_Toc227354137"/>
      <w:r w:rsidRPr="00597234">
        <w:rPr>
          <w:sz w:val="24"/>
          <w:szCs w:val="24"/>
        </w:rPr>
        <w:t>Financial statements are historical report of the activity of the corporate but absolute values need to be firmly contextualised in order to reflect the real health of operation in an organisation. To be able to perform this assessment, all the mathematical formulae, extraction and step by step ratios of the raw data have been divided and presented in Appendix B. This critical analysis is solely founded on the understanding of the calculated metrics so as to decide how well the executive management of Diageo plc has been able to manoeuvre the bus</w:t>
      </w:r>
      <w:r w:rsidR="00031F90">
        <w:rPr>
          <w:sz w:val="24"/>
          <w:szCs w:val="24"/>
        </w:rPr>
        <w:t xml:space="preserve">iness in a complex global micro </w:t>
      </w:r>
      <w:r w:rsidRPr="00597234">
        <w:rPr>
          <w:sz w:val="24"/>
          <w:szCs w:val="24"/>
        </w:rPr>
        <w:t>economic environment over the 2024 and 2025 financial years. The assessment is differentiated in a systematic manner in five thematic sections, which are margin evolution, working capital dynamics, capital structure, asset utilisation and shareholder value creation (Niu, 2024) (Matevosyan et al., 2023).</w:t>
      </w:r>
    </w:p>
    <w:p w:rsidR="00BA7389" w:rsidRPr="00597234" w:rsidRDefault="00BA7389" w:rsidP="00597234">
      <w:pPr>
        <w:pStyle w:val="Heading2"/>
        <w:rPr>
          <w:color w:val="auto"/>
        </w:rPr>
      </w:pPr>
      <w:bookmarkStart w:id="12" w:name="_Toc227359530"/>
      <w:bookmarkStart w:id="13" w:name="_Toc227453465"/>
      <w:r w:rsidRPr="00597234">
        <w:rPr>
          <w:color w:val="auto"/>
        </w:rPr>
        <w:t>1.1 Profitability Ratios</w:t>
      </w:r>
      <w:bookmarkEnd w:id="11"/>
      <w:bookmarkEnd w:id="12"/>
      <w:bookmarkEnd w:id="13"/>
    </w:p>
    <w:p w:rsidR="00BA7389" w:rsidRPr="00597234" w:rsidRDefault="00BA7389" w:rsidP="00597234">
      <w:pPr>
        <w:spacing w:line="276" w:lineRule="auto"/>
        <w:jc w:val="both"/>
        <w:rPr>
          <w:sz w:val="24"/>
          <w:szCs w:val="24"/>
        </w:rPr>
      </w:pPr>
      <w:r w:rsidRPr="00597234">
        <w:rPr>
          <w:sz w:val="24"/>
          <w:szCs w:val="24"/>
        </w:rPr>
        <w:t>The profitability ratios are employed to gauge the ability of the business to make profit out of the sales and capital used. These ratios are important to the Diageo company because they will tell whether the company is still registering high returns as the costs and challenging trading environments keep rising (Gu, 2025).</w:t>
      </w:r>
    </w:p>
    <w:p w:rsidR="00BA7389" w:rsidRPr="00597234" w:rsidRDefault="00BA7389" w:rsidP="00597234">
      <w:pPr>
        <w:spacing w:line="276" w:lineRule="auto"/>
        <w:jc w:val="both"/>
        <w:rPr>
          <w:sz w:val="24"/>
          <w:szCs w:val="24"/>
        </w:rPr>
      </w:pPr>
      <w:r w:rsidRPr="00597234">
        <w:rPr>
          <w:sz w:val="24"/>
          <w:szCs w:val="24"/>
        </w:rPr>
        <w:t xml:space="preserve">Diageo gross profit margin has been quite stable with a marginal decline of 60.18 (2024) to 60.13 (2025). This implies that the firm still enjoyed a high brand value and price power. A gross margin of more than 60 percent is an encouraging indicator of a manufacturing company, </w:t>
      </w:r>
      <w:r w:rsidRPr="00597234">
        <w:rPr>
          <w:sz w:val="24"/>
          <w:szCs w:val="24"/>
        </w:rPr>
        <w:lastRenderedPageBreak/>
        <w:t>and it means that Diageo was in a large capacity to safeguard its product margins (Brownlee, 2008).</w:t>
      </w:r>
    </w:p>
    <w:p w:rsidR="00BA7389" w:rsidRPr="00597234" w:rsidRDefault="00BA7389" w:rsidP="00597234">
      <w:pPr>
        <w:spacing w:line="276" w:lineRule="auto"/>
        <w:jc w:val="both"/>
        <w:rPr>
          <w:sz w:val="24"/>
          <w:szCs w:val="24"/>
        </w:rPr>
      </w:pPr>
      <w:r w:rsidRPr="00597234">
        <w:rPr>
          <w:sz w:val="24"/>
          <w:szCs w:val="24"/>
        </w:rPr>
        <w:t>Nonetheless, the operating profit margin decreased considerably in 2024 as compared to 29.61 percent in 2024, and 21.41 percent in 2025. This means that the operating expenses increased at a greater rate than revenue or other business forces affected the operating profit during the year (Losbichler et al., 2011). This is a warning to the management since it indicates that high gross margins did not necessarily result in high levels of operating performance (Khan, 2015).</w:t>
      </w:r>
    </w:p>
    <w:p w:rsidR="00BA7389" w:rsidRPr="00597234" w:rsidRDefault="00BA7389" w:rsidP="00597234">
      <w:pPr>
        <w:spacing w:line="276" w:lineRule="auto"/>
        <w:jc w:val="both"/>
        <w:rPr>
          <w:sz w:val="24"/>
          <w:szCs w:val="24"/>
        </w:rPr>
      </w:pPr>
      <w:r w:rsidRPr="00597234">
        <w:rPr>
          <w:sz w:val="24"/>
          <w:szCs w:val="24"/>
        </w:rPr>
        <w:t>The same case applies to the Return on Capital Employed (ROCE) that dropped to 11.23 compared to 16.85. It is an indication that the business is making a lower claim on the capital invested in doing business in 2025 compared to its claim in 2024. Even though the ratio is still positive, the decreasing tendency implies the decreased efficiency of the long-term funds use. The management should, therefore, re-evaluate whether the new investment and the operating decisions are paying off satisfactorily (Khan, 2015) (Esser and Jernigan, 2015).</w:t>
      </w:r>
    </w:p>
    <w:p w:rsidR="00BA7389" w:rsidRPr="00597234" w:rsidRDefault="00BA7389" w:rsidP="00597234">
      <w:pPr>
        <w:pStyle w:val="Heading2"/>
        <w:rPr>
          <w:color w:val="auto"/>
        </w:rPr>
      </w:pPr>
      <w:bookmarkStart w:id="14" w:name="_Toc227354138"/>
      <w:bookmarkStart w:id="15" w:name="_Toc227359531"/>
      <w:bookmarkStart w:id="16" w:name="_Toc227453466"/>
      <w:r w:rsidRPr="00597234">
        <w:rPr>
          <w:color w:val="auto"/>
        </w:rPr>
        <w:t>1.2 Liquidity Ratios</w:t>
      </w:r>
      <w:bookmarkEnd w:id="14"/>
      <w:bookmarkEnd w:id="15"/>
      <w:bookmarkEnd w:id="16"/>
    </w:p>
    <w:p w:rsidR="00BA7389" w:rsidRPr="00597234" w:rsidRDefault="00BA7389" w:rsidP="00597234">
      <w:pPr>
        <w:spacing w:before="140" w:line="276" w:lineRule="auto"/>
        <w:jc w:val="both"/>
        <w:rPr>
          <w:sz w:val="24"/>
          <w:szCs w:val="24"/>
        </w:rPr>
      </w:pPr>
      <w:r w:rsidRPr="00597234">
        <w:rPr>
          <w:sz w:val="24"/>
          <w:szCs w:val="24"/>
        </w:rPr>
        <w:t>Liquidity ratios are used to evaluate how the current assets can be used to settle the short-term liabilities as they fall due. The ratios are also crucial in an international company with a large scale of operation because the suppliers, employees and other operating commitments require consistent cash flow to go on with their daily activities (Endang Purwanti, 2022).</w:t>
      </w:r>
    </w:p>
    <w:p w:rsidR="00BA7389" w:rsidRPr="00597234" w:rsidRDefault="00BA7389" w:rsidP="00597234">
      <w:pPr>
        <w:spacing w:before="140" w:line="276" w:lineRule="auto"/>
        <w:jc w:val="both"/>
        <w:rPr>
          <w:sz w:val="24"/>
          <w:szCs w:val="24"/>
        </w:rPr>
      </w:pPr>
      <w:r w:rsidRPr="00597234">
        <w:rPr>
          <w:sz w:val="24"/>
          <w:szCs w:val="24"/>
        </w:rPr>
        <w:t>The current ratio of Diageo rose in 2025 to 1.63 as compared to 1.53 in 2024. This demonstrates that the company was slightly higher on the liquidity position in the short-term at 2025 and that increasing current assets can be used to cover current liabilities. In general, this means that the financial risk in the short-term was contained (Ying and Chan, 2025).</w:t>
      </w:r>
    </w:p>
    <w:p w:rsidR="00BA7389" w:rsidRPr="00597234" w:rsidRDefault="00BA7389" w:rsidP="00597234">
      <w:pPr>
        <w:spacing w:before="140" w:line="276" w:lineRule="auto"/>
        <w:jc w:val="both"/>
        <w:rPr>
          <w:sz w:val="24"/>
          <w:szCs w:val="24"/>
        </w:rPr>
      </w:pPr>
      <w:r w:rsidRPr="00597234">
        <w:rPr>
          <w:sz w:val="24"/>
          <w:szCs w:val="24"/>
        </w:rPr>
        <w:t>The quick ratio also was better as it was raised to 0.64. This is less than 1 but must be construed with caution since Diageo has large inventories as one of its business models. The inventory in the premium spirits business usually has products which must be aged before being sold. Therefore, a relatively low quick ratio is not an exception (Ali Gull, 2013).</w:t>
      </w:r>
    </w:p>
    <w:p w:rsidR="00597234" w:rsidRPr="00597234" w:rsidRDefault="00BA7389" w:rsidP="00597234">
      <w:pPr>
        <w:spacing w:before="140" w:line="276" w:lineRule="auto"/>
        <w:jc w:val="both"/>
        <w:rPr>
          <w:sz w:val="24"/>
          <w:szCs w:val="24"/>
        </w:rPr>
      </w:pPr>
      <w:r w:rsidRPr="00597234">
        <w:rPr>
          <w:sz w:val="24"/>
          <w:szCs w:val="24"/>
        </w:rPr>
        <w:t>In general, the liquidity situation is satisfactory. The increase in the two liquidity ratios suggest that the company has been relatively stable in the short-run financially, although, it is still important to note the working capital (Lyroudi and Lazaridis, 2000).</w:t>
      </w:r>
    </w:p>
    <w:p w:rsidR="00BA7389" w:rsidRPr="00597234" w:rsidRDefault="00BA7389" w:rsidP="00597234">
      <w:pPr>
        <w:pStyle w:val="Heading2"/>
        <w:rPr>
          <w:color w:val="auto"/>
        </w:rPr>
      </w:pPr>
      <w:bookmarkStart w:id="17" w:name="_Toc227354139"/>
      <w:bookmarkStart w:id="18" w:name="_Toc227359532"/>
      <w:bookmarkStart w:id="19" w:name="_Toc227453467"/>
      <w:r w:rsidRPr="00597234">
        <w:rPr>
          <w:color w:val="auto"/>
        </w:rPr>
        <w:t>1.3 Gearing Ratios</w:t>
      </w:r>
      <w:bookmarkEnd w:id="17"/>
      <w:bookmarkEnd w:id="18"/>
      <w:bookmarkEnd w:id="19"/>
    </w:p>
    <w:p w:rsidR="00BA7389" w:rsidRPr="00597234" w:rsidRDefault="00BA7389" w:rsidP="00597234">
      <w:pPr>
        <w:spacing w:before="140" w:line="276" w:lineRule="auto"/>
        <w:jc w:val="both"/>
        <w:rPr>
          <w:sz w:val="24"/>
          <w:szCs w:val="24"/>
        </w:rPr>
      </w:pPr>
      <w:r w:rsidRPr="00597234">
        <w:rPr>
          <w:sz w:val="24"/>
          <w:szCs w:val="24"/>
        </w:rPr>
        <w:t>Gearing ratios are crucial sources of information about the financial riskiness of a business in the long run as they consider the proportion of the amount of funds the business has raised by way of external debt to the amount of funds contributed by the shareholders expressly.</w:t>
      </w:r>
    </w:p>
    <w:p w:rsidR="00BA7389" w:rsidRPr="00597234" w:rsidRDefault="00BA7389" w:rsidP="00597234">
      <w:pPr>
        <w:spacing w:before="140" w:line="276" w:lineRule="auto"/>
        <w:jc w:val="both"/>
        <w:rPr>
          <w:sz w:val="24"/>
          <w:szCs w:val="24"/>
        </w:rPr>
      </w:pPr>
      <w:r w:rsidRPr="00597234">
        <w:rPr>
          <w:sz w:val="24"/>
          <w:szCs w:val="24"/>
        </w:rPr>
        <w:t>Diageo has a very high capital structure. The debt equity ratio has been increasing; in 2024, it stood at 178.14 percent and the following year, it increased to 180.21 percent. The above ratio below 180 percent, the more significant is the fact, that the company is incredibly reliant on external borrowing, since it has nearly twice as much debt as the shareholder equity base. Such financial leverage would have been thought to be very high and a warning of credit rating downgrades in most conventional industries (Muradoglu, Bakke and Kvernes, 2005).</w:t>
      </w:r>
    </w:p>
    <w:p w:rsidR="00BA7389" w:rsidRPr="00597234" w:rsidRDefault="00BA7389" w:rsidP="00597234">
      <w:pPr>
        <w:spacing w:before="140" w:line="276" w:lineRule="auto"/>
        <w:jc w:val="both"/>
        <w:rPr>
          <w:sz w:val="24"/>
          <w:szCs w:val="24"/>
        </w:rPr>
      </w:pPr>
      <w:r w:rsidRPr="00597234">
        <w:rPr>
          <w:sz w:val="24"/>
          <w:szCs w:val="24"/>
        </w:rPr>
        <w:lastRenderedPageBreak/>
        <w:t>Further, the management tends to employ this borrowed capital strategically. They also rely on debt to fund important takeovers of new beverage brands to kill potential competition in the future, and to execute aggressive share buyback programmes. Although the present debt position can be easily brought under control because of the good cash flows, the board of directors should be on their guard. In a perplexing global macroeconomic environment where central bank interest rates are fluctuating, over 23 billion dollars aggregate borrowings exposes the company to rising interest costs. This will increase the cost of financing in case debt has to be refinanced at a higher future interest rate, potentially crippling the net profit margins in the future (İlhan Dalci, Hasan Ozyapici and Doğan Unlucan, 2019).</w:t>
      </w:r>
    </w:p>
    <w:p w:rsidR="00BA7389" w:rsidRPr="00597234" w:rsidRDefault="00BA7389" w:rsidP="00597234">
      <w:pPr>
        <w:pStyle w:val="Heading2"/>
        <w:rPr>
          <w:color w:val="auto"/>
        </w:rPr>
      </w:pPr>
      <w:bookmarkStart w:id="20" w:name="_Toc227354140"/>
      <w:bookmarkStart w:id="21" w:name="_Toc227359533"/>
      <w:bookmarkStart w:id="22" w:name="_Toc227453468"/>
      <w:r w:rsidRPr="00597234">
        <w:rPr>
          <w:color w:val="auto"/>
        </w:rPr>
        <w:t>1.4 Efficiency Ratios</w:t>
      </w:r>
      <w:bookmarkEnd w:id="20"/>
      <w:bookmarkEnd w:id="21"/>
      <w:bookmarkEnd w:id="22"/>
    </w:p>
    <w:p w:rsidR="00BA7389" w:rsidRPr="00597234" w:rsidRDefault="00BA7389" w:rsidP="00597234">
      <w:pPr>
        <w:spacing w:line="276" w:lineRule="auto"/>
        <w:jc w:val="both"/>
        <w:rPr>
          <w:sz w:val="24"/>
          <w:szCs w:val="24"/>
        </w:rPr>
      </w:pPr>
      <w:bookmarkStart w:id="23" w:name="_Toc227354141"/>
      <w:r w:rsidRPr="00597234">
        <w:rPr>
          <w:sz w:val="24"/>
          <w:szCs w:val="24"/>
        </w:rPr>
        <w:t>Activity ratios or efficiency measures are ratios that are used to gauge the vigor and efficiency by which the management team is utilizing the asset base of the company to produce sales revenue. Converting the physical stocks and accumulating cash in a short period of time is the convention of the activities in a global consumer goods company to have a prosperous business cycle.</w:t>
      </w:r>
    </w:p>
    <w:p w:rsidR="00BA7389" w:rsidRPr="00597234" w:rsidRDefault="00BA7389" w:rsidP="00597234">
      <w:pPr>
        <w:spacing w:line="276" w:lineRule="auto"/>
        <w:jc w:val="both"/>
        <w:rPr>
          <w:sz w:val="24"/>
          <w:szCs w:val="24"/>
        </w:rPr>
      </w:pPr>
      <w:r w:rsidRPr="00597234">
        <w:rPr>
          <w:sz w:val="24"/>
          <w:szCs w:val="24"/>
        </w:rPr>
        <w:t>Diageo has a very sluggish inventory turnover because it was anticipated according to the liquidity analysis when compared to the traditional retail businesses. Its turnover rate was slightly better since it was 0.83 times per year in 2024, and 0.76 times per year in 2025 (Eze Ibiam Eze, Oliver Ike Inyiama and Ikechukwu Ezugwu, 2024).</w:t>
      </w:r>
    </w:p>
    <w:p w:rsidR="00BA7389" w:rsidRPr="00597234" w:rsidRDefault="00BA7389" w:rsidP="00597234">
      <w:pPr>
        <w:spacing w:line="276" w:lineRule="auto"/>
        <w:jc w:val="both"/>
        <w:rPr>
          <w:b/>
          <w:bCs/>
          <w:sz w:val="24"/>
          <w:szCs w:val="24"/>
        </w:rPr>
      </w:pPr>
      <w:r w:rsidRPr="00597234">
        <w:rPr>
          <w:sz w:val="24"/>
          <w:szCs w:val="24"/>
        </w:rPr>
        <w:t>On the other hand, the receivables turnover ratio was stable and very healthy with 5.81 and 5.78 times in 2024 and 2025 respectively. This translates into an average collection period in cash of about 63 days. Having a stable and dependable collection cycle is a good pointer of a strong credit control unit. Diageo is able to effectively use its huge market strength to force its key distributors globally, hospitality establishments and international supermarket chains, to make favourable payment agreements. This makes sure that credit sales are changed to real liquid cash at the right time and predictable fashion avoiding bad debts and the cash operating cycle runs seamlessly (Eryatna, Eltivia and Handayawati, 2021).</w:t>
      </w:r>
    </w:p>
    <w:p w:rsidR="00BA7389" w:rsidRPr="00597234" w:rsidRDefault="00BA7389" w:rsidP="00597234">
      <w:pPr>
        <w:pStyle w:val="Heading2"/>
        <w:rPr>
          <w:color w:val="auto"/>
        </w:rPr>
      </w:pPr>
      <w:bookmarkStart w:id="24" w:name="_Toc227359534"/>
      <w:bookmarkStart w:id="25" w:name="_Toc227453469"/>
      <w:r w:rsidRPr="00597234">
        <w:rPr>
          <w:color w:val="auto"/>
        </w:rPr>
        <w:t>1.5 Investor Ratios</w:t>
      </w:r>
      <w:bookmarkEnd w:id="23"/>
      <w:bookmarkEnd w:id="24"/>
      <w:bookmarkEnd w:id="25"/>
    </w:p>
    <w:p w:rsidR="00BA7389" w:rsidRPr="00597234" w:rsidRDefault="00BA7389" w:rsidP="00597234">
      <w:pPr>
        <w:spacing w:before="140" w:line="276" w:lineRule="auto"/>
        <w:jc w:val="both"/>
        <w:rPr>
          <w:sz w:val="24"/>
          <w:szCs w:val="24"/>
        </w:rPr>
      </w:pPr>
      <w:r w:rsidRPr="00597234">
        <w:rPr>
          <w:sz w:val="24"/>
          <w:szCs w:val="24"/>
        </w:rPr>
        <w:t>Finally, the executive board has the main fiduciary role of producing actual financial gains to the equity shareholders. The final litmus test of corporate success is the investor ratios which are highly reviewed by the stock market in order to determine the appeal of the company shares and its ability to pay dividends.</w:t>
      </w:r>
    </w:p>
    <w:p w:rsidR="00BA7389" w:rsidRPr="00597234" w:rsidRDefault="00BA7389" w:rsidP="00597234">
      <w:pPr>
        <w:spacing w:before="140" w:line="276" w:lineRule="auto"/>
        <w:jc w:val="both"/>
        <w:rPr>
          <w:sz w:val="24"/>
          <w:szCs w:val="24"/>
        </w:rPr>
      </w:pPr>
      <w:r w:rsidRPr="00597234">
        <w:rPr>
          <w:sz w:val="24"/>
          <w:szCs w:val="24"/>
        </w:rPr>
        <w:t>The Return on Equity (ROE) ratio also dropped, declining to a staggering 19.26 percent in 2025 as compared to the incredible 34.51 percent in 2024. This sizeable fall is a direct mathematical impact of the reduction in the net profit of the year which has fallen significantly as compared to over 4.1 billion dollars and on to about 2.5 billion dollars. Such a drastic fall would give rise to alarm at first to retails investors but professionalism should be exercised.</w:t>
      </w:r>
    </w:p>
    <w:p w:rsidR="00BA7389" w:rsidRPr="00597234" w:rsidRDefault="00BA7389" w:rsidP="00597234">
      <w:pPr>
        <w:spacing w:before="140" w:line="276" w:lineRule="auto"/>
        <w:jc w:val="both"/>
        <w:rPr>
          <w:sz w:val="24"/>
          <w:szCs w:val="24"/>
        </w:rPr>
      </w:pPr>
      <w:r w:rsidRPr="00597234">
        <w:rPr>
          <w:sz w:val="24"/>
          <w:szCs w:val="24"/>
        </w:rPr>
        <w:t>This is a high payoff rate combined with a long history of the company paying high dividends to its investors in constant and non stagnant amounts makes Diageo a most attractive defensive stock among long term institutional investors (Lynch, Gillam and Forman, 2017).</w:t>
      </w:r>
    </w:p>
    <w:p w:rsidR="00BA7389" w:rsidRPr="00597234" w:rsidRDefault="00BA7389" w:rsidP="00597234">
      <w:pPr>
        <w:pStyle w:val="Heading1"/>
        <w:rPr>
          <w:color w:val="auto"/>
        </w:rPr>
      </w:pPr>
      <w:bookmarkStart w:id="26" w:name="_Toc227354142"/>
      <w:bookmarkStart w:id="27" w:name="_Toc227359535"/>
      <w:bookmarkStart w:id="28" w:name="_Toc227453470"/>
      <w:r w:rsidRPr="00597234">
        <w:rPr>
          <w:color w:val="auto"/>
        </w:rPr>
        <w:lastRenderedPageBreak/>
        <w:t>2. Limitations of Ratio Analysis</w:t>
      </w:r>
      <w:bookmarkEnd w:id="26"/>
      <w:bookmarkEnd w:id="27"/>
      <w:bookmarkEnd w:id="28"/>
    </w:p>
    <w:p w:rsidR="00BA7389" w:rsidRPr="00597234" w:rsidRDefault="00BA7389" w:rsidP="00597234">
      <w:pPr>
        <w:spacing w:line="276" w:lineRule="auto"/>
        <w:jc w:val="both"/>
        <w:rPr>
          <w:sz w:val="24"/>
          <w:szCs w:val="24"/>
        </w:rPr>
      </w:pPr>
      <w:bookmarkStart w:id="29" w:name="_Toc227354143"/>
      <w:r w:rsidRPr="00597234">
        <w:rPr>
          <w:sz w:val="24"/>
          <w:szCs w:val="24"/>
        </w:rPr>
        <w:t>Ratio analysis is an effective tool in assessing financial performance, but it has a number of weaknesses and cannot be applied alone by the management to make decisions.</w:t>
      </w:r>
    </w:p>
    <w:p w:rsidR="00BA7389" w:rsidRPr="00597234" w:rsidRDefault="00BA7389" w:rsidP="00597234">
      <w:pPr>
        <w:spacing w:line="276" w:lineRule="auto"/>
        <w:jc w:val="both"/>
        <w:rPr>
          <w:sz w:val="24"/>
          <w:szCs w:val="24"/>
        </w:rPr>
      </w:pPr>
      <w:r w:rsidRPr="00597234">
        <w:rPr>
          <w:sz w:val="24"/>
          <w:szCs w:val="24"/>
        </w:rPr>
        <w:t>Firstly, ratio analysis is based on the past financial statements. These 2024 and 2025 ratios can only be indicative of the past performance and not the future performance. Performance in future may also change depending on the change in consumer demand, taxation, exchange rates, cost of inputs and general economic conditions that cannot be fully explained by previous ratios.</w:t>
      </w:r>
    </w:p>
    <w:p w:rsidR="00BA7389" w:rsidRPr="00597234" w:rsidRDefault="00BA7389" w:rsidP="00597234">
      <w:pPr>
        <w:spacing w:line="276" w:lineRule="auto"/>
        <w:jc w:val="both"/>
        <w:rPr>
          <w:sz w:val="24"/>
          <w:szCs w:val="24"/>
        </w:rPr>
      </w:pPr>
      <w:r w:rsidRPr="00597234">
        <w:rPr>
          <w:sz w:val="24"/>
          <w:szCs w:val="24"/>
        </w:rPr>
        <w:t>Second, the ratio analysis does not capture qualitative aspects. The financial statements have not clearly captured critical strengths of Diageo brand name, quality of products, capacity to distribute products in the world and knowledge in management. These are aspects that may significantly influence the performance in the long term, but they cannot be easily quantified with ratios (Swee and Islam, 2026).</w:t>
      </w:r>
    </w:p>
    <w:p w:rsidR="00BA7389" w:rsidRPr="00597234" w:rsidRDefault="00BA7389" w:rsidP="00597234">
      <w:pPr>
        <w:spacing w:line="276" w:lineRule="auto"/>
        <w:jc w:val="both"/>
        <w:rPr>
          <w:sz w:val="24"/>
          <w:szCs w:val="24"/>
        </w:rPr>
      </w:pPr>
      <w:r w:rsidRPr="00597234">
        <w:rPr>
          <w:sz w:val="24"/>
          <w:szCs w:val="24"/>
        </w:rPr>
        <w:t>Third, the ratios can be construed differently, based on accounting policies and historical cost accounting. The certain asset values indicated in the statement of financial position do not always disclose the existing market values, and it can lead to a distortion of such measurements as ROCE or gearing (Rani et al., 2025).</w:t>
      </w:r>
    </w:p>
    <w:p w:rsidR="00BA7389" w:rsidRPr="00597234" w:rsidRDefault="00BA7389" w:rsidP="00597234">
      <w:pPr>
        <w:spacing w:line="276" w:lineRule="auto"/>
        <w:jc w:val="both"/>
        <w:rPr>
          <w:sz w:val="24"/>
          <w:szCs w:val="24"/>
        </w:rPr>
      </w:pPr>
      <w:r w:rsidRPr="00597234">
        <w:rPr>
          <w:sz w:val="24"/>
          <w:szCs w:val="24"/>
        </w:rPr>
        <w:t>Fourth, the analysis of ratios will be more relevant when comparisons are made carefully. There are different business models, cost structure and pattern of inventory in various industries. Therefore, the Diageo ratios cannot be evaluated within the context of the beverage industry in isolation unless they are directly compared to other companies that are not a part of the same industry.</w:t>
      </w:r>
    </w:p>
    <w:p w:rsidR="00BA7389" w:rsidRPr="00597234" w:rsidRDefault="00BA7389" w:rsidP="00597234">
      <w:pPr>
        <w:spacing w:line="276" w:lineRule="auto"/>
        <w:jc w:val="both"/>
        <w:rPr>
          <w:sz w:val="24"/>
          <w:szCs w:val="24"/>
        </w:rPr>
      </w:pPr>
      <w:r w:rsidRPr="00597234">
        <w:rPr>
          <w:sz w:val="24"/>
          <w:szCs w:val="24"/>
        </w:rPr>
        <w:t>Lastly, ratio analysis can be influenced by accounting judgment at the end of the year and choice of presentation. It means that the assistance of the ratios should be promoted with the help of the wider coverage of annual report notes, business strategy and market conditions.</w:t>
      </w:r>
    </w:p>
    <w:p w:rsidR="00BA7389" w:rsidRPr="00597234" w:rsidRDefault="00BA7389" w:rsidP="00597234">
      <w:pPr>
        <w:spacing w:line="276" w:lineRule="auto"/>
        <w:jc w:val="both"/>
        <w:rPr>
          <w:b/>
          <w:bCs/>
          <w:sz w:val="24"/>
          <w:szCs w:val="24"/>
        </w:rPr>
      </w:pPr>
      <w:r w:rsidRPr="00597234">
        <w:rPr>
          <w:sz w:val="24"/>
          <w:szCs w:val="24"/>
        </w:rPr>
        <w:t>Ratio analysis should therefore be viewed as one of the assistance tools of analysis but it has to be interwoven with the qualitative and strategic analysis and then conclusive decisions are reached.</w:t>
      </w:r>
    </w:p>
    <w:p w:rsidR="00BA7389" w:rsidRPr="00597234" w:rsidRDefault="00BA7389" w:rsidP="00597234">
      <w:pPr>
        <w:pStyle w:val="Heading1"/>
        <w:rPr>
          <w:color w:val="auto"/>
        </w:rPr>
      </w:pPr>
      <w:bookmarkStart w:id="30" w:name="_Toc227359536"/>
      <w:bookmarkStart w:id="31" w:name="_Toc227453471"/>
      <w:r w:rsidRPr="00597234">
        <w:rPr>
          <w:color w:val="auto"/>
        </w:rPr>
        <w:t>Conclusion</w:t>
      </w:r>
      <w:bookmarkEnd w:id="29"/>
      <w:bookmarkEnd w:id="30"/>
      <w:bookmarkEnd w:id="31"/>
    </w:p>
    <w:p w:rsidR="00BA7389" w:rsidRPr="00597234" w:rsidRDefault="00BA7389" w:rsidP="00597234">
      <w:pPr>
        <w:spacing w:line="276" w:lineRule="auto"/>
        <w:jc w:val="both"/>
        <w:rPr>
          <w:sz w:val="24"/>
          <w:szCs w:val="24"/>
        </w:rPr>
      </w:pPr>
      <w:bookmarkStart w:id="32" w:name="_Toc227354144"/>
      <w:r w:rsidRPr="00597234">
        <w:rPr>
          <w:sz w:val="24"/>
          <w:szCs w:val="24"/>
        </w:rPr>
        <w:t>The Diageo plc financial analysis is a financial analysis of the company that shows a combined overall performance of the company between 2024 and 2025. On the positive side, the firm had continued to have a high gross profit ratio of over 60 percent and a small increase in liquidity. This means that Diageo continued to have good brands, power of pricing and relatively stable short term financial position.</w:t>
      </w:r>
    </w:p>
    <w:p w:rsidR="00BA7389" w:rsidRPr="00597234" w:rsidRDefault="00BA7389" w:rsidP="00597234">
      <w:pPr>
        <w:spacing w:line="276" w:lineRule="auto"/>
        <w:jc w:val="both"/>
        <w:rPr>
          <w:sz w:val="24"/>
          <w:szCs w:val="24"/>
        </w:rPr>
      </w:pPr>
      <w:r w:rsidRPr="00597234">
        <w:rPr>
          <w:sz w:val="24"/>
          <w:szCs w:val="24"/>
        </w:rPr>
        <w:t>However, it also had its flaws. The operating profit margin decreased significantly and ROCE decreased also an indicator of reduced operating efficiency and reduced returns to capital used. In addition, the debt-equity ratio was extremely high and this increases the financial risk. Inventory turnover also decreased signifying that 2025 had a greater amount of capital tied up in inventory.</w:t>
      </w:r>
    </w:p>
    <w:p w:rsidR="00BA7389" w:rsidRDefault="00BA7389" w:rsidP="00597234">
      <w:pPr>
        <w:spacing w:line="276" w:lineRule="auto"/>
        <w:jc w:val="both"/>
        <w:rPr>
          <w:sz w:val="24"/>
          <w:szCs w:val="24"/>
        </w:rPr>
      </w:pPr>
      <w:r w:rsidRPr="00597234">
        <w:rPr>
          <w:sz w:val="24"/>
          <w:szCs w:val="24"/>
        </w:rPr>
        <w:t>All in all, Diageo is still a strong and lucrative company but the decrease in operating performance, and the regular use of debt shows that in the future, the management must pay more attention to cost management, working capital optimization and capital discipline (Niu, 2024).</w:t>
      </w:r>
    </w:p>
    <w:p w:rsidR="00BA7389" w:rsidRPr="00597234" w:rsidRDefault="00BA7389" w:rsidP="00597234">
      <w:pPr>
        <w:pStyle w:val="Heading1"/>
        <w:rPr>
          <w:color w:val="auto"/>
        </w:rPr>
      </w:pPr>
      <w:bookmarkStart w:id="33" w:name="_Toc227359537"/>
      <w:bookmarkStart w:id="34" w:name="_Toc227453472"/>
      <w:r w:rsidRPr="00597234">
        <w:rPr>
          <w:color w:val="auto"/>
        </w:rPr>
        <w:lastRenderedPageBreak/>
        <w:t>Recommendations</w:t>
      </w:r>
      <w:bookmarkEnd w:id="32"/>
      <w:bookmarkEnd w:id="33"/>
      <w:bookmarkEnd w:id="34"/>
    </w:p>
    <w:p w:rsidR="00BA7389" w:rsidRPr="00597234" w:rsidRDefault="00BA7389" w:rsidP="00597234">
      <w:pPr>
        <w:spacing w:line="276" w:lineRule="auto"/>
        <w:jc w:val="both"/>
        <w:rPr>
          <w:sz w:val="24"/>
          <w:szCs w:val="24"/>
        </w:rPr>
      </w:pPr>
      <w:r w:rsidRPr="00597234">
        <w:rPr>
          <w:sz w:val="24"/>
          <w:szCs w:val="24"/>
        </w:rPr>
        <w:t>According to the analysis, it is suggested to improve the financial performance and long-term stability of Diageo with the help of the following recommendations.</w:t>
      </w:r>
    </w:p>
    <w:p w:rsidR="00BA7389" w:rsidRPr="00597234" w:rsidRDefault="00BA7389" w:rsidP="00597234">
      <w:pPr>
        <w:spacing w:line="276" w:lineRule="auto"/>
        <w:jc w:val="both"/>
        <w:rPr>
          <w:sz w:val="24"/>
          <w:szCs w:val="24"/>
        </w:rPr>
      </w:pPr>
    </w:p>
    <w:p w:rsidR="00BA7389" w:rsidRPr="00597234" w:rsidRDefault="00BA7389" w:rsidP="00597234">
      <w:pPr>
        <w:spacing w:line="276" w:lineRule="auto"/>
        <w:jc w:val="both"/>
        <w:rPr>
          <w:sz w:val="24"/>
          <w:szCs w:val="24"/>
        </w:rPr>
      </w:pPr>
      <w:r w:rsidRPr="00597234">
        <w:rPr>
          <w:b/>
          <w:bCs/>
          <w:sz w:val="24"/>
          <w:szCs w:val="24"/>
        </w:rPr>
        <w:t>Recommendation 1:</w:t>
      </w:r>
      <w:r w:rsidRPr="00597234">
        <w:rPr>
          <w:sz w:val="24"/>
          <w:szCs w:val="24"/>
        </w:rPr>
        <w:t xml:space="preserve"> Enhance cost control. The management should have a closer look at operating costs especially selling, marketing and administration costs. With a stricter control mechanism, it can assist in safeguarding the operating profit margin and enhance efficiency in general.</w:t>
      </w:r>
    </w:p>
    <w:p w:rsidR="00BA7389" w:rsidRPr="00597234" w:rsidRDefault="00BA7389" w:rsidP="00597234">
      <w:pPr>
        <w:spacing w:line="276" w:lineRule="auto"/>
        <w:jc w:val="both"/>
        <w:rPr>
          <w:sz w:val="24"/>
          <w:szCs w:val="24"/>
        </w:rPr>
      </w:pPr>
      <w:r w:rsidRPr="00597234">
        <w:rPr>
          <w:b/>
          <w:bCs/>
          <w:sz w:val="24"/>
          <w:szCs w:val="24"/>
        </w:rPr>
        <w:t>Recommendation 2:</w:t>
      </w:r>
      <w:r w:rsidRPr="00597234">
        <w:rPr>
          <w:sz w:val="24"/>
          <w:szCs w:val="24"/>
        </w:rPr>
        <w:t xml:space="preserve"> Decrease the risk of finance by the use of incremental debt management. The debt to equity ratio is very high and hence the company ought to consider settling some of its borrowings by utilizing some of its cash flow in the long run. Less geared would mitigate financial risk and enhance the resilience in case of an increase in interest costs.</w:t>
      </w:r>
    </w:p>
    <w:p w:rsidR="00BA7389" w:rsidRPr="00597234" w:rsidRDefault="00BA7389" w:rsidP="00597234">
      <w:pPr>
        <w:spacing w:line="276" w:lineRule="auto"/>
        <w:jc w:val="both"/>
        <w:rPr>
          <w:sz w:val="24"/>
          <w:szCs w:val="24"/>
        </w:rPr>
      </w:pPr>
      <w:r w:rsidRPr="00597234">
        <w:rPr>
          <w:b/>
          <w:bCs/>
          <w:sz w:val="24"/>
          <w:szCs w:val="24"/>
        </w:rPr>
        <w:t>Recommendation 3:</w:t>
      </w:r>
      <w:r w:rsidRPr="00597234">
        <w:rPr>
          <w:sz w:val="24"/>
          <w:szCs w:val="24"/>
        </w:rPr>
        <w:t xml:space="preserve"> Better inventory planning. Diageo business should also strengthen the demand forecasting and inventory planning, in such a way that the efficiency of the stock cannot be compromised at any time, without affecting the production and ageing requirements. Current working capital strain and effectiveness would be enhanced by better inventory management.</w:t>
      </w:r>
    </w:p>
    <w:p w:rsidR="00AE7AFE" w:rsidRPr="00597234" w:rsidRDefault="00BA7389" w:rsidP="00597234">
      <w:pPr>
        <w:spacing w:line="276" w:lineRule="auto"/>
        <w:jc w:val="both"/>
        <w:rPr>
          <w:sz w:val="24"/>
          <w:szCs w:val="24"/>
        </w:rPr>
      </w:pPr>
      <w:r w:rsidRPr="00597234">
        <w:rPr>
          <w:b/>
          <w:bCs/>
          <w:sz w:val="24"/>
          <w:szCs w:val="24"/>
        </w:rPr>
        <w:t>Recommendation 4:</w:t>
      </w:r>
      <w:r w:rsidRPr="00597234">
        <w:rPr>
          <w:sz w:val="24"/>
          <w:szCs w:val="24"/>
        </w:rPr>
        <w:t xml:space="preserve"> Update returns on capital investment. The management should also find out whether the new investments are paying off. More emphasis on allocation of capital and post investment review could be useful in enhancing ROCE in future.</w:t>
      </w:r>
      <w:r w:rsidRPr="00597234">
        <w:rPr>
          <w:sz w:val="24"/>
          <w:szCs w:val="24"/>
        </w:rPr>
        <w:br w:type="page"/>
      </w:r>
      <w:bookmarkStart w:id="35" w:name="_Toc227451814"/>
      <w:r w:rsidR="00E52464" w:rsidRPr="00597234">
        <w:rPr>
          <w:rStyle w:val="Heading1Char"/>
          <w:rFonts w:eastAsia="Georgia"/>
          <w:color w:val="auto"/>
        </w:rPr>
        <w:lastRenderedPageBreak/>
        <w:t>Part 2: Capital Investment Appraisal – Westward Plc</w:t>
      </w:r>
      <w:bookmarkEnd w:id="35"/>
    </w:p>
    <w:p w:rsidR="00AE7AFE" w:rsidRPr="00597234" w:rsidRDefault="00E52464" w:rsidP="00597234">
      <w:pPr>
        <w:pStyle w:val="Heading1"/>
        <w:rPr>
          <w:color w:val="auto"/>
        </w:rPr>
      </w:pPr>
      <w:bookmarkStart w:id="36" w:name="_Toc227451815"/>
      <w:bookmarkStart w:id="37" w:name="_Toc227453473"/>
      <w:r w:rsidRPr="00597234">
        <w:rPr>
          <w:rFonts w:eastAsia="Georgia"/>
          <w:color w:val="auto"/>
        </w:rPr>
        <w:t>1.  Context and Scope of the Appraisal</w:t>
      </w:r>
      <w:bookmarkEnd w:id="36"/>
      <w:bookmarkEnd w:id="37"/>
    </w:p>
    <w:p w:rsidR="00782E9E" w:rsidRPr="00597234" w:rsidRDefault="00782E9E" w:rsidP="00597234">
      <w:pPr>
        <w:spacing w:line="276" w:lineRule="auto"/>
        <w:jc w:val="both"/>
        <w:rPr>
          <w:rFonts w:eastAsia="Georgia"/>
          <w:sz w:val="24"/>
          <w:szCs w:val="24"/>
        </w:rPr>
      </w:pPr>
      <w:bookmarkStart w:id="38" w:name="_Toc227451816"/>
      <w:r w:rsidRPr="00597234">
        <w:rPr>
          <w:rFonts w:eastAsia="Georgia"/>
          <w:sz w:val="24"/>
          <w:szCs w:val="24"/>
        </w:rPr>
        <w:t>Westward Plc is a firm based in the United Kingdom, which produces quality curtains and window furnishings. The Board of Directors of the company has established three strategic investment options that are mutually exclusive under which the business can be grown within a four-year planning period. The choices available are: Option A - expansion of the current retail store to a full range of products (initial capital requirement: £600,000); Option B - development of an online direct to consumer sales facility (initial capital requirement: £1,000,000); and Option C - diversification into the manufacture of wooden blinds and Roman blinds (initial capital requirement: £1,600,000).</w:t>
      </w:r>
    </w:p>
    <w:p w:rsidR="00782E9E" w:rsidRPr="00597234" w:rsidRDefault="00782E9E" w:rsidP="00597234">
      <w:pPr>
        <w:spacing w:line="276" w:lineRule="auto"/>
        <w:jc w:val="both"/>
        <w:rPr>
          <w:rFonts w:eastAsia="Georgia"/>
          <w:b/>
          <w:bCs/>
          <w:sz w:val="24"/>
          <w:szCs w:val="24"/>
        </w:rPr>
      </w:pPr>
      <w:r w:rsidRPr="00597234">
        <w:rPr>
          <w:rFonts w:eastAsia="Georgia"/>
          <w:sz w:val="24"/>
          <w:szCs w:val="24"/>
        </w:rPr>
        <w:t>This appraisal has been prepared to help the Board make an informed decision in terms of finances and a sound strategy in making this investment. This methodology is a best practice in</w:t>
      </w:r>
      <w:r w:rsidR="00031F90">
        <w:rPr>
          <w:rFonts w:eastAsia="Georgia"/>
          <w:sz w:val="24"/>
          <w:szCs w:val="24"/>
        </w:rPr>
        <w:t xml:space="preserve"> corporate capital budgeting (Apri</w:t>
      </w:r>
      <w:r w:rsidRPr="00597234">
        <w:rPr>
          <w:rFonts w:eastAsia="Georgia"/>
          <w:sz w:val="24"/>
          <w:szCs w:val="24"/>
        </w:rPr>
        <w:t>l, 2020; Mclaney, 2017) with the following assumptions throughout: capital allowances are calculated on a straight-line basis of 20% of initial investment per annum, which results in annual allowances of £120,000 (Option A), 200,000 (</w:t>
      </w:r>
      <w:r w:rsidRPr="00597234">
        <w:rPr>
          <w:rFonts w:eastAsia="Georgia"/>
          <w:b/>
          <w:bCs/>
          <w:sz w:val="24"/>
          <w:szCs w:val="24"/>
        </w:rPr>
        <w:t>Option B).</w:t>
      </w:r>
    </w:p>
    <w:p w:rsidR="00AE7AFE" w:rsidRPr="00597234" w:rsidRDefault="00E52464" w:rsidP="00597234">
      <w:pPr>
        <w:pStyle w:val="Heading1"/>
        <w:rPr>
          <w:color w:val="auto"/>
        </w:rPr>
      </w:pPr>
      <w:bookmarkStart w:id="39" w:name="_Toc227453474"/>
      <w:r w:rsidRPr="00597234">
        <w:rPr>
          <w:rFonts w:eastAsia="Georgia"/>
          <w:color w:val="auto"/>
        </w:rPr>
        <w:t>2.  Net Present Value Analysis</w:t>
      </w:r>
      <w:bookmarkEnd w:id="38"/>
      <w:bookmarkEnd w:id="39"/>
    </w:p>
    <w:p w:rsidR="00AE7AFE" w:rsidRPr="00597234" w:rsidRDefault="00031F90" w:rsidP="00597234">
      <w:pPr>
        <w:pStyle w:val="Heading2"/>
        <w:rPr>
          <w:color w:val="auto"/>
        </w:rPr>
      </w:pPr>
      <w:bookmarkStart w:id="40" w:name="_Toc227451817"/>
      <w:bookmarkStart w:id="41" w:name="_Toc227453475"/>
      <w:r>
        <w:rPr>
          <w:rFonts w:eastAsia="Georgia"/>
          <w:color w:val="auto"/>
        </w:rPr>
        <w:t>2.1</w:t>
      </w:r>
      <w:r w:rsidR="00E52464" w:rsidRPr="00597234">
        <w:rPr>
          <w:rFonts w:eastAsia="Georgia"/>
          <w:color w:val="auto"/>
        </w:rPr>
        <w:t xml:space="preserve"> Methodology</w:t>
      </w:r>
      <w:bookmarkEnd w:id="40"/>
      <w:bookmarkEnd w:id="41"/>
    </w:p>
    <w:p w:rsidR="009775D1" w:rsidRPr="009775D1" w:rsidRDefault="009775D1" w:rsidP="009775D1">
      <w:pPr>
        <w:spacing w:before="90" w:after="90" w:line="276" w:lineRule="auto"/>
        <w:jc w:val="both"/>
        <w:rPr>
          <w:rFonts w:eastAsia="Georgia"/>
          <w:sz w:val="24"/>
          <w:szCs w:val="24"/>
        </w:rPr>
      </w:pPr>
      <w:r w:rsidRPr="009775D1">
        <w:rPr>
          <w:rFonts w:eastAsia="Georgia"/>
          <w:sz w:val="24"/>
          <w:szCs w:val="24"/>
        </w:rPr>
        <w:t>The Net Present Value (NPV) method of capital investment appraisal is the most academically preferred and mathematically sound. The technique deducts the initial capital outlay and reduces any anticipated after-tax cash flows to the firm's current cost of capital. When two or more competing projects are taken into consideration, the project with the best positive net present value (NPV) provides wealth maximization and should be selected. A project with a positive NPV generates a shareholder value over the minimum</w:t>
      </w:r>
      <w:r w:rsidR="00031F90">
        <w:rPr>
          <w:rFonts w:eastAsia="Georgia"/>
          <w:sz w:val="24"/>
          <w:szCs w:val="24"/>
        </w:rPr>
        <w:t xml:space="preserve"> required return (Apri</w:t>
      </w:r>
      <w:r w:rsidRPr="009775D1">
        <w:rPr>
          <w:rFonts w:eastAsia="Georgia"/>
          <w:sz w:val="24"/>
          <w:szCs w:val="24"/>
        </w:rPr>
        <w:t>l, 2020).</w:t>
      </w:r>
    </w:p>
    <w:p w:rsidR="009775D1" w:rsidRPr="00597234" w:rsidRDefault="009775D1" w:rsidP="009775D1">
      <w:pPr>
        <w:spacing w:before="90" w:after="90" w:line="276" w:lineRule="auto"/>
        <w:jc w:val="both"/>
        <w:rPr>
          <w:sz w:val="24"/>
          <w:szCs w:val="24"/>
        </w:rPr>
      </w:pPr>
      <w:r w:rsidRPr="009775D1">
        <w:rPr>
          <w:rFonts w:eastAsia="Georgia"/>
          <w:sz w:val="24"/>
          <w:szCs w:val="24"/>
        </w:rPr>
        <w:t>After determining the taxable profit, which is the pre-tax cash flow less the yearly capital allowance, the pre-tax cash flows are taxed at the 25% corporation tax rate. The after-tax cash flow to be discounted is obtained by deducting the resulting tax charge from the pre-tax cash flow. The following 6% discount factors are used: First year: 0.9434; second year: 0.8900; third year: 0.8396; fourth year: 0.7921. Appendix C contains the after-tax calculations.</w:t>
      </w:r>
    </w:p>
    <w:p w:rsidR="00AE7AFE" w:rsidRPr="00597234" w:rsidRDefault="00031F90" w:rsidP="00597234">
      <w:pPr>
        <w:pStyle w:val="Heading2"/>
        <w:rPr>
          <w:color w:val="auto"/>
        </w:rPr>
      </w:pPr>
      <w:bookmarkStart w:id="42" w:name="_Toc227451818"/>
      <w:bookmarkStart w:id="43" w:name="_Toc227453476"/>
      <w:r>
        <w:rPr>
          <w:rFonts w:eastAsia="Georgia"/>
          <w:color w:val="auto"/>
        </w:rPr>
        <w:t>2.2</w:t>
      </w:r>
      <w:r w:rsidR="00E52464" w:rsidRPr="00597234">
        <w:rPr>
          <w:rFonts w:eastAsia="Georgia"/>
          <w:color w:val="auto"/>
        </w:rPr>
        <w:t xml:space="preserve"> NPV Calculation Table – All Three Options</w:t>
      </w:r>
      <w:bookmarkEnd w:id="42"/>
      <w:bookmarkEnd w:id="43"/>
    </w:p>
    <w:p w:rsidR="00AE7AFE" w:rsidRPr="00597234" w:rsidRDefault="00AE7AFE" w:rsidP="00597234">
      <w:pPr>
        <w:spacing w:before="60" w:line="276" w:lineRule="auto"/>
        <w:jc w:val="both"/>
        <w:rPr>
          <w:sz w:val="24"/>
          <w:szCs w:val="24"/>
        </w:rPr>
      </w:pPr>
    </w:p>
    <w:tbl>
      <w:tblPr>
        <w:tblStyle w:val="TableGrid"/>
        <w:tblW w:w="9026" w:type="dxa"/>
        <w:tblLook w:val="0000"/>
      </w:tblPr>
      <w:tblGrid>
        <w:gridCol w:w="2800"/>
        <w:gridCol w:w="2075"/>
        <w:gridCol w:w="2076"/>
        <w:gridCol w:w="2075"/>
      </w:tblGrid>
      <w:tr w:rsidR="00597234" w:rsidRPr="00597234" w:rsidTr="00BA7389">
        <w:tc>
          <w:tcPr>
            <w:tcW w:w="2800" w:type="dxa"/>
          </w:tcPr>
          <w:p w:rsidR="00AE7AFE" w:rsidRPr="00597234" w:rsidRDefault="00E52464" w:rsidP="00597234">
            <w:pPr>
              <w:spacing w:line="276" w:lineRule="auto"/>
              <w:jc w:val="both"/>
              <w:rPr>
                <w:sz w:val="24"/>
                <w:szCs w:val="24"/>
              </w:rPr>
            </w:pPr>
            <w:r w:rsidRPr="00597234">
              <w:rPr>
                <w:rFonts w:eastAsia="Georgia"/>
                <w:b/>
                <w:bCs/>
                <w:sz w:val="24"/>
                <w:szCs w:val="24"/>
              </w:rPr>
              <w:t>Item</w:t>
            </w:r>
          </w:p>
        </w:tc>
        <w:tc>
          <w:tcPr>
            <w:tcW w:w="2075" w:type="dxa"/>
          </w:tcPr>
          <w:p w:rsidR="00AE7AFE" w:rsidRPr="00597234" w:rsidRDefault="00E52464" w:rsidP="00597234">
            <w:pPr>
              <w:spacing w:line="276" w:lineRule="auto"/>
              <w:jc w:val="both"/>
              <w:rPr>
                <w:sz w:val="24"/>
                <w:szCs w:val="24"/>
              </w:rPr>
            </w:pPr>
            <w:r w:rsidRPr="00597234">
              <w:rPr>
                <w:rFonts w:eastAsia="Georgia"/>
                <w:b/>
                <w:bCs/>
                <w:sz w:val="24"/>
                <w:szCs w:val="24"/>
              </w:rPr>
              <w:t>Option A  (£600k)</w:t>
            </w:r>
          </w:p>
        </w:tc>
        <w:tc>
          <w:tcPr>
            <w:tcW w:w="2076" w:type="dxa"/>
          </w:tcPr>
          <w:p w:rsidR="00AE7AFE" w:rsidRPr="00597234" w:rsidRDefault="00E52464" w:rsidP="00597234">
            <w:pPr>
              <w:spacing w:line="276" w:lineRule="auto"/>
              <w:jc w:val="both"/>
              <w:rPr>
                <w:sz w:val="24"/>
                <w:szCs w:val="24"/>
              </w:rPr>
            </w:pPr>
            <w:r w:rsidRPr="00597234">
              <w:rPr>
                <w:rFonts w:eastAsia="Georgia"/>
                <w:b/>
                <w:bCs/>
                <w:sz w:val="24"/>
                <w:szCs w:val="24"/>
              </w:rPr>
              <w:t>Option B  (£1,000k)</w:t>
            </w:r>
          </w:p>
        </w:tc>
        <w:tc>
          <w:tcPr>
            <w:tcW w:w="2075" w:type="dxa"/>
          </w:tcPr>
          <w:p w:rsidR="00AE7AFE" w:rsidRPr="00597234" w:rsidRDefault="00E52464" w:rsidP="00597234">
            <w:pPr>
              <w:spacing w:line="276" w:lineRule="auto"/>
              <w:jc w:val="both"/>
              <w:rPr>
                <w:sz w:val="24"/>
                <w:szCs w:val="24"/>
              </w:rPr>
            </w:pPr>
            <w:r w:rsidRPr="00597234">
              <w:rPr>
                <w:rFonts w:eastAsia="Georgia"/>
                <w:b/>
                <w:bCs/>
                <w:sz w:val="24"/>
                <w:szCs w:val="24"/>
              </w:rPr>
              <w:t>Option C  (£1,600k)</w:t>
            </w:r>
          </w:p>
        </w:tc>
      </w:tr>
      <w:tr w:rsidR="00597234" w:rsidRPr="00597234" w:rsidTr="00BA7389">
        <w:tc>
          <w:tcPr>
            <w:tcW w:w="2800" w:type="dxa"/>
          </w:tcPr>
          <w:p w:rsidR="00AE7AFE" w:rsidRPr="00597234" w:rsidRDefault="00E52464" w:rsidP="00597234">
            <w:pPr>
              <w:spacing w:line="276" w:lineRule="auto"/>
              <w:jc w:val="both"/>
              <w:rPr>
                <w:sz w:val="24"/>
                <w:szCs w:val="24"/>
              </w:rPr>
            </w:pPr>
            <w:r w:rsidRPr="00597234">
              <w:rPr>
                <w:rFonts w:eastAsia="Georgia"/>
                <w:sz w:val="24"/>
                <w:szCs w:val="24"/>
              </w:rPr>
              <w:t>Initial Outlay (£000)</w:t>
            </w:r>
          </w:p>
        </w:tc>
        <w:tc>
          <w:tcPr>
            <w:tcW w:w="2075" w:type="dxa"/>
          </w:tcPr>
          <w:p w:rsidR="00AE7AFE" w:rsidRPr="00597234" w:rsidRDefault="00E52464" w:rsidP="00597234">
            <w:pPr>
              <w:spacing w:line="276" w:lineRule="auto"/>
              <w:jc w:val="both"/>
              <w:rPr>
                <w:sz w:val="24"/>
                <w:szCs w:val="24"/>
              </w:rPr>
            </w:pPr>
            <w:r w:rsidRPr="00597234">
              <w:rPr>
                <w:rFonts w:eastAsia="Georgia"/>
                <w:sz w:val="24"/>
                <w:szCs w:val="24"/>
              </w:rPr>
              <w:t>-600</w:t>
            </w:r>
          </w:p>
        </w:tc>
        <w:tc>
          <w:tcPr>
            <w:tcW w:w="2076" w:type="dxa"/>
          </w:tcPr>
          <w:p w:rsidR="00AE7AFE" w:rsidRPr="00597234" w:rsidRDefault="00E52464" w:rsidP="00597234">
            <w:pPr>
              <w:spacing w:line="276" w:lineRule="auto"/>
              <w:jc w:val="both"/>
              <w:rPr>
                <w:sz w:val="24"/>
                <w:szCs w:val="24"/>
              </w:rPr>
            </w:pPr>
            <w:r w:rsidRPr="00597234">
              <w:rPr>
                <w:rFonts w:eastAsia="Georgia"/>
                <w:sz w:val="24"/>
                <w:szCs w:val="24"/>
              </w:rPr>
              <w:t>-1,000</w:t>
            </w:r>
          </w:p>
        </w:tc>
        <w:tc>
          <w:tcPr>
            <w:tcW w:w="2075" w:type="dxa"/>
          </w:tcPr>
          <w:p w:rsidR="00AE7AFE" w:rsidRPr="00597234" w:rsidRDefault="00E52464" w:rsidP="00597234">
            <w:pPr>
              <w:spacing w:line="276" w:lineRule="auto"/>
              <w:jc w:val="both"/>
              <w:rPr>
                <w:sz w:val="24"/>
                <w:szCs w:val="24"/>
              </w:rPr>
            </w:pPr>
            <w:r w:rsidRPr="00597234">
              <w:rPr>
                <w:rFonts w:eastAsia="Georgia"/>
                <w:sz w:val="24"/>
                <w:szCs w:val="24"/>
              </w:rPr>
              <w:t>-1,600</w:t>
            </w:r>
          </w:p>
        </w:tc>
      </w:tr>
      <w:tr w:rsidR="00597234" w:rsidRPr="00597234" w:rsidTr="00BA7389">
        <w:tc>
          <w:tcPr>
            <w:tcW w:w="2800" w:type="dxa"/>
          </w:tcPr>
          <w:p w:rsidR="00AE7AFE" w:rsidRPr="00597234" w:rsidRDefault="00E52464" w:rsidP="00597234">
            <w:pPr>
              <w:spacing w:line="276" w:lineRule="auto"/>
              <w:jc w:val="both"/>
              <w:rPr>
                <w:sz w:val="24"/>
                <w:szCs w:val="24"/>
              </w:rPr>
            </w:pPr>
            <w:r w:rsidRPr="00597234">
              <w:rPr>
                <w:rFonts w:eastAsia="Georgia"/>
                <w:sz w:val="24"/>
                <w:szCs w:val="24"/>
              </w:rPr>
              <w:t>Annual Capital Allowance (£000)</w:t>
            </w:r>
          </w:p>
        </w:tc>
        <w:tc>
          <w:tcPr>
            <w:tcW w:w="2075" w:type="dxa"/>
          </w:tcPr>
          <w:p w:rsidR="00AE7AFE" w:rsidRPr="00597234" w:rsidRDefault="00E52464" w:rsidP="00597234">
            <w:pPr>
              <w:spacing w:line="276" w:lineRule="auto"/>
              <w:jc w:val="both"/>
              <w:rPr>
                <w:sz w:val="24"/>
                <w:szCs w:val="24"/>
              </w:rPr>
            </w:pPr>
            <w:r w:rsidRPr="00597234">
              <w:rPr>
                <w:rFonts w:eastAsia="Georgia"/>
                <w:sz w:val="24"/>
                <w:szCs w:val="24"/>
              </w:rPr>
              <w:t>120</w:t>
            </w:r>
          </w:p>
        </w:tc>
        <w:tc>
          <w:tcPr>
            <w:tcW w:w="2076" w:type="dxa"/>
          </w:tcPr>
          <w:p w:rsidR="00AE7AFE" w:rsidRPr="00597234" w:rsidRDefault="00E52464" w:rsidP="00597234">
            <w:pPr>
              <w:spacing w:line="276" w:lineRule="auto"/>
              <w:jc w:val="both"/>
              <w:rPr>
                <w:sz w:val="24"/>
                <w:szCs w:val="24"/>
              </w:rPr>
            </w:pPr>
            <w:r w:rsidRPr="00597234">
              <w:rPr>
                <w:rFonts w:eastAsia="Georgia"/>
                <w:sz w:val="24"/>
                <w:szCs w:val="24"/>
              </w:rPr>
              <w:t>200</w:t>
            </w:r>
          </w:p>
        </w:tc>
        <w:tc>
          <w:tcPr>
            <w:tcW w:w="2075" w:type="dxa"/>
          </w:tcPr>
          <w:p w:rsidR="00AE7AFE" w:rsidRPr="00597234" w:rsidRDefault="00E52464" w:rsidP="00597234">
            <w:pPr>
              <w:spacing w:line="276" w:lineRule="auto"/>
              <w:jc w:val="both"/>
              <w:rPr>
                <w:sz w:val="24"/>
                <w:szCs w:val="24"/>
              </w:rPr>
            </w:pPr>
            <w:r w:rsidRPr="00597234">
              <w:rPr>
                <w:rFonts w:eastAsia="Georgia"/>
                <w:sz w:val="24"/>
                <w:szCs w:val="24"/>
              </w:rPr>
              <w:t>320</w:t>
            </w:r>
          </w:p>
        </w:tc>
      </w:tr>
      <w:tr w:rsidR="00597234" w:rsidRPr="00597234" w:rsidTr="00BA7389">
        <w:tc>
          <w:tcPr>
            <w:tcW w:w="2800" w:type="dxa"/>
          </w:tcPr>
          <w:p w:rsidR="00AE7AFE" w:rsidRPr="00597234" w:rsidRDefault="00AE7AFE" w:rsidP="00597234">
            <w:pPr>
              <w:spacing w:line="276" w:lineRule="auto"/>
              <w:jc w:val="both"/>
              <w:rPr>
                <w:sz w:val="24"/>
                <w:szCs w:val="24"/>
              </w:rPr>
            </w:pPr>
          </w:p>
        </w:tc>
        <w:tc>
          <w:tcPr>
            <w:tcW w:w="2075" w:type="dxa"/>
          </w:tcPr>
          <w:p w:rsidR="00AE7AFE" w:rsidRPr="00597234" w:rsidRDefault="00AE7AFE" w:rsidP="00597234">
            <w:pPr>
              <w:spacing w:line="276" w:lineRule="auto"/>
              <w:jc w:val="both"/>
              <w:rPr>
                <w:sz w:val="24"/>
                <w:szCs w:val="24"/>
              </w:rPr>
            </w:pPr>
          </w:p>
        </w:tc>
        <w:tc>
          <w:tcPr>
            <w:tcW w:w="2076" w:type="dxa"/>
          </w:tcPr>
          <w:p w:rsidR="00AE7AFE" w:rsidRPr="00597234" w:rsidRDefault="00AE7AFE" w:rsidP="00597234">
            <w:pPr>
              <w:spacing w:line="276" w:lineRule="auto"/>
              <w:jc w:val="both"/>
              <w:rPr>
                <w:sz w:val="24"/>
                <w:szCs w:val="24"/>
              </w:rPr>
            </w:pPr>
          </w:p>
        </w:tc>
        <w:tc>
          <w:tcPr>
            <w:tcW w:w="2075" w:type="dxa"/>
          </w:tcPr>
          <w:p w:rsidR="00AE7AFE" w:rsidRPr="00597234" w:rsidRDefault="00AE7AFE" w:rsidP="00597234">
            <w:pPr>
              <w:spacing w:line="276" w:lineRule="auto"/>
              <w:jc w:val="both"/>
              <w:rPr>
                <w:sz w:val="24"/>
                <w:szCs w:val="24"/>
              </w:rPr>
            </w:pPr>
          </w:p>
        </w:tc>
      </w:tr>
      <w:tr w:rsidR="00597234" w:rsidRPr="00597234" w:rsidTr="00BA7389">
        <w:tc>
          <w:tcPr>
            <w:tcW w:w="2800" w:type="dxa"/>
          </w:tcPr>
          <w:p w:rsidR="00AE7AFE" w:rsidRPr="00597234" w:rsidRDefault="00E52464" w:rsidP="00597234">
            <w:pPr>
              <w:spacing w:line="276" w:lineRule="auto"/>
              <w:jc w:val="both"/>
              <w:rPr>
                <w:sz w:val="24"/>
                <w:szCs w:val="24"/>
              </w:rPr>
            </w:pPr>
            <w:r w:rsidRPr="00597234">
              <w:rPr>
                <w:rFonts w:eastAsia="Georgia"/>
                <w:sz w:val="24"/>
                <w:szCs w:val="24"/>
              </w:rPr>
              <w:t>Year 1 Pre-tax Cash Flow</w:t>
            </w:r>
          </w:p>
        </w:tc>
        <w:tc>
          <w:tcPr>
            <w:tcW w:w="2075" w:type="dxa"/>
          </w:tcPr>
          <w:p w:rsidR="00AE7AFE" w:rsidRPr="00597234" w:rsidRDefault="00E52464" w:rsidP="00597234">
            <w:pPr>
              <w:spacing w:line="276" w:lineRule="auto"/>
              <w:jc w:val="both"/>
              <w:rPr>
                <w:sz w:val="24"/>
                <w:szCs w:val="24"/>
              </w:rPr>
            </w:pPr>
            <w:r w:rsidRPr="00597234">
              <w:rPr>
                <w:rFonts w:eastAsia="Georgia"/>
                <w:sz w:val="24"/>
                <w:szCs w:val="24"/>
              </w:rPr>
              <w:t>200</w:t>
            </w:r>
          </w:p>
        </w:tc>
        <w:tc>
          <w:tcPr>
            <w:tcW w:w="2076" w:type="dxa"/>
          </w:tcPr>
          <w:p w:rsidR="00AE7AFE" w:rsidRPr="00597234" w:rsidRDefault="00E52464" w:rsidP="00597234">
            <w:pPr>
              <w:spacing w:line="276" w:lineRule="auto"/>
              <w:jc w:val="both"/>
              <w:rPr>
                <w:sz w:val="24"/>
                <w:szCs w:val="24"/>
              </w:rPr>
            </w:pPr>
            <w:r w:rsidRPr="00597234">
              <w:rPr>
                <w:rFonts w:eastAsia="Georgia"/>
                <w:sz w:val="24"/>
                <w:szCs w:val="24"/>
              </w:rPr>
              <w:t>400</w:t>
            </w:r>
          </w:p>
        </w:tc>
        <w:tc>
          <w:tcPr>
            <w:tcW w:w="2075" w:type="dxa"/>
          </w:tcPr>
          <w:p w:rsidR="00AE7AFE" w:rsidRPr="00597234" w:rsidRDefault="00E52464" w:rsidP="00597234">
            <w:pPr>
              <w:spacing w:line="276" w:lineRule="auto"/>
              <w:jc w:val="both"/>
              <w:rPr>
                <w:sz w:val="24"/>
                <w:szCs w:val="24"/>
              </w:rPr>
            </w:pPr>
            <w:r w:rsidRPr="00597234">
              <w:rPr>
                <w:rFonts w:eastAsia="Georgia"/>
                <w:sz w:val="24"/>
                <w:szCs w:val="24"/>
              </w:rPr>
              <w:t>450</w:t>
            </w:r>
          </w:p>
        </w:tc>
      </w:tr>
      <w:tr w:rsidR="00597234" w:rsidRPr="00597234" w:rsidTr="00BA7389">
        <w:tc>
          <w:tcPr>
            <w:tcW w:w="2800" w:type="dxa"/>
          </w:tcPr>
          <w:p w:rsidR="00AE7AFE" w:rsidRPr="00597234" w:rsidRDefault="00E52464" w:rsidP="00597234">
            <w:pPr>
              <w:spacing w:line="276" w:lineRule="auto"/>
              <w:jc w:val="both"/>
              <w:rPr>
                <w:sz w:val="24"/>
                <w:szCs w:val="24"/>
              </w:rPr>
            </w:pPr>
            <w:r w:rsidRPr="00597234">
              <w:rPr>
                <w:rFonts w:eastAsia="Georgia"/>
                <w:sz w:val="24"/>
                <w:szCs w:val="24"/>
              </w:rPr>
              <w:t>Year 2 Pre-tax Cash Flow</w:t>
            </w:r>
          </w:p>
        </w:tc>
        <w:tc>
          <w:tcPr>
            <w:tcW w:w="2075" w:type="dxa"/>
          </w:tcPr>
          <w:p w:rsidR="00AE7AFE" w:rsidRPr="00597234" w:rsidRDefault="00E52464" w:rsidP="00597234">
            <w:pPr>
              <w:spacing w:line="276" w:lineRule="auto"/>
              <w:jc w:val="both"/>
              <w:rPr>
                <w:sz w:val="24"/>
                <w:szCs w:val="24"/>
              </w:rPr>
            </w:pPr>
            <w:r w:rsidRPr="00597234">
              <w:rPr>
                <w:rFonts w:eastAsia="Georgia"/>
                <w:sz w:val="24"/>
                <w:szCs w:val="24"/>
              </w:rPr>
              <w:t>400</w:t>
            </w:r>
          </w:p>
        </w:tc>
        <w:tc>
          <w:tcPr>
            <w:tcW w:w="2076" w:type="dxa"/>
          </w:tcPr>
          <w:p w:rsidR="00AE7AFE" w:rsidRPr="00597234" w:rsidRDefault="00E52464" w:rsidP="00597234">
            <w:pPr>
              <w:spacing w:line="276" w:lineRule="auto"/>
              <w:jc w:val="both"/>
              <w:rPr>
                <w:sz w:val="24"/>
                <w:szCs w:val="24"/>
              </w:rPr>
            </w:pPr>
            <w:r w:rsidRPr="00597234">
              <w:rPr>
                <w:rFonts w:eastAsia="Georgia"/>
                <w:sz w:val="24"/>
                <w:szCs w:val="24"/>
              </w:rPr>
              <w:t>450</w:t>
            </w:r>
          </w:p>
        </w:tc>
        <w:tc>
          <w:tcPr>
            <w:tcW w:w="2075" w:type="dxa"/>
          </w:tcPr>
          <w:p w:rsidR="00AE7AFE" w:rsidRPr="00597234" w:rsidRDefault="00E52464" w:rsidP="00597234">
            <w:pPr>
              <w:spacing w:line="276" w:lineRule="auto"/>
              <w:jc w:val="both"/>
              <w:rPr>
                <w:sz w:val="24"/>
                <w:szCs w:val="24"/>
              </w:rPr>
            </w:pPr>
            <w:r w:rsidRPr="00597234">
              <w:rPr>
                <w:rFonts w:eastAsia="Georgia"/>
                <w:sz w:val="24"/>
                <w:szCs w:val="24"/>
              </w:rPr>
              <w:t>700</w:t>
            </w:r>
          </w:p>
        </w:tc>
      </w:tr>
      <w:tr w:rsidR="00597234" w:rsidRPr="00597234" w:rsidTr="00BA7389">
        <w:tc>
          <w:tcPr>
            <w:tcW w:w="2800" w:type="dxa"/>
          </w:tcPr>
          <w:p w:rsidR="00AE7AFE" w:rsidRPr="00597234" w:rsidRDefault="00E52464" w:rsidP="00597234">
            <w:pPr>
              <w:spacing w:line="276" w:lineRule="auto"/>
              <w:jc w:val="both"/>
              <w:rPr>
                <w:sz w:val="24"/>
                <w:szCs w:val="24"/>
              </w:rPr>
            </w:pPr>
            <w:r w:rsidRPr="00597234">
              <w:rPr>
                <w:rFonts w:eastAsia="Georgia"/>
                <w:sz w:val="24"/>
                <w:szCs w:val="24"/>
              </w:rPr>
              <w:lastRenderedPageBreak/>
              <w:t>Year 3 Pre-tax Cash Flow</w:t>
            </w:r>
          </w:p>
        </w:tc>
        <w:tc>
          <w:tcPr>
            <w:tcW w:w="2075" w:type="dxa"/>
          </w:tcPr>
          <w:p w:rsidR="00AE7AFE" w:rsidRPr="00597234" w:rsidRDefault="00E52464" w:rsidP="00597234">
            <w:pPr>
              <w:spacing w:line="276" w:lineRule="auto"/>
              <w:jc w:val="both"/>
              <w:rPr>
                <w:sz w:val="24"/>
                <w:szCs w:val="24"/>
              </w:rPr>
            </w:pPr>
            <w:r w:rsidRPr="00597234">
              <w:rPr>
                <w:rFonts w:eastAsia="Georgia"/>
                <w:sz w:val="24"/>
                <w:szCs w:val="24"/>
              </w:rPr>
              <w:t>500</w:t>
            </w:r>
          </w:p>
        </w:tc>
        <w:tc>
          <w:tcPr>
            <w:tcW w:w="2076" w:type="dxa"/>
          </w:tcPr>
          <w:p w:rsidR="00AE7AFE" w:rsidRPr="00597234" w:rsidRDefault="00E52464" w:rsidP="00597234">
            <w:pPr>
              <w:spacing w:line="276" w:lineRule="auto"/>
              <w:jc w:val="both"/>
              <w:rPr>
                <w:sz w:val="24"/>
                <w:szCs w:val="24"/>
              </w:rPr>
            </w:pPr>
            <w:r w:rsidRPr="00597234">
              <w:rPr>
                <w:rFonts w:eastAsia="Georgia"/>
                <w:sz w:val="24"/>
                <w:szCs w:val="24"/>
              </w:rPr>
              <w:t>720</w:t>
            </w:r>
          </w:p>
        </w:tc>
        <w:tc>
          <w:tcPr>
            <w:tcW w:w="2075" w:type="dxa"/>
          </w:tcPr>
          <w:p w:rsidR="00AE7AFE" w:rsidRPr="00597234" w:rsidRDefault="00E52464" w:rsidP="00597234">
            <w:pPr>
              <w:spacing w:line="276" w:lineRule="auto"/>
              <w:jc w:val="both"/>
              <w:rPr>
                <w:sz w:val="24"/>
                <w:szCs w:val="24"/>
              </w:rPr>
            </w:pPr>
            <w:r w:rsidRPr="00597234">
              <w:rPr>
                <w:rFonts w:eastAsia="Georgia"/>
                <w:sz w:val="24"/>
                <w:szCs w:val="24"/>
              </w:rPr>
              <w:t>900</w:t>
            </w:r>
          </w:p>
        </w:tc>
      </w:tr>
      <w:tr w:rsidR="00597234" w:rsidRPr="00597234" w:rsidTr="00BA7389">
        <w:tc>
          <w:tcPr>
            <w:tcW w:w="2800" w:type="dxa"/>
          </w:tcPr>
          <w:p w:rsidR="00AE7AFE" w:rsidRPr="00597234" w:rsidRDefault="00E52464" w:rsidP="00597234">
            <w:pPr>
              <w:spacing w:line="276" w:lineRule="auto"/>
              <w:jc w:val="both"/>
              <w:rPr>
                <w:sz w:val="24"/>
                <w:szCs w:val="24"/>
              </w:rPr>
            </w:pPr>
            <w:r w:rsidRPr="00597234">
              <w:rPr>
                <w:rFonts w:eastAsia="Georgia"/>
                <w:sz w:val="24"/>
                <w:szCs w:val="24"/>
              </w:rPr>
              <w:t>Year 4 Pre-tax Cash Flow</w:t>
            </w:r>
          </w:p>
        </w:tc>
        <w:tc>
          <w:tcPr>
            <w:tcW w:w="2075" w:type="dxa"/>
          </w:tcPr>
          <w:p w:rsidR="00AE7AFE" w:rsidRPr="00597234" w:rsidRDefault="00E52464" w:rsidP="00597234">
            <w:pPr>
              <w:spacing w:line="276" w:lineRule="auto"/>
              <w:jc w:val="both"/>
              <w:rPr>
                <w:sz w:val="24"/>
                <w:szCs w:val="24"/>
              </w:rPr>
            </w:pPr>
            <w:r w:rsidRPr="00597234">
              <w:rPr>
                <w:rFonts w:eastAsia="Georgia"/>
                <w:sz w:val="24"/>
                <w:szCs w:val="24"/>
              </w:rPr>
              <w:t>700</w:t>
            </w:r>
          </w:p>
        </w:tc>
        <w:tc>
          <w:tcPr>
            <w:tcW w:w="2076" w:type="dxa"/>
          </w:tcPr>
          <w:p w:rsidR="00AE7AFE" w:rsidRPr="00597234" w:rsidRDefault="00E52464" w:rsidP="00597234">
            <w:pPr>
              <w:spacing w:line="276" w:lineRule="auto"/>
              <w:jc w:val="both"/>
              <w:rPr>
                <w:sz w:val="24"/>
                <w:szCs w:val="24"/>
              </w:rPr>
            </w:pPr>
            <w:r w:rsidRPr="00597234">
              <w:rPr>
                <w:rFonts w:eastAsia="Georgia"/>
                <w:sz w:val="24"/>
                <w:szCs w:val="24"/>
              </w:rPr>
              <w:t>980</w:t>
            </w:r>
          </w:p>
        </w:tc>
        <w:tc>
          <w:tcPr>
            <w:tcW w:w="2075" w:type="dxa"/>
          </w:tcPr>
          <w:p w:rsidR="00AE7AFE" w:rsidRPr="00597234" w:rsidRDefault="00E52464" w:rsidP="00597234">
            <w:pPr>
              <w:spacing w:line="276" w:lineRule="auto"/>
              <w:jc w:val="both"/>
              <w:rPr>
                <w:sz w:val="24"/>
                <w:szCs w:val="24"/>
              </w:rPr>
            </w:pPr>
            <w:r w:rsidRPr="00597234">
              <w:rPr>
                <w:rFonts w:eastAsia="Georgia"/>
                <w:sz w:val="24"/>
                <w:szCs w:val="24"/>
              </w:rPr>
              <w:t>1200</w:t>
            </w:r>
          </w:p>
        </w:tc>
      </w:tr>
      <w:tr w:rsidR="00597234" w:rsidRPr="00597234" w:rsidTr="00BA7389">
        <w:tc>
          <w:tcPr>
            <w:tcW w:w="2800" w:type="dxa"/>
          </w:tcPr>
          <w:p w:rsidR="00AE7AFE" w:rsidRPr="00597234" w:rsidRDefault="00AE7AFE" w:rsidP="00597234">
            <w:pPr>
              <w:spacing w:line="276" w:lineRule="auto"/>
              <w:jc w:val="both"/>
              <w:rPr>
                <w:sz w:val="24"/>
                <w:szCs w:val="24"/>
              </w:rPr>
            </w:pPr>
          </w:p>
        </w:tc>
        <w:tc>
          <w:tcPr>
            <w:tcW w:w="2075" w:type="dxa"/>
          </w:tcPr>
          <w:p w:rsidR="00AE7AFE" w:rsidRPr="00597234" w:rsidRDefault="00AE7AFE" w:rsidP="00597234">
            <w:pPr>
              <w:spacing w:line="276" w:lineRule="auto"/>
              <w:jc w:val="both"/>
              <w:rPr>
                <w:sz w:val="24"/>
                <w:szCs w:val="24"/>
              </w:rPr>
            </w:pPr>
          </w:p>
        </w:tc>
        <w:tc>
          <w:tcPr>
            <w:tcW w:w="2076" w:type="dxa"/>
          </w:tcPr>
          <w:p w:rsidR="00AE7AFE" w:rsidRPr="00597234" w:rsidRDefault="00AE7AFE" w:rsidP="00597234">
            <w:pPr>
              <w:spacing w:line="276" w:lineRule="auto"/>
              <w:jc w:val="both"/>
              <w:rPr>
                <w:sz w:val="24"/>
                <w:szCs w:val="24"/>
              </w:rPr>
            </w:pPr>
          </w:p>
        </w:tc>
        <w:tc>
          <w:tcPr>
            <w:tcW w:w="2075" w:type="dxa"/>
          </w:tcPr>
          <w:p w:rsidR="00AE7AFE" w:rsidRPr="00597234" w:rsidRDefault="00AE7AFE" w:rsidP="00597234">
            <w:pPr>
              <w:spacing w:line="276" w:lineRule="auto"/>
              <w:jc w:val="both"/>
              <w:rPr>
                <w:sz w:val="24"/>
                <w:szCs w:val="24"/>
              </w:rPr>
            </w:pPr>
          </w:p>
        </w:tc>
      </w:tr>
      <w:tr w:rsidR="00597234" w:rsidRPr="00597234" w:rsidTr="00BA7389">
        <w:tc>
          <w:tcPr>
            <w:tcW w:w="2800" w:type="dxa"/>
          </w:tcPr>
          <w:p w:rsidR="00AE7AFE" w:rsidRPr="00597234" w:rsidRDefault="00E52464" w:rsidP="00597234">
            <w:pPr>
              <w:spacing w:line="276" w:lineRule="auto"/>
              <w:jc w:val="both"/>
              <w:rPr>
                <w:sz w:val="24"/>
                <w:szCs w:val="24"/>
              </w:rPr>
            </w:pPr>
            <w:r w:rsidRPr="00597234">
              <w:rPr>
                <w:rFonts w:eastAsia="Georgia"/>
                <w:sz w:val="24"/>
                <w:szCs w:val="24"/>
              </w:rPr>
              <w:t>Year 1 After-tax Cash Flow</w:t>
            </w:r>
          </w:p>
        </w:tc>
        <w:tc>
          <w:tcPr>
            <w:tcW w:w="2075" w:type="dxa"/>
          </w:tcPr>
          <w:p w:rsidR="00AE7AFE" w:rsidRPr="00597234" w:rsidRDefault="00E52464" w:rsidP="00597234">
            <w:pPr>
              <w:spacing w:line="276" w:lineRule="auto"/>
              <w:jc w:val="both"/>
              <w:rPr>
                <w:sz w:val="24"/>
                <w:szCs w:val="24"/>
              </w:rPr>
            </w:pPr>
            <w:r w:rsidRPr="00597234">
              <w:rPr>
                <w:rFonts w:eastAsia="Georgia"/>
                <w:sz w:val="24"/>
                <w:szCs w:val="24"/>
              </w:rPr>
              <w:t>180.0</w:t>
            </w:r>
          </w:p>
        </w:tc>
        <w:tc>
          <w:tcPr>
            <w:tcW w:w="2076" w:type="dxa"/>
          </w:tcPr>
          <w:p w:rsidR="00AE7AFE" w:rsidRPr="00597234" w:rsidRDefault="00E52464" w:rsidP="00597234">
            <w:pPr>
              <w:spacing w:line="276" w:lineRule="auto"/>
              <w:jc w:val="both"/>
              <w:rPr>
                <w:sz w:val="24"/>
                <w:szCs w:val="24"/>
              </w:rPr>
            </w:pPr>
            <w:r w:rsidRPr="00597234">
              <w:rPr>
                <w:rFonts w:eastAsia="Georgia"/>
                <w:sz w:val="24"/>
                <w:szCs w:val="24"/>
              </w:rPr>
              <w:t>350.0</w:t>
            </w:r>
          </w:p>
        </w:tc>
        <w:tc>
          <w:tcPr>
            <w:tcW w:w="2075" w:type="dxa"/>
          </w:tcPr>
          <w:p w:rsidR="00AE7AFE" w:rsidRPr="00597234" w:rsidRDefault="00E52464" w:rsidP="00597234">
            <w:pPr>
              <w:spacing w:line="276" w:lineRule="auto"/>
              <w:jc w:val="both"/>
              <w:rPr>
                <w:sz w:val="24"/>
                <w:szCs w:val="24"/>
              </w:rPr>
            </w:pPr>
            <w:r w:rsidRPr="00597234">
              <w:rPr>
                <w:rFonts w:eastAsia="Georgia"/>
                <w:sz w:val="24"/>
                <w:szCs w:val="24"/>
              </w:rPr>
              <w:t>417.5</w:t>
            </w:r>
          </w:p>
        </w:tc>
      </w:tr>
      <w:tr w:rsidR="00597234" w:rsidRPr="00597234" w:rsidTr="00BA7389">
        <w:tc>
          <w:tcPr>
            <w:tcW w:w="2800" w:type="dxa"/>
          </w:tcPr>
          <w:p w:rsidR="00AE7AFE" w:rsidRPr="00597234" w:rsidRDefault="00E52464" w:rsidP="00597234">
            <w:pPr>
              <w:spacing w:line="276" w:lineRule="auto"/>
              <w:jc w:val="both"/>
              <w:rPr>
                <w:sz w:val="24"/>
                <w:szCs w:val="24"/>
              </w:rPr>
            </w:pPr>
            <w:r w:rsidRPr="00597234">
              <w:rPr>
                <w:rFonts w:eastAsia="Georgia"/>
                <w:sz w:val="24"/>
                <w:szCs w:val="24"/>
              </w:rPr>
              <w:t>Year 2 After-tax Cash Flow</w:t>
            </w:r>
          </w:p>
        </w:tc>
        <w:tc>
          <w:tcPr>
            <w:tcW w:w="2075" w:type="dxa"/>
          </w:tcPr>
          <w:p w:rsidR="00AE7AFE" w:rsidRPr="00597234" w:rsidRDefault="00E52464" w:rsidP="00597234">
            <w:pPr>
              <w:spacing w:line="276" w:lineRule="auto"/>
              <w:jc w:val="both"/>
              <w:rPr>
                <w:sz w:val="24"/>
                <w:szCs w:val="24"/>
              </w:rPr>
            </w:pPr>
            <w:r w:rsidRPr="00597234">
              <w:rPr>
                <w:rFonts w:eastAsia="Georgia"/>
                <w:sz w:val="24"/>
                <w:szCs w:val="24"/>
              </w:rPr>
              <w:t>330.0</w:t>
            </w:r>
          </w:p>
        </w:tc>
        <w:tc>
          <w:tcPr>
            <w:tcW w:w="2076" w:type="dxa"/>
          </w:tcPr>
          <w:p w:rsidR="00AE7AFE" w:rsidRPr="00597234" w:rsidRDefault="00E52464" w:rsidP="00597234">
            <w:pPr>
              <w:spacing w:line="276" w:lineRule="auto"/>
              <w:jc w:val="both"/>
              <w:rPr>
                <w:sz w:val="24"/>
                <w:szCs w:val="24"/>
              </w:rPr>
            </w:pPr>
            <w:r w:rsidRPr="00597234">
              <w:rPr>
                <w:rFonts w:eastAsia="Georgia"/>
                <w:sz w:val="24"/>
                <w:szCs w:val="24"/>
              </w:rPr>
              <w:t>387.5</w:t>
            </w:r>
          </w:p>
        </w:tc>
        <w:tc>
          <w:tcPr>
            <w:tcW w:w="2075" w:type="dxa"/>
          </w:tcPr>
          <w:p w:rsidR="00AE7AFE" w:rsidRPr="00597234" w:rsidRDefault="00E52464" w:rsidP="00597234">
            <w:pPr>
              <w:spacing w:line="276" w:lineRule="auto"/>
              <w:jc w:val="both"/>
              <w:rPr>
                <w:sz w:val="24"/>
                <w:szCs w:val="24"/>
              </w:rPr>
            </w:pPr>
            <w:r w:rsidRPr="00597234">
              <w:rPr>
                <w:rFonts w:eastAsia="Georgia"/>
                <w:sz w:val="24"/>
                <w:szCs w:val="24"/>
              </w:rPr>
              <w:t>605.0</w:t>
            </w:r>
          </w:p>
        </w:tc>
      </w:tr>
      <w:tr w:rsidR="00597234" w:rsidRPr="00597234" w:rsidTr="00BA7389">
        <w:tc>
          <w:tcPr>
            <w:tcW w:w="2800" w:type="dxa"/>
          </w:tcPr>
          <w:p w:rsidR="00AE7AFE" w:rsidRPr="00597234" w:rsidRDefault="00E52464" w:rsidP="00597234">
            <w:pPr>
              <w:spacing w:line="276" w:lineRule="auto"/>
              <w:jc w:val="both"/>
              <w:rPr>
                <w:sz w:val="24"/>
                <w:szCs w:val="24"/>
              </w:rPr>
            </w:pPr>
            <w:r w:rsidRPr="00597234">
              <w:rPr>
                <w:rFonts w:eastAsia="Georgia"/>
                <w:sz w:val="24"/>
                <w:szCs w:val="24"/>
              </w:rPr>
              <w:t>Year 3 After-tax Cash Flow</w:t>
            </w:r>
          </w:p>
        </w:tc>
        <w:tc>
          <w:tcPr>
            <w:tcW w:w="2075" w:type="dxa"/>
          </w:tcPr>
          <w:p w:rsidR="00AE7AFE" w:rsidRPr="00597234" w:rsidRDefault="00E52464" w:rsidP="00597234">
            <w:pPr>
              <w:spacing w:line="276" w:lineRule="auto"/>
              <w:jc w:val="both"/>
              <w:rPr>
                <w:sz w:val="24"/>
                <w:szCs w:val="24"/>
              </w:rPr>
            </w:pPr>
            <w:r w:rsidRPr="00597234">
              <w:rPr>
                <w:rFonts w:eastAsia="Georgia"/>
                <w:sz w:val="24"/>
                <w:szCs w:val="24"/>
              </w:rPr>
              <w:t>405.0</w:t>
            </w:r>
          </w:p>
        </w:tc>
        <w:tc>
          <w:tcPr>
            <w:tcW w:w="2076" w:type="dxa"/>
          </w:tcPr>
          <w:p w:rsidR="00AE7AFE" w:rsidRPr="00597234" w:rsidRDefault="00E52464" w:rsidP="00597234">
            <w:pPr>
              <w:spacing w:line="276" w:lineRule="auto"/>
              <w:jc w:val="both"/>
              <w:rPr>
                <w:sz w:val="24"/>
                <w:szCs w:val="24"/>
              </w:rPr>
            </w:pPr>
            <w:r w:rsidRPr="00597234">
              <w:rPr>
                <w:rFonts w:eastAsia="Georgia"/>
                <w:sz w:val="24"/>
                <w:szCs w:val="24"/>
              </w:rPr>
              <w:t>590.0</w:t>
            </w:r>
          </w:p>
        </w:tc>
        <w:tc>
          <w:tcPr>
            <w:tcW w:w="2075" w:type="dxa"/>
          </w:tcPr>
          <w:p w:rsidR="00AE7AFE" w:rsidRPr="00597234" w:rsidRDefault="00E52464" w:rsidP="00597234">
            <w:pPr>
              <w:spacing w:line="276" w:lineRule="auto"/>
              <w:jc w:val="both"/>
              <w:rPr>
                <w:sz w:val="24"/>
                <w:szCs w:val="24"/>
              </w:rPr>
            </w:pPr>
            <w:r w:rsidRPr="00597234">
              <w:rPr>
                <w:rFonts w:eastAsia="Georgia"/>
                <w:sz w:val="24"/>
                <w:szCs w:val="24"/>
              </w:rPr>
              <w:t>755.0</w:t>
            </w:r>
          </w:p>
        </w:tc>
      </w:tr>
      <w:tr w:rsidR="00597234" w:rsidRPr="00597234" w:rsidTr="00BA7389">
        <w:tc>
          <w:tcPr>
            <w:tcW w:w="2800" w:type="dxa"/>
          </w:tcPr>
          <w:p w:rsidR="00AE7AFE" w:rsidRPr="00597234" w:rsidRDefault="00E52464" w:rsidP="00597234">
            <w:pPr>
              <w:spacing w:line="276" w:lineRule="auto"/>
              <w:jc w:val="both"/>
              <w:rPr>
                <w:sz w:val="24"/>
                <w:szCs w:val="24"/>
              </w:rPr>
            </w:pPr>
            <w:r w:rsidRPr="00597234">
              <w:rPr>
                <w:rFonts w:eastAsia="Georgia"/>
                <w:sz w:val="24"/>
                <w:szCs w:val="24"/>
              </w:rPr>
              <w:t>Year 4 After-tax Cash Flow</w:t>
            </w:r>
          </w:p>
        </w:tc>
        <w:tc>
          <w:tcPr>
            <w:tcW w:w="2075" w:type="dxa"/>
          </w:tcPr>
          <w:p w:rsidR="00AE7AFE" w:rsidRPr="00597234" w:rsidRDefault="00E52464" w:rsidP="00597234">
            <w:pPr>
              <w:spacing w:line="276" w:lineRule="auto"/>
              <w:jc w:val="both"/>
              <w:rPr>
                <w:sz w:val="24"/>
                <w:szCs w:val="24"/>
              </w:rPr>
            </w:pPr>
            <w:r w:rsidRPr="00597234">
              <w:rPr>
                <w:rFonts w:eastAsia="Georgia"/>
                <w:sz w:val="24"/>
                <w:szCs w:val="24"/>
              </w:rPr>
              <w:t>555.0</w:t>
            </w:r>
          </w:p>
        </w:tc>
        <w:tc>
          <w:tcPr>
            <w:tcW w:w="2076" w:type="dxa"/>
          </w:tcPr>
          <w:p w:rsidR="00AE7AFE" w:rsidRPr="00597234" w:rsidRDefault="00E52464" w:rsidP="00597234">
            <w:pPr>
              <w:spacing w:line="276" w:lineRule="auto"/>
              <w:jc w:val="both"/>
              <w:rPr>
                <w:sz w:val="24"/>
                <w:szCs w:val="24"/>
              </w:rPr>
            </w:pPr>
            <w:r w:rsidRPr="00597234">
              <w:rPr>
                <w:rFonts w:eastAsia="Georgia"/>
                <w:sz w:val="24"/>
                <w:szCs w:val="24"/>
              </w:rPr>
              <w:t>785.0</w:t>
            </w:r>
          </w:p>
        </w:tc>
        <w:tc>
          <w:tcPr>
            <w:tcW w:w="2075" w:type="dxa"/>
          </w:tcPr>
          <w:p w:rsidR="00AE7AFE" w:rsidRPr="00597234" w:rsidRDefault="00E52464" w:rsidP="00597234">
            <w:pPr>
              <w:spacing w:line="276" w:lineRule="auto"/>
              <w:jc w:val="both"/>
              <w:rPr>
                <w:sz w:val="24"/>
                <w:szCs w:val="24"/>
              </w:rPr>
            </w:pPr>
            <w:r w:rsidRPr="00597234">
              <w:rPr>
                <w:rFonts w:eastAsia="Georgia"/>
                <w:sz w:val="24"/>
                <w:szCs w:val="24"/>
              </w:rPr>
              <w:t>980.0</w:t>
            </w:r>
          </w:p>
        </w:tc>
      </w:tr>
      <w:tr w:rsidR="00597234" w:rsidRPr="00597234" w:rsidTr="00BA7389">
        <w:tc>
          <w:tcPr>
            <w:tcW w:w="2800" w:type="dxa"/>
          </w:tcPr>
          <w:p w:rsidR="00AE7AFE" w:rsidRPr="00597234" w:rsidRDefault="00AE7AFE" w:rsidP="00597234">
            <w:pPr>
              <w:spacing w:line="276" w:lineRule="auto"/>
              <w:jc w:val="both"/>
              <w:rPr>
                <w:sz w:val="24"/>
                <w:szCs w:val="24"/>
              </w:rPr>
            </w:pPr>
          </w:p>
        </w:tc>
        <w:tc>
          <w:tcPr>
            <w:tcW w:w="2075" w:type="dxa"/>
          </w:tcPr>
          <w:p w:rsidR="00AE7AFE" w:rsidRPr="00597234" w:rsidRDefault="00AE7AFE" w:rsidP="00597234">
            <w:pPr>
              <w:spacing w:line="276" w:lineRule="auto"/>
              <w:jc w:val="both"/>
              <w:rPr>
                <w:sz w:val="24"/>
                <w:szCs w:val="24"/>
              </w:rPr>
            </w:pPr>
          </w:p>
        </w:tc>
        <w:tc>
          <w:tcPr>
            <w:tcW w:w="2076" w:type="dxa"/>
          </w:tcPr>
          <w:p w:rsidR="00AE7AFE" w:rsidRPr="00597234" w:rsidRDefault="00AE7AFE" w:rsidP="00597234">
            <w:pPr>
              <w:spacing w:line="276" w:lineRule="auto"/>
              <w:jc w:val="both"/>
              <w:rPr>
                <w:sz w:val="24"/>
                <w:szCs w:val="24"/>
              </w:rPr>
            </w:pPr>
          </w:p>
        </w:tc>
        <w:tc>
          <w:tcPr>
            <w:tcW w:w="2075" w:type="dxa"/>
          </w:tcPr>
          <w:p w:rsidR="00AE7AFE" w:rsidRPr="00597234" w:rsidRDefault="00AE7AFE" w:rsidP="00597234">
            <w:pPr>
              <w:spacing w:line="276" w:lineRule="auto"/>
              <w:jc w:val="both"/>
              <w:rPr>
                <w:sz w:val="24"/>
                <w:szCs w:val="24"/>
              </w:rPr>
            </w:pPr>
          </w:p>
        </w:tc>
      </w:tr>
      <w:tr w:rsidR="00597234" w:rsidRPr="00597234" w:rsidTr="00BA7389">
        <w:tc>
          <w:tcPr>
            <w:tcW w:w="2800" w:type="dxa"/>
          </w:tcPr>
          <w:p w:rsidR="00AE7AFE" w:rsidRPr="00597234" w:rsidRDefault="00E52464" w:rsidP="00597234">
            <w:pPr>
              <w:spacing w:line="276" w:lineRule="auto"/>
              <w:jc w:val="both"/>
              <w:rPr>
                <w:sz w:val="24"/>
                <w:szCs w:val="24"/>
              </w:rPr>
            </w:pPr>
            <w:r w:rsidRPr="00597234">
              <w:rPr>
                <w:rFonts w:eastAsia="Georgia"/>
                <w:sz w:val="24"/>
                <w:szCs w:val="24"/>
              </w:rPr>
              <w:t>Year 1 PV  (DF = 0.9434)</w:t>
            </w:r>
          </w:p>
        </w:tc>
        <w:tc>
          <w:tcPr>
            <w:tcW w:w="2075" w:type="dxa"/>
          </w:tcPr>
          <w:p w:rsidR="00AE7AFE" w:rsidRPr="00597234" w:rsidRDefault="00E52464" w:rsidP="00597234">
            <w:pPr>
              <w:spacing w:line="276" w:lineRule="auto"/>
              <w:jc w:val="both"/>
              <w:rPr>
                <w:sz w:val="24"/>
                <w:szCs w:val="24"/>
              </w:rPr>
            </w:pPr>
            <w:r w:rsidRPr="00597234">
              <w:rPr>
                <w:rFonts w:eastAsia="Georgia"/>
                <w:sz w:val="24"/>
                <w:szCs w:val="24"/>
              </w:rPr>
              <w:t>169.81</w:t>
            </w:r>
          </w:p>
        </w:tc>
        <w:tc>
          <w:tcPr>
            <w:tcW w:w="2076" w:type="dxa"/>
          </w:tcPr>
          <w:p w:rsidR="00AE7AFE" w:rsidRPr="00597234" w:rsidRDefault="00E52464" w:rsidP="00597234">
            <w:pPr>
              <w:spacing w:line="276" w:lineRule="auto"/>
              <w:jc w:val="both"/>
              <w:rPr>
                <w:sz w:val="24"/>
                <w:szCs w:val="24"/>
              </w:rPr>
            </w:pPr>
            <w:r w:rsidRPr="00597234">
              <w:rPr>
                <w:rFonts w:eastAsia="Georgia"/>
                <w:sz w:val="24"/>
                <w:szCs w:val="24"/>
              </w:rPr>
              <w:t>330.19</w:t>
            </w:r>
          </w:p>
        </w:tc>
        <w:tc>
          <w:tcPr>
            <w:tcW w:w="2075" w:type="dxa"/>
          </w:tcPr>
          <w:p w:rsidR="00AE7AFE" w:rsidRPr="00597234" w:rsidRDefault="00E52464" w:rsidP="00597234">
            <w:pPr>
              <w:spacing w:line="276" w:lineRule="auto"/>
              <w:jc w:val="both"/>
              <w:rPr>
                <w:sz w:val="24"/>
                <w:szCs w:val="24"/>
              </w:rPr>
            </w:pPr>
            <w:r w:rsidRPr="00597234">
              <w:rPr>
                <w:rFonts w:eastAsia="Georgia"/>
                <w:sz w:val="24"/>
                <w:szCs w:val="24"/>
              </w:rPr>
              <w:t>393.87</w:t>
            </w:r>
          </w:p>
        </w:tc>
      </w:tr>
      <w:tr w:rsidR="00597234" w:rsidRPr="00597234" w:rsidTr="00BA7389">
        <w:tc>
          <w:tcPr>
            <w:tcW w:w="2800" w:type="dxa"/>
          </w:tcPr>
          <w:p w:rsidR="00AE7AFE" w:rsidRPr="00597234" w:rsidRDefault="00E52464" w:rsidP="00597234">
            <w:pPr>
              <w:spacing w:line="276" w:lineRule="auto"/>
              <w:jc w:val="both"/>
              <w:rPr>
                <w:sz w:val="24"/>
                <w:szCs w:val="24"/>
              </w:rPr>
            </w:pPr>
            <w:r w:rsidRPr="00597234">
              <w:rPr>
                <w:rFonts w:eastAsia="Georgia"/>
                <w:sz w:val="24"/>
                <w:szCs w:val="24"/>
              </w:rPr>
              <w:t>Year 2 PV  (DF = 0.89)</w:t>
            </w:r>
          </w:p>
        </w:tc>
        <w:tc>
          <w:tcPr>
            <w:tcW w:w="2075" w:type="dxa"/>
          </w:tcPr>
          <w:p w:rsidR="00AE7AFE" w:rsidRPr="00597234" w:rsidRDefault="00E52464" w:rsidP="00597234">
            <w:pPr>
              <w:spacing w:line="276" w:lineRule="auto"/>
              <w:jc w:val="both"/>
              <w:rPr>
                <w:sz w:val="24"/>
                <w:szCs w:val="24"/>
              </w:rPr>
            </w:pPr>
            <w:r w:rsidRPr="00597234">
              <w:rPr>
                <w:rFonts w:eastAsia="Georgia"/>
                <w:sz w:val="24"/>
                <w:szCs w:val="24"/>
              </w:rPr>
              <w:t>293.70</w:t>
            </w:r>
          </w:p>
        </w:tc>
        <w:tc>
          <w:tcPr>
            <w:tcW w:w="2076" w:type="dxa"/>
          </w:tcPr>
          <w:p w:rsidR="00AE7AFE" w:rsidRPr="00597234" w:rsidRDefault="00E52464" w:rsidP="00597234">
            <w:pPr>
              <w:spacing w:line="276" w:lineRule="auto"/>
              <w:jc w:val="both"/>
              <w:rPr>
                <w:sz w:val="24"/>
                <w:szCs w:val="24"/>
              </w:rPr>
            </w:pPr>
            <w:r w:rsidRPr="00597234">
              <w:rPr>
                <w:rFonts w:eastAsia="Georgia"/>
                <w:sz w:val="24"/>
                <w:szCs w:val="24"/>
              </w:rPr>
              <w:t>344.88</w:t>
            </w:r>
          </w:p>
        </w:tc>
        <w:tc>
          <w:tcPr>
            <w:tcW w:w="2075" w:type="dxa"/>
          </w:tcPr>
          <w:p w:rsidR="00AE7AFE" w:rsidRPr="00597234" w:rsidRDefault="00E52464" w:rsidP="00597234">
            <w:pPr>
              <w:spacing w:line="276" w:lineRule="auto"/>
              <w:jc w:val="both"/>
              <w:rPr>
                <w:sz w:val="24"/>
                <w:szCs w:val="24"/>
              </w:rPr>
            </w:pPr>
            <w:r w:rsidRPr="00597234">
              <w:rPr>
                <w:rFonts w:eastAsia="Georgia"/>
                <w:sz w:val="24"/>
                <w:szCs w:val="24"/>
              </w:rPr>
              <w:t>538.45</w:t>
            </w:r>
          </w:p>
        </w:tc>
      </w:tr>
      <w:tr w:rsidR="00597234" w:rsidRPr="00597234" w:rsidTr="00BA7389">
        <w:tc>
          <w:tcPr>
            <w:tcW w:w="2800" w:type="dxa"/>
          </w:tcPr>
          <w:p w:rsidR="00AE7AFE" w:rsidRPr="00597234" w:rsidRDefault="00E52464" w:rsidP="00597234">
            <w:pPr>
              <w:spacing w:line="276" w:lineRule="auto"/>
              <w:jc w:val="both"/>
              <w:rPr>
                <w:sz w:val="24"/>
                <w:szCs w:val="24"/>
              </w:rPr>
            </w:pPr>
            <w:r w:rsidRPr="00597234">
              <w:rPr>
                <w:rFonts w:eastAsia="Georgia"/>
                <w:sz w:val="24"/>
                <w:szCs w:val="24"/>
              </w:rPr>
              <w:t>Year 3 PV  (DF = 0.8396)</w:t>
            </w:r>
          </w:p>
        </w:tc>
        <w:tc>
          <w:tcPr>
            <w:tcW w:w="2075" w:type="dxa"/>
          </w:tcPr>
          <w:p w:rsidR="00AE7AFE" w:rsidRPr="00597234" w:rsidRDefault="00E52464" w:rsidP="00597234">
            <w:pPr>
              <w:spacing w:line="276" w:lineRule="auto"/>
              <w:jc w:val="both"/>
              <w:rPr>
                <w:sz w:val="24"/>
                <w:szCs w:val="24"/>
              </w:rPr>
            </w:pPr>
            <w:r w:rsidRPr="00597234">
              <w:rPr>
                <w:rFonts w:eastAsia="Georgia"/>
                <w:sz w:val="24"/>
                <w:szCs w:val="24"/>
              </w:rPr>
              <w:t>340.04</w:t>
            </w:r>
          </w:p>
        </w:tc>
        <w:tc>
          <w:tcPr>
            <w:tcW w:w="2076" w:type="dxa"/>
          </w:tcPr>
          <w:p w:rsidR="00AE7AFE" w:rsidRPr="00597234" w:rsidRDefault="00E52464" w:rsidP="00597234">
            <w:pPr>
              <w:spacing w:line="276" w:lineRule="auto"/>
              <w:jc w:val="both"/>
              <w:rPr>
                <w:sz w:val="24"/>
                <w:szCs w:val="24"/>
              </w:rPr>
            </w:pPr>
            <w:r w:rsidRPr="00597234">
              <w:rPr>
                <w:rFonts w:eastAsia="Georgia"/>
                <w:sz w:val="24"/>
                <w:szCs w:val="24"/>
              </w:rPr>
              <w:t>495.36</w:t>
            </w:r>
          </w:p>
        </w:tc>
        <w:tc>
          <w:tcPr>
            <w:tcW w:w="2075" w:type="dxa"/>
          </w:tcPr>
          <w:p w:rsidR="00AE7AFE" w:rsidRPr="00597234" w:rsidRDefault="00E52464" w:rsidP="00597234">
            <w:pPr>
              <w:spacing w:line="276" w:lineRule="auto"/>
              <w:jc w:val="both"/>
              <w:rPr>
                <w:sz w:val="24"/>
                <w:szCs w:val="24"/>
              </w:rPr>
            </w:pPr>
            <w:r w:rsidRPr="00597234">
              <w:rPr>
                <w:rFonts w:eastAsia="Georgia"/>
                <w:sz w:val="24"/>
                <w:szCs w:val="24"/>
              </w:rPr>
              <w:t>633.90</w:t>
            </w:r>
          </w:p>
        </w:tc>
      </w:tr>
      <w:tr w:rsidR="00597234" w:rsidRPr="00597234" w:rsidTr="00BA7389">
        <w:tc>
          <w:tcPr>
            <w:tcW w:w="2800" w:type="dxa"/>
          </w:tcPr>
          <w:p w:rsidR="00AE7AFE" w:rsidRPr="00597234" w:rsidRDefault="00E52464" w:rsidP="00597234">
            <w:pPr>
              <w:spacing w:line="276" w:lineRule="auto"/>
              <w:jc w:val="both"/>
              <w:rPr>
                <w:sz w:val="24"/>
                <w:szCs w:val="24"/>
              </w:rPr>
            </w:pPr>
            <w:r w:rsidRPr="00597234">
              <w:rPr>
                <w:rFonts w:eastAsia="Georgia"/>
                <w:sz w:val="24"/>
                <w:szCs w:val="24"/>
              </w:rPr>
              <w:t>Year 4 PV  (DF = 0.7921)</w:t>
            </w:r>
          </w:p>
        </w:tc>
        <w:tc>
          <w:tcPr>
            <w:tcW w:w="2075" w:type="dxa"/>
          </w:tcPr>
          <w:p w:rsidR="00AE7AFE" w:rsidRPr="00597234" w:rsidRDefault="00E52464" w:rsidP="00597234">
            <w:pPr>
              <w:spacing w:line="276" w:lineRule="auto"/>
              <w:jc w:val="both"/>
              <w:rPr>
                <w:sz w:val="24"/>
                <w:szCs w:val="24"/>
              </w:rPr>
            </w:pPr>
            <w:r w:rsidRPr="00597234">
              <w:rPr>
                <w:rFonts w:eastAsia="Georgia"/>
                <w:sz w:val="24"/>
                <w:szCs w:val="24"/>
              </w:rPr>
              <w:t>439.62</w:t>
            </w:r>
          </w:p>
        </w:tc>
        <w:tc>
          <w:tcPr>
            <w:tcW w:w="2076" w:type="dxa"/>
          </w:tcPr>
          <w:p w:rsidR="00AE7AFE" w:rsidRPr="00597234" w:rsidRDefault="00E52464" w:rsidP="00597234">
            <w:pPr>
              <w:spacing w:line="276" w:lineRule="auto"/>
              <w:jc w:val="both"/>
              <w:rPr>
                <w:sz w:val="24"/>
                <w:szCs w:val="24"/>
              </w:rPr>
            </w:pPr>
            <w:r w:rsidRPr="00597234">
              <w:rPr>
                <w:rFonts w:eastAsia="Georgia"/>
                <w:sz w:val="24"/>
                <w:szCs w:val="24"/>
              </w:rPr>
              <w:t>621.80</w:t>
            </w:r>
          </w:p>
        </w:tc>
        <w:tc>
          <w:tcPr>
            <w:tcW w:w="2075" w:type="dxa"/>
          </w:tcPr>
          <w:p w:rsidR="00AE7AFE" w:rsidRPr="00597234" w:rsidRDefault="00E52464" w:rsidP="00597234">
            <w:pPr>
              <w:spacing w:line="276" w:lineRule="auto"/>
              <w:jc w:val="both"/>
              <w:rPr>
                <w:sz w:val="24"/>
                <w:szCs w:val="24"/>
              </w:rPr>
            </w:pPr>
            <w:r w:rsidRPr="00597234">
              <w:rPr>
                <w:rFonts w:eastAsia="Georgia"/>
                <w:sz w:val="24"/>
                <w:szCs w:val="24"/>
              </w:rPr>
              <w:t>776.26</w:t>
            </w:r>
          </w:p>
        </w:tc>
      </w:tr>
      <w:tr w:rsidR="00597234" w:rsidRPr="00597234" w:rsidTr="00BA7389">
        <w:tc>
          <w:tcPr>
            <w:tcW w:w="2800" w:type="dxa"/>
          </w:tcPr>
          <w:p w:rsidR="00AE7AFE" w:rsidRPr="00597234" w:rsidRDefault="00AE7AFE" w:rsidP="00597234">
            <w:pPr>
              <w:spacing w:line="276" w:lineRule="auto"/>
              <w:jc w:val="both"/>
              <w:rPr>
                <w:sz w:val="24"/>
                <w:szCs w:val="24"/>
              </w:rPr>
            </w:pPr>
          </w:p>
        </w:tc>
        <w:tc>
          <w:tcPr>
            <w:tcW w:w="2075" w:type="dxa"/>
          </w:tcPr>
          <w:p w:rsidR="00AE7AFE" w:rsidRPr="00597234" w:rsidRDefault="00AE7AFE" w:rsidP="00597234">
            <w:pPr>
              <w:spacing w:line="276" w:lineRule="auto"/>
              <w:jc w:val="both"/>
              <w:rPr>
                <w:sz w:val="24"/>
                <w:szCs w:val="24"/>
              </w:rPr>
            </w:pPr>
          </w:p>
        </w:tc>
        <w:tc>
          <w:tcPr>
            <w:tcW w:w="2076" w:type="dxa"/>
          </w:tcPr>
          <w:p w:rsidR="00AE7AFE" w:rsidRPr="00597234" w:rsidRDefault="00AE7AFE" w:rsidP="00597234">
            <w:pPr>
              <w:spacing w:line="276" w:lineRule="auto"/>
              <w:jc w:val="both"/>
              <w:rPr>
                <w:sz w:val="24"/>
                <w:szCs w:val="24"/>
              </w:rPr>
            </w:pPr>
          </w:p>
        </w:tc>
        <w:tc>
          <w:tcPr>
            <w:tcW w:w="2075" w:type="dxa"/>
          </w:tcPr>
          <w:p w:rsidR="00AE7AFE" w:rsidRPr="00597234" w:rsidRDefault="00AE7AFE" w:rsidP="00597234">
            <w:pPr>
              <w:spacing w:line="276" w:lineRule="auto"/>
              <w:jc w:val="both"/>
              <w:rPr>
                <w:sz w:val="24"/>
                <w:szCs w:val="24"/>
              </w:rPr>
            </w:pPr>
          </w:p>
        </w:tc>
      </w:tr>
      <w:tr w:rsidR="00597234" w:rsidRPr="00597234" w:rsidTr="00BA7389">
        <w:tc>
          <w:tcPr>
            <w:tcW w:w="2800" w:type="dxa"/>
          </w:tcPr>
          <w:p w:rsidR="00AE7AFE" w:rsidRPr="00597234" w:rsidRDefault="00E52464" w:rsidP="00597234">
            <w:pPr>
              <w:spacing w:line="276" w:lineRule="auto"/>
              <w:jc w:val="both"/>
              <w:rPr>
                <w:sz w:val="24"/>
                <w:szCs w:val="24"/>
              </w:rPr>
            </w:pPr>
            <w:r w:rsidRPr="00597234">
              <w:rPr>
                <w:rFonts w:eastAsia="Georgia"/>
                <w:b/>
                <w:bCs/>
                <w:sz w:val="24"/>
                <w:szCs w:val="24"/>
              </w:rPr>
              <w:t>Total Present Value (£000)</w:t>
            </w:r>
          </w:p>
        </w:tc>
        <w:tc>
          <w:tcPr>
            <w:tcW w:w="2075" w:type="dxa"/>
          </w:tcPr>
          <w:p w:rsidR="00AE7AFE" w:rsidRPr="00597234" w:rsidRDefault="00E52464" w:rsidP="00597234">
            <w:pPr>
              <w:spacing w:line="276" w:lineRule="auto"/>
              <w:jc w:val="both"/>
              <w:rPr>
                <w:sz w:val="24"/>
                <w:szCs w:val="24"/>
              </w:rPr>
            </w:pPr>
            <w:r w:rsidRPr="00597234">
              <w:rPr>
                <w:rFonts w:eastAsia="Georgia"/>
                <w:b/>
                <w:bCs/>
                <w:sz w:val="24"/>
                <w:szCs w:val="24"/>
              </w:rPr>
              <w:t>1243.17</w:t>
            </w:r>
          </w:p>
        </w:tc>
        <w:tc>
          <w:tcPr>
            <w:tcW w:w="2076" w:type="dxa"/>
          </w:tcPr>
          <w:p w:rsidR="00AE7AFE" w:rsidRPr="00597234" w:rsidRDefault="00E52464" w:rsidP="00597234">
            <w:pPr>
              <w:spacing w:line="276" w:lineRule="auto"/>
              <w:jc w:val="both"/>
              <w:rPr>
                <w:sz w:val="24"/>
                <w:szCs w:val="24"/>
              </w:rPr>
            </w:pPr>
            <w:r w:rsidRPr="00597234">
              <w:rPr>
                <w:rFonts w:eastAsia="Georgia"/>
                <w:b/>
                <w:bCs/>
                <w:sz w:val="24"/>
                <w:szCs w:val="24"/>
              </w:rPr>
              <w:t>1792.23</w:t>
            </w:r>
          </w:p>
        </w:tc>
        <w:tc>
          <w:tcPr>
            <w:tcW w:w="2075" w:type="dxa"/>
          </w:tcPr>
          <w:p w:rsidR="00AE7AFE" w:rsidRPr="00597234" w:rsidRDefault="00E52464" w:rsidP="00597234">
            <w:pPr>
              <w:spacing w:line="276" w:lineRule="auto"/>
              <w:jc w:val="both"/>
              <w:rPr>
                <w:sz w:val="24"/>
                <w:szCs w:val="24"/>
              </w:rPr>
            </w:pPr>
            <w:r w:rsidRPr="00597234">
              <w:rPr>
                <w:rFonts w:eastAsia="Georgia"/>
                <w:b/>
                <w:bCs/>
                <w:sz w:val="24"/>
                <w:szCs w:val="24"/>
              </w:rPr>
              <w:t>2342.48</w:t>
            </w:r>
          </w:p>
        </w:tc>
      </w:tr>
      <w:tr w:rsidR="00597234" w:rsidRPr="00597234" w:rsidTr="00BA7389">
        <w:tc>
          <w:tcPr>
            <w:tcW w:w="2800" w:type="dxa"/>
          </w:tcPr>
          <w:p w:rsidR="00AE7AFE" w:rsidRPr="00597234" w:rsidRDefault="00E52464" w:rsidP="00597234">
            <w:pPr>
              <w:spacing w:line="276" w:lineRule="auto"/>
              <w:jc w:val="both"/>
              <w:rPr>
                <w:sz w:val="24"/>
                <w:szCs w:val="24"/>
              </w:rPr>
            </w:pPr>
            <w:r w:rsidRPr="00597234">
              <w:rPr>
                <w:rFonts w:eastAsia="Georgia"/>
                <w:sz w:val="24"/>
                <w:szCs w:val="24"/>
              </w:rPr>
              <w:t>Less: Initial Investment</w:t>
            </w:r>
          </w:p>
        </w:tc>
        <w:tc>
          <w:tcPr>
            <w:tcW w:w="2075" w:type="dxa"/>
          </w:tcPr>
          <w:p w:rsidR="00AE7AFE" w:rsidRPr="00597234" w:rsidRDefault="00E52464" w:rsidP="00597234">
            <w:pPr>
              <w:spacing w:line="276" w:lineRule="auto"/>
              <w:jc w:val="both"/>
              <w:rPr>
                <w:sz w:val="24"/>
                <w:szCs w:val="24"/>
              </w:rPr>
            </w:pPr>
            <w:r w:rsidRPr="00597234">
              <w:rPr>
                <w:rFonts w:eastAsia="Georgia"/>
                <w:sz w:val="24"/>
                <w:szCs w:val="24"/>
              </w:rPr>
              <w:t>-600.00</w:t>
            </w:r>
          </w:p>
        </w:tc>
        <w:tc>
          <w:tcPr>
            <w:tcW w:w="2076" w:type="dxa"/>
          </w:tcPr>
          <w:p w:rsidR="00AE7AFE" w:rsidRPr="00597234" w:rsidRDefault="00E52464" w:rsidP="00597234">
            <w:pPr>
              <w:spacing w:line="276" w:lineRule="auto"/>
              <w:jc w:val="both"/>
              <w:rPr>
                <w:sz w:val="24"/>
                <w:szCs w:val="24"/>
              </w:rPr>
            </w:pPr>
            <w:r w:rsidRPr="00597234">
              <w:rPr>
                <w:rFonts w:eastAsia="Georgia"/>
                <w:sz w:val="24"/>
                <w:szCs w:val="24"/>
              </w:rPr>
              <w:t>-1,000.00</w:t>
            </w:r>
          </w:p>
        </w:tc>
        <w:tc>
          <w:tcPr>
            <w:tcW w:w="2075" w:type="dxa"/>
          </w:tcPr>
          <w:p w:rsidR="00AE7AFE" w:rsidRPr="00597234" w:rsidRDefault="00E52464" w:rsidP="00597234">
            <w:pPr>
              <w:spacing w:line="276" w:lineRule="auto"/>
              <w:jc w:val="both"/>
              <w:rPr>
                <w:sz w:val="24"/>
                <w:szCs w:val="24"/>
              </w:rPr>
            </w:pPr>
            <w:r w:rsidRPr="00597234">
              <w:rPr>
                <w:rFonts w:eastAsia="Georgia"/>
                <w:sz w:val="24"/>
                <w:szCs w:val="24"/>
              </w:rPr>
              <w:t>-1,600.00</w:t>
            </w:r>
          </w:p>
        </w:tc>
      </w:tr>
      <w:tr w:rsidR="00597234" w:rsidRPr="00597234" w:rsidTr="00BA7389">
        <w:tc>
          <w:tcPr>
            <w:tcW w:w="2800" w:type="dxa"/>
          </w:tcPr>
          <w:p w:rsidR="00AE7AFE" w:rsidRPr="00597234" w:rsidRDefault="00E52464" w:rsidP="00597234">
            <w:pPr>
              <w:spacing w:line="276" w:lineRule="auto"/>
              <w:jc w:val="both"/>
              <w:rPr>
                <w:sz w:val="24"/>
                <w:szCs w:val="24"/>
              </w:rPr>
            </w:pPr>
            <w:r w:rsidRPr="00597234">
              <w:rPr>
                <w:rFonts w:eastAsia="Georgia"/>
                <w:b/>
                <w:bCs/>
                <w:sz w:val="24"/>
                <w:szCs w:val="24"/>
              </w:rPr>
              <w:t>NET PRESENT VALUE (£000)</w:t>
            </w:r>
          </w:p>
        </w:tc>
        <w:tc>
          <w:tcPr>
            <w:tcW w:w="2075" w:type="dxa"/>
          </w:tcPr>
          <w:p w:rsidR="00AE7AFE" w:rsidRPr="00597234" w:rsidRDefault="00E52464" w:rsidP="00597234">
            <w:pPr>
              <w:spacing w:line="276" w:lineRule="auto"/>
              <w:jc w:val="both"/>
              <w:rPr>
                <w:sz w:val="24"/>
                <w:szCs w:val="24"/>
              </w:rPr>
            </w:pPr>
            <w:r w:rsidRPr="00597234">
              <w:rPr>
                <w:rFonts w:eastAsia="Georgia"/>
                <w:b/>
                <w:bCs/>
                <w:sz w:val="24"/>
                <w:szCs w:val="24"/>
              </w:rPr>
              <w:t>643.17</w:t>
            </w:r>
          </w:p>
        </w:tc>
        <w:tc>
          <w:tcPr>
            <w:tcW w:w="2076" w:type="dxa"/>
          </w:tcPr>
          <w:p w:rsidR="00AE7AFE" w:rsidRPr="00597234" w:rsidRDefault="00E52464" w:rsidP="00597234">
            <w:pPr>
              <w:spacing w:line="276" w:lineRule="auto"/>
              <w:jc w:val="both"/>
              <w:rPr>
                <w:sz w:val="24"/>
                <w:szCs w:val="24"/>
              </w:rPr>
            </w:pPr>
            <w:r w:rsidRPr="00597234">
              <w:rPr>
                <w:rFonts w:eastAsia="Georgia"/>
                <w:b/>
                <w:bCs/>
                <w:sz w:val="24"/>
                <w:szCs w:val="24"/>
              </w:rPr>
              <w:t>792.23</w:t>
            </w:r>
          </w:p>
        </w:tc>
        <w:tc>
          <w:tcPr>
            <w:tcW w:w="2075" w:type="dxa"/>
          </w:tcPr>
          <w:p w:rsidR="00AE7AFE" w:rsidRPr="00597234" w:rsidRDefault="00E52464" w:rsidP="00597234">
            <w:pPr>
              <w:spacing w:line="276" w:lineRule="auto"/>
              <w:jc w:val="both"/>
              <w:rPr>
                <w:sz w:val="24"/>
                <w:szCs w:val="24"/>
              </w:rPr>
            </w:pPr>
            <w:r w:rsidRPr="00597234">
              <w:rPr>
                <w:rFonts w:eastAsia="Georgia"/>
                <w:b/>
                <w:bCs/>
                <w:sz w:val="24"/>
                <w:szCs w:val="24"/>
              </w:rPr>
              <w:t>742.48</w:t>
            </w:r>
          </w:p>
        </w:tc>
      </w:tr>
    </w:tbl>
    <w:p w:rsidR="00AE7AFE" w:rsidRPr="00597234" w:rsidRDefault="00AE7AFE" w:rsidP="00597234">
      <w:pPr>
        <w:spacing w:before="140" w:line="276" w:lineRule="auto"/>
        <w:jc w:val="both"/>
        <w:rPr>
          <w:sz w:val="24"/>
          <w:szCs w:val="24"/>
        </w:rPr>
      </w:pPr>
    </w:p>
    <w:p w:rsidR="00AE7AFE" w:rsidRPr="00597234" w:rsidRDefault="00031F90" w:rsidP="00597234">
      <w:pPr>
        <w:pStyle w:val="Heading2"/>
        <w:rPr>
          <w:color w:val="auto"/>
        </w:rPr>
      </w:pPr>
      <w:bookmarkStart w:id="44" w:name="_Toc227451819"/>
      <w:bookmarkStart w:id="45" w:name="_Toc227453477"/>
      <w:r>
        <w:rPr>
          <w:rFonts w:eastAsia="Georgia"/>
          <w:color w:val="auto"/>
        </w:rPr>
        <w:t>2.3</w:t>
      </w:r>
      <w:r w:rsidR="00E52464" w:rsidRPr="00597234">
        <w:rPr>
          <w:rFonts w:eastAsia="Georgia"/>
          <w:color w:val="auto"/>
        </w:rPr>
        <w:t xml:space="preserve"> Results and Recommendation</w:t>
      </w:r>
      <w:bookmarkEnd w:id="44"/>
      <w:bookmarkEnd w:id="45"/>
    </w:p>
    <w:p w:rsidR="007242AC" w:rsidRPr="00597234" w:rsidRDefault="007242AC" w:rsidP="00597234">
      <w:pPr>
        <w:spacing w:before="80" w:line="276" w:lineRule="auto"/>
        <w:jc w:val="both"/>
        <w:rPr>
          <w:rFonts w:eastAsia="Georgia"/>
          <w:sz w:val="24"/>
          <w:szCs w:val="24"/>
        </w:rPr>
      </w:pPr>
      <w:r w:rsidRPr="00597234">
        <w:rPr>
          <w:rFonts w:eastAsia="Georgia"/>
          <w:sz w:val="24"/>
          <w:szCs w:val="24"/>
        </w:rPr>
        <w:t>The results of the NPV analysis of each option are as follows:</w:t>
      </w:r>
    </w:p>
    <w:p w:rsidR="007242AC" w:rsidRPr="00597234" w:rsidRDefault="00031F90" w:rsidP="00597234">
      <w:pPr>
        <w:spacing w:before="80" w:line="276" w:lineRule="auto"/>
        <w:jc w:val="both"/>
        <w:rPr>
          <w:rFonts w:eastAsia="Georgia"/>
          <w:sz w:val="24"/>
          <w:szCs w:val="24"/>
        </w:rPr>
      </w:pPr>
      <w:r>
        <w:rPr>
          <w:rFonts w:eastAsia="Georgia"/>
          <w:sz w:val="24"/>
          <w:szCs w:val="24"/>
        </w:rPr>
        <w:t>Option A — Retail Expansion</w:t>
      </w:r>
      <w:r w:rsidR="007242AC" w:rsidRPr="00597234">
        <w:rPr>
          <w:rFonts w:eastAsia="Georgia"/>
          <w:sz w:val="24"/>
          <w:szCs w:val="24"/>
        </w:rPr>
        <w:t xml:space="preserve"> (£600k):      NPV = £643.17k</w:t>
      </w:r>
    </w:p>
    <w:p w:rsidR="007242AC" w:rsidRPr="00597234" w:rsidRDefault="007242AC" w:rsidP="00597234">
      <w:pPr>
        <w:spacing w:before="80" w:line="276" w:lineRule="auto"/>
        <w:jc w:val="both"/>
        <w:rPr>
          <w:rFonts w:eastAsia="Georgia"/>
          <w:sz w:val="24"/>
          <w:szCs w:val="24"/>
        </w:rPr>
      </w:pPr>
      <w:r w:rsidRPr="00597234">
        <w:rPr>
          <w:rFonts w:eastAsia="Georgia"/>
          <w:sz w:val="24"/>
          <w:szCs w:val="24"/>
        </w:rPr>
        <w:t xml:space="preserve">Option B — Internet Sales     (£1,000k):   NPV = £792.23k  </w:t>
      </w:r>
    </w:p>
    <w:p w:rsidR="00AE7AFE" w:rsidRPr="00597234" w:rsidRDefault="00031F90" w:rsidP="00597234">
      <w:pPr>
        <w:spacing w:before="80" w:line="276" w:lineRule="auto"/>
        <w:jc w:val="both"/>
        <w:rPr>
          <w:sz w:val="24"/>
          <w:szCs w:val="24"/>
        </w:rPr>
      </w:pPr>
      <w:r>
        <w:rPr>
          <w:rFonts w:eastAsia="Georgia"/>
          <w:sz w:val="24"/>
          <w:szCs w:val="24"/>
        </w:rPr>
        <w:t>Option C — Blinds Production</w:t>
      </w:r>
      <w:r w:rsidR="007242AC" w:rsidRPr="00597234">
        <w:rPr>
          <w:rFonts w:eastAsia="Georgia"/>
          <w:sz w:val="24"/>
          <w:szCs w:val="24"/>
        </w:rPr>
        <w:t xml:space="preserve"> (£1,600k):   NPV = £742.48k</w:t>
      </w:r>
    </w:p>
    <w:p w:rsidR="007242AC" w:rsidRPr="00597234" w:rsidRDefault="007242AC" w:rsidP="00597234">
      <w:pPr>
        <w:spacing w:before="140" w:line="276" w:lineRule="auto"/>
        <w:jc w:val="both"/>
        <w:rPr>
          <w:rFonts w:eastAsia="Georgia"/>
          <w:sz w:val="24"/>
          <w:szCs w:val="24"/>
        </w:rPr>
      </w:pPr>
      <w:r w:rsidRPr="00597234">
        <w:rPr>
          <w:rFonts w:eastAsia="Georgia"/>
          <w:sz w:val="24"/>
          <w:szCs w:val="24"/>
        </w:rPr>
        <w:t>The suggested investment is Option B, the development of an internet sales channel, based on NPV analysis. It produces the highest Net Present Value of £792.23k, which is the highest increase in shareholder wealth in present-value terms, after taking into account the time value of money, 6 per cent cost of capital, corporation tax and capital allowances. Although the initial outlay of Option B is the second-largest at 1,000,000, the cash flow graph is projected to be well above the initial outlay.</w:t>
      </w:r>
    </w:p>
    <w:p w:rsidR="007242AC" w:rsidRPr="00597234" w:rsidRDefault="007242AC" w:rsidP="00597234">
      <w:pPr>
        <w:spacing w:before="140" w:line="276" w:lineRule="auto"/>
        <w:jc w:val="both"/>
        <w:rPr>
          <w:rFonts w:eastAsia="Georgia"/>
          <w:sz w:val="24"/>
          <w:szCs w:val="24"/>
        </w:rPr>
      </w:pPr>
      <w:r w:rsidRPr="00597234">
        <w:rPr>
          <w:rFonts w:eastAsia="Georgia"/>
          <w:sz w:val="24"/>
          <w:szCs w:val="24"/>
        </w:rPr>
        <w:t>Option C generates the largest absolute pre-tax revenues in the four-year time frame, but has a much higher initial investment of £1,600,000, lowering its NPV to £742.48k, which is lower than that of Option B. Option B is the unambiguous recommendation, on NPV grounds.</w:t>
      </w:r>
    </w:p>
    <w:p w:rsidR="00AE7AFE" w:rsidRPr="00597234" w:rsidRDefault="007242AC" w:rsidP="00597234">
      <w:pPr>
        <w:spacing w:before="140" w:line="276" w:lineRule="auto"/>
        <w:jc w:val="both"/>
        <w:rPr>
          <w:sz w:val="24"/>
          <w:szCs w:val="24"/>
        </w:rPr>
      </w:pPr>
      <w:r w:rsidRPr="00597234">
        <w:rPr>
          <w:rFonts w:eastAsia="Georgia"/>
          <w:sz w:val="24"/>
          <w:szCs w:val="24"/>
        </w:rPr>
        <w:t>Board is recommended to adopt the internet sales channel, which is option B. The online retail development trend in the home furnishing and interior design industry and the comparatively less fixed cost base of digital commerce than diversification in physical manufacturing, make the strategic appeal of this alternative independent of NPV analysis.</w:t>
      </w:r>
    </w:p>
    <w:p w:rsidR="00AE7AFE" w:rsidRPr="00597234" w:rsidRDefault="00AE7AFE" w:rsidP="00597234">
      <w:pPr>
        <w:spacing w:before="140" w:line="276" w:lineRule="auto"/>
        <w:jc w:val="both"/>
        <w:rPr>
          <w:sz w:val="24"/>
          <w:szCs w:val="24"/>
        </w:rPr>
      </w:pPr>
    </w:p>
    <w:p w:rsidR="00AE7AFE" w:rsidRPr="00597234" w:rsidRDefault="00E52464" w:rsidP="00597234">
      <w:pPr>
        <w:pStyle w:val="Heading1"/>
        <w:rPr>
          <w:color w:val="auto"/>
        </w:rPr>
      </w:pPr>
      <w:bookmarkStart w:id="46" w:name="_Toc227451820"/>
      <w:bookmarkStart w:id="47" w:name="_Toc227453478"/>
      <w:r w:rsidRPr="00597234">
        <w:rPr>
          <w:rFonts w:eastAsia="Georgia"/>
          <w:color w:val="auto"/>
        </w:rPr>
        <w:t>3.  Internal Rate of Return – Option B</w:t>
      </w:r>
      <w:bookmarkEnd w:id="46"/>
      <w:bookmarkEnd w:id="47"/>
    </w:p>
    <w:p w:rsidR="00AE7AFE" w:rsidRPr="00597234" w:rsidRDefault="00031F90" w:rsidP="00597234">
      <w:pPr>
        <w:pStyle w:val="Heading2"/>
        <w:rPr>
          <w:color w:val="auto"/>
        </w:rPr>
      </w:pPr>
      <w:bookmarkStart w:id="48" w:name="_Toc227451821"/>
      <w:bookmarkStart w:id="49" w:name="_Toc227453479"/>
      <w:r>
        <w:rPr>
          <w:rFonts w:eastAsia="Georgia"/>
          <w:color w:val="auto"/>
        </w:rPr>
        <w:t>3.1</w:t>
      </w:r>
      <w:r w:rsidR="00E52464" w:rsidRPr="00597234">
        <w:rPr>
          <w:rFonts w:eastAsia="Georgia"/>
          <w:color w:val="auto"/>
        </w:rPr>
        <w:t xml:space="preserve"> Method and Workings</w:t>
      </w:r>
      <w:bookmarkEnd w:id="48"/>
      <w:bookmarkEnd w:id="49"/>
    </w:p>
    <w:p w:rsidR="00AE7AFE" w:rsidRPr="00597234" w:rsidRDefault="009775D1" w:rsidP="00597234">
      <w:pPr>
        <w:spacing w:before="80" w:line="276" w:lineRule="auto"/>
        <w:jc w:val="both"/>
        <w:rPr>
          <w:sz w:val="24"/>
          <w:szCs w:val="24"/>
        </w:rPr>
      </w:pPr>
      <w:r w:rsidRPr="009775D1">
        <w:rPr>
          <w:rFonts w:eastAsia="Georgia"/>
          <w:sz w:val="24"/>
          <w:szCs w:val="24"/>
        </w:rPr>
        <w:t>The Internal Rate of Return (IRR) is the discount rate that causes a project's net present value (NPV) to equal zero, or the anticipated annualized rate of return on the capital invested in the project. In this case, it is calculated using the linear interpolation method with trial discounts of 30% and 35% applied to Option B's after-tax cash flows. The NPV of Option B switches sign between 30 and 35 percent, according to preliminary analysis, which is why these rates were selected (Mclaney, 2017).</w:t>
      </w:r>
      <w:r w:rsidR="00031F90">
        <w:rPr>
          <w:rFonts w:eastAsia="Georgia"/>
          <w:sz w:val="24"/>
          <w:szCs w:val="24"/>
        </w:rPr>
        <w:t>IRR ≈ Lower Rate + [</w:t>
      </w:r>
      <w:r w:rsidR="007242AC" w:rsidRPr="00597234">
        <w:rPr>
          <w:rFonts w:eastAsia="Georgia"/>
          <w:sz w:val="24"/>
          <w:szCs w:val="24"/>
        </w:rPr>
        <w:t>NPV@L</w:t>
      </w:r>
      <w:r w:rsidR="00031F90">
        <w:rPr>
          <w:rFonts w:eastAsia="Georgia"/>
          <w:sz w:val="24"/>
          <w:szCs w:val="24"/>
        </w:rPr>
        <w:t>ower / (NPV@Lower – NPV@Higher)]  ×</w:t>
      </w:r>
      <w:r w:rsidR="007242AC" w:rsidRPr="00597234">
        <w:rPr>
          <w:rFonts w:eastAsia="Georgia"/>
          <w:sz w:val="24"/>
          <w:szCs w:val="24"/>
        </w:rPr>
        <w:t xml:space="preserve"> (Rate Range)</w:t>
      </w:r>
    </w:p>
    <w:tbl>
      <w:tblPr>
        <w:tblStyle w:val="TableGrid"/>
        <w:tblW w:w="9026" w:type="dxa"/>
        <w:tblLook w:val="0000"/>
      </w:tblPr>
      <w:tblGrid>
        <w:gridCol w:w="1400"/>
        <w:gridCol w:w="1700"/>
        <w:gridCol w:w="1200"/>
        <w:gridCol w:w="1726"/>
        <w:gridCol w:w="1200"/>
        <w:gridCol w:w="1800"/>
      </w:tblGrid>
      <w:tr w:rsidR="00597234" w:rsidRPr="00597234" w:rsidTr="00BA7389">
        <w:tc>
          <w:tcPr>
            <w:tcW w:w="1400" w:type="dxa"/>
          </w:tcPr>
          <w:p w:rsidR="00AE7AFE" w:rsidRPr="00597234" w:rsidRDefault="00E52464" w:rsidP="00597234">
            <w:pPr>
              <w:spacing w:line="276" w:lineRule="auto"/>
              <w:jc w:val="both"/>
              <w:rPr>
                <w:sz w:val="24"/>
                <w:szCs w:val="24"/>
              </w:rPr>
            </w:pPr>
            <w:r w:rsidRPr="00597234">
              <w:rPr>
                <w:rFonts w:eastAsia="Georgia"/>
                <w:b/>
                <w:bCs/>
                <w:sz w:val="24"/>
                <w:szCs w:val="24"/>
              </w:rPr>
              <w:t>Year</w:t>
            </w:r>
          </w:p>
        </w:tc>
        <w:tc>
          <w:tcPr>
            <w:tcW w:w="1700" w:type="dxa"/>
          </w:tcPr>
          <w:p w:rsidR="00AE7AFE" w:rsidRPr="00597234" w:rsidRDefault="00E52464" w:rsidP="00597234">
            <w:pPr>
              <w:spacing w:line="276" w:lineRule="auto"/>
              <w:jc w:val="both"/>
              <w:rPr>
                <w:sz w:val="24"/>
                <w:szCs w:val="24"/>
              </w:rPr>
            </w:pPr>
            <w:r w:rsidRPr="00597234">
              <w:rPr>
                <w:rFonts w:eastAsia="Georgia"/>
                <w:b/>
                <w:bCs/>
                <w:sz w:val="24"/>
                <w:szCs w:val="24"/>
              </w:rPr>
              <w:t>After-tax CF (£000)</w:t>
            </w:r>
          </w:p>
        </w:tc>
        <w:tc>
          <w:tcPr>
            <w:tcW w:w="1200" w:type="dxa"/>
          </w:tcPr>
          <w:p w:rsidR="00AE7AFE" w:rsidRPr="00597234" w:rsidRDefault="00E52464" w:rsidP="00597234">
            <w:pPr>
              <w:spacing w:line="276" w:lineRule="auto"/>
              <w:jc w:val="both"/>
              <w:rPr>
                <w:sz w:val="24"/>
                <w:szCs w:val="24"/>
              </w:rPr>
            </w:pPr>
            <w:r w:rsidRPr="00597234">
              <w:rPr>
                <w:rFonts w:eastAsia="Georgia"/>
                <w:b/>
                <w:bCs/>
                <w:sz w:val="24"/>
                <w:szCs w:val="24"/>
              </w:rPr>
              <w:t>DF @ 30%</w:t>
            </w:r>
          </w:p>
        </w:tc>
        <w:tc>
          <w:tcPr>
            <w:tcW w:w="1726" w:type="dxa"/>
          </w:tcPr>
          <w:p w:rsidR="00AE7AFE" w:rsidRPr="00597234" w:rsidRDefault="00E52464" w:rsidP="00597234">
            <w:pPr>
              <w:spacing w:line="276" w:lineRule="auto"/>
              <w:jc w:val="both"/>
              <w:rPr>
                <w:sz w:val="24"/>
                <w:szCs w:val="24"/>
              </w:rPr>
            </w:pPr>
            <w:r w:rsidRPr="00597234">
              <w:rPr>
                <w:rFonts w:eastAsia="Georgia"/>
                <w:b/>
                <w:bCs/>
                <w:sz w:val="24"/>
                <w:szCs w:val="24"/>
              </w:rPr>
              <w:t>PV @ 30% (£000)</w:t>
            </w:r>
          </w:p>
        </w:tc>
        <w:tc>
          <w:tcPr>
            <w:tcW w:w="1200" w:type="dxa"/>
          </w:tcPr>
          <w:p w:rsidR="00AE7AFE" w:rsidRPr="00597234" w:rsidRDefault="00E52464" w:rsidP="00597234">
            <w:pPr>
              <w:spacing w:line="276" w:lineRule="auto"/>
              <w:jc w:val="both"/>
              <w:rPr>
                <w:sz w:val="24"/>
                <w:szCs w:val="24"/>
              </w:rPr>
            </w:pPr>
            <w:r w:rsidRPr="00597234">
              <w:rPr>
                <w:rFonts w:eastAsia="Georgia"/>
                <w:b/>
                <w:bCs/>
                <w:sz w:val="24"/>
                <w:szCs w:val="24"/>
              </w:rPr>
              <w:t>DF @ 35%</w:t>
            </w:r>
          </w:p>
        </w:tc>
        <w:tc>
          <w:tcPr>
            <w:tcW w:w="1800" w:type="dxa"/>
          </w:tcPr>
          <w:p w:rsidR="00AE7AFE" w:rsidRPr="00597234" w:rsidRDefault="00E52464" w:rsidP="00597234">
            <w:pPr>
              <w:spacing w:line="276" w:lineRule="auto"/>
              <w:jc w:val="both"/>
              <w:rPr>
                <w:sz w:val="24"/>
                <w:szCs w:val="24"/>
              </w:rPr>
            </w:pPr>
            <w:r w:rsidRPr="00597234">
              <w:rPr>
                <w:rFonts w:eastAsia="Georgia"/>
                <w:b/>
                <w:bCs/>
                <w:sz w:val="24"/>
                <w:szCs w:val="24"/>
              </w:rPr>
              <w:t>PV @ 35% (£000)</w:t>
            </w:r>
          </w:p>
        </w:tc>
      </w:tr>
      <w:tr w:rsidR="00597234" w:rsidRPr="00597234" w:rsidTr="00BA7389">
        <w:tc>
          <w:tcPr>
            <w:tcW w:w="1400" w:type="dxa"/>
          </w:tcPr>
          <w:p w:rsidR="00AE7AFE" w:rsidRPr="00597234" w:rsidRDefault="00E52464" w:rsidP="00597234">
            <w:pPr>
              <w:spacing w:line="276" w:lineRule="auto"/>
              <w:jc w:val="both"/>
              <w:rPr>
                <w:sz w:val="24"/>
                <w:szCs w:val="24"/>
              </w:rPr>
            </w:pPr>
            <w:r w:rsidRPr="00597234">
              <w:rPr>
                <w:rFonts w:eastAsia="Georgia"/>
                <w:sz w:val="24"/>
                <w:szCs w:val="24"/>
              </w:rPr>
              <w:t>Year 1</w:t>
            </w:r>
          </w:p>
        </w:tc>
        <w:tc>
          <w:tcPr>
            <w:tcW w:w="1700" w:type="dxa"/>
          </w:tcPr>
          <w:p w:rsidR="00AE7AFE" w:rsidRPr="00597234" w:rsidRDefault="00E52464" w:rsidP="00597234">
            <w:pPr>
              <w:spacing w:line="276" w:lineRule="auto"/>
              <w:jc w:val="both"/>
              <w:rPr>
                <w:sz w:val="24"/>
                <w:szCs w:val="24"/>
              </w:rPr>
            </w:pPr>
            <w:r w:rsidRPr="00597234">
              <w:rPr>
                <w:rFonts w:eastAsia="Georgia"/>
                <w:sz w:val="24"/>
                <w:szCs w:val="24"/>
              </w:rPr>
              <w:t>350.0</w:t>
            </w:r>
          </w:p>
        </w:tc>
        <w:tc>
          <w:tcPr>
            <w:tcW w:w="1200" w:type="dxa"/>
          </w:tcPr>
          <w:p w:rsidR="00AE7AFE" w:rsidRPr="00597234" w:rsidRDefault="00E52464" w:rsidP="00597234">
            <w:pPr>
              <w:spacing w:line="276" w:lineRule="auto"/>
              <w:jc w:val="both"/>
              <w:rPr>
                <w:sz w:val="24"/>
                <w:szCs w:val="24"/>
              </w:rPr>
            </w:pPr>
            <w:r w:rsidRPr="00597234">
              <w:rPr>
                <w:rFonts w:eastAsia="Georgia"/>
                <w:sz w:val="24"/>
                <w:szCs w:val="24"/>
              </w:rPr>
              <w:t>0.7692</w:t>
            </w:r>
          </w:p>
        </w:tc>
        <w:tc>
          <w:tcPr>
            <w:tcW w:w="1726" w:type="dxa"/>
          </w:tcPr>
          <w:p w:rsidR="00AE7AFE" w:rsidRPr="00597234" w:rsidRDefault="00E52464" w:rsidP="00597234">
            <w:pPr>
              <w:spacing w:line="276" w:lineRule="auto"/>
              <w:jc w:val="both"/>
              <w:rPr>
                <w:sz w:val="24"/>
                <w:szCs w:val="24"/>
              </w:rPr>
            </w:pPr>
            <w:r w:rsidRPr="00597234">
              <w:rPr>
                <w:rFonts w:eastAsia="Georgia"/>
                <w:sz w:val="24"/>
                <w:szCs w:val="24"/>
              </w:rPr>
              <w:t>269.22</w:t>
            </w:r>
          </w:p>
        </w:tc>
        <w:tc>
          <w:tcPr>
            <w:tcW w:w="1200" w:type="dxa"/>
          </w:tcPr>
          <w:p w:rsidR="00AE7AFE" w:rsidRPr="00597234" w:rsidRDefault="00E52464" w:rsidP="00597234">
            <w:pPr>
              <w:spacing w:line="276" w:lineRule="auto"/>
              <w:jc w:val="both"/>
              <w:rPr>
                <w:sz w:val="24"/>
                <w:szCs w:val="24"/>
              </w:rPr>
            </w:pPr>
            <w:r w:rsidRPr="00597234">
              <w:rPr>
                <w:rFonts w:eastAsia="Georgia"/>
                <w:sz w:val="24"/>
                <w:szCs w:val="24"/>
              </w:rPr>
              <w:t>0.7407</w:t>
            </w:r>
          </w:p>
        </w:tc>
        <w:tc>
          <w:tcPr>
            <w:tcW w:w="1800" w:type="dxa"/>
          </w:tcPr>
          <w:p w:rsidR="00AE7AFE" w:rsidRPr="00597234" w:rsidRDefault="00E52464" w:rsidP="00597234">
            <w:pPr>
              <w:spacing w:line="276" w:lineRule="auto"/>
              <w:jc w:val="both"/>
              <w:rPr>
                <w:sz w:val="24"/>
                <w:szCs w:val="24"/>
              </w:rPr>
            </w:pPr>
            <w:r w:rsidRPr="00597234">
              <w:rPr>
                <w:rFonts w:eastAsia="Georgia"/>
                <w:sz w:val="24"/>
                <w:szCs w:val="24"/>
              </w:rPr>
              <w:t>259.25</w:t>
            </w:r>
          </w:p>
        </w:tc>
      </w:tr>
      <w:tr w:rsidR="00597234" w:rsidRPr="00597234" w:rsidTr="00BA7389">
        <w:tc>
          <w:tcPr>
            <w:tcW w:w="1400" w:type="dxa"/>
          </w:tcPr>
          <w:p w:rsidR="00AE7AFE" w:rsidRPr="00597234" w:rsidRDefault="00E52464" w:rsidP="00597234">
            <w:pPr>
              <w:spacing w:line="276" w:lineRule="auto"/>
              <w:jc w:val="both"/>
              <w:rPr>
                <w:sz w:val="24"/>
                <w:szCs w:val="24"/>
              </w:rPr>
            </w:pPr>
            <w:r w:rsidRPr="00597234">
              <w:rPr>
                <w:rFonts w:eastAsia="Georgia"/>
                <w:sz w:val="24"/>
                <w:szCs w:val="24"/>
              </w:rPr>
              <w:t>Year 2</w:t>
            </w:r>
          </w:p>
        </w:tc>
        <w:tc>
          <w:tcPr>
            <w:tcW w:w="1700" w:type="dxa"/>
          </w:tcPr>
          <w:p w:rsidR="00AE7AFE" w:rsidRPr="00597234" w:rsidRDefault="00E52464" w:rsidP="00597234">
            <w:pPr>
              <w:spacing w:line="276" w:lineRule="auto"/>
              <w:jc w:val="both"/>
              <w:rPr>
                <w:sz w:val="24"/>
                <w:szCs w:val="24"/>
              </w:rPr>
            </w:pPr>
            <w:r w:rsidRPr="00597234">
              <w:rPr>
                <w:rFonts w:eastAsia="Georgia"/>
                <w:sz w:val="24"/>
                <w:szCs w:val="24"/>
              </w:rPr>
              <w:t>387.5</w:t>
            </w:r>
          </w:p>
        </w:tc>
        <w:tc>
          <w:tcPr>
            <w:tcW w:w="1200" w:type="dxa"/>
          </w:tcPr>
          <w:p w:rsidR="00AE7AFE" w:rsidRPr="00597234" w:rsidRDefault="00E52464" w:rsidP="00597234">
            <w:pPr>
              <w:spacing w:line="276" w:lineRule="auto"/>
              <w:jc w:val="both"/>
              <w:rPr>
                <w:sz w:val="24"/>
                <w:szCs w:val="24"/>
              </w:rPr>
            </w:pPr>
            <w:r w:rsidRPr="00597234">
              <w:rPr>
                <w:rFonts w:eastAsia="Georgia"/>
                <w:sz w:val="24"/>
                <w:szCs w:val="24"/>
              </w:rPr>
              <w:t>0.5917</w:t>
            </w:r>
          </w:p>
        </w:tc>
        <w:tc>
          <w:tcPr>
            <w:tcW w:w="1726" w:type="dxa"/>
          </w:tcPr>
          <w:p w:rsidR="00AE7AFE" w:rsidRPr="00597234" w:rsidRDefault="00E52464" w:rsidP="00597234">
            <w:pPr>
              <w:spacing w:line="276" w:lineRule="auto"/>
              <w:jc w:val="both"/>
              <w:rPr>
                <w:sz w:val="24"/>
                <w:szCs w:val="24"/>
              </w:rPr>
            </w:pPr>
            <w:r w:rsidRPr="00597234">
              <w:rPr>
                <w:rFonts w:eastAsia="Georgia"/>
                <w:sz w:val="24"/>
                <w:szCs w:val="24"/>
              </w:rPr>
              <w:t>229.28</w:t>
            </w:r>
          </w:p>
        </w:tc>
        <w:tc>
          <w:tcPr>
            <w:tcW w:w="1200" w:type="dxa"/>
          </w:tcPr>
          <w:p w:rsidR="00AE7AFE" w:rsidRPr="00597234" w:rsidRDefault="00E52464" w:rsidP="00597234">
            <w:pPr>
              <w:spacing w:line="276" w:lineRule="auto"/>
              <w:jc w:val="both"/>
              <w:rPr>
                <w:sz w:val="24"/>
                <w:szCs w:val="24"/>
              </w:rPr>
            </w:pPr>
            <w:r w:rsidRPr="00597234">
              <w:rPr>
                <w:rFonts w:eastAsia="Georgia"/>
                <w:sz w:val="24"/>
                <w:szCs w:val="24"/>
              </w:rPr>
              <w:t>0.5487</w:t>
            </w:r>
          </w:p>
        </w:tc>
        <w:tc>
          <w:tcPr>
            <w:tcW w:w="1800" w:type="dxa"/>
          </w:tcPr>
          <w:p w:rsidR="00AE7AFE" w:rsidRPr="00597234" w:rsidRDefault="00E52464" w:rsidP="00597234">
            <w:pPr>
              <w:spacing w:line="276" w:lineRule="auto"/>
              <w:jc w:val="both"/>
              <w:rPr>
                <w:sz w:val="24"/>
                <w:szCs w:val="24"/>
              </w:rPr>
            </w:pPr>
            <w:r w:rsidRPr="00597234">
              <w:rPr>
                <w:rFonts w:eastAsia="Georgia"/>
                <w:sz w:val="24"/>
                <w:szCs w:val="24"/>
              </w:rPr>
              <w:t>212.62</w:t>
            </w:r>
          </w:p>
        </w:tc>
      </w:tr>
      <w:tr w:rsidR="00597234" w:rsidRPr="00597234" w:rsidTr="00BA7389">
        <w:tc>
          <w:tcPr>
            <w:tcW w:w="1400" w:type="dxa"/>
          </w:tcPr>
          <w:p w:rsidR="00AE7AFE" w:rsidRPr="00597234" w:rsidRDefault="00E52464" w:rsidP="00597234">
            <w:pPr>
              <w:spacing w:line="276" w:lineRule="auto"/>
              <w:jc w:val="both"/>
              <w:rPr>
                <w:sz w:val="24"/>
                <w:szCs w:val="24"/>
              </w:rPr>
            </w:pPr>
            <w:r w:rsidRPr="00597234">
              <w:rPr>
                <w:rFonts w:eastAsia="Georgia"/>
                <w:sz w:val="24"/>
                <w:szCs w:val="24"/>
              </w:rPr>
              <w:t>Year 3</w:t>
            </w:r>
          </w:p>
        </w:tc>
        <w:tc>
          <w:tcPr>
            <w:tcW w:w="1700" w:type="dxa"/>
          </w:tcPr>
          <w:p w:rsidR="00AE7AFE" w:rsidRPr="00597234" w:rsidRDefault="00E52464" w:rsidP="00597234">
            <w:pPr>
              <w:spacing w:line="276" w:lineRule="auto"/>
              <w:jc w:val="both"/>
              <w:rPr>
                <w:sz w:val="24"/>
                <w:szCs w:val="24"/>
              </w:rPr>
            </w:pPr>
            <w:r w:rsidRPr="00597234">
              <w:rPr>
                <w:rFonts w:eastAsia="Georgia"/>
                <w:sz w:val="24"/>
                <w:szCs w:val="24"/>
              </w:rPr>
              <w:t>590.0</w:t>
            </w:r>
          </w:p>
        </w:tc>
        <w:tc>
          <w:tcPr>
            <w:tcW w:w="1200" w:type="dxa"/>
          </w:tcPr>
          <w:p w:rsidR="00AE7AFE" w:rsidRPr="00597234" w:rsidRDefault="00E52464" w:rsidP="00597234">
            <w:pPr>
              <w:spacing w:line="276" w:lineRule="auto"/>
              <w:jc w:val="both"/>
              <w:rPr>
                <w:sz w:val="24"/>
                <w:szCs w:val="24"/>
              </w:rPr>
            </w:pPr>
            <w:r w:rsidRPr="00597234">
              <w:rPr>
                <w:rFonts w:eastAsia="Georgia"/>
                <w:sz w:val="24"/>
                <w:szCs w:val="24"/>
              </w:rPr>
              <w:t>0.4552</w:t>
            </w:r>
          </w:p>
        </w:tc>
        <w:tc>
          <w:tcPr>
            <w:tcW w:w="1726" w:type="dxa"/>
          </w:tcPr>
          <w:p w:rsidR="00AE7AFE" w:rsidRPr="00597234" w:rsidRDefault="00E52464" w:rsidP="00597234">
            <w:pPr>
              <w:spacing w:line="276" w:lineRule="auto"/>
              <w:jc w:val="both"/>
              <w:rPr>
                <w:sz w:val="24"/>
                <w:szCs w:val="24"/>
              </w:rPr>
            </w:pPr>
            <w:r w:rsidRPr="00597234">
              <w:rPr>
                <w:rFonts w:eastAsia="Georgia"/>
                <w:sz w:val="24"/>
                <w:szCs w:val="24"/>
              </w:rPr>
              <w:t>268.57</w:t>
            </w:r>
          </w:p>
        </w:tc>
        <w:tc>
          <w:tcPr>
            <w:tcW w:w="1200" w:type="dxa"/>
          </w:tcPr>
          <w:p w:rsidR="00AE7AFE" w:rsidRPr="00597234" w:rsidRDefault="00E52464" w:rsidP="00597234">
            <w:pPr>
              <w:spacing w:line="276" w:lineRule="auto"/>
              <w:jc w:val="both"/>
              <w:rPr>
                <w:sz w:val="24"/>
                <w:szCs w:val="24"/>
              </w:rPr>
            </w:pPr>
            <w:r w:rsidRPr="00597234">
              <w:rPr>
                <w:rFonts w:eastAsia="Georgia"/>
                <w:sz w:val="24"/>
                <w:szCs w:val="24"/>
              </w:rPr>
              <w:t>0.4064</w:t>
            </w:r>
          </w:p>
        </w:tc>
        <w:tc>
          <w:tcPr>
            <w:tcW w:w="1800" w:type="dxa"/>
          </w:tcPr>
          <w:p w:rsidR="00AE7AFE" w:rsidRPr="00597234" w:rsidRDefault="00E52464" w:rsidP="00597234">
            <w:pPr>
              <w:spacing w:line="276" w:lineRule="auto"/>
              <w:jc w:val="both"/>
              <w:rPr>
                <w:sz w:val="24"/>
                <w:szCs w:val="24"/>
              </w:rPr>
            </w:pPr>
            <w:r w:rsidRPr="00597234">
              <w:rPr>
                <w:rFonts w:eastAsia="Georgia"/>
                <w:sz w:val="24"/>
                <w:szCs w:val="24"/>
              </w:rPr>
              <w:t>239.78</w:t>
            </w:r>
          </w:p>
        </w:tc>
      </w:tr>
      <w:tr w:rsidR="00597234" w:rsidRPr="00597234" w:rsidTr="00BA7389">
        <w:tc>
          <w:tcPr>
            <w:tcW w:w="1400" w:type="dxa"/>
          </w:tcPr>
          <w:p w:rsidR="00AE7AFE" w:rsidRPr="00597234" w:rsidRDefault="00E52464" w:rsidP="00597234">
            <w:pPr>
              <w:spacing w:line="276" w:lineRule="auto"/>
              <w:jc w:val="both"/>
              <w:rPr>
                <w:sz w:val="24"/>
                <w:szCs w:val="24"/>
              </w:rPr>
            </w:pPr>
            <w:r w:rsidRPr="00597234">
              <w:rPr>
                <w:rFonts w:eastAsia="Georgia"/>
                <w:sz w:val="24"/>
                <w:szCs w:val="24"/>
              </w:rPr>
              <w:t>Year 4</w:t>
            </w:r>
          </w:p>
        </w:tc>
        <w:tc>
          <w:tcPr>
            <w:tcW w:w="1700" w:type="dxa"/>
          </w:tcPr>
          <w:p w:rsidR="00AE7AFE" w:rsidRPr="00597234" w:rsidRDefault="00E52464" w:rsidP="00597234">
            <w:pPr>
              <w:spacing w:line="276" w:lineRule="auto"/>
              <w:jc w:val="both"/>
              <w:rPr>
                <w:sz w:val="24"/>
                <w:szCs w:val="24"/>
              </w:rPr>
            </w:pPr>
            <w:r w:rsidRPr="00597234">
              <w:rPr>
                <w:rFonts w:eastAsia="Georgia"/>
                <w:sz w:val="24"/>
                <w:szCs w:val="24"/>
              </w:rPr>
              <w:t>785.0</w:t>
            </w:r>
          </w:p>
        </w:tc>
        <w:tc>
          <w:tcPr>
            <w:tcW w:w="1200" w:type="dxa"/>
          </w:tcPr>
          <w:p w:rsidR="00AE7AFE" w:rsidRPr="00597234" w:rsidRDefault="00E52464" w:rsidP="00597234">
            <w:pPr>
              <w:spacing w:line="276" w:lineRule="auto"/>
              <w:jc w:val="both"/>
              <w:rPr>
                <w:sz w:val="24"/>
                <w:szCs w:val="24"/>
              </w:rPr>
            </w:pPr>
            <w:r w:rsidRPr="00597234">
              <w:rPr>
                <w:rFonts w:eastAsia="Georgia"/>
                <w:sz w:val="24"/>
                <w:szCs w:val="24"/>
              </w:rPr>
              <w:t>0.3501</w:t>
            </w:r>
          </w:p>
        </w:tc>
        <w:tc>
          <w:tcPr>
            <w:tcW w:w="1726" w:type="dxa"/>
          </w:tcPr>
          <w:p w:rsidR="00AE7AFE" w:rsidRPr="00597234" w:rsidRDefault="00E52464" w:rsidP="00597234">
            <w:pPr>
              <w:spacing w:line="276" w:lineRule="auto"/>
              <w:jc w:val="both"/>
              <w:rPr>
                <w:sz w:val="24"/>
                <w:szCs w:val="24"/>
              </w:rPr>
            </w:pPr>
            <w:r w:rsidRPr="00597234">
              <w:rPr>
                <w:rFonts w:eastAsia="Georgia"/>
                <w:sz w:val="24"/>
                <w:szCs w:val="24"/>
              </w:rPr>
              <w:t>274.83</w:t>
            </w:r>
          </w:p>
        </w:tc>
        <w:tc>
          <w:tcPr>
            <w:tcW w:w="1200" w:type="dxa"/>
          </w:tcPr>
          <w:p w:rsidR="00AE7AFE" w:rsidRPr="00597234" w:rsidRDefault="00E52464" w:rsidP="00597234">
            <w:pPr>
              <w:spacing w:line="276" w:lineRule="auto"/>
              <w:jc w:val="both"/>
              <w:rPr>
                <w:sz w:val="24"/>
                <w:szCs w:val="24"/>
              </w:rPr>
            </w:pPr>
            <w:r w:rsidRPr="00597234">
              <w:rPr>
                <w:rFonts w:eastAsia="Georgia"/>
                <w:sz w:val="24"/>
                <w:szCs w:val="24"/>
              </w:rPr>
              <w:t>0.3011</w:t>
            </w:r>
          </w:p>
        </w:tc>
        <w:tc>
          <w:tcPr>
            <w:tcW w:w="1800" w:type="dxa"/>
          </w:tcPr>
          <w:p w:rsidR="00AE7AFE" w:rsidRPr="00597234" w:rsidRDefault="00E52464" w:rsidP="00597234">
            <w:pPr>
              <w:spacing w:line="276" w:lineRule="auto"/>
              <w:jc w:val="both"/>
              <w:rPr>
                <w:sz w:val="24"/>
                <w:szCs w:val="24"/>
              </w:rPr>
            </w:pPr>
            <w:r w:rsidRPr="00597234">
              <w:rPr>
                <w:rFonts w:eastAsia="Georgia"/>
                <w:sz w:val="24"/>
                <w:szCs w:val="24"/>
              </w:rPr>
              <w:t>236.36</w:t>
            </w:r>
          </w:p>
        </w:tc>
      </w:tr>
      <w:tr w:rsidR="00597234" w:rsidRPr="00597234" w:rsidTr="00BA7389">
        <w:tc>
          <w:tcPr>
            <w:tcW w:w="1400" w:type="dxa"/>
          </w:tcPr>
          <w:p w:rsidR="00AE7AFE" w:rsidRPr="00597234" w:rsidRDefault="00E52464" w:rsidP="00597234">
            <w:pPr>
              <w:spacing w:line="276" w:lineRule="auto"/>
              <w:jc w:val="both"/>
              <w:rPr>
                <w:sz w:val="24"/>
                <w:szCs w:val="24"/>
              </w:rPr>
            </w:pPr>
            <w:r w:rsidRPr="00597234">
              <w:rPr>
                <w:rFonts w:eastAsia="Georgia"/>
                <w:b/>
                <w:bCs/>
                <w:sz w:val="24"/>
                <w:szCs w:val="24"/>
              </w:rPr>
              <w:t>Total PV</w:t>
            </w:r>
          </w:p>
        </w:tc>
        <w:tc>
          <w:tcPr>
            <w:tcW w:w="1700" w:type="dxa"/>
          </w:tcPr>
          <w:p w:rsidR="00AE7AFE" w:rsidRPr="00597234" w:rsidRDefault="00AE7AFE" w:rsidP="00597234">
            <w:pPr>
              <w:spacing w:line="276" w:lineRule="auto"/>
              <w:jc w:val="both"/>
              <w:rPr>
                <w:sz w:val="24"/>
                <w:szCs w:val="24"/>
              </w:rPr>
            </w:pPr>
          </w:p>
        </w:tc>
        <w:tc>
          <w:tcPr>
            <w:tcW w:w="1200" w:type="dxa"/>
          </w:tcPr>
          <w:p w:rsidR="00AE7AFE" w:rsidRPr="00597234" w:rsidRDefault="00AE7AFE" w:rsidP="00597234">
            <w:pPr>
              <w:spacing w:line="276" w:lineRule="auto"/>
              <w:jc w:val="both"/>
              <w:rPr>
                <w:sz w:val="24"/>
                <w:szCs w:val="24"/>
              </w:rPr>
            </w:pPr>
          </w:p>
        </w:tc>
        <w:tc>
          <w:tcPr>
            <w:tcW w:w="1726" w:type="dxa"/>
          </w:tcPr>
          <w:p w:rsidR="00AE7AFE" w:rsidRPr="00597234" w:rsidRDefault="00E52464" w:rsidP="00597234">
            <w:pPr>
              <w:spacing w:line="276" w:lineRule="auto"/>
              <w:jc w:val="both"/>
              <w:rPr>
                <w:sz w:val="24"/>
                <w:szCs w:val="24"/>
              </w:rPr>
            </w:pPr>
            <w:r w:rsidRPr="00597234">
              <w:rPr>
                <w:rFonts w:eastAsia="Georgia"/>
                <w:b/>
                <w:bCs/>
                <w:sz w:val="24"/>
                <w:szCs w:val="24"/>
              </w:rPr>
              <w:t>1041.90</w:t>
            </w:r>
          </w:p>
        </w:tc>
        <w:tc>
          <w:tcPr>
            <w:tcW w:w="1200" w:type="dxa"/>
          </w:tcPr>
          <w:p w:rsidR="00AE7AFE" w:rsidRPr="00597234" w:rsidRDefault="00AE7AFE" w:rsidP="00597234">
            <w:pPr>
              <w:spacing w:line="276" w:lineRule="auto"/>
              <w:jc w:val="both"/>
              <w:rPr>
                <w:sz w:val="24"/>
                <w:szCs w:val="24"/>
              </w:rPr>
            </w:pPr>
          </w:p>
        </w:tc>
        <w:tc>
          <w:tcPr>
            <w:tcW w:w="1800" w:type="dxa"/>
          </w:tcPr>
          <w:p w:rsidR="00AE7AFE" w:rsidRPr="00597234" w:rsidRDefault="00E52464" w:rsidP="00597234">
            <w:pPr>
              <w:spacing w:line="276" w:lineRule="auto"/>
              <w:jc w:val="both"/>
              <w:rPr>
                <w:sz w:val="24"/>
                <w:szCs w:val="24"/>
              </w:rPr>
            </w:pPr>
            <w:r w:rsidRPr="00597234">
              <w:rPr>
                <w:rFonts w:eastAsia="Georgia"/>
                <w:b/>
                <w:bCs/>
                <w:sz w:val="24"/>
                <w:szCs w:val="24"/>
              </w:rPr>
              <w:t>948.01</w:t>
            </w:r>
          </w:p>
        </w:tc>
      </w:tr>
      <w:tr w:rsidR="00597234" w:rsidRPr="00597234" w:rsidTr="00BA7389">
        <w:tc>
          <w:tcPr>
            <w:tcW w:w="1400" w:type="dxa"/>
          </w:tcPr>
          <w:p w:rsidR="00AE7AFE" w:rsidRPr="00597234" w:rsidRDefault="00E52464" w:rsidP="00597234">
            <w:pPr>
              <w:spacing w:line="276" w:lineRule="auto"/>
              <w:jc w:val="both"/>
              <w:rPr>
                <w:sz w:val="24"/>
                <w:szCs w:val="24"/>
              </w:rPr>
            </w:pPr>
            <w:r w:rsidRPr="00597234">
              <w:rPr>
                <w:rFonts w:eastAsia="Georgia"/>
                <w:b/>
                <w:bCs/>
                <w:sz w:val="24"/>
                <w:szCs w:val="24"/>
              </w:rPr>
              <w:t>NPV</w:t>
            </w:r>
          </w:p>
        </w:tc>
        <w:tc>
          <w:tcPr>
            <w:tcW w:w="1700" w:type="dxa"/>
          </w:tcPr>
          <w:p w:rsidR="00AE7AFE" w:rsidRPr="00597234" w:rsidRDefault="00AE7AFE" w:rsidP="00597234">
            <w:pPr>
              <w:spacing w:line="276" w:lineRule="auto"/>
              <w:jc w:val="both"/>
              <w:rPr>
                <w:sz w:val="24"/>
                <w:szCs w:val="24"/>
              </w:rPr>
            </w:pPr>
          </w:p>
        </w:tc>
        <w:tc>
          <w:tcPr>
            <w:tcW w:w="1200" w:type="dxa"/>
          </w:tcPr>
          <w:p w:rsidR="00AE7AFE" w:rsidRPr="00597234" w:rsidRDefault="00AE7AFE" w:rsidP="00597234">
            <w:pPr>
              <w:spacing w:line="276" w:lineRule="auto"/>
              <w:jc w:val="both"/>
              <w:rPr>
                <w:sz w:val="24"/>
                <w:szCs w:val="24"/>
              </w:rPr>
            </w:pPr>
          </w:p>
        </w:tc>
        <w:tc>
          <w:tcPr>
            <w:tcW w:w="1726" w:type="dxa"/>
          </w:tcPr>
          <w:p w:rsidR="00AE7AFE" w:rsidRPr="00597234" w:rsidRDefault="00E52464" w:rsidP="00597234">
            <w:pPr>
              <w:spacing w:line="276" w:lineRule="auto"/>
              <w:jc w:val="both"/>
              <w:rPr>
                <w:sz w:val="24"/>
                <w:szCs w:val="24"/>
              </w:rPr>
            </w:pPr>
            <w:r w:rsidRPr="00597234">
              <w:rPr>
                <w:rFonts w:eastAsia="Georgia"/>
                <w:b/>
                <w:bCs/>
                <w:sz w:val="24"/>
                <w:szCs w:val="24"/>
              </w:rPr>
              <w:t>41.90</w:t>
            </w:r>
          </w:p>
        </w:tc>
        <w:tc>
          <w:tcPr>
            <w:tcW w:w="1200" w:type="dxa"/>
          </w:tcPr>
          <w:p w:rsidR="00AE7AFE" w:rsidRPr="00597234" w:rsidRDefault="00AE7AFE" w:rsidP="00597234">
            <w:pPr>
              <w:spacing w:line="276" w:lineRule="auto"/>
              <w:jc w:val="both"/>
              <w:rPr>
                <w:sz w:val="24"/>
                <w:szCs w:val="24"/>
              </w:rPr>
            </w:pPr>
          </w:p>
        </w:tc>
        <w:tc>
          <w:tcPr>
            <w:tcW w:w="1800" w:type="dxa"/>
          </w:tcPr>
          <w:p w:rsidR="00AE7AFE" w:rsidRPr="00597234" w:rsidRDefault="00E52464" w:rsidP="00597234">
            <w:pPr>
              <w:spacing w:line="276" w:lineRule="auto"/>
              <w:jc w:val="both"/>
              <w:rPr>
                <w:sz w:val="24"/>
                <w:szCs w:val="24"/>
              </w:rPr>
            </w:pPr>
            <w:r w:rsidRPr="00597234">
              <w:rPr>
                <w:rFonts w:eastAsia="Georgia"/>
                <w:b/>
                <w:bCs/>
                <w:sz w:val="24"/>
                <w:szCs w:val="24"/>
              </w:rPr>
              <w:t>-51.99</w:t>
            </w:r>
          </w:p>
        </w:tc>
      </w:tr>
    </w:tbl>
    <w:p w:rsidR="00AE7AFE" w:rsidRPr="00597234" w:rsidRDefault="00AE7AFE" w:rsidP="00597234">
      <w:pPr>
        <w:spacing w:before="140" w:line="276" w:lineRule="auto"/>
        <w:jc w:val="both"/>
        <w:rPr>
          <w:sz w:val="24"/>
          <w:szCs w:val="24"/>
        </w:rPr>
      </w:pPr>
    </w:p>
    <w:p w:rsidR="00AE7AFE" w:rsidRPr="00597234" w:rsidRDefault="00031F90" w:rsidP="00597234">
      <w:pPr>
        <w:pStyle w:val="Heading2"/>
        <w:rPr>
          <w:color w:val="auto"/>
        </w:rPr>
      </w:pPr>
      <w:bookmarkStart w:id="50" w:name="_Toc227451822"/>
      <w:bookmarkStart w:id="51" w:name="_Toc227453480"/>
      <w:r>
        <w:rPr>
          <w:rFonts w:eastAsia="Georgia"/>
          <w:color w:val="auto"/>
        </w:rPr>
        <w:t>3.2</w:t>
      </w:r>
      <w:r w:rsidR="00E52464" w:rsidRPr="00597234">
        <w:rPr>
          <w:rFonts w:eastAsia="Georgia"/>
          <w:color w:val="auto"/>
        </w:rPr>
        <w:t xml:space="preserve"> IRR Calculation and Interpretation</w:t>
      </w:r>
      <w:bookmarkEnd w:id="50"/>
      <w:bookmarkEnd w:id="51"/>
    </w:p>
    <w:p w:rsidR="007242AC" w:rsidRPr="00597234" w:rsidRDefault="007242AC" w:rsidP="00597234">
      <w:pPr>
        <w:spacing w:before="140" w:line="276" w:lineRule="auto"/>
        <w:jc w:val="both"/>
        <w:rPr>
          <w:rFonts w:eastAsia="Georgia"/>
          <w:sz w:val="24"/>
          <w:szCs w:val="24"/>
        </w:rPr>
      </w:pPr>
      <w:r w:rsidRPr="00597234">
        <w:rPr>
          <w:rFonts w:eastAsia="Georgia"/>
          <w:sz w:val="24"/>
          <w:szCs w:val="24"/>
        </w:rPr>
        <w:t>Applying the interpolation formula:   IRR  ≈  30%  +  [ 41.90  /  (41.90 – -51.99) ]  ×  5%  ≈  32.23%</w:t>
      </w:r>
    </w:p>
    <w:p w:rsidR="00AE7AFE" w:rsidRPr="00597234" w:rsidRDefault="007242AC" w:rsidP="00597234">
      <w:pPr>
        <w:spacing w:before="140" w:line="276" w:lineRule="auto"/>
        <w:jc w:val="both"/>
        <w:rPr>
          <w:sz w:val="24"/>
          <w:szCs w:val="24"/>
        </w:rPr>
      </w:pPr>
      <w:r w:rsidRPr="00597234">
        <w:rPr>
          <w:rFonts w:eastAsia="Georgia"/>
          <w:sz w:val="24"/>
          <w:szCs w:val="24"/>
        </w:rPr>
        <w:t>The estimated Internal Rate of Return of Option B is 32.23. This is significantly higher than the cost of capital of the company of 6%, which proves that Option B is projected to provide a payoff significantly higher than the minimum threshold that is needed to pay investors off. The 26.23 percentage point premium over the cost of capital (the so-called hurdle rate) is a big safety cushion: the project would still be projected to produce positive NPV even in case the actual cash flows would turn out to be slightly below the projections. This finding supports the NPV-based suggestion to go on with Option B.</w:t>
      </w:r>
    </w:p>
    <w:p w:rsidR="00AE7AFE" w:rsidRPr="00597234" w:rsidRDefault="00AE7AFE" w:rsidP="00597234">
      <w:pPr>
        <w:spacing w:before="140" w:line="276" w:lineRule="auto"/>
        <w:jc w:val="both"/>
        <w:rPr>
          <w:sz w:val="24"/>
          <w:szCs w:val="24"/>
        </w:rPr>
      </w:pPr>
    </w:p>
    <w:p w:rsidR="00AE7AFE" w:rsidRPr="00597234" w:rsidRDefault="00E52464" w:rsidP="00597234">
      <w:pPr>
        <w:pStyle w:val="Heading1"/>
        <w:rPr>
          <w:color w:val="auto"/>
        </w:rPr>
      </w:pPr>
      <w:bookmarkStart w:id="52" w:name="_Toc227451823"/>
      <w:bookmarkStart w:id="53" w:name="_Toc227453481"/>
      <w:r w:rsidRPr="00597234">
        <w:rPr>
          <w:rFonts w:eastAsia="Georgia"/>
          <w:color w:val="auto"/>
        </w:rPr>
        <w:t>4.  Interpretation of Results</w:t>
      </w:r>
      <w:bookmarkEnd w:id="52"/>
      <w:bookmarkEnd w:id="53"/>
    </w:p>
    <w:p w:rsidR="00AE7AFE" w:rsidRPr="00597234" w:rsidRDefault="00031F90" w:rsidP="00597234">
      <w:pPr>
        <w:pStyle w:val="Heading2"/>
        <w:rPr>
          <w:color w:val="auto"/>
        </w:rPr>
      </w:pPr>
      <w:bookmarkStart w:id="54" w:name="_Toc227451824"/>
      <w:bookmarkStart w:id="55" w:name="_Toc227453482"/>
      <w:r>
        <w:rPr>
          <w:rFonts w:eastAsia="Georgia"/>
          <w:color w:val="auto"/>
        </w:rPr>
        <w:t>4.1</w:t>
      </w:r>
      <w:r w:rsidR="00E52464" w:rsidRPr="00597234">
        <w:rPr>
          <w:rFonts w:eastAsia="Georgia"/>
          <w:color w:val="auto"/>
        </w:rPr>
        <w:t xml:space="preserve"> Theoretical Arguments for NPV as the Superior Appraisal Method</w:t>
      </w:r>
      <w:bookmarkEnd w:id="54"/>
      <w:bookmarkEnd w:id="55"/>
    </w:p>
    <w:p w:rsidR="007242AC" w:rsidRPr="00597234" w:rsidRDefault="007242AC" w:rsidP="00597234">
      <w:pPr>
        <w:spacing w:line="276" w:lineRule="auto"/>
        <w:jc w:val="both"/>
        <w:rPr>
          <w:sz w:val="24"/>
          <w:szCs w:val="24"/>
        </w:rPr>
      </w:pPr>
      <w:bookmarkStart w:id="56" w:name="_Toc227451825"/>
      <w:r w:rsidRPr="00597234">
        <w:rPr>
          <w:sz w:val="24"/>
          <w:szCs w:val="24"/>
        </w:rPr>
        <w:t xml:space="preserve">The Net Present Value technique has a status of unsurpassed theoretical dominance in the scholarly </w:t>
      </w:r>
      <w:r w:rsidR="00031F90">
        <w:rPr>
          <w:sz w:val="24"/>
          <w:szCs w:val="24"/>
        </w:rPr>
        <w:t>sources of corporate finance (Apri</w:t>
      </w:r>
      <w:r w:rsidRPr="00597234">
        <w:rPr>
          <w:sz w:val="24"/>
          <w:szCs w:val="24"/>
        </w:rPr>
        <w:t>l, 2020; Mclaney, 2017). The reasons as to why it is superior to other appraisal methods are as follows:</w:t>
      </w:r>
    </w:p>
    <w:p w:rsidR="007242AC" w:rsidRPr="00597234" w:rsidRDefault="007242AC" w:rsidP="00597234">
      <w:pPr>
        <w:pStyle w:val="ListParagraph"/>
        <w:numPr>
          <w:ilvl w:val="0"/>
          <w:numId w:val="9"/>
        </w:numPr>
        <w:spacing w:line="276" w:lineRule="auto"/>
        <w:jc w:val="both"/>
        <w:rPr>
          <w:sz w:val="24"/>
          <w:szCs w:val="24"/>
        </w:rPr>
      </w:pPr>
      <w:r w:rsidRPr="00597234">
        <w:rPr>
          <w:sz w:val="24"/>
          <w:szCs w:val="24"/>
        </w:rPr>
        <w:t xml:space="preserve">Clear identification of the time value of money: NPV discounts all future cash flows based on the cost of capital of the firm and it is a basic financial concept that a pound now is worth more than a pound tomorrow. This correction is not only theoretically </w:t>
      </w:r>
      <w:r w:rsidRPr="00597234">
        <w:rPr>
          <w:sz w:val="24"/>
          <w:szCs w:val="24"/>
        </w:rPr>
        <w:lastRenderedPageBreak/>
        <w:t>right, but also practically necessary with comparing projects with varying cash flow timing patterns.</w:t>
      </w:r>
    </w:p>
    <w:p w:rsidR="007242AC" w:rsidRPr="00597234" w:rsidRDefault="007242AC" w:rsidP="00597234">
      <w:pPr>
        <w:pStyle w:val="ListParagraph"/>
        <w:numPr>
          <w:ilvl w:val="0"/>
          <w:numId w:val="9"/>
        </w:numPr>
        <w:spacing w:line="276" w:lineRule="auto"/>
        <w:jc w:val="both"/>
        <w:rPr>
          <w:sz w:val="24"/>
          <w:szCs w:val="24"/>
        </w:rPr>
      </w:pPr>
      <w:r w:rsidRPr="00597234">
        <w:rPr>
          <w:sz w:val="24"/>
          <w:szCs w:val="24"/>
        </w:rPr>
        <w:t>Direct measure of shareholder wealth creation: as opposed to the Payback Period or ARR, which report non-monetary measures (time or percentage), NPV measures in absolute monetary terms the value increase in the firm that is expected to be the result of a project. This goes directly to the main financial goal of shareholder wealth maximisation.</w:t>
      </w:r>
    </w:p>
    <w:p w:rsidR="007242AC" w:rsidRPr="00597234" w:rsidRDefault="007242AC" w:rsidP="00597234">
      <w:pPr>
        <w:pStyle w:val="ListParagraph"/>
        <w:numPr>
          <w:ilvl w:val="0"/>
          <w:numId w:val="9"/>
        </w:numPr>
        <w:spacing w:line="276" w:lineRule="auto"/>
        <w:jc w:val="both"/>
        <w:rPr>
          <w:sz w:val="24"/>
          <w:szCs w:val="24"/>
        </w:rPr>
      </w:pPr>
      <w:r w:rsidRPr="00597234">
        <w:rPr>
          <w:sz w:val="24"/>
          <w:szCs w:val="24"/>
        </w:rPr>
        <w:t>Proper inclusion of the cost of capital: the discount rate applied in the NPV calculations is the risk-adjusted minimum return to the investors in the firm - its weighted average cost of capital. Projects which have a value exceeding this threshold add value to the firm; those with lower increase value are rightly discarded. This theoretical basis does not exist in the non-discounting techniques.</w:t>
      </w:r>
    </w:p>
    <w:p w:rsidR="007242AC" w:rsidRPr="00597234" w:rsidRDefault="007242AC" w:rsidP="00597234">
      <w:pPr>
        <w:pStyle w:val="ListParagraph"/>
        <w:numPr>
          <w:ilvl w:val="0"/>
          <w:numId w:val="9"/>
        </w:numPr>
        <w:spacing w:line="276" w:lineRule="auto"/>
        <w:jc w:val="both"/>
        <w:rPr>
          <w:sz w:val="24"/>
          <w:szCs w:val="24"/>
        </w:rPr>
      </w:pPr>
      <w:r w:rsidRPr="00597234">
        <w:rPr>
          <w:sz w:val="24"/>
          <w:szCs w:val="24"/>
        </w:rPr>
        <w:t>Additive property: NPVs of independent projects may be summed to determine the overall value impact of a portfolio of investments to allow coherent, consistent capital budgeting decisions to be made for multiple simultaneous projects.</w:t>
      </w:r>
    </w:p>
    <w:p w:rsidR="007242AC" w:rsidRPr="00597234" w:rsidRDefault="007242AC" w:rsidP="00597234">
      <w:pPr>
        <w:pStyle w:val="ListParagraph"/>
        <w:numPr>
          <w:ilvl w:val="0"/>
          <w:numId w:val="9"/>
        </w:numPr>
        <w:spacing w:line="276" w:lineRule="auto"/>
        <w:jc w:val="both"/>
        <w:rPr>
          <w:b/>
          <w:bCs/>
          <w:sz w:val="24"/>
          <w:szCs w:val="24"/>
        </w:rPr>
      </w:pPr>
      <w:r w:rsidRPr="00597234">
        <w:rPr>
          <w:sz w:val="24"/>
          <w:szCs w:val="24"/>
        </w:rPr>
        <w:t>Unique and unambiguous solution: NPV gives one unique answer irrespective of the trend of cash flows throughout the life of the project. This is unlike the IRR method which may yield more than one solution when there is a change of sign more than once in cash flows, which can cause confusion in the analysis.</w:t>
      </w:r>
    </w:p>
    <w:p w:rsidR="00AE7AFE" w:rsidRPr="00597234" w:rsidRDefault="00031F90" w:rsidP="00597234">
      <w:pPr>
        <w:pStyle w:val="Heading2"/>
        <w:rPr>
          <w:color w:val="auto"/>
        </w:rPr>
      </w:pPr>
      <w:bookmarkStart w:id="57" w:name="_Toc227453483"/>
      <w:r>
        <w:rPr>
          <w:rFonts w:eastAsia="Georgia"/>
          <w:color w:val="auto"/>
        </w:rPr>
        <w:t>4.2</w:t>
      </w:r>
      <w:r w:rsidR="00E52464" w:rsidRPr="00597234">
        <w:rPr>
          <w:rFonts w:eastAsia="Georgia"/>
          <w:color w:val="auto"/>
        </w:rPr>
        <w:t xml:space="preserve"> The Continued Popularity of Non-Discounting Methods</w:t>
      </w:r>
      <w:bookmarkEnd w:id="56"/>
      <w:bookmarkEnd w:id="57"/>
    </w:p>
    <w:p w:rsidR="007242AC" w:rsidRPr="00597234" w:rsidRDefault="007242AC" w:rsidP="00597234">
      <w:pPr>
        <w:spacing w:line="276" w:lineRule="auto"/>
        <w:jc w:val="both"/>
        <w:rPr>
          <w:sz w:val="24"/>
          <w:szCs w:val="24"/>
        </w:rPr>
      </w:pPr>
      <w:bookmarkStart w:id="58" w:name="_Toc227451826"/>
      <w:r w:rsidRPr="00597234">
        <w:rPr>
          <w:sz w:val="24"/>
          <w:szCs w:val="24"/>
        </w:rPr>
        <w:t>Although the theoretical superiority of NPV is well-known, empirical studies always reveal that non-discounting approaches, including the most popular ones the Payback Period and the Accounting Rate of Return (ARR), are still widely us</w:t>
      </w:r>
      <w:r w:rsidR="00031F90">
        <w:rPr>
          <w:sz w:val="24"/>
          <w:szCs w:val="24"/>
        </w:rPr>
        <w:t>ed by businesses of any size (Apri</w:t>
      </w:r>
      <w:r w:rsidRPr="00597234">
        <w:rPr>
          <w:sz w:val="24"/>
          <w:szCs w:val="24"/>
        </w:rPr>
        <w:t>l, 2020). A variety of reasonable considerations explain why they persisted:</w:t>
      </w:r>
    </w:p>
    <w:p w:rsidR="007242AC" w:rsidRPr="00597234" w:rsidRDefault="007242AC" w:rsidP="00597234">
      <w:pPr>
        <w:pStyle w:val="ListParagraph"/>
        <w:numPr>
          <w:ilvl w:val="0"/>
          <w:numId w:val="10"/>
        </w:numPr>
        <w:spacing w:line="276" w:lineRule="auto"/>
        <w:jc w:val="both"/>
        <w:rPr>
          <w:sz w:val="24"/>
          <w:szCs w:val="24"/>
        </w:rPr>
      </w:pPr>
      <w:r w:rsidRPr="00597234">
        <w:rPr>
          <w:sz w:val="24"/>
          <w:szCs w:val="24"/>
        </w:rPr>
        <w:t>Ease and simplicity: the Payback Period calculation does not need any familiarity with the mathematics of discounting, and can be comprehended by those not in the finance field at a glance. Something like this investment will pay back in two years and five months does not need any further explanation, but an NPV value would need the bare minimum knowledge of the concepts of present value.</w:t>
      </w:r>
    </w:p>
    <w:p w:rsidR="007242AC" w:rsidRPr="00597234" w:rsidRDefault="007242AC" w:rsidP="00597234">
      <w:pPr>
        <w:pStyle w:val="ListParagraph"/>
        <w:numPr>
          <w:ilvl w:val="0"/>
          <w:numId w:val="10"/>
        </w:numPr>
        <w:spacing w:line="276" w:lineRule="auto"/>
        <w:jc w:val="both"/>
        <w:rPr>
          <w:sz w:val="24"/>
          <w:szCs w:val="24"/>
        </w:rPr>
      </w:pPr>
      <w:r w:rsidRPr="00597234">
        <w:rPr>
          <w:sz w:val="24"/>
          <w:szCs w:val="24"/>
        </w:rPr>
        <w:t>Liquidity management and risk proxy the Payback Period will give preference to those investments that are going to give capital back in the shortest time possible, a sensible guard against those businesses that are susceptible to cash flow constraints. It can also serve as an informal metric of risk exposure: the shortest payback periods imply that the investment is exposed to unknown negative events over a shorter period, which is significant in the trading environment that is volatile or uncertain.</w:t>
      </w:r>
    </w:p>
    <w:p w:rsidR="007242AC" w:rsidRPr="00597234" w:rsidRDefault="007242AC" w:rsidP="00597234">
      <w:pPr>
        <w:pStyle w:val="ListParagraph"/>
        <w:numPr>
          <w:ilvl w:val="0"/>
          <w:numId w:val="10"/>
        </w:numPr>
        <w:spacing w:line="276" w:lineRule="auto"/>
        <w:jc w:val="both"/>
        <w:rPr>
          <w:sz w:val="24"/>
          <w:szCs w:val="24"/>
        </w:rPr>
      </w:pPr>
      <w:r w:rsidRPr="00597234">
        <w:rPr>
          <w:sz w:val="24"/>
          <w:szCs w:val="24"/>
        </w:rPr>
        <w:t>Correlation with management incentives: the Accounting Rate of Return is a measurement of profitability as a book value of assets and thus would be naturally correlated with the periodic performance measures employed in management compensation plans. Another application of ARR is where senior managers are evaluated based on accounting-based targets, it offers an intuitive balance between investment appraisal and incentive systems.</w:t>
      </w:r>
    </w:p>
    <w:p w:rsidR="00AE7AFE" w:rsidRPr="00597234" w:rsidRDefault="00031F90" w:rsidP="00597234">
      <w:pPr>
        <w:pStyle w:val="Heading2"/>
        <w:rPr>
          <w:color w:val="auto"/>
        </w:rPr>
      </w:pPr>
      <w:bookmarkStart w:id="59" w:name="_Toc227453484"/>
      <w:r>
        <w:rPr>
          <w:rFonts w:eastAsia="Georgia"/>
          <w:color w:val="auto"/>
        </w:rPr>
        <w:t>4.3</w:t>
      </w:r>
      <w:r w:rsidR="00E52464" w:rsidRPr="00597234">
        <w:rPr>
          <w:rFonts w:eastAsia="Georgia"/>
          <w:color w:val="auto"/>
        </w:rPr>
        <w:t xml:space="preserve"> Other Factors to Consider Before Investment</w:t>
      </w:r>
      <w:bookmarkEnd w:id="58"/>
      <w:bookmarkEnd w:id="59"/>
    </w:p>
    <w:p w:rsidR="007242AC" w:rsidRPr="00597234" w:rsidRDefault="007242AC" w:rsidP="00597234">
      <w:pPr>
        <w:spacing w:before="80" w:after="80" w:line="276" w:lineRule="auto"/>
        <w:jc w:val="both"/>
        <w:rPr>
          <w:sz w:val="24"/>
          <w:szCs w:val="24"/>
        </w:rPr>
      </w:pPr>
      <w:r w:rsidRPr="00597234">
        <w:rPr>
          <w:sz w:val="24"/>
          <w:szCs w:val="24"/>
        </w:rPr>
        <w:lastRenderedPageBreak/>
        <w:t>A favourable IRR and positive NPV are prerequisites, rather than the final bases on which to make a decision on the investment. The qualitative and strategic considerations that the Board of Westward Plc should put into serious consideration before committing capitals are:</w:t>
      </w:r>
    </w:p>
    <w:p w:rsidR="007242AC" w:rsidRPr="00597234" w:rsidRDefault="007242AC" w:rsidP="00597234">
      <w:pPr>
        <w:pStyle w:val="ListParagraph"/>
        <w:numPr>
          <w:ilvl w:val="0"/>
          <w:numId w:val="12"/>
        </w:numPr>
        <w:spacing w:before="80" w:after="80" w:line="276" w:lineRule="auto"/>
        <w:jc w:val="both"/>
        <w:rPr>
          <w:sz w:val="24"/>
          <w:szCs w:val="24"/>
        </w:rPr>
      </w:pPr>
      <w:r w:rsidRPr="00597234">
        <w:rPr>
          <w:sz w:val="24"/>
          <w:szCs w:val="24"/>
        </w:rPr>
        <w:t>Market and competitive analysis: the market of online home furnishings is developing at a high pace, yet it is becoming more and more competitive, with the long-established stores, as well as platform-based marketplaces, fiercely competing over price and variety. The digital competitive environment should be carefully examined prior to making the internet sales investment.</w:t>
      </w:r>
    </w:p>
    <w:p w:rsidR="007242AC" w:rsidRPr="00597234" w:rsidRDefault="007242AC" w:rsidP="00597234">
      <w:pPr>
        <w:pStyle w:val="ListParagraph"/>
        <w:numPr>
          <w:ilvl w:val="0"/>
          <w:numId w:val="12"/>
        </w:numPr>
        <w:spacing w:before="80" w:after="80" w:line="276" w:lineRule="auto"/>
        <w:jc w:val="both"/>
        <w:rPr>
          <w:sz w:val="24"/>
          <w:szCs w:val="24"/>
        </w:rPr>
      </w:pPr>
      <w:r w:rsidRPr="00597234">
        <w:rPr>
          <w:sz w:val="24"/>
          <w:szCs w:val="24"/>
        </w:rPr>
        <w:t>Operational ability and digital preparedness: effective e-business activities require the skills in web development, online marketing, search engine optimisation, delivery logistics, customer relationship management and returns handling. The Board will have to determine whether Westward Plc already has these capabilities or it can obtain them at a cost that it can afford based on the projected budget.</w:t>
      </w:r>
    </w:p>
    <w:p w:rsidR="007242AC" w:rsidRPr="00597234" w:rsidRDefault="007242AC" w:rsidP="00597234">
      <w:pPr>
        <w:pStyle w:val="ListParagraph"/>
        <w:numPr>
          <w:ilvl w:val="0"/>
          <w:numId w:val="12"/>
        </w:numPr>
        <w:spacing w:before="80" w:after="80" w:line="276" w:lineRule="auto"/>
        <w:jc w:val="both"/>
        <w:rPr>
          <w:sz w:val="24"/>
          <w:szCs w:val="24"/>
        </w:rPr>
      </w:pPr>
      <w:r w:rsidRPr="00597234">
        <w:rPr>
          <w:sz w:val="24"/>
          <w:szCs w:val="24"/>
        </w:rPr>
        <w:t>Brand consistency and customer experience: the high-quality positioning of the curtain range of Westward Plc should be maintained online. Such an incompetently implemented online presence might water down perceived quality of the brand, with negative connotations to both online and current physical sales.</w:t>
      </w:r>
    </w:p>
    <w:p w:rsidR="007242AC" w:rsidRPr="00597234" w:rsidRDefault="007242AC" w:rsidP="00597234">
      <w:pPr>
        <w:pStyle w:val="ListParagraph"/>
        <w:numPr>
          <w:ilvl w:val="0"/>
          <w:numId w:val="12"/>
        </w:numPr>
        <w:spacing w:before="80" w:after="80" w:line="276" w:lineRule="auto"/>
        <w:jc w:val="both"/>
        <w:rPr>
          <w:sz w:val="24"/>
          <w:szCs w:val="24"/>
        </w:rPr>
      </w:pPr>
      <w:r w:rsidRPr="00597234">
        <w:rPr>
          <w:sz w:val="24"/>
          <w:szCs w:val="24"/>
        </w:rPr>
        <w:t>Sensitivity of the cash flow projections: the NPV result is sensitive to the accuracy of the projected revenues. An official sensitivity analysis - determining the effect of a 1020 percent downside to the revenues of Year 1 and Year 2 - would enable the Board to comprehend the profitability level of the suggestion when allocating capital.</w:t>
      </w:r>
    </w:p>
    <w:p w:rsidR="00AE7AFE" w:rsidRPr="00597234" w:rsidRDefault="00E52464" w:rsidP="00597234">
      <w:pPr>
        <w:pStyle w:val="Heading1"/>
        <w:rPr>
          <w:color w:val="auto"/>
        </w:rPr>
      </w:pPr>
      <w:bookmarkStart w:id="60" w:name="_Toc227451827"/>
      <w:bookmarkStart w:id="61" w:name="_Toc227453485"/>
      <w:r w:rsidRPr="00597234">
        <w:rPr>
          <w:rFonts w:eastAsia="Georgia"/>
          <w:color w:val="auto"/>
        </w:rPr>
        <w:t>5.  Capital Rationing: Optimal Investment Policy</w:t>
      </w:r>
      <w:bookmarkEnd w:id="60"/>
      <w:bookmarkEnd w:id="61"/>
    </w:p>
    <w:p w:rsidR="00AE7AFE" w:rsidRPr="00597234" w:rsidRDefault="00031F90" w:rsidP="00597234">
      <w:pPr>
        <w:pStyle w:val="Heading2"/>
        <w:rPr>
          <w:color w:val="auto"/>
        </w:rPr>
      </w:pPr>
      <w:bookmarkStart w:id="62" w:name="_Toc227451828"/>
      <w:bookmarkStart w:id="63" w:name="_Toc227453486"/>
      <w:r>
        <w:rPr>
          <w:rFonts w:eastAsia="Georgia"/>
          <w:color w:val="auto"/>
        </w:rPr>
        <w:t>5.1</w:t>
      </w:r>
      <w:r w:rsidR="00E52464" w:rsidRPr="00597234">
        <w:rPr>
          <w:rFonts w:eastAsia="Georgia"/>
          <w:color w:val="auto"/>
        </w:rPr>
        <w:t xml:space="preserve"> Framework</w:t>
      </w:r>
      <w:bookmarkEnd w:id="62"/>
      <w:bookmarkEnd w:id="63"/>
    </w:p>
    <w:p w:rsidR="00886DCD" w:rsidRPr="00151DA8" w:rsidRDefault="00886DCD" w:rsidP="00151DA8">
      <w:pPr>
        <w:spacing w:line="276" w:lineRule="auto"/>
        <w:jc w:val="both"/>
        <w:rPr>
          <w:sz w:val="24"/>
          <w:szCs w:val="24"/>
        </w:rPr>
      </w:pPr>
      <w:bookmarkStart w:id="64" w:name="_Toc227451829"/>
      <w:r w:rsidRPr="00151DA8">
        <w:rPr>
          <w:sz w:val="24"/>
          <w:szCs w:val="24"/>
        </w:rPr>
        <w:t>The capital rationing is used when the investment budget available to the firm is not adequate to finance all the positive-NPV projects on a large scale. In this scenario, Westward Plc has a total available budget of £2,500,000, whilst the aggregate cost of all three options at full scale is £3,200,000 (£600,000 + £1,000,000 + £1,600,000). Given that the three projects are mentioned to be divisible i.e. that a given fraction of any project can be pursued, the Profitability Index (PI) is used to find out the optimum allocation of the limited budget. The PI prioritizes the projects by the NPV generated per pound of capital invested; available budget is assigned to projects in decreasing orde</w:t>
      </w:r>
      <w:r w:rsidR="00031F90">
        <w:rPr>
          <w:sz w:val="24"/>
          <w:szCs w:val="24"/>
        </w:rPr>
        <w:t>r of PI until it is depleted (Apri</w:t>
      </w:r>
      <w:r w:rsidRPr="00151DA8">
        <w:rPr>
          <w:sz w:val="24"/>
          <w:szCs w:val="24"/>
        </w:rPr>
        <w:t>l, 2020).</w:t>
      </w:r>
    </w:p>
    <w:p w:rsidR="00886DCD" w:rsidRPr="00151DA8" w:rsidRDefault="00886DCD" w:rsidP="00151DA8">
      <w:pPr>
        <w:spacing w:line="276" w:lineRule="auto"/>
        <w:jc w:val="both"/>
        <w:rPr>
          <w:b/>
          <w:bCs/>
          <w:sz w:val="24"/>
          <w:szCs w:val="24"/>
        </w:rPr>
      </w:pPr>
      <w:r w:rsidRPr="00151DA8">
        <w:rPr>
          <w:sz w:val="24"/>
          <w:szCs w:val="24"/>
        </w:rPr>
        <w:t>Profitability Index (PI) = NPV / Initial investmentment</w:t>
      </w:r>
    </w:p>
    <w:p w:rsidR="00AE7AFE" w:rsidRPr="00597234" w:rsidRDefault="00031F90" w:rsidP="00597234">
      <w:pPr>
        <w:pStyle w:val="Heading2"/>
        <w:rPr>
          <w:color w:val="auto"/>
        </w:rPr>
      </w:pPr>
      <w:bookmarkStart w:id="65" w:name="_Toc227453487"/>
      <w:r>
        <w:rPr>
          <w:rFonts w:eastAsia="Georgia"/>
          <w:color w:val="auto"/>
        </w:rPr>
        <w:t>5.2</w:t>
      </w:r>
      <w:r w:rsidR="00E52464" w:rsidRPr="00597234">
        <w:rPr>
          <w:rFonts w:eastAsia="Georgia"/>
          <w:color w:val="auto"/>
        </w:rPr>
        <w:t xml:space="preserve"> Optimal Allocation Table</w:t>
      </w:r>
      <w:bookmarkEnd w:id="64"/>
      <w:bookmarkEnd w:id="65"/>
    </w:p>
    <w:p w:rsidR="00AE7AFE" w:rsidRPr="00597234" w:rsidRDefault="00AE7AFE" w:rsidP="00597234">
      <w:pPr>
        <w:spacing w:before="60" w:line="276" w:lineRule="auto"/>
        <w:jc w:val="both"/>
        <w:rPr>
          <w:sz w:val="24"/>
          <w:szCs w:val="24"/>
        </w:rPr>
      </w:pPr>
    </w:p>
    <w:tbl>
      <w:tblPr>
        <w:tblStyle w:val="TableGrid"/>
        <w:tblW w:w="9026" w:type="dxa"/>
        <w:tblLook w:val="0000"/>
      </w:tblPr>
      <w:tblGrid>
        <w:gridCol w:w="1700"/>
        <w:gridCol w:w="1500"/>
        <w:gridCol w:w="1500"/>
        <w:gridCol w:w="1600"/>
        <w:gridCol w:w="1600"/>
        <w:gridCol w:w="1126"/>
      </w:tblGrid>
      <w:tr w:rsidR="00597234" w:rsidRPr="00597234" w:rsidTr="00BA7389">
        <w:tc>
          <w:tcPr>
            <w:tcW w:w="1700" w:type="dxa"/>
          </w:tcPr>
          <w:p w:rsidR="00AE7AFE" w:rsidRPr="00597234" w:rsidRDefault="00E52464" w:rsidP="00597234">
            <w:pPr>
              <w:spacing w:line="276" w:lineRule="auto"/>
              <w:jc w:val="both"/>
              <w:rPr>
                <w:sz w:val="24"/>
                <w:szCs w:val="24"/>
              </w:rPr>
            </w:pPr>
            <w:r w:rsidRPr="00597234">
              <w:rPr>
                <w:rFonts w:eastAsia="Georgia"/>
                <w:b/>
                <w:bCs/>
                <w:sz w:val="24"/>
                <w:szCs w:val="24"/>
              </w:rPr>
              <w:t>Project</w:t>
            </w:r>
          </w:p>
        </w:tc>
        <w:tc>
          <w:tcPr>
            <w:tcW w:w="1500" w:type="dxa"/>
          </w:tcPr>
          <w:p w:rsidR="00AE7AFE" w:rsidRPr="00597234" w:rsidRDefault="00E52464" w:rsidP="00597234">
            <w:pPr>
              <w:spacing w:line="276" w:lineRule="auto"/>
              <w:jc w:val="both"/>
              <w:rPr>
                <w:sz w:val="24"/>
                <w:szCs w:val="24"/>
              </w:rPr>
            </w:pPr>
            <w:r w:rsidRPr="00597234">
              <w:rPr>
                <w:rFonts w:eastAsia="Georgia"/>
                <w:b/>
                <w:bCs/>
                <w:sz w:val="24"/>
                <w:szCs w:val="24"/>
              </w:rPr>
              <w:t>Cost (£000)</w:t>
            </w:r>
          </w:p>
        </w:tc>
        <w:tc>
          <w:tcPr>
            <w:tcW w:w="1500" w:type="dxa"/>
          </w:tcPr>
          <w:p w:rsidR="00AE7AFE" w:rsidRPr="00597234" w:rsidRDefault="00E52464" w:rsidP="00597234">
            <w:pPr>
              <w:spacing w:line="276" w:lineRule="auto"/>
              <w:jc w:val="both"/>
              <w:rPr>
                <w:sz w:val="24"/>
                <w:szCs w:val="24"/>
              </w:rPr>
            </w:pPr>
            <w:r w:rsidRPr="00597234">
              <w:rPr>
                <w:rFonts w:eastAsia="Georgia"/>
                <w:b/>
                <w:bCs/>
                <w:sz w:val="24"/>
                <w:szCs w:val="24"/>
              </w:rPr>
              <w:t>NPV (£000)</w:t>
            </w:r>
          </w:p>
        </w:tc>
        <w:tc>
          <w:tcPr>
            <w:tcW w:w="1600" w:type="dxa"/>
          </w:tcPr>
          <w:p w:rsidR="00AE7AFE" w:rsidRPr="00597234" w:rsidRDefault="00E52464" w:rsidP="00597234">
            <w:pPr>
              <w:spacing w:line="276" w:lineRule="auto"/>
              <w:jc w:val="both"/>
              <w:rPr>
                <w:sz w:val="24"/>
                <w:szCs w:val="24"/>
              </w:rPr>
            </w:pPr>
            <w:r w:rsidRPr="00597234">
              <w:rPr>
                <w:rFonts w:eastAsia="Georgia"/>
                <w:b/>
                <w:bCs/>
                <w:sz w:val="24"/>
                <w:szCs w:val="24"/>
              </w:rPr>
              <w:t>PI = NPV/Cost</w:t>
            </w:r>
          </w:p>
        </w:tc>
        <w:tc>
          <w:tcPr>
            <w:tcW w:w="1600" w:type="dxa"/>
          </w:tcPr>
          <w:p w:rsidR="00AE7AFE" w:rsidRPr="00597234" w:rsidRDefault="00E52464" w:rsidP="00597234">
            <w:pPr>
              <w:spacing w:line="276" w:lineRule="auto"/>
              <w:jc w:val="both"/>
              <w:rPr>
                <w:sz w:val="24"/>
                <w:szCs w:val="24"/>
              </w:rPr>
            </w:pPr>
            <w:r w:rsidRPr="00597234">
              <w:rPr>
                <w:rFonts w:eastAsia="Georgia"/>
                <w:b/>
                <w:bCs/>
                <w:sz w:val="24"/>
                <w:szCs w:val="24"/>
              </w:rPr>
              <w:t>NPV Earned (£000)</w:t>
            </w:r>
          </w:p>
        </w:tc>
        <w:tc>
          <w:tcPr>
            <w:tcW w:w="1126" w:type="dxa"/>
          </w:tcPr>
          <w:p w:rsidR="00AE7AFE" w:rsidRPr="00597234" w:rsidRDefault="00E52464" w:rsidP="00597234">
            <w:pPr>
              <w:spacing w:line="276" w:lineRule="auto"/>
              <w:jc w:val="both"/>
              <w:rPr>
                <w:sz w:val="24"/>
                <w:szCs w:val="24"/>
              </w:rPr>
            </w:pPr>
            <w:r w:rsidRPr="00597234">
              <w:rPr>
                <w:rFonts w:eastAsia="Georgia"/>
                <w:b/>
                <w:bCs/>
                <w:sz w:val="24"/>
                <w:szCs w:val="24"/>
              </w:rPr>
              <w:t>Fraction</w:t>
            </w:r>
          </w:p>
        </w:tc>
      </w:tr>
      <w:tr w:rsidR="00597234" w:rsidRPr="00597234" w:rsidTr="00BA7389">
        <w:tc>
          <w:tcPr>
            <w:tcW w:w="1700" w:type="dxa"/>
          </w:tcPr>
          <w:p w:rsidR="00AE7AFE" w:rsidRPr="00597234" w:rsidRDefault="00E52464" w:rsidP="00597234">
            <w:pPr>
              <w:spacing w:line="276" w:lineRule="auto"/>
              <w:jc w:val="both"/>
              <w:rPr>
                <w:sz w:val="24"/>
                <w:szCs w:val="24"/>
              </w:rPr>
            </w:pPr>
            <w:r w:rsidRPr="00597234">
              <w:rPr>
                <w:rFonts w:eastAsia="Georgia"/>
                <w:sz w:val="24"/>
                <w:szCs w:val="24"/>
              </w:rPr>
              <w:t>Option A</w:t>
            </w:r>
          </w:p>
        </w:tc>
        <w:tc>
          <w:tcPr>
            <w:tcW w:w="1500" w:type="dxa"/>
          </w:tcPr>
          <w:p w:rsidR="00AE7AFE" w:rsidRPr="00597234" w:rsidRDefault="00E52464" w:rsidP="00597234">
            <w:pPr>
              <w:spacing w:line="276" w:lineRule="auto"/>
              <w:jc w:val="both"/>
              <w:rPr>
                <w:sz w:val="24"/>
                <w:szCs w:val="24"/>
              </w:rPr>
            </w:pPr>
            <w:r w:rsidRPr="00597234">
              <w:rPr>
                <w:rFonts w:eastAsia="Georgia"/>
                <w:sz w:val="24"/>
                <w:szCs w:val="24"/>
              </w:rPr>
              <w:t>600</w:t>
            </w:r>
          </w:p>
        </w:tc>
        <w:tc>
          <w:tcPr>
            <w:tcW w:w="1500" w:type="dxa"/>
          </w:tcPr>
          <w:p w:rsidR="00AE7AFE" w:rsidRPr="00597234" w:rsidRDefault="00E52464" w:rsidP="00597234">
            <w:pPr>
              <w:spacing w:line="276" w:lineRule="auto"/>
              <w:jc w:val="both"/>
              <w:rPr>
                <w:sz w:val="24"/>
                <w:szCs w:val="24"/>
              </w:rPr>
            </w:pPr>
            <w:r w:rsidRPr="00597234">
              <w:rPr>
                <w:rFonts w:eastAsia="Georgia"/>
                <w:sz w:val="24"/>
                <w:szCs w:val="24"/>
              </w:rPr>
              <w:t>643.17</w:t>
            </w:r>
          </w:p>
        </w:tc>
        <w:tc>
          <w:tcPr>
            <w:tcW w:w="1600" w:type="dxa"/>
          </w:tcPr>
          <w:p w:rsidR="00AE7AFE" w:rsidRPr="00597234" w:rsidRDefault="00E52464" w:rsidP="00597234">
            <w:pPr>
              <w:spacing w:line="276" w:lineRule="auto"/>
              <w:jc w:val="both"/>
              <w:rPr>
                <w:sz w:val="24"/>
                <w:szCs w:val="24"/>
              </w:rPr>
            </w:pPr>
            <w:r w:rsidRPr="00597234">
              <w:rPr>
                <w:rFonts w:eastAsia="Georgia"/>
                <w:sz w:val="24"/>
                <w:szCs w:val="24"/>
              </w:rPr>
              <w:t>1.0719</w:t>
            </w:r>
          </w:p>
        </w:tc>
        <w:tc>
          <w:tcPr>
            <w:tcW w:w="1600" w:type="dxa"/>
          </w:tcPr>
          <w:p w:rsidR="00AE7AFE" w:rsidRPr="00597234" w:rsidRDefault="00E52464" w:rsidP="00597234">
            <w:pPr>
              <w:spacing w:line="276" w:lineRule="auto"/>
              <w:jc w:val="both"/>
              <w:rPr>
                <w:sz w:val="24"/>
                <w:szCs w:val="24"/>
              </w:rPr>
            </w:pPr>
            <w:r w:rsidRPr="00597234">
              <w:rPr>
                <w:rFonts w:eastAsia="Georgia"/>
                <w:sz w:val="24"/>
                <w:szCs w:val="24"/>
              </w:rPr>
              <w:t>643.17</w:t>
            </w:r>
          </w:p>
        </w:tc>
        <w:tc>
          <w:tcPr>
            <w:tcW w:w="1126" w:type="dxa"/>
          </w:tcPr>
          <w:p w:rsidR="00AE7AFE" w:rsidRPr="00597234" w:rsidRDefault="00E52464" w:rsidP="00597234">
            <w:pPr>
              <w:spacing w:line="276" w:lineRule="auto"/>
              <w:jc w:val="both"/>
              <w:rPr>
                <w:sz w:val="24"/>
                <w:szCs w:val="24"/>
              </w:rPr>
            </w:pPr>
            <w:r w:rsidRPr="00597234">
              <w:rPr>
                <w:rFonts w:eastAsia="Georgia"/>
                <w:sz w:val="24"/>
                <w:szCs w:val="24"/>
              </w:rPr>
              <w:t>100%</w:t>
            </w:r>
          </w:p>
        </w:tc>
      </w:tr>
      <w:tr w:rsidR="00597234" w:rsidRPr="00597234" w:rsidTr="00BA7389">
        <w:tc>
          <w:tcPr>
            <w:tcW w:w="1700" w:type="dxa"/>
          </w:tcPr>
          <w:p w:rsidR="00AE7AFE" w:rsidRPr="00597234" w:rsidRDefault="00E52464" w:rsidP="00597234">
            <w:pPr>
              <w:spacing w:line="276" w:lineRule="auto"/>
              <w:jc w:val="both"/>
              <w:rPr>
                <w:sz w:val="24"/>
                <w:szCs w:val="24"/>
              </w:rPr>
            </w:pPr>
            <w:r w:rsidRPr="00597234">
              <w:rPr>
                <w:rFonts w:eastAsia="Georgia"/>
                <w:sz w:val="24"/>
                <w:szCs w:val="24"/>
              </w:rPr>
              <w:t>Option B</w:t>
            </w:r>
          </w:p>
        </w:tc>
        <w:tc>
          <w:tcPr>
            <w:tcW w:w="1500" w:type="dxa"/>
          </w:tcPr>
          <w:p w:rsidR="00AE7AFE" w:rsidRPr="00597234" w:rsidRDefault="00E52464" w:rsidP="00597234">
            <w:pPr>
              <w:spacing w:line="276" w:lineRule="auto"/>
              <w:jc w:val="both"/>
              <w:rPr>
                <w:sz w:val="24"/>
                <w:szCs w:val="24"/>
              </w:rPr>
            </w:pPr>
            <w:r w:rsidRPr="00597234">
              <w:rPr>
                <w:rFonts w:eastAsia="Georgia"/>
                <w:sz w:val="24"/>
                <w:szCs w:val="24"/>
              </w:rPr>
              <w:t>1000</w:t>
            </w:r>
          </w:p>
        </w:tc>
        <w:tc>
          <w:tcPr>
            <w:tcW w:w="1500" w:type="dxa"/>
          </w:tcPr>
          <w:p w:rsidR="00AE7AFE" w:rsidRPr="00597234" w:rsidRDefault="00E52464" w:rsidP="00597234">
            <w:pPr>
              <w:spacing w:line="276" w:lineRule="auto"/>
              <w:jc w:val="both"/>
              <w:rPr>
                <w:sz w:val="24"/>
                <w:szCs w:val="24"/>
              </w:rPr>
            </w:pPr>
            <w:r w:rsidRPr="00597234">
              <w:rPr>
                <w:rFonts w:eastAsia="Georgia"/>
                <w:sz w:val="24"/>
                <w:szCs w:val="24"/>
              </w:rPr>
              <w:t>792.23</w:t>
            </w:r>
          </w:p>
        </w:tc>
        <w:tc>
          <w:tcPr>
            <w:tcW w:w="1600" w:type="dxa"/>
          </w:tcPr>
          <w:p w:rsidR="00AE7AFE" w:rsidRPr="00597234" w:rsidRDefault="00E52464" w:rsidP="00597234">
            <w:pPr>
              <w:spacing w:line="276" w:lineRule="auto"/>
              <w:jc w:val="both"/>
              <w:rPr>
                <w:sz w:val="24"/>
                <w:szCs w:val="24"/>
              </w:rPr>
            </w:pPr>
            <w:r w:rsidRPr="00597234">
              <w:rPr>
                <w:rFonts w:eastAsia="Georgia"/>
                <w:sz w:val="24"/>
                <w:szCs w:val="24"/>
              </w:rPr>
              <w:t>0.7922</w:t>
            </w:r>
          </w:p>
        </w:tc>
        <w:tc>
          <w:tcPr>
            <w:tcW w:w="1600" w:type="dxa"/>
          </w:tcPr>
          <w:p w:rsidR="00AE7AFE" w:rsidRPr="00597234" w:rsidRDefault="00E52464" w:rsidP="00597234">
            <w:pPr>
              <w:spacing w:line="276" w:lineRule="auto"/>
              <w:jc w:val="both"/>
              <w:rPr>
                <w:sz w:val="24"/>
                <w:szCs w:val="24"/>
              </w:rPr>
            </w:pPr>
            <w:r w:rsidRPr="00597234">
              <w:rPr>
                <w:rFonts w:eastAsia="Georgia"/>
                <w:sz w:val="24"/>
                <w:szCs w:val="24"/>
              </w:rPr>
              <w:t>792.23</w:t>
            </w:r>
          </w:p>
        </w:tc>
        <w:tc>
          <w:tcPr>
            <w:tcW w:w="1126" w:type="dxa"/>
          </w:tcPr>
          <w:p w:rsidR="00AE7AFE" w:rsidRPr="00597234" w:rsidRDefault="00E52464" w:rsidP="00597234">
            <w:pPr>
              <w:spacing w:line="276" w:lineRule="auto"/>
              <w:jc w:val="both"/>
              <w:rPr>
                <w:sz w:val="24"/>
                <w:szCs w:val="24"/>
              </w:rPr>
            </w:pPr>
            <w:r w:rsidRPr="00597234">
              <w:rPr>
                <w:rFonts w:eastAsia="Georgia"/>
                <w:sz w:val="24"/>
                <w:szCs w:val="24"/>
              </w:rPr>
              <w:t>100%</w:t>
            </w:r>
          </w:p>
        </w:tc>
      </w:tr>
      <w:tr w:rsidR="00597234" w:rsidRPr="00597234" w:rsidTr="00BA7389">
        <w:tc>
          <w:tcPr>
            <w:tcW w:w="1700" w:type="dxa"/>
          </w:tcPr>
          <w:p w:rsidR="00AE7AFE" w:rsidRPr="00597234" w:rsidRDefault="00E52464" w:rsidP="00597234">
            <w:pPr>
              <w:spacing w:line="276" w:lineRule="auto"/>
              <w:jc w:val="both"/>
              <w:rPr>
                <w:sz w:val="24"/>
                <w:szCs w:val="24"/>
              </w:rPr>
            </w:pPr>
            <w:r w:rsidRPr="00597234">
              <w:rPr>
                <w:rFonts w:eastAsia="Georgia"/>
                <w:sz w:val="24"/>
                <w:szCs w:val="24"/>
              </w:rPr>
              <w:t>Option C</w:t>
            </w:r>
          </w:p>
        </w:tc>
        <w:tc>
          <w:tcPr>
            <w:tcW w:w="1500" w:type="dxa"/>
          </w:tcPr>
          <w:p w:rsidR="00AE7AFE" w:rsidRPr="00597234" w:rsidRDefault="00E52464" w:rsidP="00597234">
            <w:pPr>
              <w:spacing w:line="276" w:lineRule="auto"/>
              <w:jc w:val="both"/>
              <w:rPr>
                <w:sz w:val="24"/>
                <w:szCs w:val="24"/>
              </w:rPr>
            </w:pPr>
            <w:r w:rsidRPr="00597234">
              <w:rPr>
                <w:rFonts w:eastAsia="Georgia"/>
                <w:sz w:val="24"/>
                <w:szCs w:val="24"/>
              </w:rPr>
              <w:t>1600</w:t>
            </w:r>
          </w:p>
        </w:tc>
        <w:tc>
          <w:tcPr>
            <w:tcW w:w="1500" w:type="dxa"/>
          </w:tcPr>
          <w:p w:rsidR="00AE7AFE" w:rsidRPr="00597234" w:rsidRDefault="00E52464" w:rsidP="00597234">
            <w:pPr>
              <w:spacing w:line="276" w:lineRule="auto"/>
              <w:jc w:val="both"/>
              <w:rPr>
                <w:sz w:val="24"/>
                <w:szCs w:val="24"/>
              </w:rPr>
            </w:pPr>
            <w:r w:rsidRPr="00597234">
              <w:rPr>
                <w:rFonts w:eastAsia="Georgia"/>
                <w:sz w:val="24"/>
                <w:szCs w:val="24"/>
              </w:rPr>
              <w:t>742.48</w:t>
            </w:r>
          </w:p>
        </w:tc>
        <w:tc>
          <w:tcPr>
            <w:tcW w:w="1600" w:type="dxa"/>
          </w:tcPr>
          <w:p w:rsidR="00AE7AFE" w:rsidRPr="00597234" w:rsidRDefault="00E52464" w:rsidP="00597234">
            <w:pPr>
              <w:spacing w:line="276" w:lineRule="auto"/>
              <w:jc w:val="both"/>
              <w:rPr>
                <w:sz w:val="24"/>
                <w:szCs w:val="24"/>
              </w:rPr>
            </w:pPr>
            <w:r w:rsidRPr="00597234">
              <w:rPr>
                <w:rFonts w:eastAsia="Georgia"/>
                <w:sz w:val="24"/>
                <w:szCs w:val="24"/>
              </w:rPr>
              <w:t>0.4641</w:t>
            </w:r>
          </w:p>
        </w:tc>
        <w:tc>
          <w:tcPr>
            <w:tcW w:w="1600" w:type="dxa"/>
          </w:tcPr>
          <w:p w:rsidR="00AE7AFE" w:rsidRPr="00597234" w:rsidRDefault="00E52464" w:rsidP="00597234">
            <w:pPr>
              <w:spacing w:line="276" w:lineRule="auto"/>
              <w:jc w:val="both"/>
              <w:rPr>
                <w:sz w:val="24"/>
                <w:szCs w:val="24"/>
              </w:rPr>
            </w:pPr>
            <w:r w:rsidRPr="00597234">
              <w:rPr>
                <w:rFonts w:eastAsia="Georgia"/>
                <w:sz w:val="24"/>
                <w:szCs w:val="24"/>
              </w:rPr>
              <w:t>417.64</w:t>
            </w:r>
          </w:p>
        </w:tc>
        <w:tc>
          <w:tcPr>
            <w:tcW w:w="1126" w:type="dxa"/>
          </w:tcPr>
          <w:p w:rsidR="00AE7AFE" w:rsidRPr="00597234" w:rsidRDefault="00E52464" w:rsidP="00597234">
            <w:pPr>
              <w:spacing w:line="276" w:lineRule="auto"/>
              <w:jc w:val="both"/>
              <w:rPr>
                <w:sz w:val="24"/>
                <w:szCs w:val="24"/>
              </w:rPr>
            </w:pPr>
            <w:r w:rsidRPr="00597234">
              <w:rPr>
                <w:rFonts w:eastAsia="Georgia"/>
                <w:sz w:val="24"/>
                <w:szCs w:val="24"/>
              </w:rPr>
              <w:t>56.3%</w:t>
            </w:r>
          </w:p>
        </w:tc>
      </w:tr>
      <w:tr w:rsidR="00597234" w:rsidRPr="00597234" w:rsidTr="00BA7389">
        <w:tc>
          <w:tcPr>
            <w:tcW w:w="1700" w:type="dxa"/>
          </w:tcPr>
          <w:p w:rsidR="00AE7AFE" w:rsidRPr="00597234" w:rsidRDefault="00E52464" w:rsidP="00597234">
            <w:pPr>
              <w:spacing w:line="276" w:lineRule="auto"/>
              <w:jc w:val="both"/>
              <w:rPr>
                <w:sz w:val="24"/>
                <w:szCs w:val="24"/>
              </w:rPr>
            </w:pPr>
            <w:r w:rsidRPr="00597234">
              <w:rPr>
                <w:rFonts w:eastAsia="Georgia"/>
                <w:b/>
                <w:bCs/>
                <w:sz w:val="24"/>
                <w:szCs w:val="24"/>
              </w:rPr>
              <w:t>TOTAL</w:t>
            </w:r>
          </w:p>
        </w:tc>
        <w:tc>
          <w:tcPr>
            <w:tcW w:w="1500" w:type="dxa"/>
          </w:tcPr>
          <w:p w:rsidR="00AE7AFE" w:rsidRPr="00597234" w:rsidRDefault="00E52464" w:rsidP="00597234">
            <w:pPr>
              <w:spacing w:line="276" w:lineRule="auto"/>
              <w:jc w:val="both"/>
              <w:rPr>
                <w:sz w:val="24"/>
                <w:szCs w:val="24"/>
              </w:rPr>
            </w:pPr>
            <w:r w:rsidRPr="00597234">
              <w:rPr>
                <w:rFonts w:eastAsia="Georgia"/>
                <w:b/>
                <w:bCs/>
                <w:sz w:val="24"/>
                <w:szCs w:val="24"/>
              </w:rPr>
              <w:t>1,500</w:t>
            </w:r>
          </w:p>
        </w:tc>
        <w:tc>
          <w:tcPr>
            <w:tcW w:w="1500" w:type="dxa"/>
          </w:tcPr>
          <w:p w:rsidR="00AE7AFE" w:rsidRPr="00597234" w:rsidRDefault="00AE7AFE" w:rsidP="00597234">
            <w:pPr>
              <w:spacing w:line="276" w:lineRule="auto"/>
              <w:jc w:val="both"/>
              <w:rPr>
                <w:sz w:val="24"/>
                <w:szCs w:val="24"/>
              </w:rPr>
            </w:pPr>
          </w:p>
        </w:tc>
        <w:tc>
          <w:tcPr>
            <w:tcW w:w="1600" w:type="dxa"/>
          </w:tcPr>
          <w:p w:rsidR="00AE7AFE" w:rsidRPr="00597234" w:rsidRDefault="00AE7AFE" w:rsidP="00597234">
            <w:pPr>
              <w:spacing w:line="276" w:lineRule="auto"/>
              <w:jc w:val="both"/>
              <w:rPr>
                <w:sz w:val="24"/>
                <w:szCs w:val="24"/>
              </w:rPr>
            </w:pPr>
          </w:p>
        </w:tc>
        <w:tc>
          <w:tcPr>
            <w:tcW w:w="1600" w:type="dxa"/>
          </w:tcPr>
          <w:p w:rsidR="00AE7AFE" w:rsidRPr="00597234" w:rsidRDefault="00E52464" w:rsidP="00597234">
            <w:pPr>
              <w:spacing w:line="276" w:lineRule="auto"/>
              <w:jc w:val="both"/>
              <w:rPr>
                <w:sz w:val="24"/>
                <w:szCs w:val="24"/>
              </w:rPr>
            </w:pPr>
            <w:r w:rsidRPr="00597234">
              <w:rPr>
                <w:rFonts w:eastAsia="Georgia"/>
                <w:b/>
                <w:bCs/>
                <w:sz w:val="24"/>
                <w:szCs w:val="24"/>
              </w:rPr>
              <w:t>1853.04</w:t>
            </w:r>
          </w:p>
        </w:tc>
        <w:tc>
          <w:tcPr>
            <w:tcW w:w="1126" w:type="dxa"/>
          </w:tcPr>
          <w:p w:rsidR="00AE7AFE" w:rsidRPr="00597234" w:rsidRDefault="00AE7AFE" w:rsidP="00597234">
            <w:pPr>
              <w:spacing w:line="276" w:lineRule="auto"/>
              <w:jc w:val="both"/>
              <w:rPr>
                <w:sz w:val="24"/>
                <w:szCs w:val="24"/>
              </w:rPr>
            </w:pPr>
          </w:p>
        </w:tc>
      </w:tr>
    </w:tbl>
    <w:p w:rsidR="00AE7AFE" w:rsidRPr="00597234" w:rsidRDefault="00AE7AFE" w:rsidP="00597234">
      <w:pPr>
        <w:spacing w:before="140" w:line="276" w:lineRule="auto"/>
        <w:jc w:val="both"/>
        <w:rPr>
          <w:sz w:val="24"/>
          <w:szCs w:val="24"/>
        </w:rPr>
      </w:pPr>
    </w:p>
    <w:p w:rsidR="00AE7AFE" w:rsidRPr="00597234" w:rsidRDefault="00031F90" w:rsidP="00597234">
      <w:pPr>
        <w:pStyle w:val="Heading2"/>
        <w:rPr>
          <w:color w:val="auto"/>
        </w:rPr>
      </w:pPr>
      <w:bookmarkStart w:id="66" w:name="_Toc227451830"/>
      <w:bookmarkStart w:id="67" w:name="_Toc227453488"/>
      <w:r>
        <w:rPr>
          <w:rFonts w:eastAsia="Georgia"/>
          <w:color w:val="auto"/>
        </w:rPr>
        <w:t>5.3</w:t>
      </w:r>
      <w:r w:rsidR="00E52464" w:rsidRPr="00597234">
        <w:rPr>
          <w:rFonts w:eastAsia="Georgia"/>
          <w:color w:val="auto"/>
        </w:rPr>
        <w:t xml:space="preserve"> Conclusion on Capital Rationing</w:t>
      </w:r>
      <w:bookmarkEnd w:id="66"/>
      <w:bookmarkEnd w:id="67"/>
    </w:p>
    <w:p w:rsidR="00886DCD" w:rsidRPr="00597234" w:rsidRDefault="00886DCD" w:rsidP="00597234">
      <w:pPr>
        <w:spacing w:line="276" w:lineRule="auto"/>
        <w:jc w:val="both"/>
        <w:rPr>
          <w:rFonts w:eastAsia="Georgia"/>
          <w:b/>
          <w:bCs/>
          <w:sz w:val="24"/>
          <w:szCs w:val="24"/>
        </w:rPr>
      </w:pPr>
      <w:bookmarkStart w:id="68" w:name="_Toc227451831"/>
      <w:r w:rsidRPr="00597234">
        <w:rPr>
          <w:rFonts w:eastAsia="Georgia"/>
          <w:sz w:val="24"/>
          <w:szCs w:val="24"/>
        </w:rPr>
        <w:t>The best investment policy given a budget constraint of less than or equal to 2,500,000 is: invest 100% in Option A (investment of 600k, yielding NPV of 643.17k); invest 100% in Option B (investment of 1000k, yielding NPV of 792.23k This yields an overall NPV of £1853.04k - the highest that can be accomplished with the budget available. Both Option A (maximum PI of 1.0719) and Option B (PI of 0.7922) are fully funded; the remaining £900,000 of the budget is then invested in a 56.3% portion of Option C. The Board ought to mention that the operational project divisibility, especially the manufacturing and retail expansion alternatives, can be quite practical and thus, it might be necessary to arrange these options with care, and the analysis presupposes the proportional increase/decrease of both capital expenses and revenues.</w:t>
      </w:r>
    </w:p>
    <w:p w:rsidR="00AE7AFE" w:rsidRPr="00597234" w:rsidRDefault="00E52464" w:rsidP="00597234">
      <w:pPr>
        <w:pStyle w:val="Heading1"/>
        <w:rPr>
          <w:color w:val="auto"/>
        </w:rPr>
      </w:pPr>
      <w:bookmarkStart w:id="69" w:name="_Toc227453489"/>
      <w:r w:rsidRPr="00597234">
        <w:rPr>
          <w:rFonts w:eastAsia="Georgia"/>
          <w:color w:val="auto"/>
        </w:rPr>
        <w:t>6.  Financing the Investment Programme</w:t>
      </w:r>
      <w:bookmarkEnd w:id="68"/>
      <w:bookmarkEnd w:id="69"/>
    </w:p>
    <w:p w:rsidR="00886DCD" w:rsidRPr="00597234" w:rsidRDefault="00886DCD" w:rsidP="00597234">
      <w:pPr>
        <w:spacing w:line="276" w:lineRule="auto"/>
        <w:jc w:val="both"/>
        <w:rPr>
          <w:b/>
          <w:bCs/>
          <w:sz w:val="24"/>
          <w:szCs w:val="24"/>
        </w:rPr>
      </w:pPr>
      <w:bookmarkStart w:id="70" w:name="_Toc227451832"/>
      <w:r w:rsidRPr="00597234">
        <w:rPr>
          <w:sz w:val="24"/>
          <w:szCs w:val="24"/>
        </w:rPr>
        <w:t>The Board of Westward Plc needs to determine the most suitable mix of financing instruments to finance the proposed investment. The main sources that the company will have, along with the critical evaluation of the main pros and cons of each, are highlighted below.</w:t>
      </w:r>
    </w:p>
    <w:p w:rsidR="00AE7AFE" w:rsidRPr="00597234" w:rsidRDefault="00031F90" w:rsidP="00597234">
      <w:pPr>
        <w:pStyle w:val="Heading2"/>
        <w:rPr>
          <w:color w:val="auto"/>
        </w:rPr>
      </w:pPr>
      <w:bookmarkStart w:id="71" w:name="_Toc227453490"/>
      <w:r>
        <w:rPr>
          <w:rFonts w:eastAsia="Georgia"/>
          <w:color w:val="auto"/>
        </w:rPr>
        <w:t>6.1</w:t>
      </w:r>
      <w:r w:rsidR="00E52464" w:rsidRPr="00597234">
        <w:rPr>
          <w:rFonts w:eastAsia="Georgia"/>
          <w:color w:val="auto"/>
        </w:rPr>
        <w:t xml:space="preserve"> Retained Earnings</w:t>
      </w:r>
      <w:bookmarkEnd w:id="70"/>
      <w:bookmarkEnd w:id="71"/>
    </w:p>
    <w:p w:rsidR="00886DCD" w:rsidRPr="00597234" w:rsidRDefault="00886DCD" w:rsidP="00597234">
      <w:pPr>
        <w:spacing w:before="90" w:after="90" w:line="276" w:lineRule="auto"/>
        <w:jc w:val="both"/>
        <w:rPr>
          <w:sz w:val="24"/>
          <w:szCs w:val="24"/>
        </w:rPr>
      </w:pPr>
      <w:r w:rsidRPr="00597234">
        <w:rPr>
          <w:rFonts w:eastAsia="Georgia"/>
          <w:sz w:val="24"/>
          <w:szCs w:val="24"/>
        </w:rPr>
        <w:t>Reinvestment of accumulated after tax profits is the cheapest source of investment capital of an already profitable business. Retained earnings do not dilute ownership, they do not involve any transaction or issuance costs and do not impose any repayment obligation which is mandatory. The opportunity cost (forgone return that could otherwise have been paid out in the form of dividend income) is, however, an implicit cost that the Board has to take into account. Additionally, the amount of retained earnings present at any particular moment might not be enough to finance the entire investment without the a</w:t>
      </w:r>
      <w:r w:rsidR="00031F90">
        <w:rPr>
          <w:rFonts w:eastAsia="Georgia"/>
          <w:sz w:val="24"/>
          <w:szCs w:val="24"/>
        </w:rPr>
        <w:t>dditional external financing (Apri</w:t>
      </w:r>
      <w:r w:rsidRPr="00597234">
        <w:rPr>
          <w:rFonts w:eastAsia="Georgia"/>
          <w:sz w:val="24"/>
          <w:szCs w:val="24"/>
        </w:rPr>
        <w:t>l, 2020).</w:t>
      </w:r>
    </w:p>
    <w:p w:rsidR="00AE7AFE" w:rsidRPr="00597234" w:rsidRDefault="00031F90" w:rsidP="00597234">
      <w:pPr>
        <w:pStyle w:val="Heading2"/>
        <w:rPr>
          <w:color w:val="auto"/>
        </w:rPr>
      </w:pPr>
      <w:bookmarkStart w:id="72" w:name="_Toc227451833"/>
      <w:bookmarkStart w:id="73" w:name="_Toc227453491"/>
      <w:r>
        <w:rPr>
          <w:rFonts w:eastAsia="Georgia"/>
          <w:color w:val="auto"/>
        </w:rPr>
        <w:t xml:space="preserve">6.2 </w:t>
      </w:r>
      <w:r w:rsidR="00E52464" w:rsidRPr="00597234">
        <w:rPr>
          <w:rFonts w:eastAsia="Georgia"/>
          <w:color w:val="auto"/>
        </w:rPr>
        <w:t>Bank Term Loan (Secured Debt)</w:t>
      </w:r>
      <w:bookmarkEnd w:id="72"/>
      <w:bookmarkEnd w:id="73"/>
    </w:p>
    <w:p w:rsidR="00886DCD" w:rsidRPr="00597234" w:rsidRDefault="00886DCD" w:rsidP="00597234">
      <w:pPr>
        <w:spacing w:before="90" w:after="90" w:line="276" w:lineRule="auto"/>
        <w:jc w:val="both"/>
        <w:rPr>
          <w:sz w:val="24"/>
          <w:szCs w:val="24"/>
        </w:rPr>
      </w:pPr>
      <w:r w:rsidRPr="00597234">
        <w:rPr>
          <w:rFonts w:eastAsia="Georgia"/>
          <w:sz w:val="24"/>
          <w:szCs w:val="24"/>
        </w:rPr>
        <w:t>With a commercial bank, a medium-term secured loan is a structured debt financing that is repayable over a specific time at an agreed interest rate (fixed or variable). The interest due on the loan is deductible as tax and the net after-tax cost of debt is lowered. The major drawbacks are the duty to service principal and interest, whether or not the trading performs, the necessity to secure assets which can limit the ability to operate freely and the lender may impose financial covenants. Investment values under consideration in Westward Plc especially in A and B are likely to be within the normal commercial lending appetite of the UK high street and regional banks (Mclaney, 2017).</w:t>
      </w:r>
    </w:p>
    <w:p w:rsidR="00AE7AFE" w:rsidRPr="00597234" w:rsidRDefault="00031F90" w:rsidP="00597234">
      <w:pPr>
        <w:pStyle w:val="Heading2"/>
        <w:rPr>
          <w:color w:val="auto"/>
        </w:rPr>
      </w:pPr>
      <w:bookmarkStart w:id="74" w:name="_Toc227451834"/>
      <w:bookmarkStart w:id="75" w:name="_Toc227453492"/>
      <w:r>
        <w:rPr>
          <w:rFonts w:eastAsia="Georgia"/>
          <w:color w:val="auto"/>
        </w:rPr>
        <w:t>6.3</w:t>
      </w:r>
      <w:r w:rsidR="00E52464" w:rsidRPr="00597234">
        <w:rPr>
          <w:rFonts w:eastAsia="Georgia"/>
          <w:color w:val="auto"/>
        </w:rPr>
        <w:t xml:space="preserve"> Equity Finance</w:t>
      </w:r>
      <w:bookmarkEnd w:id="74"/>
      <w:bookmarkEnd w:id="75"/>
    </w:p>
    <w:p w:rsidR="00886DCD" w:rsidRPr="00597234" w:rsidRDefault="00886DCD" w:rsidP="00597234">
      <w:pPr>
        <w:spacing w:before="90" w:after="90" w:line="276" w:lineRule="auto"/>
        <w:jc w:val="both"/>
        <w:rPr>
          <w:sz w:val="24"/>
          <w:szCs w:val="24"/>
        </w:rPr>
      </w:pPr>
      <w:r w:rsidRPr="00597234">
        <w:rPr>
          <w:rFonts w:eastAsia="Georgia"/>
          <w:sz w:val="24"/>
          <w:szCs w:val="24"/>
        </w:rPr>
        <w:t xml:space="preserve">New equity capital, which is raised by the use of private investors, business angels or a private equity fund offers permanent capital which does not require the repayment and also does not have a fixed interest cost. This causes equity as a strong source of financing in situations when initial cash flows can be less than anticipated. The major drawbacks are that equity investors will demand a share in the company and related rights in the board, which may restrict the </w:t>
      </w:r>
      <w:r w:rsidRPr="00597234">
        <w:rPr>
          <w:rFonts w:eastAsia="Georgia"/>
          <w:sz w:val="24"/>
          <w:szCs w:val="24"/>
        </w:rPr>
        <w:lastRenderedPageBreak/>
        <w:t>strategic freedom of the management; equity is generally the most expensive capital source, in terms of investor return demanded; and the introduction of outside shareholders will impose transparency, governance and exit-related obligations that can be administratively burdensome to a company the size of Westward Plc (Ross, Westerfield and Jordan, 2011).</w:t>
      </w:r>
    </w:p>
    <w:p w:rsidR="00AE7AFE" w:rsidRPr="00597234" w:rsidRDefault="00031F90" w:rsidP="00597234">
      <w:pPr>
        <w:pStyle w:val="Heading2"/>
        <w:rPr>
          <w:color w:val="auto"/>
        </w:rPr>
      </w:pPr>
      <w:bookmarkStart w:id="76" w:name="_Toc227451835"/>
      <w:bookmarkStart w:id="77" w:name="_Toc227453493"/>
      <w:r>
        <w:rPr>
          <w:rFonts w:eastAsia="Georgia"/>
          <w:color w:val="auto"/>
        </w:rPr>
        <w:t>6.4</w:t>
      </w:r>
      <w:r w:rsidR="00E52464" w:rsidRPr="00597234">
        <w:rPr>
          <w:rFonts w:eastAsia="Georgia"/>
          <w:color w:val="auto"/>
        </w:rPr>
        <w:t xml:space="preserve"> Asset Finance and Leasing</w:t>
      </w:r>
      <w:bookmarkEnd w:id="76"/>
      <w:bookmarkEnd w:id="77"/>
    </w:p>
    <w:p w:rsidR="00886DCD" w:rsidRPr="00597234" w:rsidRDefault="00886DCD" w:rsidP="00597234">
      <w:pPr>
        <w:spacing w:before="90" w:after="90" w:line="276" w:lineRule="auto"/>
        <w:jc w:val="both"/>
        <w:rPr>
          <w:sz w:val="24"/>
          <w:szCs w:val="24"/>
        </w:rPr>
      </w:pPr>
      <w:r w:rsidRPr="00597234">
        <w:rPr>
          <w:rFonts w:eastAsia="Georgia"/>
          <w:sz w:val="24"/>
          <w:szCs w:val="24"/>
        </w:rPr>
        <w:t xml:space="preserve">In situations where a part of the investment programme entails acquiring tangible assets, i.e. the equipment in the warehouse, internet platform IT infrastructure or fit-out of the retail store, leasing and hire purchase options enable the firm to gain access to productive assets without incurring substantial capital expenditure. Lease payments are made on the cost of the asset over their useful life, which conserves the working capital to use in its operations. The drawback is that the overall cost of a leased asset throughout its life is usually higher as compared to outright purchase because the margin and the financing cost of the lessor are incorporated in the rental schedule. The current IFRS 16 accounting rules mean that majority of the leases should be reflected in the balance sheet, impacting the </w:t>
      </w:r>
      <w:r w:rsidR="00031F90">
        <w:rPr>
          <w:rFonts w:eastAsia="Georgia"/>
          <w:sz w:val="24"/>
          <w:szCs w:val="24"/>
        </w:rPr>
        <w:t>reported position of gearing (Apri</w:t>
      </w:r>
      <w:r w:rsidRPr="00597234">
        <w:rPr>
          <w:rFonts w:eastAsia="Georgia"/>
          <w:sz w:val="24"/>
          <w:szCs w:val="24"/>
        </w:rPr>
        <w:t>l, 2020).</w:t>
      </w:r>
    </w:p>
    <w:p w:rsidR="00AE7AFE" w:rsidRPr="00597234" w:rsidRDefault="00031F90" w:rsidP="00597234">
      <w:pPr>
        <w:pStyle w:val="Heading2"/>
        <w:rPr>
          <w:color w:val="auto"/>
        </w:rPr>
      </w:pPr>
      <w:bookmarkStart w:id="78" w:name="_Toc227451836"/>
      <w:bookmarkStart w:id="79" w:name="_Toc227453494"/>
      <w:r>
        <w:rPr>
          <w:rFonts w:eastAsia="Georgia"/>
          <w:color w:val="auto"/>
        </w:rPr>
        <w:t xml:space="preserve">6.5 </w:t>
      </w:r>
      <w:r w:rsidR="00E52464" w:rsidRPr="00597234">
        <w:rPr>
          <w:rFonts w:eastAsia="Georgia"/>
          <w:color w:val="auto"/>
        </w:rPr>
        <w:t>Government Enterprise Finance Schemes</w:t>
      </w:r>
      <w:bookmarkEnd w:id="78"/>
      <w:bookmarkEnd w:id="79"/>
    </w:p>
    <w:p w:rsidR="00886DCD" w:rsidRPr="00597234" w:rsidRDefault="00886DCD" w:rsidP="00597234">
      <w:pPr>
        <w:spacing w:line="276" w:lineRule="auto"/>
        <w:jc w:val="both"/>
        <w:rPr>
          <w:rFonts w:eastAsia="Georgia"/>
          <w:sz w:val="24"/>
          <w:szCs w:val="24"/>
        </w:rPr>
      </w:pPr>
      <w:bookmarkStart w:id="80" w:name="_Toc227451837"/>
      <w:r w:rsidRPr="00597234">
        <w:rPr>
          <w:rFonts w:eastAsia="Georgia"/>
          <w:sz w:val="24"/>
          <w:szCs w:val="24"/>
        </w:rPr>
        <w:t>The concessionary funding can be offered to Westward Plc by the schemes supported by the UK government including the Enterprise Finance Guarantee provided by the British Business Bank or by regional growth fund grants especially when the investment is linked to creation of jobs, to development of manufacturing or to increase exports. These schemes may lower the cost of debt finance which is effectively incurred or may offer a non-repayable grant contribution. They are however, subject to eligibility, lead times on application and conditions, which do not necessarily coincide with the investment schedule of the company.</w:t>
      </w:r>
    </w:p>
    <w:p w:rsidR="00886DCD" w:rsidRPr="00597234" w:rsidRDefault="00886DCD" w:rsidP="00597234">
      <w:pPr>
        <w:spacing w:line="276" w:lineRule="auto"/>
        <w:jc w:val="both"/>
        <w:rPr>
          <w:rFonts w:eastAsia="Georgia"/>
          <w:sz w:val="24"/>
          <w:szCs w:val="24"/>
        </w:rPr>
      </w:pPr>
    </w:p>
    <w:p w:rsidR="00886DCD" w:rsidRPr="00597234" w:rsidRDefault="00886DCD" w:rsidP="00597234">
      <w:pPr>
        <w:spacing w:line="276" w:lineRule="auto"/>
        <w:jc w:val="both"/>
        <w:rPr>
          <w:rFonts w:eastAsia="Georgia"/>
          <w:sz w:val="24"/>
          <w:szCs w:val="24"/>
        </w:rPr>
      </w:pPr>
      <w:r w:rsidRPr="00597234">
        <w:rPr>
          <w:rFonts w:eastAsia="Georgia"/>
          <w:sz w:val="24"/>
          <w:szCs w:val="24"/>
        </w:rPr>
        <w:t>Suggested financing method: since Westward Plc is a profile company; an established manufacturer in the UK with a proven track record in trading, the most appropriate financing method will be a hybrid approach. The initial tranche of the investment should be funded by available retained earnings, which will reduce the cost of capital and will avoid dilution of ownership. This should be supplemented by a structured bank term loan that is secured by the assets of the company to finance the rest of the amount of capital required - repayments should be designed to fit the cash flow projection of Alternative B. The method spreads the financial risk between the owners and a lending institution without giving up management control and future borrowing freedom (strategic opportunities). The Board must make sure that loan service requirements are comfortably within their reach when cash flows are forecasted to be conservative with sufficient liquidity on hand at all times.</w:t>
      </w:r>
    </w:p>
    <w:p w:rsidR="00597234" w:rsidRPr="00597234" w:rsidRDefault="00597234" w:rsidP="00597234">
      <w:pPr>
        <w:spacing w:line="276" w:lineRule="auto"/>
        <w:jc w:val="both"/>
        <w:rPr>
          <w:rFonts w:eastAsia="Georgia"/>
          <w:sz w:val="24"/>
          <w:szCs w:val="24"/>
        </w:rPr>
      </w:pPr>
    </w:p>
    <w:p w:rsidR="00597234" w:rsidRPr="00597234" w:rsidRDefault="00597234" w:rsidP="00597234">
      <w:pPr>
        <w:spacing w:line="276" w:lineRule="auto"/>
        <w:jc w:val="both"/>
        <w:rPr>
          <w:rFonts w:eastAsia="Georgia"/>
          <w:sz w:val="24"/>
          <w:szCs w:val="24"/>
        </w:rPr>
      </w:pPr>
    </w:p>
    <w:p w:rsidR="00597234" w:rsidRPr="00597234" w:rsidRDefault="00597234" w:rsidP="00597234">
      <w:pPr>
        <w:spacing w:line="276" w:lineRule="auto"/>
        <w:jc w:val="both"/>
        <w:rPr>
          <w:rFonts w:eastAsia="Georgia"/>
          <w:sz w:val="24"/>
          <w:szCs w:val="24"/>
        </w:rPr>
      </w:pPr>
    </w:p>
    <w:p w:rsidR="00597234" w:rsidRPr="00597234" w:rsidRDefault="00597234" w:rsidP="00597234">
      <w:pPr>
        <w:spacing w:line="276" w:lineRule="auto"/>
        <w:jc w:val="both"/>
        <w:rPr>
          <w:rFonts w:eastAsia="Georgia"/>
          <w:sz w:val="24"/>
          <w:szCs w:val="24"/>
        </w:rPr>
      </w:pPr>
    </w:p>
    <w:p w:rsidR="00597234" w:rsidRPr="00597234" w:rsidRDefault="00597234" w:rsidP="00597234">
      <w:pPr>
        <w:spacing w:line="276" w:lineRule="auto"/>
        <w:jc w:val="both"/>
        <w:rPr>
          <w:rFonts w:eastAsia="Georgia"/>
          <w:sz w:val="24"/>
          <w:szCs w:val="24"/>
        </w:rPr>
      </w:pPr>
    </w:p>
    <w:p w:rsidR="00597234" w:rsidRPr="00597234" w:rsidRDefault="00597234" w:rsidP="00597234">
      <w:pPr>
        <w:spacing w:line="276" w:lineRule="auto"/>
        <w:jc w:val="both"/>
        <w:rPr>
          <w:rFonts w:eastAsia="Georgia"/>
          <w:sz w:val="24"/>
          <w:szCs w:val="24"/>
        </w:rPr>
      </w:pPr>
    </w:p>
    <w:p w:rsidR="00597234" w:rsidRPr="00597234" w:rsidRDefault="00597234" w:rsidP="00597234">
      <w:pPr>
        <w:spacing w:line="276" w:lineRule="auto"/>
        <w:jc w:val="both"/>
        <w:rPr>
          <w:rFonts w:eastAsia="Georgia"/>
          <w:sz w:val="24"/>
          <w:szCs w:val="24"/>
        </w:rPr>
      </w:pPr>
    </w:p>
    <w:p w:rsidR="00597234" w:rsidRPr="00597234" w:rsidRDefault="00597234" w:rsidP="00597234">
      <w:pPr>
        <w:spacing w:line="276" w:lineRule="auto"/>
        <w:jc w:val="both"/>
        <w:rPr>
          <w:rFonts w:eastAsia="Georgia"/>
          <w:b/>
          <w:bCs/>
          <w:sz w:val="24"/>
          <w:szCs w:val="24"/>
        </w:rPr>
      </w:pPr>
    </w:p>
    <w:p w:rsidR="00AE7AFE" w:rsidRPr="00597234" w:rsidRDefault="00E52464" w:rsidP="00597234">
      <w:pPr>
        <w:pStyle w:val="Heading1"/>
        <w:rPr>
          <w:color w:val="auto"/>
        </w:rPr>
      </w:pPr>
      <w:bookmarkStart w:id="81" w:name="_Toc227453495"/>
      <w:r w:rsidRPr="00597234">
        <w:rPr>
          <w:color w:val="auto"/>
        </w:rPr>
        <w:lastRenderedPageBreak/>
        <w:t>References</w:t>
      </w:r>
      <w:bookmarkEnd w:id="80"/>
      <w:bookmarkEnd w:id="81"/>
    </w:p>
    <w:p w:rsidR="00AE7AFE" w:rsidRPr="00597234" w:rsidRDefault="00E52464" w:rsidP="00597234">
      <w:pPr>
        <w:spacing w:before="80" w:after="80" w:line="276" w:lineRule="auto"/>
        <w:ind w:left="720" w:hanging="720"/>
        <w:jc w:val="both"/>
        <w:rPr>
          <w:sz w:val="24"/>
          <w:szCs w:val="24"/>
        </w:rPr>
      </w:pPr>
      <w:r w:rsidRPr="00597234">
        <w:rPr>
          <w:sz w:val="24"/>
          <w:szCs w:val="24"/>
        </w:rPr>
        <w:t>Andiena, P., Djaniar, U., Lumentah, N.R., Mutmainah, M. and Mere, K. (2024). Financial Performance Analysis of Companies through Liquidity and Profitability Ratio Approaches. Journal of Economic, Bussines and Accounting (COSTING), 7(6), pp.5317–5320. https://doi.org/10.31539/costing.v7i6.12949</w:t>
      </w:r>
    </w:p>
    <w:p w:rsidR="00AE7AFE" w:rsidRPr="00597234" w:rsidRDefault="00E52464" w:rsidP="00597234">
      <w:pPr>
        <w:spacing w:before="80" w:after="80" w:line="276" w:lineRule="auto"/>
        <w:ind w:left="720" w:hanging="720"/>
        <w:jc w:val="both"/>
        <w:rPr>
          <w:sz w:val="24"/>
          <w:szCs w:val="24"/>
        </w:rPr>
      </w:pPr>
      <w:r w:rsidRPr="00597234">
        <w:rPr>
          <w:sz w:val="24"/>
          <w:szCs w:val="24"/>
        </w:rPr>
        <w:t>Ali Gull, A. (2013). Influence of Working Capital Management and Liquidity on Financial Soundness of Firms Listed at Karachi Stock Exchange. IOSR Journal of Business and Management, 11(2), pp.52–57. https://doi.org/10.9790/487x-1125257</w:t>
      </w:r>
    </w:p>
    <w:p w:rsidR="00AE7AFE" w:rsidRPr="00597234" w:rsidRDefault="00E52464" w:rsidP="00597234">
      <w:pPr>
        <w:spacing w:before="80" w:after="80" w:line="276" w:lineRule="auto"/>
        <w:ind w:left="720" w:hanging="720"/>
        <w:jc w:val="both"/>
        <w:rPr>
          <w:sz w:val="24"/>
          <w:szCs w:val="24"/>
        </w:rPr>
      </w:pPr>
      <w:r w:rsidRPr="00597234">
        <w:rPr>
          <w:sz w:val="24"/>
          <w:szCs w:val="24"/>
        </w:rPr>
        <w:t>Arunkumar, M.R. (2025). Strategic Financial Performance Analysis in 2025: A Multi-Year Perspective of a Selected Company. International Journal for Research in Applied Science and Engineering Technology, 13(7), pp.690–692. https://doi.org/10.22214/ijraset.2025.72650</w:t>
      </w:r>
    </w:p>
    <w:p w:rsidR="00AE7AFE" w:rsidRPr="00597234" w:rsidRDefault="00E52464" w:rsidP="00597234">
      <w:pPr>
        <w:spacing w:before="80" w:after="80" w:line="276" w:lineRule="auto"/>
        <w:ind w:left="720" w:hanging="720"/>
        <w:jc w:val="both"/>
        <w:rPr>
          <w:sz w:val="24"/>
          <w:szCs w:val="24"/>
        </w:rPr>
      </w:pPr>
      <w:r w:rsidRPr="00597234">
        <w:rPr>
          <w:sz w:val="24"/>
          <w:szCs w:val="24"/>
        </w:rPr>
        <w:t>Atrill, P. (2020). Financial Management for Decision Makers. 9th edn. Harlow: Pearson.</w:t>
      </w:r>
    </w:p>
    <w:p w:rsidR="00AE7AFE" w:rsidRPr="00597234" w:rsidRDefault="00E52464" w:rsidP="00597234">
      <w:pPr>
        <w:spacing w:before="80" w:after="80" w:line="276" w:lineRule="auto"/>
        <w:ind w:left="720" w:hanging="720"/>
        <w:jc w:val="both"/>
        <w:rPr>
          <w:sz w:val="24"/>
          <w:szCs w:val="24"/>
        </w:rPr>
      </w:pPr>
      <w:r w:rsidRPr="00597234">
        <w:rPr>
          <w:sz w:val="24"/>
          <w:szCs w:val="24"/>
        </w:rPr>
        <w:t>Brownlee, R. (2008). Distillers Delight in the U.K. SSRN Electronic Journal. https://doi.org/10.2139/ssrn.1276975</w:t>
      </w:r>
    </w:p>
    <w:p w:rsidR="00AE7AFE" w:rsidRPr="00597234" w:rsidRDefault="00E52464" w:rsidP="00597234">
      <w:pPr>
        <w:spacing w:before="80" w:after="80" w:line="276" w:lineRule="auto"/>
        <w:ind w:left="720" w:hanging="720"/>
        <w:jc w:val="both"/>
        <w:rPr>
          <w:sz w:val="24"/>
          <w:szCs w:val="24"/>
        </w:rPr>
      </w:pPr>
      <w:r w:rsidRPr="00597234">
        <w:rPr>
          <w:sz w:val="24"/>
          <w:szCs w:val="24"/>
        </w:rPr>
        <w:t>Diageo (2025). Annual Report 2025. Available at: https://www.diageo.com/en/investors/results-reports-and-events/annual-report-2025</w:t>
      </w:r>
    </w:p>
    <w:p w:rsidR="00AE7AFE" w:rsidRPr="00597234" w:rsidRDefault="00E52464" w:rsidP="00597234">
      <w:pPr>
        <w:spacing w:before="80" w:after="80" w:line="276" w:lineRule="auto"/>
        <w:ind w:left="720" w:hanging="720"/>
        <w:jc w:val="both"/>
        <w:rPr>
          <w:sz w:val="24"/>
          <w:szCs w:val="24"/>
        </w:rPr>
      </w:pPr>
      <w:r w:rsidRPr="00597234">
        <w:rPr>
          <w:sz w:val="24"/>
          <w:szCs w:val="24"/>
        </w:rPr>
        <w:t>Effiong, A. and Enya, E.F. (2020). Liquidity Risk Management and Financial Performance: Are Consumer Goods Companies Involved? International Journal of Recent Technology and Engineering, 9(1), pp.580–589. https://doi.org/10.35940/ijrte.a1692.059120</w:t>
      </w:r>
    </w:p>
    <w:p w:rsidR="00AE7AFE" w:rsidRPr="00597234" w:rsidRDefault="00E52464" w:rsidP="00597234">
      <w:pPr>
        <w:spacing w:before="80" w:after="80" w:line="276" w:lineRule="auto"/>
        <w:ind w:left="720" w:hanging="720"/>
        <w:jc w:val="both"/>
        <w:rPr>
          <w:sz w:val="24"/>
          <w:szCs w:val="24"/>
        </w:rPr>
      </w:pPr>
      <w:r w:rsidRPr="00597234">
        <w:rPr>
          <w:sz w:val="24"/>
          <w:szCs w:val="24"/>
        </w:rPr>
        <w:t>Endang Purwanti (2022). Liquidity Level Analysis of Food and Beverage Companies. JurnalIlmiahManajemen, Ekonomi, dan Akuntansi, 6(3), pp.625–634. https://doi.org/10.31955/mea.v6i3.2013</w:t>
      </w:r>
    </w:p>
    <w:p w:rsidR="00AE7AFE" w:rsidRPr="00597234" w:rsidRDefault="00E52464" w:rsidP="00597234">
      <w:pPr>
        <w:spacing w:before="80" w:after="80" w:line="276" w:lineRule="auto"/>
        <w:ind w:left="720" w:hanging="720"/>
        <w:jc w:val="both"/>
        <w:rPr>
          <w:sz w:val="24"/>
          <w:szCs w:val="24"/>
        </w:rPr>
      </w:pPr>
      <w:r w:rsidRPr="00597234">
        <w:rPr>
          <w:sz w:val="24"/>
          <w:szCs w:val="24"/>
        </w:rPr>
        <w:t>Eryatna, E.N., Eltivia, N. and Handayawati, K.U. (2021). The Effect of Cash Turnover, Receivable Turnover, and Inventory Turnover Towards Profitability of Consumer Goods Companies in Indonesia. Proceedings of AMBEC 2020, 183. https://doi.org/10.2991/aebmr.k.210717.039</w:t>
      </w:r>
    </w:p>
    <w:p w:rsidR="00AE7AFE" w:rsidRPr="00597234" w:rsidRDefault="00E52464" w:rsidP="00597234">
      <w:pPr>
        <w:spacing w:before="80" w:after="80" w:line="276" w:lineRule="auto"/>
        <w:ind w:left="720" w:hanging="720"/>
        <w:jc w:val="both"/>
        <w:rPr>
          <w:sz w:val="24"/>
          <w:szCs w:val="24"/>
        </w:rPr>
      </w:pPr>
      <w:r w:rsidRPr="00597234">
        <w:rPr>
          <w:sz w:val="24"/>
          <w:szCs w:val="24"/>
        </w:rPr>
        <w:t>Esser, M.B. and Jernigan, D.H. (2015). Multinational Alcohol Market Development and Public Health: Diageo in India. American Journal of Public Health, 105(11), pp.2220–2227. https://doi.org/10.2105/ajph.2015.302831</w:t>
      </w:r>
    </w:p>
    <w:p w:rsidR="00AE7AFE" w:rsidRPr="00597234" w:rsidRDefault="00E52464" w:rsidP="00597234">
      <w:pPr>
        <w:spacing w:before="80" w:after="80" w:line="276" w:lineRule="auto"/>
        <w:ind w:left="720" w:hanging="720"/>
        <w:jc w:val="both"/>
        <w:rPr>
          <w:sz w:val="24"/>
          <w:szCs w:val="24"/>
        </w:rPr>
      </w:pPr>
      <w:r w:rsidRPr="00597234">
        <w:rPr>
          <w:sz w:val="24"/>
          <w:szCs w:val="24"/>
        </w:rPr>
        <w:t>Eze Ibiam Eze, Oliver Ike Inyiama and Ikechukwu Ezugwu (2024). Current Assets Management and Operational Performance of Consumer Goods Firms in Nigeria. European Journal of Business and Innovation Research, 12(2), pp.67–83. https://doi.org/10.37745/ejbir.2013/vol12n26783</w:t>
      </w:r>
    </w:p>
    <w:p w:rsidR="00AE7AFE" w:rsidRPr="00597234" w:rsidRDefault="00E52464" w:rsidP="00597234">
      <w:pPr>
        <w:spacing w:before="80" w:after="80" w:line="276" w:lineRule="auto"/>
        <w:ind w:left="720" w:hanging="720"/>
        <w:jc w:val="both"/>
        <w:rPr>
          <w:sz w:val="24"/>
          <w:szCs w:val="24"/>
        </w:rPr>
      </w:pPr>
      <w:r w:rsidRPr="00597234">
        <w:rPr>
          <w:sz w:val="24"/>
          <w:szCs w:val="24"/>
        </w:rPr>
        <w:t>Gu, R. (2025). Comparing Global Beverage Giants from a Value Investing Perspective. Journal of Innovation and Development, 13(1), pp.324–332. https://doi.org/10.54097/zswgjm70</w:t>
      </w:r>
    </w:p>
    <w:p w:rsidR="00AE7AFE" w:rsidRPr="00597234" w:rsidRDefault="00E52464" w:rsidP="00597234">
      <w:pPr>
        <w:spacing w:before="80" w:after="80" w:line="276" w:lineRule="auto"/>
        <w:ind w:left="720" w:hanging="720"/>
        <w:jc w:val="both"/>
        <w:rPr>
          <w:sz w:val="24"/>
          <w:szCs w:val="24"/>
        </w:rPr>
      </w:pPr>
      <w:r w:rsidRPr="00597234">
        <w:rPr>
          <w:sz w:val="24"/>
          <w:szCs w:val="24"/>
        </w:rPr>
        <w:t>İlhan Dalci, Hasan Ozyapici and Doğan Unlucan (2019). The Firm-Specific Determinants of Capital Structure in Beverage Industry in Europe. Springer Proceedings in Business and Economics, pp.161–172. https://doi.org/10.1007/978-3-030-30387-7_11</w:t>
      </w:r>
    </w:p>
    <w:p w:rsidR="00AE7AFE" w:rsidRPr="00597234" w:rsidRDefault="00E52464" w:rsidP="00597234">
      <w:pPr>
        <w:spacing w:before="80" w:after="80" w:line="276" w:lineRule="auto"/>
        <w:ind w:left="720" w:hanging="720"/>
        <w:jc w:val="both"/>
        <w:rPr>
          <w:sz w:val="24"/>
          <w:szCs w:val="24"/>
        </w:rPr>
      </w:pPr>
      <w:r w:rsidRPr="00597234">
        <w:rPr>
          <w:sz w:val="24"/>
          <w:szCs w:val="24"/>
        </w:rPr>
        <w:lastRenderedPageBreak/>
        <w:t>Khan, I.M. (2015). Managing Innovation and Marketing in a Globally Dynamic Firm: Best Practices in Management at Diageo. Advances in Social Sciences Research Journal, 2(5). https://doi.org/10.14738/assrj.25.1168</w:t>
      </w:r>
    </w:p>
    <w:p w:rsidR="00AE7AFE" w:rsidRPr="00597234" w:rsidRDefault="00E52464" w:rsidP="00597234">
      <w:pPr>
        <w:spacing w:before="80" w:after="80" w:line="276" w:lineRule="auto"/>
        <w:ind w:left="720" w:hanging="720"/>
        <w:jc w:val="both"/>
        <w:rPr>
          <w:sz w:val="24"/>
          <w:szCs w:val="24"/>
        </w:rPr>
      </w:pPr>
      <w:r w:rsidRPr="00597234">
        <w:rPr>
          <w:sz w:val="24"/>
          <w:szCs w:val="24"/>
        </w:rPr>
        <w:t>Losbichler, H., Hofer, P., Eisl, C. and Zauner, B. (2011). An Investigation of ROCE and Its Drivers: Empirical Analysis of European Companies. Contributions to Management Science, pp.119–148. https://doi.org/10.1007/978-3-7908-2747-7_7</w:t>
      </w:r>
    </w:p>
    <w:p w:rsidR="00AE7AFE" w:rsidRPr="00597234" w:rsidRDefault="00E52464" w:rsidP="00597234">
      <w:pPr>
        <w:spacing w:before="80" w:after="80" w:line="276" w:lineRule="auto"/>
        <w:ind w:left="720" w:hanging="720"/>
        <w:jc w:val="both"/>
        <w:rPr>
          <w:sz w:val="24"/>
          <w:szCs w:val="24"/>
        </w:rPr>
      </w:pPr>
      <w:r w:rsidRPr="00597234">
        <w:rPr>
          <w:sz w:val="24"/>
          <w:szCs w:val="24"/>
        </w:rPr>
        <w:t>Lynch, L.J., Gillam, G. and Forman, J. (2017). Working Capital: A Summary of Ratios by Industry. Darden Business Publishing Cases, 1(1), pp.1–7. https://doi.org/10.1108/case.darden.2016.000352</w:t>
      </w:r>
    </w:p>
    <w:p w:rsidR="00AE7AFE" w:rsidRPr="00597234" w:rsidRDefault="00E52464" w:rsidP="00597234">
      <w:pPr>
        <w:spacing w:before="80" w:after="80" w:line="276" w:lineRule="auto"/>
        <w:ind w:left="720" w:hanging="720"/>
        <w:jc w:val="both"/>
        <w:rPr>
          <w:sz w:val="24"/>
          <w:szCs w:val="24"/>
        </w:rPr>
      </w:pPr>
      <w:r w:rsidRPr="00597234">
        <w:rPr>
          <w:sz w:val="24"/>
          <w:szCs w:val="24"/>
        </w:rPr>
        <w:t>Lyroudi, K. and Lazaridis, Y. (2000). The Cash Conversion Cycle and Liquidity Analysis of the Food Industry in Greece. SSRN Electronic Journal. https://doi.org/10.2139/ssrn.236175</w:t>
      </w:r>
    </w:p>
    <w:p w:rsidR="00AE7AFE" w:rsidRPr="00597234" w:rsidRDefault="00E52464" w:rsidP="00597234">
      <w:pPr>
        <w:spacing w:before="80" w:after="80" w:line="276" w:lineRule="auto"/>
        <w:ind w:left="720" w:hanging="720"/>
        <w:jc w:val="both"/>
        <w:rPr>
          <w:sz w:val="24"/>
          <w:szCs w:val="24"/>
        </w:rPr>
      </w:pPr>
      <w:r w:rsidRPr="00597234">
        <w:rPr>
          <w:sz w:val="24"/>
          <w:szCs w:val="24"/>
        </w:rPr>
        <w:t>Matevosyan, A.V., Hovakanyan, L.Y., Matevosyan, M.H. and Grigoryan, A.Z. (2023). The Proposed Approach to Current Financial Requirement Management in Organizations of The Alcoholic Beverages. Journal of Law and Sustainable Development, 11(12), pp.e1721–e1721. https://doi.org/10.55908/sdgs.v11i12.1721</w:t>
      </w:r>
    </w:p>
    <w:p w:rsidR="00AE7AFE" w:rsidRPr="00597234" w:rsidRDefault="00E52464" w:rsidP="00597234">
      <w:pPr>
        <w:spacing w:before="80" w:after="80" w:line="276" w:lineRule="auto"/>
        <w:ind w:left="720" w:hanging="720"/>
        <w:jc w:val="both"/>
        <w:rPr>
          <w:sz w:val="24"/>
          <w:szCs w:val="24"/>
        </w:rPr>
      </w:pPr>
      <w:r w:rsidRPr="00597234">
        <w:rPr>
          <w:sz w:val="24"/>
          <w:szCs w:val="24"/>
        </w:rPr>
        <w:t>Mclaney, E. (2017). Business Finance: Theory and Practice. 11th edn. Harlow: Pearson.</w:t>
      </w:r>
    </w:p>
    <w:p w:rsidR="00AE7AFE" w:rsidRPr="00597234" w:rsidRDefault="00E52464" w:rsidP="00597234">
      <w:pPr>
        <w:spacing w:before="80" w:after="80" w:line="276" w:lineRule="auto"/>
        <w:ind w:left="720" w:hanging="720"/>
        <w:jc w:val="both"/>
        <w:rPr>
          <w:sz w:val="24"/>
          <w:szCs w:val="24"/>
        </w:rPr>
      </w:pPr>
      <w:r w:rsidRPr="00597234">
        <w:rPr>
          <w:sz w:val="24"/>
          <w:szCs w:val="24"/>
        </w:rPr>
        <w:t>Muradoglu, G., Bakke, M. and Kvernes, G.L. (2005). An investment strategy based on gearing ratio. Applied Economics Letters, 12(13), pp.801–804. https://doi.org/10.1080/13504850500365780</w:t>
      </w:r>
    </w:p>
    <w:p w:rsidR="00AE7AFE" w:rsidRPr="00597234" w:rsidRDefault="00E52464" w:rsidP="00597234">
      <w:pPr>
        <w:spacing w:before="80" w:after="80" w:line="276" w:lineRule="auto"/>
        <w:ind w:left="720" w:hanging="720"/>
        <w:jc w:val="both"/>
        <w:rPr>
          <w:sz w:val="24"/>
          <w:szCs w:val="24"/>
        </w:rPr>
      </w:pPr>
      <w:r w:rsidRPr="00597234">
        <w:rPr>
          <w:sz w:val="24"/>
          <w:szCs w:val="24"/>
        </w:rPr>
        <w:t>Niu, Z. (2024). Risk and Opportunity of Diageo: PESTEL and SWOT Analysis. Finance &amp; Economics, 1(9). https://doi.org/10.61173/wdw94h39</w:t>
      </w:r>
    </w:p>
    <w:p w:rsidR="00AE7AFE" w:rsidRPr="00597234" w:rsidRDefault="00E52464" w:rsidP="00597234">
      <w:pPr>
        <w:spacing w:before="80" w:after="80" w:line="276" w:lineRule="auto"/>
        <w:ind w:left="720" w:hanging="720"/>
        <w:jc w:val="both"/>
        <w:rPr>
          <w:sz w:val="24"/>
          <w:szCs w:val="24"/>
        </w:rPr>
      </w:pPr>
      <w:r w:rsidRPr="00597234">
        <w:rPr>
          <w:sz w:val="24"/>
          <w:szCs w:val="24"/>
        </w:rPr>
        <w:t>Rani, P.B., T. Vamsi, M. Venkata Lakshmi and Naga, K. (2025). Understanding Financial Performance – A Conceptual Framework for Ratio Analysis. TECHNO REVIEW Journal of Technology and Management, 5(1), pp.19–25. https://doi.org/10.31305/trjtm2025.v05.n01.003</w:t>
      </w:r>
    </w:p>
    <w:p w:rsidR="00AE7AFE" w:rsidRPr="00597234" w:rsidRDefault="00E52464" w:rsidP="00597234">
      <w:pPr>
        <w:spacing w:before="80" w:after="80" w:line="276" w:lineRule="auto"/>
        <w:ind w:left="720" w:hanging="720"/>
        <w:jc w:val="both"/>
        <w:rPr>
          <w:sz w:val="24"/>
          <w:szCs w:val="24"/>
        </w:rPr>
      </w:pPr>
      <w:r w:rsidRPr="00597234">
        <w:rPr>
          <w:sz w:val="24"/>
          <w:szCs w:val="24"/>
        </w:rPr>
        <w:t>Ross, S.A., Westerfield, R. and Jordan, B.D. (2011). Essentials of Corporate Finance. 8th edn. New York: McGraw-Hill Irwin.</w:t>
      </w:r>
    </w:p>
    <w:p w:rsidR="00AE7AFE" w:rsidRPr="00597234" w:rsidRDefault="00E52464" w:rsidP="00597234">
      <w:pPr>
        <w:spacing w:before="80" w:after="80" w:line="276" w:lineRule="auto"/>
        <w:ind w:left="720" w:hanging="720"/>
        <w:jc w:val="both"/>
        <w:rPr>
          <w:sz w:val="24"/>
          <w:szCs w:val="24"/>
        </w:rPr>
      </w:pPr>
      <w:r w:rsidRPr="00597234">
        <w:rPr>
          <w:sz w:val="24"/>
          <w:szCs w:val="24"/>
        </w:rPr>
        <w:t>Swee, C. and Islam, S. (2026). Fashion Entrepreneurship. Taylor &amp; Francis.</w:t>
      </w:r>
    </w:p>
    <w:p w:rsidR="00AE7AFE" w:rsidRPr="00597234" w:rsidRDefault="00E52464" w:rsidP="00597234">
      <w:pPr>
        <w:spacing w:before="80" w:after="80" w:line="276" w:lineRule="auto"/>
        <w:ind w:left="720" w:hanging="720"/>
        <w:jc w:val="both"/>
        <w:rPr>
          <w:sz w:val="24"/>
          <w:szCs w:val="24"/>
        </w:rPr>
      </w:pPr>
      <w:r w:rsidRPr="00597234">
        <w:rPr>
          <w:sz w:val="24"/>
          <w:szCs w:val="24"/>
        </w:rPr>
        <w:t>Ying, Z. and Chan, S.-K. (2025). Exploring the Interplay Between Current Ratio, Working Capital Management, and ROA. Journal of Economics, Finance and Management Studies, 8(8). https://doi.org/10.47191/jefms/v8-i8-30</w:t>
      </w:r>
    </w:p>
    <w:p w:rsidR="00AE7AFE" w:rsidRPr="00597234" w:rsidRDefault="00E52464" w:rsidP="00597234">
      <w:pPr>
        <w:spacing w:line="276" w:lineRule="auto"/>
        <w:jc w:val="both"/>
        <w:rPr>
          <w:sz w:val="24"/>
          <w:szCs w:val="24"/>
        </w:rPr>
      </w:pPr>
      <w:r w:rsidRPr="00597234">
        <w:rPr>
          <w:sz w:val="24"/>
          <w:szCs w:val="24"/>
        </w:rPr>
        <w:br w:type="page"/>
      </w:r>
    </w:p>
    <w:p w:rsidR="00AE7AFE" w:rsidRPr="00597234" w:rsidRDefault="00E52464" w:rsidP="00597234">
      <w:pPr>
        <w:pStyle w:val="Heading1"/>
        <w:rPr>
          <w:color w:val="auto"/>
        </w:rPr>
      </w:pPr>
      <w:bookmarkStart w:id="82" w:name="_Toc227451838"/>
      <w:bookmarkStart w:id="83" w:name="_Toc227453496"/>
      <w:r w:rsidRPr="00597234">
        <w:rPr>
          <w:color w:val="auto"/>
        </w:rPr>
        <w:lastRenderedPageBreak/>
        <w:t>Appendices</w:t>
      </w:r>
      <w:bookmarkEnd w:id="82"/>
      <w:bookmarkEnd w:id="83"/>
    </w:p>
    <w:p w:rsidR="00AE7AFE" w:rsidRPr="00597234" w:rsidRDefault="00E52464" w:rsidP="00597234">
      <w:pPr>
        <w:pStyle w:val="Heading2"/>
        <w:spacing w:line="276" w:lineRule="auto"/>
        <w:jc w:val="both"/>
        <w:rPr>
          <w:color w:val="auto"/>
        </w:rPr>
      </w:pPr>
      <w:bookmarkStart w:id="84" w:name="_Toc227451839"/>
      <w:bookmarkStart w:id="85" w:name="_Toc227453497"/>
      <w:r w:rsidRPr="00597234">
        <w:rPr>
          <w:color w:val="auto"/>
        </w:rPr>
        <w:t>Appendix A – Diageo plc: Financial Statements (FY2024 &amp; FY2025)</w:t>
      </w:r>
      <w:bookmarkEnd w:id="84"/>
      <w:bookmarkEnd w:id="85"/>
    </w:p>
    <w:p w:rsidR="00DC0CE0" w:rsidRPr="00597234" w:rsidRDefault="00DC0CE0" w:rsidP="00597234">
      <w:pPr>
        <w:spacing w:line="276" w:lineRule="auto"/>
        <w:jc w:val="both"/>
        <w:rPr>
          <w:sz w:val="24"/>
          <w:szCs w:val="24"/>
        </w:rPr>
      </w:pPr>
      <w:r w:rsidRPr="00597234">
        <w:rPr>
          <w:b/>
          <w:bCs/>
          <w:sz w:val="24"/>
          <w:szCs w:val="24"/>
        </w:rPr>
        <w:t>Income Statement (2024):</w:t>
      </w:r>
    </w:p>
    <w:p w:rsidR="00DC0CE0" w:rsidRPr="00597234" w:rsidRDefault="00DC0CE0" w:rsidP="00597234">
      <w:pPr>
        <w:spacing w:line="276" w:lineRule="auto"/>
        <w:jc w:val="both"/>
        <w:rPr>
          <w:b/>
          <w:bCs/>
          <w:sz w:val="24"/>
          <w:szCs w:val="24"/>
        </w:rPr>
      </w:pPr>
      <w:r w:rsidRPr="00597234">
        <w:rPr>
          <w:noProof/>
          <w:sz w:val="24"/>
          <w:szCs w:val="24"/>
        </w:rPr>
        <w:drawing>
          <wp:inline distT="0" distB="0" distL="0" distR="0">
            <wp:extent cx="6198569" cy="5339644"/>
            <wp:effectExtent l="0" t="0" r="0" b="0"/>
            <wp:docPr id="11218753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875344" name=""/>
                    <pic:cNvPicPr/>
                  </pic:nvPicPr>
                  <pic:blipFill>
                    <a:blip r:embed="rId10"/>
                    <a:stretch>
                      <a:fillRect/>
                    </a:stretch>
                  </pic:blipFill>
                  <pic:spPr>
                    <a:xfrm>
                      <a:off x="0" y="0"/>
                      <a:ext cx="6228223" cy="5365189"/>
                    </a:xfrm>
                    <a:prstGeom prst="rect">
                      <a:avLst/>
                    </a:prstGeom>
                  </pic:spPr>
                </pic:pic>
              </a:graphicData>
            </a:graphic>
          </wp:inline>
        </w:drawing>
      </w:r>
    </w:p>
    <w:p w:rsidR="00DC0CE0" w:rsidRPr="00597234" w:rsidRDefault="00DC0CE0" w:rsidP="00597234">
      <w:pPr>
        <w:spacing w:line="276" w:lineRule="auto"/>
        <w:jc w:val="both"/>
        <w:rPr>
          <w:b/>
          <w:bCs/>
          <w:sz w:val="24"/>
          <w:szCs w:val="24"/>
        </w:rPr>
      </w:pPr>
    </w:p>
    <w:p w:rsidR="00DC0CE0" w:rsidRPr="00597234" w:rsidRDefault="00DC0CE0" w:rsidP="00597234">
      <w:pPr>
        <w:spacing w:line="276" w:lineRule="auto"/>
        <w:jc w:val="both"/>
        <w:rPr>
          <w:b/>
          <w:bCs/>
          <w:sz w:val="24"/>
          <w:szCs w:val="24"/>
        </w:rPr>
      </w:pPr>
    </w:p>
    <w:p w:rsidR="00DC0CE0" w:rsidRPr="00597234" w:rsidRDefault="00DC0CE0" w:rsidP="00597234">
      <w:pPr>
        <w:spacing w:line="276" w:lineRule="auto"/>
        <w:jc w:val="both"/>
        <w:rPr>
          <w:b/>
          <w:bCs/>
          <w:sz w:val="24"/>
          <w:szCs w:val="24"/>
        </w:rPr>
      </w:pPr>
    </w:p>
    <w:p w:rsidR="00DC0CE0" w:rsidRPr="00597234" w:rsidRDefault="00DC0CE0" w:rsidP="00597234">
      <w:pPr>
        <w:spacing w:line="276" w:lineRule="auto"/>
        <w:jc w:val="both"/>
        <w:rPr>
          <w:b/>
          <w:bCs/>
          <w:sz w:val="24"/>
          <w:szCs w:val="24"/>
        </w:rPr>
      </w:pPr>
    </w:p>
    <w:p w:rsidR="00DC0CE0" w:rsidRPr="00597234" w:rsidRDefault="00DC0CE0" w:rsidP="00597234">
      <w:pPr>
        <w:spacing w:line="276" w:lineRule="auto"/>
        <w:jc w:val="both"/>
        <w:rPr>
          <w:b/>
          <w:bCs/>
          <w:sz w:val="24"/>
          <w:szCs w:val="24"/>
        </w:rPr>
      </w:pPr>
    </w:p>
    <w:p w:rsidR="00DC0CE0" w:rsidRPr="00597234" w:rsidRDefault="00DC0CE0" w:rsidP="00597234">
      <w:pPr>
        <w:spacing w:line="276" w:lineRule="auto"/>
        <w:jc w:val="both"/>
        <w:rPr>
          <w:b/>
          <w:bCs/>
          <w:sz w:val="24"/>
          <w:szCs w:val="24"/>
        </w:rPr>
      </w:pPr>
    </w:p>
    <w:p w:rsidR="00DC0CE0" w:rsidRPr="00597234" w:rsidRDefault="00DC0CE0" w:rsidP="00597234">
      <w:pPr>
        <w:spacing w:line="276" w:lineRule="auto"/>
        <w:jc w:val="both"/>
        <w:rPr>
          <w:b/>
          <w:bCs/>
          <w:sz w:val="24"/>
          <w:szCs w:val="24"/>
        </w:rPr>
      </w:pPr>
    </w:p>
    <w:p w:rsidR="00DC0CE0" w:rsidRPr="00597234" w:rsidRDefault="00DC0CE0" w:rsidP="00597234">
      <w:pPr>
        <w:spacing w:line="276" w:lineRule="auto"/>
        <w:jc w:val="both"/>
        <w:rPr>
          <w:b/>
          <w:bCs/>
          <w:sz w:val="24"/>
          <w:szCs w:val="24"/>
        </w:rPr>
      </w:pPr>
    </w:p>
    <w:p w:rsidR="00DC0CE0" w:rsidRPr="00597234" w:rsidRDefault="00DC0CE0" w:rsidP="00597234">
      <w:pPr>
        <w:spacing w:line="276" w:lineRule="auto"/>
        <w:jc w:val="both"/>
        <w:rPr>
          <w:b/>
          <w:bCs/>
          <w:sz w:val="24"/>
          <w:szCs w:val="24"/>
        </w:rPr>
      </w:pPr>
    </w:p>
    <w:p w:rsidR="00DC0CE0" w:rsidRPr="00597234" w:rsidRDefault="00DC0CE0" w:rsidP="00597234">
      <w:pPr>
        <w:spacing w:line="276" w:lineRule="auto"/>
        <w:jc w:val="both"/>
        <w:rPr>
          <w:b/>
          <w:bCs/>
          <w:sz w:val="24"/>
          <w:szCs w:val="24"/>
        </w:rPr>
      </w:pPr>
    </w:p>
    <w:p w:rsidR="00DC0CE0" w:rsidRPr="00597234" w:rsidRDefault="00DC0CE0" w:rsidP="00597234">
      <w:pPr>
        <w:spacing w:line="276" w:lineRule="auto"/>
        <w:jc w:val="both"/>
        <w:rPr>
          <w:b/>
          <w:bCs/>
          <w:sz w:val="24"/>
          <w:szCs w:val="24"/>
        </w:rPr>
      </w:pPr>
    </w:p>
    <w:p w:rsidR="00DC0CE0" w:rsidRPr="00597234" w:rsidRDefault="00DC0CE0" w:rsidP="00597234">
      <w:pPr>
        <w:spacing w:line="276" w:lineRule="auto"/>
        <w:jc w:val="both"/>
        <w:rPr>
          <w:b/>
          <w:bCs/>
          <w:sz w:val="24"/>
          <w:szCs w:val="24"/>
        </w:rPr>
      </w:pPr>
      <w:r w:rsidRPr="00597234">
        <w:rPr>
          <w:b/>
          <w:bCs/>
          <w:sz w:val="24"/>
          <w:szCs w:val="24"/>
        </w:rPr>
        <w:t>Balance Sheet (2024):</w:t>
      </w:r>
    </w:p>
    <w:p w:rsidR="00DC0CE0" w:rsidRPr="00597234" w:rsidRDefault="00DC0CE0" w:rsidP="00597234">
      <w:pPr>
        <w:spacing w:line="276" w:lineRule="auto"/>
        <w:jc w:val="both"/>
        <w:rPr>
          <w:sz w:val="24"/>
          <w:szCs w:val="24"/>
        </w:rPr>
      </w:pPr>
      <w:r w:rsidRPr="00597234">
        <w:rPr>
          <w:noProof/>
          <w:sz w:val="24"/>
          <w:szCs w:val="24"/>
        </w:rPr>
        <w:lastRenderedPageBreak/>
        <w:drawing>
          <wp:inline distT="0" distB="0" distL="0" distR="0">
            <wp:extent cx="4782217" cy="5868219"/>
            <wp:effectExtent l="0" t="0" r="0" b="0"/>
            <wp:docPr id="15256545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654567" name=""/>
                    <pic:cNvPicPr/>
                  </pic:nvPicPr>
                  <pic:blipFill>
                    <a:blip r:embed="rId11"/>
                    <a:stretch>
                      <a:fillRect/>
                    </a:stretch>
                  </pic:blipFill>
                  <pic:spPr>
                    <a:xfrm>
                      <a:off x="0" y="0"/>
                      <a:ext cx="4782217" cy="5868219"/>
                    </a:xfrm>
                    <a:prstGeom prst="rect">
                      <a:avLst/>
                    </a:prstGeom>
                  </pic:spPr>
                </pic:pic>
              </a:graphicData>
            </a:graphic>
          </wp:inline>
        </w:drawing>
      </w:r>
    </w:p>
    <w:p w:rsidR="00DC0CE0" w:rsidRPr="00597234" w:rsidRDefault="00DC0CE0" w:rsidP="00597234">
      <w:pPr>
        <w:spacing w:line="276" w:lineRule="auto"/>
        <w:jc w:val="both"/>
        <w:rPr>
          <w:sz w:val="24"/>
          <w:szCs w:val="24"/>
        </w:rPr>
      </w:pPr>
    </w:p>
    <w:p w:rsidR="00DC0CE0" w:rsidRPr="00597234" w:rsidRDefault="00DC0CE0" w:rsidP="00597234">
      <w:pPr>
        <w:spacing w:line="276" w:lineRule="auto"/>
        <w:jc w:val="both"/>
        <w:rPr>
          <w:sz w:val="24"/>
          <w:szCs w:val="24"/>
        </w:rPr>
      </w:pPr>
    </w:p>
    <w:p w:rsidR="00DC0CE0" w:rsidRPr="00597234" w:rsidRDefault="00DC0CE0" w:rsidP="00597234">
      <w:pPr>
        <w:spacing w:line="276" w:lineRule="auto"/>
        <w:jc w:val="both"/>
        <w:rPr>
          <w:sz w:val="24"/>
          <w:szCs w:val="24"/>
        </w:rPr>
      </w:pPr>
    </w:p>
    <w:p w:rsidR="00DC0CE0" w:rsidRPr="00597234" w:rsidRDefault="00DC0CE0" w:rsidP="00597234">
      <w:pPr>
        <w:spacing w:line="276" w:lineRule="auto"/>
        <w:jc w:val="both"/>
        <w:rPr>
          <w:sz w:val="24"/>
          <w:szCs w:val="24"/>
        </w:rPr>
      </w:pPr>
    </w:p>
    <w:p w:rsidR="00DC0CE0" w:rsidRPr="00597234" w:rsidRDefault="00DC0CE0" w:rsidP="00597234">
      <w:pPr>
        <w:spacing w:line="276" w:lineRule="auto"/>
        <w:jc w:val="both"/>
        <w:rPr>
          <w:sz w:val="24"/>
          <w:szCs w:val="24"/>
        </w:rPr>
      </w:pPr>
    </w:p>
    <w:p w:rsidR="00DC0CE0" w:rsidRPr="00597234" w:rsidRDefault="00DC0CE0" w:rsidP="00597234">
      <w:pPr>
        <w:spacing w:line="276" w:lineRule="auto"/>
        <w:jc w:val="both"/>
        <w:rPr>
          <w:sz w:val="24"/>
          <w:szCs w:val="24"/>
        </w:rPr>
      </w:pPr>
    </w:p>
    <w:p w:rsidR="00DC0CE0" w:rsidRPr="00597234" w:rsidRDefault="00DC0CE0" w:rsidP="00597234">
      <w:pPr>
        <w:spacing w:line="276" w:lineRule="auto"/>
        <w:jc w:val="both"/>
        <w:rPr>
          <w:b/>
          <w:bCs/>
          <w:sz w:val="24"/>
          <w:szCs w:val="24"/>
        </w:rPr>
      </w:pPr>
    </w:p>
    <w:p w:rsidR="00DC0CE0" w:rsidRPr="00597234" w:rsidRDefault="00DC0CE0" w:rsidP="00597234">
      <w:pPr>
        <w:spacing w:line="276" w:lineRule="auto"/>
        <w:jc w:val="both"/>
        <w:rPr>
          <w:b/>
          <w:bCs/>
          <w:sz w:val="24"/>
          <w:szCs w:val="24"/>
        </w:rPr>
      </w:pPr>
    </w:p>
    <w:p w:rsidR="00DC0CE0" w:rsidRPr="00597234" w:rsidRDefault="00DC0CE0" w:rsidP="00597234">
      <w:pPr>
        <w:spacing w:line="276" w:lineRule="auto"/>
        <w:jc w:val="both"/>
        <w:rPr>
          <w:b/>
          <w:bCs/>
          <w:sz w:val="24"/>
          <w:szCs w:val="24"/>
        </w:rPr>
      </w:pPr>
    </w:p>
    <w:p w:rsidR="00DC0CE0" w:rsidRPr="00597234" w:rsidRDefault="00DC0CE0" w:rsidP="00597234">
      <w:pPr>
        <w:spacing w:line="276" w:lineRule="auto"/>
        <w:jc w:val="both"/>
        <w:rPr>
          <w:b/>
          <w:bCs/>
          <w:sz w:val="24"/>
          <w:szCs w:val="24"/>
        </w:rPr>
      </w:pPr>
    </w:p>
    <w:p w:rsidR="00DC0CE0" w:rsidRPr="00597234" w:rsidRDefault="00DC0CE0" w:rsidP="00597234">
      <w:pPr>
        <w:spacing w:line="276" w:lineRule="auto"/>
        <w:jc w:val="both"/>
        <w:rPr>
          <w:b/>
          <w:bCs/>
          <w:sz w:val="24"/>
          <w:szCs w:val="24"/>
        </w:rPr>
      </w:pPr>
    </w:p>
    <w:p w:rsidR="00DC0CE0" w:rsidRPr="00597234" w:rsidRDefault="00DC0CE0" w:rsidP="00597234">
      <w:pPr>
        <w:spacing w:line="276" w:lineRule="auto"/>
        <w:jc w:val="both"/>
        <w:rPr>
          <w:b/>
          <w:bCs/>
          <w:sz w:val="24"/>
          <w:szCs w:val="24"/>
        </w:rPr>
      </w:pPr>
    </w:p>
    <w:p w:rsidR="00DC0CE0" w:rsidRPr="00597234" w:rsidRDefault="00DC0CE0" w:rsidP="00597234">
      <w:pPr>
        <w:spacing w:line="276" w:lineRule="auto"/>
        <w:jc w:val="both"/>
        <w:rPr>
          <w:sz w:val="24"/>
          <w:szCs w:val="24"/>
        </w:rPr>
      </w:pPr>
      <w:r w:rsidRPr="00597234">
        <w:rPr>
          <w:b/>
          <w:bCs/>
          <w:sz w:val="24"/>
          <w:szCs w:val="24"/>
        </w:rPr>
        <w:t>Income Statement (2025):</w:t>
      </w:r>
    </w:p>
    <w:p w:rsidR="00DC0CE0" w:rsidRPr="00597234" w:rsidRDefault="00DC0CE0" w:rsidP="00597234">
      <w:pPr>
        <w:spacing w:line="276" w:lineRule="auto"/>
        <w:jc w:val="both"/>
        <w:rPr>
          <w:sz w:val="24"/>
          <w:szCs w:val="24"/>
        </w:rPr>
      </w:pPr>
    </w:p>
    <w:p w:rsidR="00DC0CE0" w:rsidRPr="00597234" w:rsidRDefault="00DC0CE0" w:rsidP="00597234">
      <w:pPr>
        <w:spacing w:line="276" w:lineRule="auto"/>
        <w:jc w:val="both"/>
        <w:rPr>
          <w:sz w:val="24"/>
          <w:szCs w:val="24"/>
        </w:rPr>
      </w:pPr>
      <w:r w:rsidRPr="00597234">
        <w:rPr>
          <w:noProof/>
          <w:sz w:val="24"/>
          <w:szCs w:val="24"/>
        </w:rPr>
        <w:lastRenderedPageBreak/>
        <w:drawing>
          <wp:inline distT="0" distB="0" distL="0" distR="0">
            <wp:extent cx="5943600" cy="5382895"/>
            <wp:effectExtent l="0" t="0" r="0" b="8255"/>
            <wp:docPr id="6764526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452651" name=""/>
                    <pic:cNvPicPr/>
                  </pic:nvPicPr>
                  <pic:blipFill>
                    <a:blip r:embed="rId12"/>
                    <a:stretch>
                      <a:fillRect/>
                    </a:stretch>
                  </pic:blipFill>
                  <pic:spPr>
                    <a:xfrm>
                      <a:off x="0" y="0"/>
                      <a:ext cx="5943600" cy="5382895"/>
                    </a:xfrm>
                    <a:prstGeom prst="rect">
                      <a:avLst/>
                    </a:prstGeom>
                  </pic:spPr>
                </pic:pic>
              </a:graphicData>
            </a:graphic>
          </wp:inline>
        </w:drawing>
      </w:r>
    </w:p>
    <w:p w:rsidR="00DC0CE0" w:rsidRPr="00597234" w:rsidRDefault="00DC0CE0" w:rsidP="00597234">
      <w:pPr>
        <w:spacing w:line="276" w:lineRule="auto"/>
        <w:jc w:val="both"/>
        <w:rPr>
          <w:sz w:val="24"/>
          <w:szCs w:val="24"/>
        </w:rPr>
      </w:pPr>
    </w:p>
    <w:p w:rsidR="00DC0CE0" w:rsidRPr="00597234" w:rsidRDefault="00DC0CE0" w:rsidP="00597234">
      <w:pPr>
        <w:spacing w:line="276" w:lineRule="auto"/>
        <w:jc w:val="both"/>
        <w:rPr>
          <w:sz w:val="24"/>
          <w:szCs w:val="24"/>
        </w:rPr>
      </w:pPr>
    </w:p>
    <w:p w:rsidR="00DC0CE0" w:rsidRPr="00597234" w:rsidRDefault="00DC0CE0" w:rsidP="00597234">
      <w:pPr>
        <w:spacing w:line="276" w:lineRule="auto"/>
        <w:jc w:val="both"/>
        <w:rPr>
          <w:sz w:val="24"/>
          <w:szCs w:val="24"/>
        </w:rPr>
      </w:pPr>
    </w:p>
    <w:p w:rsidR="00DC0CE0" w:rsidRPr="00597234" w:rsidRDefault="00DC0CE0" w:rsidP="00597234">
      <w:pPr>
        <w:spacing w:line="276" w:lineRule="auto"/>
        <w:jc w:val="both"/>
        <w:rPr>
          <w:sz w:val="24"/>
          <w:szCs w:val="24"/>
        </w:rPr>
      </w:pPr>
    </w:p>
    <w:p w:rsidR="00DC0CE0" w:rsidRPr="00597234" w:rsidRDefault="00DC0CE0" w:rsidP="00597234">
      <w:pPr>
        <w:spacing w:line="276" w:lineRule="auto"/>
        <w:jc w:val="both"/>
        <w:rPr>
          <w:sz w:val="24"/>
          <w:szCs w:val="24"/>
        </w:rPr>
      </w:pPr>
    </w:p>
    <w:p w:rsidR="00DC0CE0" w:rsidRPr="00597234" w:rsidRDefault="00DC0CE0" w:rsidP="00597234">
      <w:pPr>
        <w:spacing w:line="276" w:lineRule="auto"/>
        <w:jc w:val="both"/>
        <w:rPr>
          <w:sz w:val="24"/>
          <w:szCs w:val="24"/>
        </w:rPr>
      </w:pPr>
    </w:p>
    <w:p w:rsidR="00DC0CE0" w:rsidRPr="00597234" w:rsidRDefault="00DC0CE0" w:rsidP="00597234">
      <w:pPr>
        <w:spacing w:line="276" w:lineRule="auto"/>
        <w:jc w:val="both"/>
        <w:rPr>
          <w:sz w:val="24"/>
          <w:szCs w:val="24"/>
        </w:rPr>
      </w:pPr>
    </w:p>
    <w:p w:rsidR="00DC0CE0" w:rsidRPr="00597234" w:rsidRDefault="00DC0CE0" w:rsidP="00597234">
      <w:pPr>
        <w:spacing w:line="276" w:lineRule="auto"/>
        <w:jc w:val="both"/>
        <w:rPr>
          <w:sz w:val="24"/>
          <w:szCs w:val="24"/>
        </w:rPr>
      </w:pPr>
    </w:p>
    <w:p w:rsidR="00DC0CE0" w:rsidRPr="00597234" w:rsidRDefault="00DC0CE0" w:rsidP="00597234">
      <w:pPr>
        <w:spacing w:line="276" w:lineRule="auto"/>
        <w:jc w:val="both"/>
        <w:rPr>
          <w:b/>
          <w:bCs/>
          <w:sz w:val="24"/>
          <w:szCs w:val="24"/>
        </w:rPr>
      </w:pPr>
    </w:p>
    <w:p w:rsidR="00DC0CE0" w:rsidRPr="00597234" w:rsidRDefault="00DC0CE0" w:rsidP="00597234">
      <w:pPr>
        <w:spacing w:line="276" w:lineRule="auto"/>
        <w:jc w:val="both"/>
        <w:rPr>
          <w:b/>
          <w:bCs/>
          <w:sz w:val="24"/>
          <w:szCs w:val="24"/>
        </w:rPr>
      </w:pPr>
    </w:p>
    <w:p w:rsidR="00DC0CE0" w:rsidRPr="00597234" w:rsidRDefault="00DC0CE0" w:rsidP="00597234">
      <w:pPr>
        <w:spacing w:line="276" w:lineRule="auto"/>
        <w:jc w:val="both"/>
        <w:rPr>
          <w:b/>
          <w:bCs/>
          <w:sz w:val="24"/>
          <w:szCs w:val="24"/>
        </w:rPr>
      </w:pPr>
    </w:p>
    <w:p w:rsidR="00DC0CE0" w:rsidRPr="00597234" w:rsidRDefault="00DC0CE0" w:rsidP="00597234">
      <w:pPr>
        <w:spacing w:line="276" w:lineRule="auto"/>
        <w:jc w:val="both"/>
        <w:rPr>
          <w:b/>
          <w:bCs/>
          <w:sz w:val="24"/>
          <w:szCs w:val="24"/>
        </w:rPr>
      </w:pPr>
    </w:p>
    <w:p w:rsidR="00DC0CE0" w:rsidRPr="00597234" w:rsidRDefault="00DC0CE0" w:rsidP="00597234">
      <w:pPr>
        <w:spacing w:line="276" w:lineRule="auto"/>
        <w:jc w:val="both"/>
        <w:rPr>
          <w:b/>
          <w:bCs/>
          <w:sz w:val="24"/>
          <w:szCs w:val="24"/>
        </w:rPr>
      </w:pPr>
    </w:p>
    <w:p w:rsidR="00DC0CE0" w:rsidRPr="00597234" w:rsidRDefault="00DC0CE0" w:rsidP="00597234">
      <w:pPr>
        <w:spacing w:line="276" w:lineRule="auto"/>
        <w:jc w:val="both"/>
        <w:rPr>
          <w:b/>
          <w:bCs/>
          <w:sz w:val="24"/>
          <w:szCs w:val="24"/>
        </w:rPr>
      </w:pPr>
      <w:r w:rsidRPr="00597234">
        <w:rPr>
          <w:b/>
          <w:bCs/>
          <w:sz w:val="24"/>
          <w:szCs w:val="24"/>
        </w:rPr>
        <w:t>Balance Sheet (2025):</w:t>
      </w:r>
    </w:p>
    <w:p w:rsidR="00DC0CE0" w:rsidRPr="00597234" w:rsidRDefault="00DC0CE0" w:rsidP="00597234">
      <w:pPr>
        <w:spacing w:line="276" w:lineRule="auto"/>
        <w:jc w:val="both"/>
        <w:rPr>
          <w:sz w:val="24"/>
          <w:szCs w:val="24"/>
        </w:rPr>
      </w:pPr>
    </w:p>
    <w:p w:rsidR="00DC0CE0" w:rsidRPr="00597234" w:rsidRDefault="00DC0CE0" w:rsidP="00597234">
      <w:pPr>
        <w:spacing w:line="276" w:lineRule="auto"/>
        <w:jc w:val="both"/>
        <w:rPr>
          <w:sz w:val="24"/>
          <w:szCs w:val="24"/>
        </w:rPr>
      </w:pPr>
      <w:r w:rsidRPr="00597234">
        <w:rPr>
          <w:noProof/>
          <w:sz w:val="24"/>
          <w:szCs w:val="24"/>
        </w:rPr>
        <w:lastRenderedPageBreak/>
        <w:drawing>
          <wp:inline distT="0" distB="0" distL="0" distR="0">
            <wp:extent cx="4991797" cy="5992061"/>
            <wp:effectExtent l="0" t="0" r="0" b="8890"/>
            <wp:docPr id="1485521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521592" name=""/>
                    <pic:cNvPicPr/>
                  </pic:nvPicPr>
                  <pic:blipFill>
                    <a:blip r:embed="rId13"/>
                    <a:stretch>
                      <a:fillRect/>
                    </a:stretch>
                  </pic:blipFill>
                  <pic:spPr>
                    <a:xfrm>
                      <a:off x="0" y="0"/>
                      <a:ext cx="4991797" cy="5992061"/>
                    </a:xfrm>
                    <a:prstGeom prst="rect">
                      <a:avLst/>
                    </a:prstGeom>
                  </pic:spPr>
                </pic:pic>
              </a:graphicData>
            </a:graphic>
          </wp:inline>
        </w:drawing>
      </w:r>
    </w:p>
    <w:p w:rsidR="00DC0CE0" w:rsidRPr="00597234" w:rsidRDefault="00DC0CE0" w:rsidP="00597234">
      <w:pPr>
        <w:spacing w:line="276" w:lineRule="auto"/>
        <w:jc w:val="both"/>
        <w:rPr>
          <w:b/>
          <w:bCs/>
          <w:sz w:val="24"/>
          <w:szCs w:val="24"/>
        </w:rPr>
      </w:pPr>
    </w:p>
    <w:p w:rsidR="00DC0CE0" w:rsidRPr="00597234" w:rsidRDefault="00DC0CE0" w:rsidP="00597234">
      <w:pPr>
        <w:spacing w:line="276" w:lineRule="auto"/>
        <w:jc w:val="both"/>
        <w:rPr>
          <w:sz w:val="24"/>
          <w:szCs w:val="24"/>
        </w:rPr>
      </w:pPr>
      <w:r w:rsidRPr="00597234">
        <w:rPr>
          <w:b/>
          <w:bCs/>
          <w:sz w:val="24"/>
          <w:szCs w:val="24"/>
        </w:rPr>
        <w:t>Appendix B: Ratio Calculations and Financial Data (Diageo plc)</w:t>
      </w:r>
    </w:p>
    <w:p w:rsidR="00DC0CE0" w:rsidRPr="00597234" w:rsidRDefault="00DC0CE0" w:rsidP="00597234">
      <w:pPr>
        <w:spacing w:line="276" w:lineRule="auto"/>
        <w:jc w:val="both"/>
        <w:rPr>
          <w:sz w:val="24"/>
          <w:szCs w:val="24"/>
        </w:rPr>
      </w:pPr>
      <w:r w:rsidRPr="00597234">
        <w:rPr>
          <w:b/>
          <w:bCs/>
          <w:sz w:val="24"/>
          <w:szCs w:val="24"/>
        </w:rPr>
        <w:t>1. Profitability Ratios</w:t>
      </w:r>
    </w:p>
    <w:p w:rsidR="00DC0CE0" w:rsidRPr="00597234" w:rsidRDefault="00DC0CE0" w:rsidP="00597234">
      <w:pPr>
        <w:numPr>
          <w:ilvl w:val="0"/>
          <w:numId w:val="4"/>
        </w:numPr>
        <w:spacing w:after="160" w:line="276" w:lineRule="auto"/>
        <w:jc w:val="both"/>
        <w:rPr>
          <w:sz w:val="24"/>
          <w:szCs w:val="24"/>
        </w:rPr>
      </w:pPr>
      <w:r w:rsidRPr="00597234">
        <w:rPr>
          <w:b/>
          <w:bCs/>
          <w:sz w:val="24"/>
          <w:szCs w:val="24"/>
        </w:rPr>
        <w:t>Gross Profit Margin:</w:t>
      </w:r>
    </w:p>
    <w:p w:rsidR="00DC0CE0" w:rsidRPr="00597234" w:rsidRDefault="00DC0CE0" w:rsidP="00597234">
      <w:pPr>
        <w:numPr>
          <w:ilvl w:val="1"/>
          <w:numId w:val="4"/>
        </w:numPr>
        <w:spacing w:after="160" w:line="276" w:lineRule="auto"/>
        <w:jc w:val="both"/>
        <w:rPr>
          <w:sz w:val="24"/>
          <w:szCs w:val="24"/>
        </w:rPr>
      </w:pPr>
      <w:r w:rsidRPr="00597234">
        <w:rPr>
          <w:b/>
          <w:bCs/>
          <w:sz w:val="24"/>
          <w:szCs w:val="24"/>
        </w:rPr>
        <w:t>Equation:</w:t>
      </w:r>
      <w:r w:rsidRPr="00597234">
        <w:rPr>
          <w:sz w:val="24"/>
          <w:szCs w:val="24"/>
        </w:rPr>
        <w:t xml:space="preserve"> (Gross Profit / Net Sales) * 100</w:t>
      </w:r>
    </w:p>
    <w:p w:rsidR="00DC0CE0" w:rsidRPr="00597234" w:rsidRDefault="00DC0CE0" w:rsidP="00597234">
      <w:pPr>
        <w:numPr>
          <w:ilvl w:val="1"/>
          <w:numId w:val="4"/>
        </w:numPr>
        <w:spacing w:after="160" w:line="276" w:lineRule="auto"/>
        <w:jc w:val="both"/>
        <w:rPr>
          <w:sz w:val="24"/>
          <w:szCs w:val="24"/>
        </w:rPr>
      </w:pPr>
      <w:r w:rsidRPr="00597234">
        <w:rPr>
          <w:b/>
          <w:bCs/>
          <w:sz w:val="24"/>
          <w:szCs w:val="24"/>
        </w:rPr>
        <w:t>2024 Calculation:</w:t>
      </w:r>
      <w:r w:rsidRPr="00597234">
        <w:rPr>
          <w:sz w:val="24"/>
          <w:szCs w:val="24"/>
        </w:rPr>
        <w:t xml:space="preserve"> ($12,198m / $20,269m) * 100 = 60.18%</w:t>
      </w:r>
    </w:p>
    <w:p w:rsidR="00DC0CE0" w:rsidRPr="00597234" w:rsidRDefault="00DC0CE0" w:rsidP="00597234">
      <w:pPr>
        <w:numPr>
          <w:ilvl w:val="1"/>
          <w:numId w:val="4"/>
        </w:numPr>
        <w:spacing w:after="160" w:line="276" w:lineRule="auto"/>
        <w:jc w:val="both"/>
        <w:rPr>
          <w:sz w:val="24"/>
          <w:szCs w:val="24"/>
        </w:rPr>
      </w:pPr>
      <w:r w:rsidRPr="00597234">
        <w:rPr>
          <w:b/>
          <w:bCs/>
          <w:sz w:val="24"/>
          <w:szCs w:val="24"/>
        </w:rPr>
        <w:t>2025 Calculation:</w:t>
      </w:r>
      <w:r w:rsidRPr="00597234">
        <w:rPr>
          <w:sz w:val="24"/>
          <w:szCs w:val="24"/>
        </w:rPr>
        <w:t xml:space="preserve"> ($12,173m / $20,245m) * 100 = 60.13%</w:t>
      </w:r>
    </w:p>
    <w:p w:rsidR="00DC0CE0" w:rsidRPr="00597234" w:rsidRDefault="00DC0CE0" w:rsidP="00597234">
      <w:pPr>
        <w:numPr>
          <w:ilvl w:val="0"/>
          <w:numId w:val="4"/>
        </w:numPr>
        <w:spacing w:after="160" w:line="276" w:lineRule="auto"/>
        <w:jc w:val="both"/>
        <w:rPr>
          <w:sz w:val="24"/>
          <w:szCs w:val="24"/>
        </w:rPr>
      </w:pPr>
      <w:r w:rsidRPr="00597234">
        <w:rPr>
          <w:b/>
          <w:bCs/>
          <w:sz w:val="24"/>
          <w:szCs w:val="24"/>
        </w:rPr>
        <w:t>Operating Profit Margin:</w:t>
      </w:r>
    </w:p>
    <w:p w:rsidR="00DC0CE0" w:rsidRPr="00597234" w:rsidRDefault="00DC0CE0" w:rsidP="00597234">
      <w:pPr>
        <w:numPr>
          <w:ilvl w:val="1"/>
          <w:numId w:val="4"/>
        </w:numPr>
        <w:spacing w:after="160" w:line="276" w:lineRule="auto"/>
        <w:jc w:val="both"/>
        <w:rPr>
          <w:sz w:val="24"/>
          <w:szCs w:val="24"/>
        </w:rPr>
      </w:pPr>
      <w:r w:rsidRPr="00597234">
        <w:rPr>
          <w:b/>
          <w:bCs/>
          <w:sz w:val="24"/>
          <w:szCs w:val="24"/>
        </w:rPr>
        <w:t>Equation:</w:t>
      </w:r>
      <w:r w:rsidRPr="00597234">
        <w:rPr>
          <w:sz w:val="24"/>
          <w:szCs w:val="24"/>
        </w:rPr>
        <w:t xml:space="preserve"> (Operating Profit / Net Sales) * 100</w:t>
      </w:r>
    </w:p>
    <w:p w:rsidR="00DC0CE0" w:rsidRPr="00597234" w:rsidRDefault="00DC0CE0" w:rsidP="00597234">
      <w:pPr>
        <w:numPr>
          <w:ilvl w:val="1"/>
          <w:numId w:val="4"/>
        </w:numPr>
        <w:spacing w:after="160" w:line="276" w:lineRule="auto"/>
        <w:jc w:val="both"/>
        <w:rPr>
          <w:sz w:val="24"/>
          <w:szCs w:val="24"/>
        </w:rPr>
      </w:pPr>
      <w:r w:rsidRPr="00597234">
        <w:rPr>
          <w:b/>
          <w:bCs/>
          <w:sz w:val="24"/>
          <w:szCs w:val="24"/>
        </w:rPr>
        <w:t>2024 Calculation:</w:t>
      </w:r>
      <w:r w:rsidRPr="00597234">
        <w:rPr>
          <w:sz w:val="24"/>
          <w:szCs w:val="24"/>
        </w:rPr>
        <w:t xml:space="preserve"> ($6,001m / $20,269m) * 100 = 29.61%</w:t>
      </w:r>
    </w:p>
    <w:p w:rsidR="00DC0CE0" w:rsidRPr="00597234" w:rsidRDefault="00DC0CE0" w:rsidP="00597234">
      <w:pPr>
        <w:numPr>
          <w:ilvl w:val="1"/>
          <w:numId w:val="4"/>
        </w:numPr>
        <w:spacing w:after="160" w:line="276" w:lineRule="auto"/>
        <w:jc w:val="both"/>
        <w:rPr>
          <w:sz w:val="24"/>
          <w:szCs w:val="24"/>
        </w:rPr>
      </w:pPr>
      <w:r w:rsidRPr="00597234">
        <w:rPr>
          <w:b/>
          <w:bCs/>
          <w:sz w:val="24"/>
          <w:szCs w:val="24"/>
        </w:rPr>
        <w:t>2025 Calculation:</w:t>
      </w:r>
      <w:r w:rsidRPr="00597234">
        <w:rPr>
          <w:sz w:val="24"/>
          <w:szCs w:val="24"/>
        </w:rPr>
        <w:t xml:space="preserve"> ($4,335m / $20,245m) * 100 = 21.41%</w:t>
      </w:r>
    </w:p>
    <w:p w:rsidR="00DC0CE0" w:rsidRPr="00597234" w:rsidRDefault="00DC0CE0" w:rsidP="00597234">
      <w:pPr>
        <w:numPr>
          <w:ilvl w:val="0"/>
          <w:numId w:val="4"/>
        </w:numPr>
        <w:spacing w:after="160" w:line="276" w:lineRule="auto"/>
        <w:jc w:val="both"/>
        <w:rPr>
          <w:sz w:val="24"/>
          <w:szCs w:val="24"/>
        </w:rPr>
      </w:pPr>
      <w:r w:rsidRPr="00597234">
        <w:rPr>
          <w:b/>
          <w:bCs/>
          <w:sz w:val="24"/>
          <w:szCs w:val="24"/>
        </w:rPr>
        <w:lastRenderedPageBreak/>
        <w:t>Return on Capital Employed (ROCE):</w:t>
      </w:r>
    </w:p>
    <w:p w:rsidR="00DC0CE0" w:rsidRPr="00597234" w:rsidRDefault="00DC0CE0" w:rsidP="00597234">
      <w:pPr>
        <w:numPr>
          <w:ilvl w:val="1"/>
          <w:numId w:val="4"/>
        </w:numPr>
        <w:spacing w:after="160" w:line="276" w:lineRule="auto"/>
        <w:jc w:val="both"/>
        <w:rPr>
          <w:sz w:val="24"/>
          <w:szCs w:val="24"/>
        </w:rPr>
      </w:pPr>
      <w:r w:rsidRPr="00597234">
        <w:rPr>
          <w:b/>
          <w:bCs/>
          <w:sz w:val="24"/>
          <w:szCs w:val="24"/>
        </w:rPr>
        <w:t>Equation:</w:t>
      </w:r>
      <w:r w:rsidRPr="00597234">
        <w:rPr>
          <w:sz w:val="24"/>
          <w:szCs w:val="24"/>
        </w:rPr>
        <w:t xml:space="preserve"> (Operating Profit / Capital Employed) * 100</w:t>
      </w:r>
    </w:p>
    <w:p w:rsidR="00DC0CE0" w:rsidRPr="00597234" w:rsidRDefault="00DC0CE0" w:rsidP="00597234">
      <w:pPr>
        <w:numPr>
          <w:ilvl w:val="1"/>
          <w:numId w:val="4"/>
        </w:numPr>
        <w:spacing w:after="160" w:line="276" w:lineRule="auto"/>
        <w:jc w:val="both"/>
        <w:rPr>
          <w:sz w:val="24"/>
          <w:szCs w:val="24"/>
        </w:rPr>
      </w:pPr>
      <w:r w:rsidRPr="00597234">
        <w:rPr>
          <w:i/>
          <w:iCs/>
          <w:sz w:val="24"/>
          <w:szCs w:val="24"/>
        </w:rPr>
        <w:t>(Note: Capital Employed = Total Assets minus Current Liabilities)</w:t>
      </w:r>
    </w:p>
    <w:p w:rsidR="00DC0CE0" w:rsidRPr="00597234" w:rsidRDefault="00DC0CE0" w:rsidP="00597234">
      <w:pPr>
        <w:numPr>
          <w:ilvl w:val="1"/>
          <w:numId w:val="4"/>
        </w:numPr>
        <w:spacing w:after="160" w:line="276" w:lineRule="auto"/>
        <w:jc w:val="both"/>
        <w:rPr>
          <w:sz w:val="24"/>
          <w:szCs w:val="24"/>
        </w:rPr>
      </w:pPr>
      <w:r w:rsidRPr="00597234">
        <w:rPr>
          <w:b/>
          <w:bCs/>
          <w:sz w:val="24"/>
          <w:szCs w:val="24"/>
        </w:rPr>
        <w:t>2024 Calculation:</w:t>
      </w:r>
      <w:r w:rsidRPr="00597234">
        <w:rPr>
          <w:sz w:val="24"/>
          <w:szCs w:val="24"/>
        </w:rPr>
        <w:t xml:space="preserve"> ($6,001m / $35,606m) * 100 = 16.85%</w:t>
      </w:r>
    </w:p>
    <w:p w:rsidR="00DC0CE0" w:rsidRPr="00597234" w:rsidRDefault="00DC0CE0" w:rsidP="00597234">
      <w:pPr>
        <w:numPr>
          <w:ilvl w:val="1"/>
          <w:numId w:val="4"/>
        </w:numPr>
        <w:spacing w:after="160" w:line="276" w:lineRule="auto"/>
        <w:jc w:val="both"/>
        <w:rPr>
          <w:sz w:val="24"/>
          <w:szCs w:val="24"/>
        </w:rPr>
      </w:pPr>
      <w:r w:rsidRPr="00597234">
        <w:rPr>
          <w:b/>
          <w:bCs/>
          <w:sz w:val="24"/>
          <w:szCs w:val="24"/>
        </w:rPr>
        <w:t>2025 Calculation:</w:t>
      </w:r>
      <w:r w:rsidRPr="00597234">
        <w:rPr>
          <w:sz w:val="24"/>
          <w:szCs w:val="24"/>
        </w:rPr>
        <w:t xml:space="preserve"> ($4,335m / $38,610m) * 100 = 11.23%</w:t>
      </w:r>
    </w:p>
    <w:p w:rsidR="00DC0CE0" w:rsidRPr="00597234" w:rsidRDefault="00DC0CE0" w:rsidP="00597234">
      <w:pPr>
        <w:spacing w:line="276" w:lineRule="auto"/>
        <w:jc w:val="both"/>
        <w:rPr>
          <w:sz w:val="24"/>
          <w:szCs w:val="24"/>
        </w:rPr>
      </w:pPr>
      <w:r w:rsidRPr="00597234">
        <w:rPr>
          <w:b/>
          <w:bCs/>
          <w:sz w:val="24"/>
          <w:szCs w:val="24"/>
        </w:rPr>
        <w:t>2. Liquidity Ratios</w:t>
      </w:r>
    </w:p>
    <w:p w:rsidR="00DC0CE0" w:rsidRPr="00597234" w:rsidRDefault="00DC0CE0" w:rsidP="00597234">
      <w:pPr>
        <w:numPr>
          <w:ilvl w:val="0"/>
          <w:numId w:val="5"/>
        </w:numPr>
        <w:spacing w:after="160" w:line="276" w:lineRule="auto"/>
        <w:jc w:val="both"/>
        <w:rPr>
          <w:sz w:val="24"/>
          <w:szCs w:val="24"/>
        </w:rPr>
      </w:pPr>
      <w:r w:rsidRPr="00597234">
        <w:rPr>
          <w:b/>
          <w:bCs/>
          <w:sz w:val="24"/>
          <w:szCs w:val="24"/>
        </w:rPr>
        <w:t>Current Ratio:</w:t>
      </w:r>
    </w:p>
    <w:p w:rsidR="00DC0CE0" w:rsidRPr="00597234" w:rsidRDefault="00DC0CE0" w:rsidP="00597234">
      <w:pPr>
        <w:numPr>
          <w:ilvl w:val="1"/>
          <w:numId w:val="5"/>
        </w:numPr>
        <w:spacing w:after="160" w:line="276" w:lineRule="auto"/>
        <w:jc w:val="both"/>
        <w:rPr>
          <w:sz w:val="24"/>
          <w:szCs w:val="24"/>
        </w:rPr>
      </w:pPr>
      <w:r w:rsidRPr="00597234">
        <w:rPr>
          <w:b/>
          <w:bCs/>
          <w:sz w:val="24"/>
          <w:szCs w:val="24"/>
        </w:rPr>
        <w:t>Equation:</w:t>
      </w:r>
      <w:r w:rsidRPr="00597234">
        <w:rPr>
          <w:sz w:val="24"/>
          <w:szCs w:val="24"/>
        </w:rPr>
        <w:t xml:space="preserve"> Current Assets / Current Liabilities</w:t>
      </w:r>
    </w:p>
    <w:p w:rsidR="00DC0CE0" w:rsidRPr="00597234" w:rsidRDefault="00DC0CE0" w:rsidP="00597234">
      <w:pPr>
        <w:numPr>
          <w:ilvl w:val="1"/>
          <w:numId w:val="5"/>
        </w:numPr>
        <w:spacing w:after="160" w:line="276" w:lineRule="auto"/>
        <w:jc w:val="both"/>
        <w:rPr>
          <w:sz w:val="24"/>
          <w:szCs w:val="24"/>
        </w:rPr>
      </w:pPr>
      <w:r w:rsidRPr="00597234">
        <w:rPr>
          <w:b/>
          <w:bCs/>
          <w:sz w:val="24"/>
          <w:szCs w:val="24"/>
        </w:rPr>
        <w:t>2024 Calculation:</w:t>
      </w:r>
      <w:r w:rsidRPr="00597234">
        <w:rPr>
          <w:sz w:val="24"/>
          <w:szCs w:val="24"/>
        </w:rPr>
        <w:t xml:space="preserve"> $15,126m / $9,868m = 1.53</w:t>
      </w:r>
    </w:p>
    <w:p w:rsidR="00DC0CE0" w:rsidRPr="00597234" w:rsidRDefault="00DC0CE0" w:rsidP="00597234">
      <w:pPr>
        <w:numPr>
          <w:ilvl w:val="1"/>
          <w:numId w:val="5"/>
        </w:numPr>
        <w:spacing w:after="160" w:line="276" w:lineRule="auto"/>
        <w:jc w:val="both"/>
        <w:rPr>
          <w:sz w:val="24"/>
          <w:szCs w:val="24"/>
        </w:rPr>
      </w:pPr>
      <w:r w:rsidRPr="00597234">
        <w:rPr>
          <w:b/>
          <w:bCs/>
          <w:sz w:val="24"/>
          <w:szCs w:val="24"/>
        </w:rPr>
        <w:t>2025 Calculation:</w:t>
      </w:r>
      <w:r w:rsidRPr="00597234">
        <w:rPr>
          <w:sz w:val="24"/>
          <w:szCs w:val="24"/>
        </w:rPr>
        <w:t xml:space="preserve"> $17,497m / $10,712m = 1.63</w:t>
      </w:r>
    </w:p>
    <w:p w:rsidR="00DC0CE0" w:rsidRPr="00597234" w:rsidRDefault="00DC0CE0" w:rsidP="00597234">
      <w:pPr>
        <w:numPr>
          <w:ilvl w:val="0"/>
          <w:numId w:val="5"/>
        </w:numPr>
        <w:spacing w:after="160" w:line="276" w:lineRule="auto"/>
        <w:jc w:val="both"/>
        <w:rPr>
          <w:sz w:val="24"/>
          <w:szCs w:val="24"/>
        </w:rPr>
      </w:pPr>
      <w:r w:rsidRPr="00597234">
        <w:rPr>
          <w:b/>
          <w:bCs/>
          <w:sz w:val="24"/>
          <w:szCs w:val="24"/>
        </w:rPr>
        <w:t>Quick Ratio (Acid Test):</w:t>
      </w:r>
    </w:p>
    <w:p w:rsidR="00DC0CE0" w:rsidRPr="00597234" w:rsidRDefault="00DC0CE0" w:rsidP="00597234">
      <w:pPr>
        <w:numPr>
          <w:ilvl w:val="1"/>
          <w:numId w:val="5"/>
        </w:numPr>
        <w:spacing w:after="160" w:line="276" w:lineRule="auto"/>
        <w:jc w:val="both"/>
        <w:rPr>
          <w:sz w:val="24"/>
          <w:szCs w:val="24"/>
        </w:rPr>
      </w:pPr>
      <w:r w:rsidRPr="00597234">
        <w:rPr>
          <w:b/>
          <w:bCs/>
          <w:sz w:val="24"/>
          <w:szCs w:val="24"/>
        </w:rPr>
        <w:t>Equation:</w:t>
      </w:r>
      <w:r w:rsidRPr="00597234">
        <w:rPr>
          <w:sz w:val="24"/>
          <w:szCs w:val="24"/>
        </w:rPr>
        <w:t xml:space="preserve"> (Current Assets minus Inventories) / Current Liabilities</w:t>
      </w:r>
    </w:p>
    <w:p w:rsidR="00DC0CE0" w:rsidRPr="00597234" w:rsidRDefault="00DC0CE0" w:rsidP="00597234">
      <w:pPr>
        <w:numPr>
          <w:ilvl w:val="1"/>
          <w:numId w:val="5"/>
        </w:numPr>
        <w:spacing w:after="160" w:line="276" w:lineRule="auto"/>
        <w:jc w:val="both"/>
        <w:rPr>
          <w:sz w:val="24"/>
          <w:szCs w:val="24"/>
        </w:rPr>
      </w:pPr>
      <w:r w:rsidRPr="00597234">
        <w:rPr>
          <w:b/>
          <w:bCs/>
          <w:sz w:val="24"/>
          <w:szCs w:val="24"/>
        </w:rPr>
        <w:t>2024 Calculation:</w:t>
      </w:r>
      <w:r w:rsidRPr="00597234">
        <w:rPr>
          <w:sz w:val="24"/>
          <w:szCs w:val="24"/>
        </w:rPr>
        <w:t xml:space="preserve"> ($15,126m - $9,720m) / $9,868m = 0.55</w:t>
      </w:r>
    </w:p>
    <w:p w:rsidR="00DC0CE0" w:rsidRPr="00597234" w:rsidRDefault="00DC0CE0" w:rsidP="00597234">
      <w:pPr>
        <w:numPr>
          <w:ilvl w:val="1"/>
          <w:numId w:val="5"/>
        </w:numPr>
        <w:spacing w:after="160" w:line="276" w:lineRule="auto"/>
        <w:jc w:val="both"/>
        <w:rPr>
          <w:sz w:val="24"/>
          <w:szCs w:val="24"/>
        </w:rPr>
      </w:pPr>
      <w:r w:rsidRPr="00597234">
        <w:rPr>
          <w:b/>
          <w:bCs/>
          <w:sz w:val="24"/>
          <w:szCs w:val="24"/>
        </w:rPr>
        <w:t>2025 Calculation:</w:t>
      </w:r>
      <w:r w:rsidRPr="00597234">
        <w:rPr>
          <w:sz w:val="24"/>
          <w:szCs w:val="24"/>
        </w:rPr>
        <w:t xml:space="preserve"> ($17,497m - $10,658m) / $10,712m = 0.64</w:t>
      </w:r>
    </w:p>
    <w:p w:rsidR="00DC0CE0" w:rsidRPr="00597234" w:rsidRDefault="00DC0CE0" w:rsidP="00597234">
      <w:pPr>
        <w:spacing w:line="276" w:lineRule="auto"/>
        <w:jc w:val="both"/>
        <w:rPr>
          <w:sz w:val="24"/>
          <w:szCs w:val="24"/>
        </w:rPr>
      </w:pPr>
      <w:r w:rsidRPr="00597234">
        <w:rPr>
          <w:b/>
          <w:bCs/>
          <w:sz w:val="24"/>
          <w:szCs w:val="24"/>
        </w:rPr>
        <w:t>3. Gearing Ratios</w:t>
      </w:r>
    </w:p>
    <w:p w:rsidR="00DC0CE0" w:rsidRPr="00597234" w:rsidRDefault="00DC0CE0" w:rsidP="00597234">
      <w:pPr>
        <w:numPr>
          <w:ilvl w:val="0"/>
          <w:numId w:val="6"/>
        </w:numPr>
        <w:spacing w:after="160" w:line="276" w:lineRule="auto"/>
        <w:jc w:val="both"/>
        <w:rPr>
          <w:sz w:val="24"/>
          <w:szCs w:val="24"/>
        </w:rPr>
      </w:pPr>
      <w:r w:rsidRPr="00597234">
        <w:rPr>
          <w:b/>
          <w:bCs/>
          <w:sz w:val="24"/>
          <w:szCs w:val="24"/>
        </w:rPr>
        <w:t>Debt to Equity Ratio:</w:t>
      </w:r>
    </w:p>
    <w:p w:rsidR="00DC0CE0" w:rsidRPr="00597234" w:rsidRDefault="00DC0CE0" w:rsidP="00597234">
      <w:pPr>
        <w:numPr>
          <w:ilvl w:val="1"/>
          <w:numId w:val="6"/>
        </w:numPr>
        <w:spacing w:after="160" w:line="276" w:lineRule="auto"/>
        <w:jc w:val="both"/>
        <w:rPr>
          <w:sz w:val="24"/>
          <w:szCs w:val="24"/>
        </w:rPr>
      </w:pPr>
      <w:r w:rsidRPr="00597234">
        <w:rPr>
          <w:b/>
          <w:bCs/>
          <w:sz w:val="24"/>
          <w:szCs w:val="24"/>
        </w:rPr>
        <w:t>Equation:</w:t>
      </w:r>
      <w:r w:rsidRPr="00597234">
        <w:rPr>
          <w:sz w:val="24"/>
          <w:szCs w:val="24"/>
        </w:rPr>
        <w:t xml:space="preserve"> (Total Debt / Total Equity) * 100</w:t>
      </w:r>
    </w:p>
    <w:p w:rsidR="00DC0CE0" w:rsidRPr="00597234" w:rsidRDefault="00DC0CE0" w:rsidP="00597234">
      <w:pPr>
        <w:numPr>
          <w:ilvl w:val="1"/>
          <w:numId w:val="6"/>
        </w:numPr>
        <w:spacing w:after="160" w:line="276" w:lineRule="auto"/>
        <w:jc w:val="both"/>
        <w:rPr>
          <w:sz w:val="24"/>
          <w:szCs w:val="24"/>
        </w:rPr>
      </w:pPr>
      <w:r w:rsidRPr="00597234">
        <w:rPr>
          <w:i/>
          <w:iCs/>
          <w:sz w:val="24"/>
          <w:szCs w:val="24"/>
        </w:rPr>
        <w:t>(Note: Total Debt = Short term borrowings plus Long term borrowings)</w:t>
      </w:r>
    </w:p>
    <w:p w:rsidR="00DC0CE0" w:rsidRPr="00597234" w:rsidRDefault="00DC0CE0" w:rsidP="00597234">
      <w:pPr>
        <w:numPr>
          <w:ilvl w:val="1"/>
          <w:numId w:val="6"/>
        </w:numPr>
        <w:spacing w:after="160" w:line="276" w:lineRule="auto"/>
        <w:jc w:val="both"/>
        <w:rPr>
          <w:sz w:val="24"/>
          <w:szCs w:val="24"/>
        </w:rPr>
      </w:pPr>
      <w:r w:rsidRPr="00597234">
        <w:rPr>
          <w:b/>
          <w:bCs/>
          <w:sz w:val="24"/>
          <w:szCs w:val="24"/>
        </w:rPr>
        <w:t>2024 Calculation:</w:t>
      </w:r>
      <w:r w:rsidRPr="00597234">
        <w:rPr>
          <w:sz w:val="24"/>
          <w:szCs w:val="24"/>
        </w:rPr>
        <w:t xml:space="preserve"> ($21,501m / $12,070m) * 100 = 178.14%</w:t>
      </w:r>
    </w:p>
    <w:p w:rsidR="00DC0CE0" w:rsidRPr="00597234" w:rsidRDefault="00DC0CE0" w:rsidP="00597234">
      <w:pPr>
        <w:numPr>
          <w:ilvl w:val="1"/>
          <w:numId w:val="6"/>
        </w:numPr>
        <w:spacing w:after="160" w:line="276" w:lineRule="auto"/>
        <w:jc w:val="both"/>
        <w:rPr>
          <w:sz w:val="24"/>
          <w:szCs w:val="24"/>
        </w:rPr>
      </w:pPr>
      <w:r w:rsidRPr="00597234">
        <w:rPr>
          <w:b/>
          <w:bCs/>
          <w:sz w:val="24"/>
          <w:szCs w:val="24"/>
        </w:rPr>
        <w:t>2025 Calculation:</w:t>
      </w:r>
      <w:r w:rsidRPr="00597234">
        <w:rPr>
          <w:sz w:val="24"/>
          <w:szCs w:val="24"/>
        </w:rPr>
        <w:t xml:space="preserve"> ($23,748m / $13,178m) * 100 = 180.21%</w:t>
      </w:r>
    </w:p>
    <w:p w:rsidR="00DC0CE0" w:rsidRPr="00597234" w:rsidRDefault="00DC0CE0" w:rsidP="00597234">
      <w:pPr>
        <w:spacing w:line="276" w:lineRule="auto"/>
        <w:jc w:val="both"/>
        <w:rPr>
          <w:sz w:val="24"/>
          <w:szCs w:val="24"/>
        </w:rPr>
      </w:pPr>
      <w:r w:rsidRPr="00597234">
        <w:rPr>
          <w:b/>
          <w:bCs/>
          <w:sz w:val="24"/>
          <w:szCs w:val="24"/>
        </w:rPr>
        <w:t>4. Efficiency Ratios</w:t>
      </w:r>
    </w:p>
    <w:p w:rsidR="00DC0CE0" w:rsidRPr="00597234" w:rsidRDefault="00DC0CE0" w:rsidP="00597234">
      <w:pPr>
        <w:numPr>
          <w:ilvl w:val="0"/>
          <w:numId w:val="7"/>
        </w:numPr>
        <w:spacing w:after="160" w:line="276" w:lineRule="auto"/>
        <w:jc w:val="both"/>
        <w:rPr>
          <w:sz w:val="24"/>
          <w:szCs w:val="24"/>
        </w:rPr>
      </w:pPr>
      <w:r w:rsidRPr="00597234">
        <w:rPr>
          <w:b/>
          <w:bCs/>
          <w:sz w:val="24"/>
          <w:szCs w:val="24"/>
        </w:rPr>
        <w:t>Inventory Turnover:</w:t>
      </w:r>
    </w:p>
    <w:p w:rsidR="00DC0CE0" w:rsidRPr="00597234" w:rsidRDefault="00DC0CE0" w:rsidP="00597234">
      <w:pPr>
        <w:numPr>
          <w:ilvl w:val="1"/>
          <w:numId w:val="7"/>
        </w:numPr>
        <w:spacing w:after="160" w:line="276" w:lineRule="auto"/>
        <w:jc w:val="both"/>
        <w:rPr>
          <w:sz w:val="24"/>
          <w:szCs w:val="24"/>
        </w:rPr>
      </w:pPr>
      <w:r w:rsidRPr="00597234">
        <w:rPr>
          <w:b/>
          <w:bCs/>
          <w:sz w:val="24"/>
          <w:szCs w:val="24"/>
        </w:rPr>
        <w:t>Equation:</w:t>
      </w:r>
      <w:r w:rsidRPr="00597234">
        <w:rPr>
          <w:sz w:val="24"/>
          <w:szCs w:val="24"/>
        </w:rPr>
        <w:t xml:space="preserve"> Cost of Sales / Inventory</w:t>
      </w:r>
    </w:p>
    <w:p w:rsidR="00DC0CE0" w:rsidRPr="00597234" w:rsidRDefault="00DC0CE0" w:rsidP="00597234">
      <w:pPr>
        <w:numPr>
          <w:ilvl w:val="1"/>
          <w:numId w:val="7"/>
        </w:numPr>
        <w:spacing w:after="160" w:line="276" w:lineRule="auto"/>
        <w:jc w:val="both"/>
        <w:rPr>
          <w:sz w:val="24"/>
          <w:szCs w:val="24"/>
        </w:rPr>
      </w:pPr>
      <w:r w:rsidRPr="00597234">
        <w:rPr>
          <w:b/>
          <w:bCs/>
          <w:sz w:val="24"/>
          <w:szCs w:val="24"/>
        </w:rPr>
        <w:t>2024 Calculation:</w:t>
      </w:r>
      <w:r w:rsidRPr="00597234">
        <w:rPr>
          <w:sz w:val="24"/>
          <w:szCs w:val="24"/>
        </w:rPr>
        <w:t xml:space="preserve"> $8,071m / $9,720m = 0.83 times</w:t>
      </w:r>
    </w:p>
    <w:p w:rsidR="00DC0CE0" w:rsidRPr="00597234" w:rsidRDefault="00DC0CE0" w:rsidP="00597234">
      <w:pPr>
        <w:numPr>
          <w:ilvl w:val="1"/>
          <w:numId w:val="7"/>
        </w:numPr>
        <w:spacing w:after="160" w:line="276" w:lineRule="auto"/>
        <w:jc w:val="both"/>
        <w:rPr>
          <w:sz w:val="24"/>
          <w:szCs w:val="24"/>
        </w:rPr>
      </w:pPr>
      <w:r w:rsidRPr="00597234">
        <w:rPr>
          <w:b/>
          <w:bCs/>
          <w:sz w:val="24"/>
          <w:szCs w:val="24"/>
        </w:rPr>
        <w:t>2025 Calculation:</w:t>
      </w:r>
      <w:r w:rsidRPr="00597234">
        <w:rPr>
          <w:sz w:val="24"/>
          <w:szCs w:val="24"/>
        </w:rPr>
        <w:t xml:space="preserve"> $8,072m / $10,658m = 0.76 times</w:t>
      </w:r>
    </w:p>
    <w:p w:rsidR="00DC0CE0" w:rsidRPr="00597234" w:rsidRDefault="00DC0CE0" w:rsidP="00597234">
      <w:pPr>
        <w:numPr>
          <w:ilvl w:val="0"/>
          <w:numId w:val="7"/>
        </w:numPr>
        <w:spacing w:after="160" w:line="276" w:lineRule="auto"/>
        <w:jc w:val="both"/>
        <w:rPr>
          <w:sz w:val="24"/>
          <w:szCs w:val="24"/>
        </w:rPr>
      </w:pPr>
      <w:r w:rsidRPr="00597234">
        <w:rPr>
          <w:b/>
          <w:bCs/>
          <w:sz w:val="24"/>
          <w:szCs w:val="24"/>
        </w:rPr>
        <w:t>Receivables Turnover:</w:t>
      </w:r>
    </w:p>
    <w:p w:rsidR="00DC0CE0" w:rsidRPr="00597234" w:rsidRDefault="00DC0CE0" w:rsidP="00597234">
      <w:pPr>
        <w:numPr>
          <w:ilvl w:val="1"/>
          <w:numId w:val="7"/>
        </w:numPr>
        <w:spacing w:after="160" w:line="276" w:lineRule="auto"/>
        <w:jc w:val="both"/>
        <w:rPr>
          <w:sz w:val="24"/>
          <w:szCs w:val="24"/>
        </w:rPr>
      </w:pPr>
      <w:r w:rsidRPr="00597234">
        <w:rPr>
          <w:b/>
          <w:bCs/>
          <w:sz w:val="24"/>
          <w:szCs w:val="24"/>
        </w:rPr>
        <w:t>Equation:</w:t>
      </w:r>
      <w:r w:rsidRPr="00597234">
        <w:rPr>
          <w:sz w:val="24"/>
          <w:szCs w:val="24"/>
        </w:rPr>
        <w:t xml:space="preserve"> Net Sales / Trade Receivables</w:t>
      </w:r>
    </w:p>
    <w:p w:rsidR="00DC0CE0" w:rsidRPr="00597234" w:rsidRDefault="00DC0CE0" w:rsidP="00597234">
      <w:pPr>
        <w:numPr>
          <w:ilvl w:val="1"/>
          <w:numId w:val="7"/>
        </w:numPr>
        <w:spacing w:after="160" w:line="276" w:lineRule="auto"/>
        <w:jc w:val="both"/>
        <w:rPr>
          <w:sz w:val="24"/>
          <w:szCs w:val="24"/>
        </w:rPr>
      </w:pPr>
      <w:r w:rsidRPr="00597234">
        <w:rPr>
          <w:b/>
          <w:bCs/>
          <w:sz w:val="24"/>
          <w:szCs w:val="24"/>
        </w:rPr>
        <w:t>2024 Calculation:</w:t>
      </w:r>
      <w:r w:rsidRPr="00597234">
        <w:rPr>
          <w:sz w:val="24"/>
          <w:szCs w:val="24"/>
        </w:rPr>
        <w:t xml:space="preserve"> $20,269m / $3,487m = 5.81 times</w:t>
      </w:r>
    </w:p>
    <w:p w:rsidR="00DC0CE0" w:rsidRPr="00597234" w:rsidRDefault="00DC0CE0" w:rsidP="00597234">
      <w:pPr>
        <w:numPr>
          <w:ilvl w:val="1"/>
          <w:numId w:val="7"/>
        </w:numPr>
        <w:spacing w:after="160" w:line="276" w:lineRule="auto"/>
        <w:jc w:val="both"/>
        <w:rPr>
          <w:sz w:val="24"/>
          <w:szCs w:val="24"/>
        </w:rPr>
      </w:pPr>
      <w:r w:rsidRPr="00597234">
        <w:rPr>
          <w:b/>
          <w:bCs/>
          <w:sz w:val="24"/>
          <w:szCs w:val="24"/>
        </w:rPr>
        <w:t>2025 Calculation:</w:t>
      </w:r>
      <w:r w:rsidRPr="00597234">
        <w:rPr>
          <w:sz w:val="24"/>
          <w:szCs w:val="24"/>
        </w:rPr>
        <w:t xml:space="preserve"> $20,245m / $3,504m = 5.78 times</w:t>
      </w:r>
    </w:p>
    <w:p w:rsidR="00DC0CE0" w:rsidRPr="00597234" w:rsidRDefault="00DC0CE0" w:rsidP="00597234">
      <w:pPr>
        <w:spacing w:line="276" w:lineRule="auto"/>
        <w:jc w:val="both"/>
        <w:rPr>
          <w:sz w:val="24"/>
          <w:szCs w:val="24"/>
        </w:rPr>
      </w:pPr>
      <w:r w:rsidRPr="00597234">
        <w:rPr>
          <w:b/>
          <w:bCs/>
          <w:sz w:val="24"/>
          <w:szCs w:val="24"/>
        </w:rPr>
        <w:t>5. Investor Ratios</w:t>
      </w:r>
    </w:p>
    <w:p w:rsidR="00DC0CE0" w:rsidRPr="00597234" w:rsidRDefault="00DC0CE0" w:rsidP="00597234">
      <w:pPr>
        <w:numPr>
          <w:ilvl w:val="0"/>
          <w:numId w:val="8"/>
        </w:numPr>
        <w:spacing w:after="160" w:line="276" w:lineRule="auto"/>
        <w:jc w:val="both"/>
        <w:rPr>
          <w:sz w:val="24"/>
          <w:szCs w:val="24"/>
        </w:rPr>
      </w:pPr>
      <w:r w:rsidRPr="00597234">
        <w:rPr>
          <w:b/>
          <w:bCs/>
          <w:sz w:val="24"/>
          <w:szCs w:val="24"/>
        </w:rPr>
        <w:t>Return on Equity (ROE):</w:t>
      </w:r>
    </w:p>
    <w:p w:rsidR="00DC0CE0" w:rsidRPr="00597234" w:rsidRDefault="00DC0CE0" w:rsidP="00597234">
      <w:pPr>
        <w:numPr>
          <w:ilvl w:val="1"/>
          <w:numId w:val="8"/>
        </w:numPr>
        <w:spacing w:after="160" w:line="276" w:lineRule="auto"/>
        <w:jc w:val="both"/>
        <w:rPr>
          <w:sz w:val="24"/>
          <w:szCs w:val="24"/>
        </w:rPr>
      </w:pPr>
      <w:r w:rsidRPr="00597234">
        <w:rPr>
          <w:b/>
          <w:bCs/>
          <w:sz w:val="24"/>
          <w:szCs w:val="24"/>
        </w:rPr>
        <w:lastRenderedPageBreak/>
        <w:t>Equation:</w:t>
      </w:r>
      <w:r w:rsidRPr="00597234">
        <w:rPr>
          <w:sz w:val="24"/>
          <w:szCs w:val="24"/>
        </w:rPr>
        <w:t xml:space="preserve"> (Net Profit for the year / Total Equity) * 100</w:t>
      </w:r>
    </w:p>
    <w:p w:rsidR="00DC0CE0" w:rsidRPr="00597234" w:rsidRDefault="00DC0CE0" w:rsidP="00597234">
      <w:pPr>
        <w:numPr>
          <w:ilvl w:val="1"/>
          <w:numId w:val="8"/>
        </w:numPr>
        <w:spacing w:after="160" w:line="276" w:lineRule="auto"/>
        <w:jc w:val="both"/>
        <w:rPr>
          <w:sz w:val="24"/>
          <w:szCs w:val="24"/>
        </w:rPr>
      </w:pPr>
      <w:r w:rsidRPr="00597234">
        <w:rPr>
          <w:b/>
          <w:bCs/>
          <w:sz w:val="24"/>
          <w:szCs w:val="24"/>
        </w:rPr>
        <w:t>2024 Calculation:</w:t>
      </w:r>
      <w:r w:rsidRPr="00597234">
        <w:rPr>
          <w:sz w:val="24"/>
          <w:szCs w:val="24"/>
        </w:rPr>
        <w:t xml:space="preserve"> ($4,166m / $12,070m) * 100 = 34.51%</w:t>
      </w:r>
    </w:p>
    <w:p w:rsidR="00DC0CE0" w:rsidRPr="00597234" w:rsidRDefault="00DC0CE0" w:rsidP="00597234">
      <w:pPr>
        <w:numPr>
          <w:ilvl w:val="1"/>
          <w:numId w:val="8"/>
        </w:numPr>
        <w:spacing w:after="160" w:line="276" w:lineRule="auto"/>
        <w:jc w:val="both"/>
        <w:rPr>
          <w:sz w:val="24"/>
          <w:szCs w:val="24"/>
        </w:rPr>
      </w:pPr>
      <w:r w:rsidRPr="00597234">
        <w:rPr>
          <w:b/>
          <w:bCs/>
          <w:sz w:val="24"/>
          <w:szCs w:val="24"/>
        </w:rPr>
        <w:t>2025 Calculation:</w:t>
      </w:r>
      <w:r w:rsidRPr="00597234">
        <w:rPr>
          <w:sz w:val="24"/>
          <w:szCs w:val="24"/>
        </w:rPr>
        <w:t xml:space="preserve"> ($2,538m / $13,178m) * 100 = 19.26%</w:t>
      </w:r>
    </w:p>
    <w:p w:rsidR="00AE7AFE" w:rsidRPr="00597234" w:rsidRDefault="00AE7AFE" w:rsidP="00597234">
      <w:pPr>
        <w:spacing w:before="140" w:line="276" w:lineRule="auto"/>
        <w:jc w:val="both"/>
        <w:rPr>
          <w:sz w:val="24"/>
          <w:szCs w:val="24"/>
        </w:rPr>
      </w:pPr>
    </w:p>
    <w:p w:rsidR="00AE7AFE" w:rsidRPr="00597234" w:rsidRDefault="00E52464" w:rsidP="00597234">
      <w:pPr>
        <w:pStyle w:val="Heading2"/>
        <w:spacing w:line="276" w:lineRule="auto"/>
        <w:jc w:val="both"/>
        <w:rPr>
          <w:color w:val="auto"/>
        </w:rPr>
      </w:pPr>
      <w:bookmarkStart w:id="86" w:name="_Toc227451841"/>
      <w:bookmarkStart w:id="87" w:name="_Toc227453498"/>
      <w:r w:rsidRPr="00597234">
        <w:rPr>
          <w:color w:val="auto"/>
        </w:rPr>
        <w:t>Appendix C – Westward Plc: After-Tax Cash Flow Workings</w:t>
      </w:r>
      <w:bookmarkEnd w:id="86"/>
      <w:bookmarkEnd w:id="87"/>
    </w:p>
    <w:p w:rsidR="00D3297B" w:rsidRPr="00D3297B" w:rsidRDefault="00E52464" w:rsidP="00DC2CDC">
      <w:pPr>
        <w:spacing w:before="80" w:after="80" w:line="276" w:lineRule="auto"/>
        <w:jc w:val="both"/>
        <w:rPr>
          <w:sz w:val="24"/>
          <w:szCs w:val="24"/>
        </w:rPr>
      </w:pPr>
      <w:r w:rsidRPr="00597234">
        <w:rPr>
          <w:sz w:val="24"/>
          <w:szCs w:val="24"/>
        </w:rPr>
        <w:t>Corporation tax at 25% is applied to taxable profit. Taxable profit = pre-tax cash flow less annual capital allowance (20% straight-line of initial investment). Option A: £120,000 p.a.; Option B: £200,000 p.a.; Option C: £320,000 p.a. All figures in £000.</w:t>
      </w:r>
    </w:p>
    <w:p w:rsidR="00D3297B" w:rsidRPr="00D3297B" w:rsidRDefault="00D3297B" w:rsidP="00D3297B">
      <w:pPr>
        <w:rPr>
          <w:sz w:val="24"/>
          <w:szCs w:val="24"/>
        </w:rPr>
      </w:pPr>
    </w:p>
    <w:p w:rsidR="00D3297B" w:rsidRPr="00D3297B" w:rsidRDefault="00D3297B" w:rsidP="00D3297B">
      <w:pPr>
        <w:rPr>
          <w:sz w:val="24"/>
          <w:szCs w:val="24"/>
        </w:rPr>
      </w:pPr>
    </w:p>
    <w:p w:rsidR="00D3297B" w:rsidRPr="00D3297B" w:rsidRDefault="00D3297B" w:rsidP="00D3297B">
      <w:pPr>
        <w:rPr>
          <w:sz w:val="24"/>
          <w:szCs w:val="24"/>
        </w:rPr>
      </w:pPr>
    </w:p>
    <w:p w:rsidR="00D3297B" w:rsidRPr="00D3297B" w:rsidRDefault="00DC2CDC" w:rsidP="00D3297B">
      <w:pPr>
        <w:rPr>
          <w:sz w:val="24"/>
          <w:szCs w:val="24"/>
        </w:rPr>
      </w:pPr>
      <w:r w:rsidRPr="00DC2CDC">
        <w:rPr>
          <w:noProof/>
          <w:sz w:val="24"/>
          <w:szCs w:val="24"/>
        </w:rPr>
        <w:drawing>
          <wp:inline distT="0" distB="0" distL="0" distR="0">
            <wp:extent cx="5771408" cy="44981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78114" cy="4503354"/>
                    </a:xfrm>
                    <a:prstGeom prst="rect">
                      <a:avLst/>
                    </a:prstGeom>
                  </pic:spPr>
                </pic:pic>
              </a:graphicData>
            </a:graphic>
          </wp:inline>
        </w:drawing>
      </w:r>
    </w:p>
    <w:p w:rsidR="00D3297B" w:rsidRDefault="00D3297B" w:rsidP="00D3297B">
      <w:pPr>
        <w:rPr>
          <w:sz w:val="24"/>
          <w:szCs w:val="24"/>
        </w:rPr>
      </w:pPr>
    </w:p>
    <w:p w:rsidR="00D3297B" w:rsidRPr="00D3297B" w:rsidRDefault="00D3297B" w:rsidP="00D3297B">
      <w:pPr>
        <w:tabs>
          <w:tab w:val="left" w:pos="2855"/>
        </w:tabs>
        <w:rPr>
          <w:sz w:val="24"/>
          <w:szCs w:val="24"/>
        </w:rPr>
      </w:pPr>
      <w:r>
        <w:rPr>
          <w:sz w:val="24"/>
          <w:szCs w:val="24"/>
        </w:rPr>
        <w:tab/>
      </w:r>
    </w:p>
    <w:sectPr w:rsidR="00D3297B" w:rsidRPr="00D3297B" w:rsidSect="00A96162">
      <w:footerReference w:type="default" r:id="rId15"/>
      <w:pgSz w:w="11906" w:h="16838"/>
      <w:pgMar w:top="1300" w:right="1300" w:bottom="1300" w:left="1440" w:header="708" w:footer="708"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1B22" w:rsidRDefault="00581B22">
      <w:r>
        <w:separator/>
      </w:r>
    </w:p>
  </w:endnote>
  <w:endnote w:type="continuationSeparator" w:id="1">
    <w:p w:rsidR="00581B22" w:rsidRDefault="00581B2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01352590"/>
      <w:docPartObj>
        <w:docPartGallery w:val="Page Numbers (Bottom of Page)"/>
        <w:docPartUnique/>
      </w:docPartObj>
    </w:sdtPr>
    <w:sdtEndPr>
      <w:rPr>
        <w:color w:val="7F7F7F" w:themeColor="background1" w:themeShade="7F"/>
        <w:spacing w:val="60"/>
      </w:rPr>
    </w:sdtEndPr>
    <w:sdtContent>
      <w:p w:rsidR="005777AC" w:rsidRDefault="006B04DE">
        <w:pPr>
          <w:pStyle w:val="Footer"/>
          <w:pBdr>
            <w:top w:val="single" w:sz="4" w:space="1" w:color="D9D9D9" w:themeColor="background1" w:themeShade="D9"/>
          </w:pBdr>
          <w:jc w:val="right"/>
        </w:pPr>
        <w:r>
          <w:fldChar w:fldCharType="begin"/>
        </w:r>
        <w:r w:rsidR="005777AC">
          <w:instrText xml:space="preserve"> PAGE   \* MERGEFORMAT </w:instrText>
        </w:r>
        <w:r>
          <w:fldChar w:fldCharType="separate"/>
        </w:r>
        <w:r w:rsidR="00C47ACB">
          <w:rPr>
            <w:noProof/>
          </w:rPr>
          <w:t>1</w:t>
        </w:r>
        <w:r>
          <w:rPr>
            <w:noProof/>
          </w:rPr>
          <w:fldChar w:fldCharType="end"/>
        </w:r>
        <w:r w:rsidR="005777AC">
          <w:t xml:space="preserve"> | </w:t>
        </w:r>
        <w:r w:rsidR="005777AC">
          <w:rPr>
            <w:color w:val="7F7F7F" w:themeColor="background1" w:themeShade="7F"/>
            <w:spacing w:val="60"/>
          </w:rPr>
          <w:t>Page</w:t>
        </w:r>
      </w:p>
    </w:sdtContent>
  </w:sdt>
  <w:p w:rsidR="005777AC" w:rsidRDefault="005777A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1B22" w:rsidRDefault="00581B22">
      <w:r>
        <w:separator/>
      </w:r>
    </w:p>
  </w:footnote>
  <w:footnote w:type="continuationSeparator" w:id="1">
    <w:p w:rsidR="00581B22" w:rsidRDefault="00581B2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C7B6E"/>
    <w:multiLevelType w:val="hybridMultilevel"/>
    <w:tmpl w:val="DFCAC644"/>
    <w:lvl w:ilvl="0" w:tplc="A888EEE0">
      <w:start w:val="1"/>
      <w:numFmt w:val="decimal"/>
      <w:lvlText w:val="%1."/>
      <w:lvlJc w:val="left"/>
      <w:pPr>
        <w:ind w:left="720" w:hanging="360"/>
      </w:pPr>
    </w:lvl>
    <w:lvl w:ilvl="1" w:tplc="B71C4C00">
      <w:numFmt w:val="decimal"/>
      <w:lvlText w:val=""/>
      <w:lvlJc w:val="left"/>
    </w:lvl>
    <w:lvl w:ilvl="2" w:tplc="30EE9E3A">
      <w:numFmt w:val="decimal"/>
      <w:lvlText w:val=""/>
      <w:lvlJc w:val="left"/>
    </w:lvl>
    <w:lvl w:ilvl="3" w:tplc="8F1CBBF0">
      <w:numFmt w:val="decimal"/>
      <w:lvlText w:val=""/>
      <w:lvlJc w:val="left"/>
    </w:lvl>
    <w:lvl w:ilvl="4" w:tplc="625030B4">
      <w:numFmt w:val="decimal"/>
      <w:lvlText w:val=""/>
      <w:lvlJc w:val="left"/>
    </w:lvl>
    <w:lvl w:ilvl="5" w:tplc="E4BC7B5A">
      <w:numFmt w:val="decimal"/>
      <w:lvlText w:val=""/>
      <w:lvlJc w:val="left"/>
    </w:lvl>
    <w:lvl w:ilvl="6" w:tplc="A9EC3A80">
      <w:numFmt w:val="decimal"/>
      <w:lvlText w:val=""/>
      <w:lvlJc w:val="left"/>
    </w:lvl>
    <w:lvl w:ilvl="7" w:tplc="AFE68A2A">
      <w:numFmt w:val="decimal"/>
      <w:lvlText w:val=""/>
      <w:lvlJc w:val="left"/>
    </w:lvl>
    <w:lvl w:ilvl="8" w:tplc="03FC578E">
      <w:numFmt w:val="decimal"/>
      <w:lvlText w:val=""/>
      <w:lvlJc w:val="left"/>
    </w:lvl>
  </w:abstractNum>
  <w:abstractNum w:abstractNumId="1">
    <w:nsid w:val="18BD4AF5"/>
    <w:multiLevelType w:val="hybridMultilevel"/>
    <w:tmpl w:val="C400D7D4"/>
    <w:lvl w:ilvl="0" w:tplc="584A6CE0">
      <w:start w:val="1"/>
      <w:numFmt w:val="bullet"/>
      <w:lvlText w:val="●"/>
      <w:lvlJc w:val="left"/>
      <w:pPr>
        <w:ind w:left="720" w:hanging="360"/>
      </w:pPr>
    </w:lvl>
    <w:lvl w:ilvl="1" w:tplc="5C84C466">
      <w:start w:val="1"/>
      <w:numFmt w:val="bullet"/>
      <w:lvlText w:val="○"/>
      <w:lvlJc w:val="left"/>
      <w:pPr>
        <w:ind w:left="1440" w:hanging="360"/>
      </w:pPr>
    </w:lvl>
    <w:lvl w:ilvl="2" w:tplc="290E719E">
      <w:start w:val="1"/>
      <w:numFmt w:val="bullet"/>
      <w:lvlText w:val="■"/>
      <w:lvlJc w:val="left"/>
      <w:pPr>
        <w:ind w:left="2160" w:hanging="360"/>
      </w:pPr>
    </w:lvl>
    <w:lvl w:ilvl="3" w:tplc="45B24F72">
      <w:start w:val="1"/>
      <w:numFmt w:val="bullet"/>
      <w:lvlText w:val="●"/>
      <w:lvlJc w:val="left"/>
      <w:pPr>
        <w:ind w:left="2880" w:hanging="360"/>
      </w:pPr>
    </w:lvl>
    <w:lvl w:ilvl="4" w:tplc="5A4ED16E">
      <w:start w:val="1"/>
      <w:numFmt w:val="bullet"/>
      <w:lvlText w:val="○"/>
      <w:lvlJc w:val="left"/>
      <w:pPr>
        <w:ind w:left="3600" w:hanging="360"/>
      </w:pPr>
    </w:lvl>
    <w:lvl w:ilvl="5" w:tplc="EAC2AC52">
      <w:start w:val="1"/>
      <w:numFmt w:val="bullet"/>
      <w:lvlText w:val="■"/>
      <w:lvlJc w:val="left"/>
      <w:pPr>
        <w:ind w:left="4320" w:hanging="360"/>
      </w:pPr>
    </w:lvl>
    <w:lvl w:ilvl="6" w:tplc="6506F90E">
      <w:start w:val="1"/>
      <w:numFmt w:val="bullet"/>
      <w:lvlText w:val="●"/>
      <w:lvlJc w:val="left"/>
      <w:pPr>
        <w:ind w:left="5040" w:hanging="360"/>
      </w:pPr>
    </w:lvl>
    <w:lvl w:ilvl="7" w:tplc="4378A54A">
      <w:start w:val="1"/>
      <w:numFmt w:val="bullet"/>
      <w:lvlText w:val="●"/>
      <w:lvlJc w:val="left"/>
      <w:pPr>
        <w:ind w:left="5760" w:hanging="360"/>
      </w:pPr>
    </w:lvl>
    <w:lvl w:ilvl="8" w:tplc="B5364B2A">
      <w:start w:val="1"/>
      <w:numFmt w:val="bullet"/>
      <w:lvlText w:val="●"/>
      <w:lvlJc w:val="left"/>
      <w:pPr>
        <w:ind w:left="6480" w:hanging="360"/>
      </w:pPr>
    </w:lvl>
  </w:abstractNum>
  <w:abstractNum w:abstractNumId="2">
    <w:nsid w:val="1BFB29C9"/>
    <w:multiLevelType w:val="hybridMultilevel"/>
    <w:tmpl w:val="9D2E9A6E"/>
    <w:lvl w:ilvl="0" w:tplc="0A968DA2">
      <w:start w:val="1"/>
      <w:numFmt w:val="bullet"/>
      <w:lvlText w:val="–"/>
      <w:lvlJc w:val="left"/>
      <w:pPr>
        <w:ind w:left="720" w:hanging="360"/>
      </w:pPr>
    </w:lvl>
    <w:lvl w:ilvl="1" w:tplc="FCC4A1AA">
      <w:numFmt w:val="decimal"/>
      <w:lvlText w:val=""/>
      <w:lvlJc w:val="left"/>
    </w:lvl>
    <w:lvl w:ilvl="2" w:tplc="741CBEB0">
      <w:numFmt w:val="decimal"/>
      <w:lvlText w:val=""/>
      <w:lvlJc w:val="left"/>
    </w:lvl>
    <w:lvl w:ilvl="3" w:tplc="1ABAC448">
      <w:numFmt w:val="decimal"/>
      <w:lvlText w:val=""/>
      <w:lvlJc w:val="left"/>
    </w:lvl>
    <w:lvl w:ilvl="4" w:tplc="A80A2630">
      <w:numFmt w:val="decimal"/>
      <w:lvlText w:val=""/>
      <w:lvlJc w:val="left"/>
    </w:lvl>
    <w:lvl w:ilvl="5" w:tplc="70086E84">
      <w:numFmt w:val="decimal"/>
      <w:lvlText w:val=""/>
      <w:lvlJc w:val="left"/>
    </w:lvl>
    <w:lvl w:ilvl="6" w:tplc="26DE74F0">
      <w:numFmt w:val="decimal"/>
      <w:lvlText w:val=""/>
      <w:lvlJc w:val="left"/>
    </w:lvl>
    <w:lvl w:ilvl="7" w:tplc="9DA2FC28">
      <w:numFmt w:val="decimal"/>
      <w:lvlText w:val=""/>
      <w:lvlJc w:val="left"/>
    </w:lvl>
    <w:lvl w:ilvl="8" w:tplc="35D205D4">
      <w:numFmt w:val="decimal"/>
      <w:lvlText w:val=""/>
      <w:lvlJc w:val="left"/>
    </w:lvl>
  </w:abstractNum>
  <w:abstractNum w:abstractNumId="3">
    <w:nsid w:val="235531D6"/>
    <w:multiLevelType w:val="multilevel"/>
    <w:tmpl w:val="24AC38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6AE00B0"/>
    <w:multiLevelType w:val="hybridMultilevel"/>
    <w:tmpl w:val="F9F283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97C03F8"/>
    <w:multiLevelType w:val="multilevel"/>
    <w:tmpl w:val="D6483C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FBE1A1F"/>
    <w:multiLevelType w:val="multilevel"/>
    <w:tmpl w:val="7646F8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7845199"/>
    <w:multiLevelType w:val="hybridMultilevel"/>
    <w:tmpl w:val="35B6FA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87F7CD1"/>
    <w:multiLevelType w:val="multilevel"/>
    <w:tmpl w:val="54406E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F4F3E8D"/>
    <w:multiLevelType w:val="hybridMultilevel"/>
    <w:tmpl w:val="E2BAAF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02F3880"/>
    <w:multiLevelType w:val="hybridMultilevel"/>
    <w:tmpl w:val="E68C28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94C44EC"/>
    <w:multiLevelType w:val="multilevel"/>
    <w:tmpl w:val="9F0AB8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1F51A05"/>
    <w:multiLevelType w:val="hybridMultilevel"/>
    <w:tmpl w:val="B3102108"/>
    <w:lvl w:ilvl="0" w:tplc="BA4EF31C">
      <w:start w:val="1"/>
      <w:numFmt w:val="bullet"/>
      <w:lvlText w:val="•"/>
      <w:lvlJc w:val="left"/>
      <w:pPr>
        <w:ind w:left="720" w:hanging="360"/>
      </w:pPr>
    </w:lvl>
    <w:lvl w:ilvl="1" w:tplc="04B86252">
      <w:numFmt w:val="decimal"/>
      <w:lvlText w:val=""/>
      <w:lvlJc w:val="left"/>
    </w:lvl>
    <w:lvl w:ilvl="2" w:tplc="6B54DB1E">
      <w:numFmt w:val="decimal"/>
      <w:lvlText w:val=""/>
      <w:lvlJc w:val="left"/>
    </w:lvl>
    <w:lvl w:ilvl="3" w:tplc="B5D6725C">
      <w:numFmt w:val="decimal"/>
      <w:lvlText w:val=""/>
      <w:lvlJc w:val="left"/>
    </w:lvl>
    <w:lvl w:ilvl="4" w:tplc="CA50ECD2">
      <w:numFmt w:val="decimal"/>
      <w:lvlText w:val=""/>
      <w:lvlJc w:val="left"/>
    </w:lvl>
    <w:lvl w:ilvl="5" w:tplc="FCE8F1BC">
      <w:numFmt w:val="decimal"/>
      <w:lvlText w:val=""/>
      <w:lvlJc w:val="left"/>
    </w:lvl>
    <w:lvl w:ilvl="6" w:tplc="4FCE17EE">
      <w:numFmt w:val="decimal"/>
      <w:lvlText w:val=""/>
      <w:lvlJc w:val="left"/>
    </w:lvl>
    <w:lvl w:ilvl="7" w:tplc="8AB0FA88">
      <w:numFmt w:val="decimal"/>
      <w:lvlText w:val=""/>
      <w:lvlJc w:val="left"/>
    </w:lvl>
    <w:lvl w:ilvl="8" w:tplc="D1F2DF3E">
      <w:numFmt w:val="decimal"/>
      <w:lvlText w:val=""/>
      <w:lvlJc w:val="left"/>
    </w:lvl>
  </w:abstractNum>
  <w:num w:numId="1">
    <w:abstractNumId w:val="1"/>
    <w:lvlOverride w:ilvl="0">
      <w:startOverride w:val="1"/>
    </w:lvlOverride>
  </w:num>
  <w:num w:numId="2">
    <w:abstractNumId w:val="2"/>
    <w:lvlOverride w:ilvl="0">
      <w:startOverride w:val="1"/>
    </w:lvlOverride>
  </w:num>
  <w:num w:numId="3">
    <w:abstractNumId w:val="0"/>
    <w:lvlOverride w:ilvl="0">
      <w:startOverride w:val="1"/>
    </w:lvlOverride>
  </w:num>
  <w:num w:numId="4">
    <w:abstractNumId w:val="3"/>
  </w:num>
  <w:num w:numId="5">
    <w:abstractNumId w:val="8"/>
  </w:num>
  <w:num w:numId="6">
    <w:abstractNumId w:val="5"/>
  </w:num>
  <w:num w:numId="7">
    <w:abstractNumId w:val="11"/>
  </w:num>
  <w:num w:numId="8">
    <w:abstractNumId w:val="6"/>
  </w:num>
  <w:num w:numId="9">
    <w:abstractNumId w:val="7"/>
  </w:num>
  <w:num w:numId="10">
    <w:abstractNumId w:val="9"/>
  </w:num>
  <w:num w:numId="11">
    <w:abstractNumId w:val="4"/>
  </w:num>
  <w:num w:numId="1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20"/>
  <w:characterSpacingControl w:val="doNotCompress"/>
  <w:footnotePr>
    <w:footnote w:id="0"/>
    <w:footnote w:id="1"/>
  </w:footnotePr>
  <w:endnotePr>
    <w:endnote w:id="0"/>
    <w:endnote w:id="1"/>
  </w:endnotePr>
  <w:compat/>
  <w:rsids>
    <w:rsidRoot w:val="00AE7AFE"/>
    <w:rsid w:val="00031F90"/>
    <w:rsid w:val="000E4E9B"/>
    <w:rsid w:val="00151DA8"/>
    <w:rsid w:val="00220679"/>
    <w:rsid w:val="003078A1"/>
    <w:rsid w:val="005777AC"/>
    <w:rsid w:val="00581B22"/>
    <w:rsid w:val="00597234"/>
    <w:rsid w:val="005C591E"/>
    <w:rsid w:val="005C7841"/>
    <w:rsid w:val="006B04DE"/>
    <w:rsid w:val="00710587"/>
    <w:rsid w:val="007242AC"/>
    <w:rsid w:val="00782E9E"/>
    <w:rsid w:val="00886DCD"/>
    <w:rsid w:val="009775D1"/>
    <w:rsid w:val="00A40EEA"/>
    <w:rsid w:val="00A96162"/>
    <w:rsid w:val="00AE7AFE"/>
    <w:rsid w:val="00B14A60"/>
    <w:rsid w:val="00BA0610"/>
    <w:rsid w:val="00BA7389"/>
    <w:rsid w:val="00C47ACB"/>
    <w:rsid w:val="00D3297B"/>
    <w:rsid w:val="00D86CA4"/>
    <w:rsid w:val="00DC0CE0"/>
    <w:rsid w:val="00DC2CDC"/>
    <w:rsid w:val="00E5246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96162"/>
  </w:style>
  <w:style w:type="paragraph" w:styleId="Heading1">
    <w:name w:val="heading 1"/>
    <w:link w:val="Heading1Char"/>
    <w:uiPriority w:val="9"/>
    <w:qFormat/>
    <w:rsid w:val="00A96162"/>
    <w:pPr>
      <w:spacing w:before="360" w:after="120"/>
      <w:outlineLvl w:val="0"/>
    </w:pPr>
    <w:rPr>
      <w:b/>
      <w:bCs/>
      <w:color w:val="6B1A28"/>
      <w:sz w:val="28"/>
      <w:szCs w:val="28"/>
    </w:rPr>
  </w:style>
  <w:style w:type="paragraph" w:styleId="Heading2">
    <w:name w:val="heading 2"/>
    <w:link w:val="Heading2Char"/>
    <w:uiPriority w:val="9"/>
    <w:unhideWhenUsed/>
    <w:qFormat/>
    <w:rsid w:val="00A96162"/>
    <w:pPr>
      <w:spacing w:before="240" w:after="80"/>
      <w:outlineLvl w:val="1"/>
    </w:pPr>
    <w:rPr>
      <w:b/>
      <w:bCs/>
      <w:color w:val="8B2635"/>
      <w:sz w:val="24"/>
      <w:szCs w:val="24"/>
    </w:rPr>
  </w:style>
  <w:style w:type="paragraph" w:styleId="Heading3">
    <w:name w:val="heading 3"/>
    <w:uiPriority w:val="9"/>
    <w:unhideWhenUsed/>
    <w:qFormat/>
    <w:rsid w:val="00A96162"/>
    <w:pPr>
      <w:spacing w:before="200" w:after="80"/>
      <w:outlineLvl w:val="2"/>
    </w:pPr>
    <w:rPr>
      <w:rFonts w:ascii="Georgia" w:eastAsia="Georgia" w:hAnsi="Georgia" w:cs="Georgia"/>
      <w:b/>
      <w:bCs/>
      <w:color w:val="6B1A28"/>
      <w:sz w:val="21"/>
      <w:szCs w:val="21"/>
    </w:rPr>
  </w:style>
  <w:style w:type="paragraph" w:styleId="Heading4">
    <w:name w:val="heading 4"/>
    <w:uiPriority w:val="9"/>
    <w:semiHidden/>
    <w:unhideWhenUsed/>
    <w:qFormat/>
    <w:rsid w:val="00A96162"/>
    <w:pPr>
      <w:outlineLvl w:val="3"/>
    </w:pPr>
    <w:rPr>
      <w:i/>
      <w:iCs/>
      <w:color w:val="2E74B5"/>
    </w:rPr>
  </w:style>
  <w:style w:type="paragraph" w:styleId="Heading5">
    <w:name w:val="heading 5"/>
    <w:uiPriority w:val="9"/>
    <w:semiHidden/>
    <w:unhideWhenUsed/>
    <w:qFormat/>
    <w:rsid w:val="00A96162"/>
    <w:pPr>
      <w:outlineLvl w:val="4"/>
    </w:pPr>
    <w:rPr>
      <w:color w:val="2E74B5"/>
    </w:rPr>
  </w:style>
  <w:style w:type="paragraph" w:styleId="Heading6">
    <w:name w:val="heading 6"/>
    <w:uiPriority w:val="9"/>
    <w:semiHidden/>
    <w:unhideWhenUsed/>
    <w:qFormat/>
    <w:rsid w:val="00A96162"/>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sid w:val="00A96162"/>
    <w:rPr>
      <w:sz w:val="56"/>
      <w:szCs w:val="56"/>
    </w:rPr>
  </w:style>
  <w:style w:type="paragraph" w:customStyle="1" w:styleId="Strong1">
    <w:name w:val="Strong1"/>
    <w:qFormat/>
    <w:rsid w:val="00A96162"/>
    <w:rPr>
      <w:b/>
      <w:bCs/>
    </w:rPr>
  </w:style>
  <w:style w:type="paragraph" w:styleId="ListParagraph">
    <w:name w:val="List Paragraph"/>
    <w:qFormat/>
    <w:rsid w:val="00A96162"/>
  </w:style>
  <w:style w:type="character" w:styleId="Hyperlink">
    <w:name w:val="Hyperlink"/>
    <w:uiPriority w:val="99"/>
    <w:unhideWhenUsed/>
    <w:rsid w:val="00A96162"/>
    <w:rPr>
      <w:color w:val="0563C1"/>
      <w:u w:val="single"/>
    </w:rPr>
  </w:style>
  <w:style w:type="character" w:styleId="FootnoteReference">
    <w:name w:val="footnote reference"/>
    <w:uiPriority w:val="99"/>
    <w:semiHidden/>
    <w:unhideWhenUsed/>
    <w:rsid w:val="00A96162"/>
    <w:rPr>
      <w:vertAlign w:val="superscript"/>
    </w:rPr>
  </w:style>
  <w:style w:type="paragraph" w:styleId="FootnoteText">
    <w:name w:val="footnote text"/>
    <w:link w:val="FootnoteTextChar"/>
    <w:uiPriority w:val="99"/>
    <w:semiHidden/>
    <w:unhideWhenUsed/>
    <w:rsid w:val="00A96162"/>
    <w:rPr>
      <w:sz w:val="20"/>
      <w:szCs w:val="20"/>
    </w:rPr>
  </w:style>
  <w:style w:type="character" w:customStyle="1" w:styleId="FootnoteTextChar">
    <w:name w:val="Footnote Text Char"/>
    <w:link w:val="FootnoteText"/>
    <w:uiPriority w:val="99"/>
    <w:semiHidden/>
    <w:unhideWhenUsed/>
    <w:rsid w:val="00A96162"/>
    <w:rPr>
      <w:sz w:val="20"/>
      <w:szCs w:val="20"/>
    </w:rPr>
  </w:style>
  <w:style w:type="character" w:styleId="EndnoteReference">
    <w:name w:val="endnote reference"/>
    <w:uiPriority w:val="99"/>
    <w:semiHidden/>
    <w:unhideWhenUsed/>
    <w:rsid w:val="00A96162"/>
    <w:rPr>
      <w:vertAlign w:val="superscript"/>
    </w:rPr>
  </w:style>
  <w:style w:type="paragraph" w:styleId="EndnoteText">
    <w:name w:val="endnote text"/>
    <w:link w:val="EndnoteTextChar"/>
    <w:uiPriority w:val="99"/>
    <w:semiHidden/>
    <w:unhideWhenUsed/>
    <w:rsid w:val="00A96162"/>
    <w:rPr>
      <w:sz w:val="20"/>
      <w:szCs w:val="20"/>
    </w:rPr>
  </w:style>
  <w:style w:type="character" w:customStyle="1" w:styleId="EndnoteTextChar">
    <w:name w:val="Endnote Text Char"/>
    <w:link w:val="EndnoteText"/>
    <w:uiPriority w:val="99"/>
    <w:semiHidden/>
    <w:unhideWhenUsed/>
    <w:rsid w:val="00A96162"/>
    <w:rPr>
      <w:sz w:val="20"/>
      <w:szCs w:val="20"/>
    </w:rPr>
  </w:style>
  <w:style w:type="paragraph" w:styleId="TOC1">
    <w:name w:val="toc 1"/>
    <w:basedOn w:val="Normal"/>
    <w:next w:val="Normal"/>
    <w:autoRedefine/>
    <w:uiPriority w:val="39"/>
    <w:unhideWhenUsed/>
    <w:rsid w:val="005C591E"/>
    <w:pPr>
      <w:spacing w:after="100"/>
    </w:pPr>
  </w:style>
  <w:style w:type="paragraph" w:styleId="TOC2">
    <w:name w:val="toc 2"/>
    <w:basedOn w:val="Normal"/>
    <w:next w:val="Normal"/>
    <w:autoRedefine/>
    <w:uiPriority w:val="39"/>
    <w:unhideWhenUsed/>
    <w:rsid w:val="005C591E"/>
    <w:pPr>
      <w:spacing w:after="100"/>
      <w:ind w:left="220"/>
    </w:pPr>
  </w:style>
  <w:style w:type="paragraph" w:styleId="TOC3">
    <w:name w:val="toc 3"/>
    <w:basedOn w:val="Normal"/>
    <w:next w:val="Normal"/>
    <w:autoRedefine/>
    <w:uiPriority w:val="39"/>
    <w:unhideWhenUsed/>
    <w:rsid w:val="005C591E"/>
    <w:pPr>
      <w:spacing w:after="100"/>
      <w:ind w:left="440"/>
    </w:pPr>
  </w:style>
  <w:style w:type="character" w:customStyle="1" w:styleId="Heading1Char">
    <w:name w:val="Heading 1 Char"/>
    <w:basedOn w:val="DefaultParagraphFont"/>
    <w:link w:val="Heading1"/>
    <w:uiPriority w:val="9"/>
    <w:rsid w:val="00BA7389"/>
    <w:rPr>
      <w:b/>
      <w:bCs/>
      <w:color w:val="6B1A28"/>
      <w:sz w:val="28"/>
      <w:szCs w:val="28"/>
    </w:rPr>
  </w:style>
  <w:style w:type="character" w:customStyle="1" w:styleId="Heading2Char">
    <w:name w:val="Heading 2 Char"/>
    <w:basedOn w:val="DefaultParagraphFont"/>
    <w:link w:val="Heading2"/>
    <w:uiPriority w:val="9"/>
    <w:rsid w:val="00BA7389"/>
    <w:rPr>
      <w:b/>
      <w:bCs/>
      <w:color w:val="8B2635"/>
      <w:sz w:val="24"/>
      <w:szCs w:val="24"/>
    </w:rPr>
  </w:style>
  <w:style w:type="paragraph" w:styleId="Header">
    <w:name w:val="header"/>
    <w:basedOn w:val="Normal"/>
    <w:link w:val="HeaderChar"/>
    <w:uiPriority w:val="99"/>
    <w:unhideWhenUsed/>
    <w:rsid w:val="00BA7389"/>
    <w:pPr>
      <w:tabs>
        <w:tab w:val="center" w:pos="4680"/>
        <w:tab w:val="right" w:pos="9360"/>
      </w:tabs>
    </w:pPr>
  </w:style>
  <w:style w:type="character" w:customStyle="1" w:styleId="HeaderChar">
    <w:name w:val="Header Char"/>
    <w:basedOn w:val="DefaultParagraphFont"/>
    <w:link w:val="Header"/>
    <w:uiPriority w:val="99"/>
    <w:rsid w:val="00BA7389"/>
  </w:style>
  <w:style w:type="paragraph" w:styleId="Footer">
    <w:name w:val="footer"/>
    <w:basedOn w:val="Normal"/>
    <w:link w:val="FooterChar"/>
    <w:uiPriority w:val="99"/>
    <w:unhideWhenUsed/>
    <w:rsid w:val="00BA7389"/>
    <w:pPr>
      <w:tabs>
        <w:tab w:val="center" w:pos="4680"/>
        <w:tab w:val="right" w:pos="9360"/>
      </w:tabs>
    </w:pPr>
  </w:style>
  <w:style w:type="character" w:customStyle="1" w:styleId="FooterChar">
    <w:name w:val="Footer Char"/>
    <w:basedOn w:val="DefaultParagraphFont"/>
    <w:link w:val="Footer"/>
    <w:uiPriority w:val="99"/>
    <w:rsid w:val="00BA7389"/>
  </w:style>
  <w:style w:type="table" w:styleId="TableGrid">
    <w:name w:val="Table Grid"/>
    <w:basedOn w:val="TableNormal"/>
    <w:uiPriority w:val="39"/>
    <w:rsid w:val="00BA738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151DA8"/>
    <w:pPr>
      <w:keepNext/>
      <w:keepLines/>
      <w:spacing w:before="240" w:after="0" w:line="259" w:lineRule="auto"/>
      <w:outlineLvl w:val="9"/>
    </w:pPr>
    <w:rPr>
      <w:rFonts w:asciiTheme="majorHAnsi" w:eastAsiaTheme="majorEastAsia" w:hAnsiTheme="majorHAnsi" w:cstheme="majorBidi"/>
      <w:b w:val="0"/>
      <w:bCs w:val="0"/>
      <w:color w:val="2F5496" w:themeColor="accent1" w:themeShade="BF"/>
      <w:sz w:val="32"/>
      <w:szCs w:val="32"/>
    </w:rPr>
  </w:style>
  <w:style w:type="paragraph" w:styleId="BalloonText">
    <w:name w:val="Balloon Text"/>
    <w:basedOn w:val="Normal"/>
    <w:link w:val="BalloonTextChar"/>
    <w:uiPriority w:val="99"/>
    <w:semiHidden/>
    <w:unhideWhenUsed/>
    <w:rsid w:val="00031F90"/>
    <w:rPr>
      <w:rFonts w:ascii="Tahoma" w:hAnsi="Tahoma" w:cs="Tahoma"/>
      <w:sz w:val="16"/>
      <w:szCs w:val="16"/>
    </w:rPr>
  </w:style>
  <w:style w:type="character" w:customStyle="1" w:styleId="BalloonTextChar">
    <w:name w:val="Balloon Text Char"/>
    <w:basedOn w:val="DefaultParagraphFont"/>
    <w:link w:val="BalloonText"/>
    <w:uiPriority w:val="99"/>
    <w:semiHidden/>
    <w:rsid w:val="00031F90"/>
    <w:rPr>
      <w:rFonts w:ascii="Tahoma" w:hAnsi="Tahoma" w:cs="Tahoma"/>
      <w:sz w:val="16"/>
      <w:szCs w:val="16"/>
    </w:rPr>
  </w:style>
  <w:style w:type="paragraph" w:styleId="NoSpacing">
    <w:name w:val="No Spacing"/>
    <w:link w:val="NoSpacingChar"/>
    <w:uiPriority w:val="1"/>
    <w:qFormat/>
    <w:rsid w:val="00A40EEA"/>
    <w:rPr>
      <w:rFonts w:asciiTheme="minorHAnsi" w:eastAsiaTheme="minorEastAsia" w:hAnsiTheme="minorHAnsi" w:cstheme="minorBidi"/>
    </w:rPr>
  </w:style>
  <w:style w:type="character" w:customStyle="1" w:styleId="NoSpacingChar">
    <w:name w:val="No Spacing Char"/>
    <w:basedOn w:val="DefaultParagraphFont"/>
    <w:link w:val="NoSpacing"/>
    <w:uiPriority w:val="1"/>
    <w:rsid w:val="00A40EEA"/>
    <w:rPr>
      <w:rFonts w:asciiTheme="minorHAnsi" w:eastAsiaTheme="minorEastAsia" w:hAnsiTheme="minorHAnsi" w:cstheme="minorBidi"/>
    </w:rPr>
  </w:style>
</w:styles>
</file>

<file path=word/webSettings.xml><?xml version="1.0" encoding="utf-8"?>
<w:webSettings xmlns:r="http://schemas.openxmlformats.org/officeDocument/2006/relationships" xmlns:w="http://schemas.openxmlformats.org/wordprocessingml/2006/main">
  <w:divs>
    <w:div w:id="243615559">
      <w:bodyDiv w:val="1"/>
      <w:marLeft w:val="0"/>
      <w:marRight w:val="0"/>
      <w:marTop w:val="0"/>
      <w:marBottom w:val="0"/>
      <w:divBdr>
        <w:top w:val="none" w:sz="0" w:space="0" w:color="auto"/>
        <w:left w:val="none" w:sz="0" w:space="0" w:color="auto"/>
        <w:bottom w:val="none" w:sz="0" w:space="0" w:color="auto"/>
        <w:right w:val="none" w:sz="0" w:space="0" w:color="auto"/>
      </w:divBdr>
    </w:div>
    <w:div w:id="915671041">
      <w:bodyDiv w:val="1"/>
      <w:marLeft w:val="0"/>
      <w:marRight w:val="0"/>
      <w:marTop w:val="0"/>
      <w:marBottom w:val="0"/>
      <w:divBdr>
        <w:top w:val="none" w:sz="0" w:space="0" w:color="auto"/>
        <w:left w:val="none" w:sz="0" w:space="0" w:color="auto"/>
        <w:bottom w:val="none" w:sz="0" w:space="0" w:color="auto"/>
        <w:right w:val="none" w:sz="0" w:space="0" w:color="auto"/>
      </w:divBdr>
    </w:div>
    <w:div w:id="1163162780">
      <w:bodyDiv w:val="1"/>
      <w:marLeft w:val="0"/>
      <w:marRight w:val="0"/>
      <w:marTop w:val="0"/>
      <w:marBottom w:val="0"/>
      <w:divBdr>
        <w:top w:val="none" w:sz="0" w:space="0" w:color="auto"/>
        <w:left w:val="none" w:sz="0" w:space="0" w:color="auto"/>
        <w:bottom w:val="none" w:sz="0" w:space="0" w:color="auto"/>
        <w:right w:val="none" w:sz="0" w:space="0" w:color="auto"/>
      </w:divBdr>
    </w:div>
    <w:div w:id="16072332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65613FD837AF4921B8AFC13746646DB9"/>
        <w:category>
          <w:name w:val="General"/>
          <w:gallery w:val="placeholder"/>
        </w:category>
        <w:types>
          <w:type w:val="bbPlcHdr"/>
        </w:types>
        <w:behaviors>
          <w:behavior w:val="content"/>
        </w:behaviors>
        <w:guid w:val="{8661E122-6F31-4FE5-9188-B2A87B851394}"/>
      </w:docPartPr>
      <w:docPartBody>
        <w:p w:rsidR="008B50D9" w:rsidRDefault="00BE1BC4" w:rsidP="00BE1BC4">
          <w:pPr>
            <w:pStyle w:val="65613FD837AF4921B8AFC13746646DB9"/>
          </w:pPr>
          <w:r>
            <w:rPr>
              <w:rFonts w:asciiTheme="majorHAnsi" w:eastAsiaTheme="majorEastAsia" w:hAnsiTheme="majorHAnsi" w:cstheme="majorBidi"/>
              <w:caps/>
              <w:color w:val="4F81BD" w:themeColor="accent1"/>
              <w:sz w:val="80"/>
              <w:szCs w:val="80"/>
            </w:rPr>
            <w:t>[Document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BE1BC4"/>
    <w:rsid w:val="008B50D9"/>
    <w:rsid w:val="00AF77E5"/>
    <w:rsid w:val="00BE1BC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50D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5613FD837AF4921B8AFC13746646DB9">
    <w:name w:val="65613FD837AF4921B8AFC13746646DB9"/>
    <w:rsid w:val="00BE1BC4"/>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A6A06A59-459A-4D8C-A5C2-C1AFEFB359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23</Pages>
  <Words>6990</Words>
  <Characters>39848</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Performance Analysis of Diageo PLC &amp; Capital Investment Appraisal for Westward PLC</dc:title>
  <dc:subject>Finance for Business Managers (BMMB7005D)</dc:subject>
  <dc:creator>Un-named</dc:creator>
  <cp:lastModifiedBy>Hasibul  Islam</cp:lastModifiedBy>
  <cp:revision>3</cp:revision>
  <dcterms:created xsi:type="dcterms:W3CDTF">2026-04-19T15:25:00Z</dcterms:created>
  <dcterms:modified xsi:type="dcterms:W3CDTF">2026-04-19T16:57:00Z</dcterms:modified>
</cp:coreProperties>
</file>