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89EF9" w14:textId="77777777" w:rsidR="004905E7" w:rsidRPr="00D14AB1" w:rsidRDefault="004905E7">
      <w:pPr>
        <w:rPr>
          <w:rFonts w:ascii="Arial" w:hAnsi="Arial" w:cs="Arial"/>
        </w:rPr>
      </w:pPr>
      <w:r w:rsidRPr="00D14AB1">
        <w:rPr>
          <w:rFonts w:ascii="Arial" w:hAnsi="Arial" w:cs="Arial"/>
          <w:noProof/>
          <w:lang w:val="en-US"/>
        </w:rPr>
        <w:drawing>
          <wp:inline distT="0" distB="0" distL="0" distR="0" wp14:anchorId="1B09972E" wp14:editId="59F9706A">
            <wp:extent cx="5494020" cy="1440180"/>
            <wp:effectExtent l="0" t="0" r="0" b="7620"/>
            <wp:docPr id="10" name="University of Wales Trinity Saint David logo" descr="University of Wales Trinity Saint David London logo.">
              <a:extLst xmlns:a="http://schemas.openxmlformats.org/drawingml/2006/main">
                <a:ext uri="{FF2B5EF4-FFF2-40B4-BE49-F238E27FC236}">
                  <a16:creationId xmlns:a16="http://schemas.microsoft.com/office/drawing/2014/main" id="{02165C2E-FD46-8C7D-7B38-C33C8996B2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02165C2E-FD46-8C7D-7B38-C33C8996B258}"/>
                        </a:ext>
                      </a:extLst>
                    </pic:cNvPr>
                    <pic:cNvPicPr>
                      <a:picLocks noChangeAspect="1"/>
                    </pic:cNvPicPr>
                  </pic:nvPicPr>
                  <pic:blipFill>
                    <a:blip r:embed="rId8">
                      <a:alphaModFix/>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496900" cy="1440935"/>
                    </a:xfrm>
                    <a:prstGeom prst="rect">
                      <a:avLst/>
                    </a:prstGeom>
                  </pic:spPr>
                </pic:pic>
              </a:graphicData>
            </a:graphic>
          </wp:inline>
        </w:drawing>
      </w:r>
    </w:p>
    <w:p w14:paraId="64D79E3B" w14:textId="77777777" w:rsidR="004905E7" w:rsidRPr="00D14AB1" w:rsidRDefault="004905E7" w:rsidP="004905E7">
      <w:pPr>
        <w:pStyle w:val="Title"/>
        <w:spacing w:line="600" w:lineRule="auto"/>
        <w:rPr>
          <w:rFonts w:ascii="Arial" w:hAnsi="Arial" w:cs="Arial"/>
          <w:b/>
          <w:bCs/>
          <w:sz w:val="32"/>
          <w:szCs w:val="32"/>
        </w:rPr>
      </w:pPr>
      <w:r w:rsidRPr="00D14AB1">
        <w:rPr>
          <w:rFonts w:ascii="Arial" w:hAnsi="Arial" w:cs="Arial"/>
          <w:b/>
          <w:bCs/>
          <w:sz w:val="32"/>
          <w:szCs w:val="32"/>
        </w:rPr>
        <w:t>PRIMARK ORGANISATIONAL CULTURE REPORT</w:t>
      </w:r>
    </w:p>
    <w:p w14:paraId="3EDE2D3A"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 xml:space="preserve">NAME </w:t>
      </w:r>
      <w:r w:rsidRPr="00D14AB1">
        <w:rPr>
          <w:rFonts w:ascii="Arial" w:hAnsi="Arial" w:cs="Arial"/>
          <w:b/>
          <w:bCs/>
          <w:sz w:val="32"/>
          <w:szCs w:val="32"/>
        </w:rPr>
        <w:tab/>
      </w:r>
      <w:r w:rsidRPr="00D14AB1">
        <w:rPr>
          <w:rFonts w:ascii="Arial" w:hAnsi="Arial" w:cs="Arial"/>
          <w:b/>
          <w:bCs/>
          <w:sz w:val="32"/>
          <w:szCs w:val="32"/>
        </w:rPr>
        <w:tab/>
      </w:r>
      <w:r w:rsidRPr="00D14AB1">
        <w:rPr>
          <w:rFonts w:ascii="Arial" w:hAnsi="Arial" w:cs="Arial"/>
          <w:b/>
          <w:bCs/>
          <w:sz w:val="32"/>
          <w:szCs w:val="32"/>
        </w:rPr>
        <w:tab/>
      </w:r>
      <w:r w:rsidRPr="00D14AB1">
        <w:rPr>
          <w:rFonts w:ascii="Arial" w:hAnsi="Arial" w:cs="Arial"/>
          <w:b/>
          <w:bCs/>
          <w:sz w:val="32"/>
          <w:szCs w:val="32"/>
        </w:rPr>
        <w:tab/>
        <w:t>:</w:t>
      </w:r>
      <w:r w:rsidR="00882393">
        <w:rPr>
          <w:rFonts w:ascii="Arial" w:hAnsi="Arial" w:cs="Arial"/>
          <w:b/>
          <w:bCs/>
          <w:sz w:val="32"/>
          <w:szCs w:val="32"/>
        </w:rPr>
        <w:t xml:space="preserve"> </w:t>
      </w:r>
      <w:r w:rsidRPr="00D14AB1">
        <w:rPr>
          <w:rFonts w:ascii="Arial" w:hAnsi="Arial" w:cs="Arial"/>
          <w:b/>
          <w:bCs/>
          <w:sz w:val="32"/>
          <w:szCs w:val="32"/>
        </w:rPr>
        <w:t xml:space="preserve">YUSTINA DA COSTA   </w:t>
      </w:r>
    </w:p>
    <w:p w14:paraId="6C79E435"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STUDENT NUMBER</w:t>
      </w:r>
      <w:r w:rsidR="00547BE4" w:rsidRPr="00D14AB1">
        <w:rPr>
          <w:rFonts w:ascii="Arial" w:hAnsi="Arial" w:cs="Arial"/>
          <w:b/>
          <w:bCs/>
          <w:sz w:val="32"/>
          <w:szCs w:val="32"/>
        </w:rPr>
        <w:tab/>
      </w:r>
      <w:r w:rsidRPr="00D14AB1">
        <w:rPr>
          <w:rFonts w:ascii="Arial" w:hAnsi="Arial" w:cs="Arial"/>
          <w:b/>
          <w:bCs/>
          <w:sz w:val="32"/>
          <w:szCs w:val="32"/>
        </w:rPr>
        <w:t>: 2430457</w:t>
      </w:r>
    </w:p>
    <w:p w14:paraId="1B34B2CD"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MODULE</w:t>
      </w:r>
      <w:r w:rsidRPr="00D14AB1">
        <w:rPr>
          <w:rFonts w:ascii="Arial" w:hAnsi="Arial" w:cs="Arial"/>
          <w:b/>
          <w:bCs/>
          <w:sz w:val="32"/>
          <w:szCs w:val="32"/>
        </w:rPr>
        <w:tab/>
      </w:r>
      <w:r w:rsidRPr="00D14AB1">
        <w:rPr>
          <w:rFonts w:ascii="Arial" w:hAnsi="Arial" w:cs="Arial"/>
          <w:b/>
          <w:bCs/>
          <w:sz w:val="32"/>
          <w:szCs w:val="32"/>
        </w:rPr>
        <w:tab/>
      </w:r>
      <w:r w:rsidRPr="00D14AB1">
        <w:rPr>
          <w:rFonts w:ascii="Arial" w:hAnsi="Arial" w:cs="Arial"/>
          <w:b/>
          <w:bCs/>
          <w:sz w:val="32"/>
          <w:szCs w:val="32"/>
        </w:rPr>
        <w:tab/>
        <w:t xml:space="preserve">      </w:t>
      </w:r>
      <w:proofErr w:type="gramStart"/>
      <w:r w:rsidRPr="00D14AB1">
        <w:rPr>
          <w:rFonts w:ascii="Arial" w:hAnsi="Arial" w:cs="Arial"/>
          <w:b/>
          <w:bCs/>
          <w:sz w:val="32"/>
          <w:szCs w:val="32"/>
        </w:rPr>
        <w:t xml:space="preserve">  :</w:t>
      </w:r>
      <w:proofErr w:type="gramEnd"/>
      <w:r w:rsidRPr="00D14AB1">
        <w:rPr>
          <w:rFonts w:ascii="Arial" w:hAnsi="Arial" w:cs="Arial"/>
          <w:b/>
          <w:bCs/>
          <w:sz w:val="32"/>
          <w:szCs w:val="32"/>
        </w:rPr>
        <w:t xml:space="preserve"> ORGANISATIONAL CULTURE  </w:t>
      </w:r>
    </w:p>
    <w:p w14:paraId="4FBC2B87"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 xml:space="preserve"> MODULE CODE</w:t>
      </w:r>
      <w:r w:rsidRPr="00D14AB1">
        <w:rPr>
          <w:rFonts w:ascii="Arial" w:hAnsi="Arial" w:cs="Arial"/>
          <w:b/>
          <w:bCs/>
          <w:sz w:val="32"/>
          <w:szCs w:val="32"/>
        </w:rPr>
        <w:tab/>
        <w:t xml:space="preserve">      </w:t>
      </w:r>
      <w:proofErr w:type="gramStart"/>
      <w:r w:rsidRPr="00D14AB1">
        <w:rPr>
          <w:rFonts w:ascii="Arial" w:hAnsi="Arial" w:cs="Arial"/>
          <w:b/>
          <w:bCs/>
          <w:sz w:val="32"/>
          <w:szCs w:val="32"/>
        </w:rPr>
        <w:t xml:space="preserve">  :</w:t>
      </w:r>
      <w:proofErr w:type="gramEnd"/>
      <w:r w:rsidRPr="00D14AB1">
        <w:rPr>
          <w:rFonts w:ascii="Arial" w:hAnsi="Arial" w:cs="Arial"/>
          <w:b/>
          <w:bCs/>
          <w:sz w:val="32"/>
          <w:szCs w:val="32"/>
        </w:rPr>
        <w:t xml:space="preserve"> LCLM5005 </w:t>
      </w:r>
    </w:p>
    <w:p w14:paraId="00DEB7B5"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COMPONENT 1</w:t>
      </w:r>
      <w:r w:rsidR="00547BE4" w:rsidRPr="00D14AB1">
        <w:rPr>
          <w:rFonts w:ascii="Arial" w:hAnsi="Arial" w:cs="Arial"/>
          <w:b/>
          <w:bCs/>
          <w:sz w:val="32"/>
          <w:szCs w:val="32"/>
        </w:rPr>
        <w:tab/>
      </w:r>
      <w:r w:rsidR="00547BE4" w:rsidRPr="00D14AB1">
        <w:rPr>
          <w:rFonts w:ascii="Arial" w:hAnsi="Arial" w:cs="Arial"/>
          <w:b/>
          <w:bCs/>
          <w:sz w:val="32"/>
          <w:szCs w:val="32"/>
        </w:rPr>
        <w:tab/>
      </w:r>
      <w:r w:rsidRPr="00D14AB1">
        <w:rPr>
          <w:rFonts w:ascii="Arial" w:hAnsi="Arial" w:cs="Arial"/>
          <w:b/>
          <w:bCs/>
          <w:sz w:val="32"/>
          <w:szCs w:val="32"/>
        </w:rPr>
        <w:t>: INDIVIDUAL REPORT</w:t>
      </w:r>
    </w:p>
    <w:p w14:paraId="7B3A502D" w14:textId="77777777" w:rsidR="004905E7" w:rsidRPr="00D14AB1" w:rsidRDefault="004905E7" w:rsidP="004905E7">
      <w:pPr>
        <w:spacing w:line="600" w:lineRule="auto"/>
        <w:rPr>
          <w:rFonts w:ascii="Arial" w:hAnsi="Arial" w:cs="Arial"/>
          <w:b/>
          <w:bCs/>
          <w:sz w:val="32"/>
          <w:szCs w:val="32"/>
        </w:rPr>
      </w:pPr>
      <w:r w:rsidRPr="00D14AB1">
        <w:rPr>
          <w:rFonts w:ascii="Arial" w:hAnsi="Arial" w:cs="Arial"/>
          <w:b/>
          <w:bCs/>
          <w:sz w:val="32"/>
          <w:szCs w:val="32"/>
        </w:rPr>
        <w:t>LECTURERS</w:t>
      </w:r>
      <w:r w:rsidR="00547BE4" w:rsidRPr="00D14AB1">
        <w:rPr>
          <w:rFonts w:ascii="Arial" w:hAnsi="Arial" w:cs="Arial"/>
          <w:b/>
          <w:bCs/>
          <w:sz w:val="32"/>
          <w:szCs w:val="32"/>
        </w:rPr>
        <w:tab/>
      </w:r>
      <w:r w:rsidR="00547BE4" w:rsidRPr="00D14AB1">
        <w:rPr>
          <w:rFonts w:ascii="Arial" w:hAnsi="Arial" w:cs="Arial"/>
          <w:b/>
          <w:bCs/>
          <w:sz w:val="32"/>
          <w:szCs w:val="32"/>
        </w:rPr>
        <w:tab/>
      </w:r>
      <w:r w:rsidR="00547BE4" w:rsidRPr="00D14AB1">
        <w:rPr>
          <w:rFonts w:ascii="Arial" w:hAnsi="Arial" w:cs="Arial"/>
          <w:b/>
          <w:bCs/>
          <w:sz w:val="32"/>
          <w:szCs w:val="32"/>
        </w:rPr>
        <w:tab/>
      </w:r>
      <w:r w:rsidRPr="00D14AB1">
        <w:rPr>
          <w:rFonts w:ascii="Arial" w:hAnsi="Arial" w:cs="Arial"/>
          <w:b/>
          <w:bCs/>
          <w:sz w:val="32"/>
          <w:szCs w:val="32"/>
        </w:rPr>
        <w:t>: RAMESES MANALANG</w:t>
      </w:r>
    </w:p>
    <w:p w14:paraId="412EC06B" w14:textId="77777777" w:rsidR="001529B7" w:rsidRDefault="001529B7" w:rsidP="004905E7">
      <w:pPr>
        <w:pStyle w:val="Heading1"/>
        <w:spacing w:line="360" w:lineRule="auto"/>
        <w:rPr>
          <w:rFonts w:ascii="Times New Roman" w:hAnsi="Times New Roman" w:cs="Times New Roman"/>
          <w:b/>
          <w:bCs/>
          <w:color w:val="auto"/>
          <w:sz w:val="24"/>
          <w:szCs w:val="24"/>
        </w:rPr>
        <w:sectPr w:rsidR="001529B7" w:rsidSect="006C6383">
          <w:footerReference w:type="default" r:id="rId10"/>
          <w:footerReference w:type="first" r:id="rId11"/>
          <w:pgSz w:w="11906" w:h="16838" w:code="9"/>
          <w:pgMar w:top="1440" w:right="1440" w:bottom="1440" w:left="1440" w:header="706" w:footer="706" w:gutter="0"/>
          <w:pgNumType w:fmt="lowerRoman" w:start="1"/>
          <w:cols w:space="708"/>
          <w:titlePg/>
          <w:docGrid w:linePitch="360"/>
        </w:sectPr>
      </w:pPr>
    </w:p>
    <w:p w14:paraId="3998AED9" w14:textId="78A0F10B" w:rsidR="004A4B09" w:rsidRPr="00DD5215" w:rsidRDefault="004A4B09" w:rsidP="00DD5215">
      <w:pPr>
        <w:pStyle w:val="Heading1"/>
        <w:tabs>
          <w:tab w:val="right" w:leader="dot" w:pos="7938"/>
          <w:tab w:val="left" w:leader="dot" w:pos="10206"/>
          <w:tab w:val="right" w:leader="dot" w:pos="11340"/>
        </w:tabs>
        <w:spacing w:line="360" w:lineRule="auto"/>
        <w:jc w:val="center"/>
        <w:rPr>
          <w:rFonts w:ascii="Arial" w:hAnsi="Arial" w:cs="Arial"/>
          <w:b/>
          <w:bCs/>
          <w:color w:val="auto"/>
          <w:sz w:val="24"/>
          <w:szCs w:val="24"/>
        </w:rPr>
      </w:pPr>
      <w:r w:rsidRPr="00DD5215">
        <w:rPr>
          <w:rFonts w:ascii="Arial" w:hAnsi="Arial" w:cs="Arial"/>
          <w:b/>
          <w:bCs/>
          <w:color w:val="auto"/>
          <w:sz w:val="24"/>
          <w:szCs w:val="24"/>
        </w:rPr>
        <w:lastRenderedPageBreak/>
        <w:t xml:space="preserve">Table of </w:t>
      </w:r>
      <w:r w:rsidR="00DD5215" w:rsidRPr="00DD5215">
        <w:rPr>
          <w:rFonts w:ascii="Arial" w:hAnsi="Arial" w:cs="Arial"/>
          <w:b/>
          <w:bCs/>
          <w:color w:val="auto"/>
          <w:sz w:val="24"/>
          <w:szCs w:val="24"/>
        </w:rPr>
        <w:t>C</w:t>
      </w:r>
      <w:r w:rsidRPr="00DD5215">
        <w:rPr>
          <w:rFonts w:ascii="Arial" w:hAnsi="Arial" w:cs="Arial"/>
          <w:b/>
          <w:bCs/>
          <w:color w:val="auto"/>
          <w:sz w:val="24"/>
          <w:szCs w:val="24"/>
        </w:rPr>
        <w:t>ontents</w:t>
      </w:r>
    </w:p>
    <w:p w14:paraId="31789CD7" w14:textId="77777777" w:rsidR="004905E7" w:rsidRPr="00DD5215" w:rsidRDefault="004905E7" w:rsidP="00DD5215">
      <w:pPr>
        <w:pStyle w:val="Heading1"/>
        <w:tabs>
          <w:tab w:val="right" w:leader="dot" w:pos="7938"/>
          <w:tab w:val="left" w:leader="dot" w:pos="10206"/>
          <w:tab w:val="right" w:leader="dot" w:pos="11340"/>
        </w:tabs>
        <w:spacing w:line="360" w:lineRule="auto"/>
        <w:rPr>
          <w:rFonts w:ascii="Arial" w:hAnsi="Arial" w:cs="Arial"/>
          <w:b/>
          <w:bCs/>
          <w:color w:val="auto"/>
          <w:sz w:val="24"/>
          <w:szCs w:val="24"/>
        </w:rPr>
      </w:pPr>
      <w:r w:rsidRPr="00DD5215">
        <w:rPr>
          <w:rFonts w:ascii="Arial" w:hAnsi="Arial"/>
          <w:b/>
          <w:bCs/>
          <w:color w:val="auto"/>
          <w:sz w:val="24"/>
          <w:szCs w:val="24"/>
        </w:rPr>
        <w:t>Table of contents</w:t>
      </w:r>
      <w:r w:rsidRPr="00DD5215">
        <w:rPr>
          <w:rFonts w:ascii="Arial" w:hAnsi="Arial"/>
          <w:b/>
          <w:bCs/>
          <w:color w:val="auto"/>
          <w:sz w:val="24"/>
          <w:szCs w:val="24"/>
        </w:rPr>
        <w:tab/>
        <w:t>i</w:t>
      </w:r>
    </w:p>
    <w:p w14:paraId="7B25AE0E" w14:textId="326B95DF"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1.</w:t>
      </w:r>
      <w:r w:rsidR="004905E7" w:rsidRPr="00DD5215">
        <w:rPr>
          <w:rFonts w:ascii="Arial" w:hAnsi="Arial"/>
        </w:rPr>
        <w:t>Executive summary</w:t>
      </w:r>
      <w:r w:rsidR="004905E7" w:rsidRPr="00DD5215">
        <w:rPr>
          <w:rFonts w:ascii="Arial" w:hAnsi="Arial"/>
        </w:rPr>
        <w:tab/>
        <w:t>ii</w:t>
      </w:r>
    </w:p>
    <w:p w14:paraId="6F935A00" w14:textId="063CDD01"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2.</w:t>
      </w:r>
      <w:r w:rsidR="004905E7" w:rsidRPr="00DD5215">
        <w:rPr>
          <w:rFonts w:ascii="Arial" w:hAnsi="Arial"/>
        </w:rPr>
        <w:t>Introduction and scope</w:t>
      </w:r>
      <w:r w:rsidR="004905E7" w:rsidRPr="00DD5215">
        <w:rPr>
          <w:rFonts w:ascii="Arial" w:hAnsi="Arial"/>
        </w:rPr>
        <w:tab/>
        <w:t>1</w:t>
      </w:r>
    </w:p>
    <w:p w14:paraId="02F0A937" w14:textId="0C73E123"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3.</w:t>
      </w:r>
      <w:r w:rsidR="004905E7" w:rsidRPr="00DD5215">
        <w:rPr>
          <w:rFonts w:ascii="Arial" w:hAnsi="Arial"/>
        </w:rPr>
        <w:t>Culture, structure and decision-making</w:t>
      </w:r>
      <w:r w:rsidR="004905E7" w:rsidRPr="00DD5215">
        <w:rPr>
          <w:rFonts w:ascii="Arial" w:hAnsi="Arial"/>
        </w:rPr>
        <w:tab/>
        <w:t>1–3</w:t>
      </w:r>
    </w:p>
    <w:p w14:paraId="65985628" w14:textId="4FC2C3C5"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4.</w:t>
      </w:r>
      <w:r w:rsidR="004905E7" w:rsidRPr="00DD5215">
        <w:rPr>
          <w:rFonts w:ascii="Arial" w:hAnsi="Arial"/>
        </w:rPr>
        <w:t>Identifying the prevailing culture</w:t>
      </w:r>
      <w:r w:rsidR="004905E7" w:rsidRPr="00DD5215">
        <w:rPr>
          <w:rFonts w:ascii="Arial" w:hAnsi="Arial"/>
        </w:rPr>
        <w:tab/>
        <w:t>3–5</w:t>
      </w:r>
    </w:p>
    <w:p w14:paraId="202E18B3" w14:textId="4F82BB6C"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5.</w:t>
      </w:r>
      <w:r w:rsidR="004905E7" w:rsidRPr="00DD5215">
        <w:rPr>
          <w:rFonts w:ascii="Arial" w:hAnsi="Arial"/>
        </w:rPr>
        <w:t>External environment and adaptation</w:t>
      </w:r>
      <w:r w:rsidR="004905E7" w:rsidRPr="00DD5215">
        <w:rPr>
          <w:rFonts w:ascii="Arial" w:hAnsi="Arial"/>
        </w:rPr>
        <w:tab/>
        <w:t>5–7</w:t>
      </w:r>
    </w:p>
    <w:p w14:paraId="23763F2E" w14:textId="2D4E3334"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6.</w:t>
      </w:r>
      <w:r w:rsidR="004905E7" w:rsidRPr="00DD5215">
        <w:rPr>
          <w:rFonts w:ascii="Arial" w:hAnsi="Arial"/>
        </w:rPr>
        <w:t>Culture as enabler and barrier</w:t>
      </w:r>
      <w:r w:rsidR="004905E7" w:rsidRPr="00DD5215">
        <w:rPr>
          <w:rFonts w:ascii="Arial" w:hAnsi="Arial"/>
        </w:rPr>
        <w:tab/>
      </w:r>
      <w:r w:rsidR="00A272B4" w:rsidRPr="00DD5215">
        <w:rPr>
          <w:rFonts w:ascii="Arial" w:hAnsi="Arial"/>
        </w:rPr>
        <w:t>8</w:t>
      </w:r>
      <w:r w:rsidR="004905E7" w:rsidRPr="00DD5215">
        <w:rPr>
          <w:rFonts w:ascii="Arial" w:hAnsi="Arial"/>
        </w:rPr>
        <w:t>–9</w:t>
      </w:r>
    </w:p>
    <w:p w14:paraId="0A628B60" w14:textId="5B83A852"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7.</w:t>
      </w:r>
      <w:r w:rsidR="004905E7" w:rsidRPr="00DD5215">
        <w:rPr>
          <w:rFonts w:ascii="Arial" w:hAnsi="Arial"/>
        </w:rPr>
        <w:t>Performance and recommendations</w:t>
      </w:r>
      <w:r w:rsidR="004905E7" w:rsidRPr="00DD5215">
        <w:rPr>
          <w:rFonts w:ascii="Arial" w:hAnsi="Arial"/>
        </w:rPr>
        <w:tab/>
        <w:t>9–11</w:t>
      </w:r>
    </w:p>
    <w:p w14:paraId="0189962E" w14:textId="17ED427A"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8.</w:t>
      </w:r>
      <w:r w:rsidR="004905E7" w:rsidRPr="00DD5215">
        <w:rPr>
          <w:rFonts w:ascii="Arial" w:hAnsi="Arial"/>
        </w:rPr>
        <w:t>Conclusion</w:t>
      </w:r>
      <w:r w:rsidR="004905E7" w:rsidRPr="00DD5215">
        <w:rPr>
          <w:rFonts w:ascii="Arial" w:hAnsi="Arial"/>
        </w:rPr>
        <w:tab/>
        <w:t>1</w:t>
      </w:r>
      <w:r w:rsidR="00A272B4" w:rsidRPr="00DD5215">
        <w:rPr>
          <w:rFonts w:ascii="Arial" w:hAnsi="Arial"/>
        </w:rPr>
        <w:t>2</w:t>
      </w:r>
    </w:p>
    <w:p w14:paraId="16530DF3" w14:textId="40E4F6F2" w:rsidR="004905E7" w:rsidRPr="00DD5215" w:rsidRDefault="00DD5215" w:rsidP="00DD5215">
      <w:pPr>
        <w:pStyle w:val="ListParagraph"/>
        <w:tabs>
          <w:tab w:val="right" w:leader="dot" w:pos="7938"/>
          <w:tab w:val="right" w:leader="dot" w:pos="9648"/>
          <w:tab w:val="left" w:leader="dot" w:pos="10206"/>
          <w:tab w:val="right" w:leader="dot" w:pos="11340"/>
        </w:tabs>
        <w:spacing w:after="100" w:line="360" w:lineRule="auto"/>
        <w:rPr>
          <w:rFonts w:ascii="Arial" w:hAnsi="Arial" w:cs="Arial"/>
        </w:rPr>
      </w:pPr>
      <w:r>
        <w:rPr>
          <w:rFonts w:ascii="Arial" w:hAnsi="Arial"/>
        </w:rPr>
        <w:t>9.</w:t>
      </w:r>
      <w:r w:rsidR="004905E7" w:rsidRPr="00DD5215">
        <w:rPr>
          <w:rFonts w:ascii="Arial" w:hAnsi="Arial"/>
        </w:rPr>
        <w:t>References</w:t>
      </w:r>
      <w:r w:rsidR="004905E7" w:rsidRPr="00DD5215">
        <w:rPr>
          <w:rFonts w:ascii="Arial" w:hAnsi="Arial"/>
        </w:rPr>
        <w:tab/>
        <w:t>1</w:t>
      </w:r>
      <w:r w:rsidR="00A272B4" w:rsidRPr="00DD5215">
        <w:rPr>
          <w:rFonts w:ascii="Arial" w:hAnsi="Arial"/>
        </w:rPr>
        <w:t>3</w:t>
      </w:r>
      <w:r w:rsidR="004905E7" w:rsidRPr="00DD5215">
        <w:rPr>
          <w:rFonts w:ascii="Arial" w:hAnsi="Arial"/>
        </w:rPr>
        <w:t>–1</w:t>
      </w:r>
      <w:r w:rsidR="00A272B4" w:rsidRPr="00DD5215">
        <w:rPr>
          <w:rFonts w:ascii="Arial" w:hAnsi="Arial"/>
        </w:rPr>
        <w:t>4</w:t>
      </w:r>
    </w:p>
    <w:p w14:paraId="17DF48C6" w14:textId="77777777" w:rsidR="00E5255A" w:rsidRPr="00A272B4" w:rsidRDefault="00E5255A" w:rsidP="00A272B4">
      <w:pPr>
        <w:pageBreakBefore/>
        <w:spacing w:line="360" w:lineRule="auto"/>
        <w:jc w:val="both"/>
        <w:rPr>
          <w:rFonts w:ascii="Arial" w:hAnsi="Arial" w:cs="Arial"/>
          <w:b/>
          <w:bCs/>
        </w:rPr>
      </w:pPr>
      <w:r w:rsidRPr="00A272B4">
        <w:rPr>
          <w:rFonts w:ascii="Arial" w:hAnsi="Arial" w:cs="Arial"/>
          <w:b/>
          <w:bCs/>
        </w:rPr>
        <w:lastRenderedPageBreak/>
        <w:t>Executive summary</w:t>
      </w:r>
    </w:p>
    <w:p w14:paraId="6BF78D79" w14:textId="77777777" w:rsidR="00E5255A" w:rsidRPr="00A272B4" w:rsidRDefault="00E5255A" w:rsidP="00A272B4">
      <w:pPr>
        <w:spacing w:line="360" w:lineRule="auto"/>
        <w:jc w:val="both"/>
        <w:rPr>
          <w:rFonts w:ascii="Arial" w:hAnsi="Arial" w:cs="Arial"/>
        </w:rPr>
      </w:pPr>
      <w:r w:rsidRPr="00A272B4">
        <w:rPr>
          <w:rFonts w:ascii="Arial" w:hAnsi="Arial" w:cs="Arial"/>
        </w:rPr>
        <w:tab/>
        <w:t xml:space="preserve">This report examines Primark's organisational culture through Schein's levels of culture and the competing values framework. Primark's visible emphasis on affordable fashion, store growth and commercial execution suggests a strong market orientation, while its supplier rules, colleague programmes and Primark Cares commitments add elements of hierarchy and collaboration. </w:t>
      </w:r>
    </w:p>
    <w:p w14:paraId="12FB47FB" w14:textId="77777777" w:rsidR="00E5255A" w:rsidRPr="00A272B4" w:rsidRDefault="00E5255A" w:rsidP="00A272B4">
      <w:pPr>
        <w:spacing w:line="360" w:lineRule="auto"/>
        <w:jc w:val="both"/>
        <w:rPr>
          <w:rFonts w:ascii="Arial" w:hAnsi="Arial" w:cs="Arial"/>
        </w:rPr>
      </w:pPr>
      <w:r w:rsidRPr="00A272B4">
        <w:rPr>
          <w:rFonts w:ascii="Arial" w:hAnsi="Arial" w:cs="Arial"/>
        </w:rPr>
        <w:tab/>
        <w:t>These are analytical interpretations of public evidence, not the result of interviews with Primark staff. The culture supports consistent value and international expansion, but the pressure to maintain low prices creates a persistent tension with labour standards, product longevity and environmental goals. The report recommends incorporating ethical and durability measures into buying decisions, strengthening employee and supplier voice, and publishing comparable outcomes so that stated commitments can be assessed against everyday practice.</w:t>
      </w:r>
    </w:p>
    <w:p w14:paraId="0109261F" w14:textId="77777777" w:rsidR="001529B7" w:rsidRPr="00A272B4" w:rsidRDefault="001529B7" w:rsidP="00A272B4">
      <w:pPr>
        <w:pStyle w:val="Heading1"/>
        <w:spacing w:line="360" w:lineRule="auto"/>
        <w:jc w:val="both"/>
        <w:rPr>
          <w:rFonts w:ascii="Arial" w:hAnsi="Arial" w:cs="Arial"/>
          <w:b/>
          <w:bCs/>
          <w:color w:val="auto"/>
          <w:sz w:val="24"/>
          <w:szCs w:val="24"/>
        </w:rPr>
        <w:sectPr w:rsidR="001529B7" w:rsidRPr="00A272B4" w:rsidSect="001529B7">
          <w:pgSz w:w="11906" w:h="16838"/>
          <w:pgMar w:top="1440" w:right="1440" w:bottom="1440" w:left="1440" w:header="706" w:footer="706" w:gutter="0"/>
          <w:pgNumType w:fmt="lowerRoman" w:start="1"/>
          <w:cols w:space="708"/>
          <w:docGrid w:linePitch="360"/>
        </w:sectPr>
      </w:pPr>
    </w:p>
    <w:p w14:paraId="57081368" w14:textId="77777777" w:rsidR="00E5255A" w:rsidRPr="00A272B4" w:rsidRDefault="00E5255A" w:rsidP="00A272B4">
      <w:pPr>
        <w:pStyle w:val="Heading1"/>
        <w:numPr>
          <w:ilvl w:val="0"/>
          <w:numId w:val="3"/>
        </w:numPr>
        <w:spacing w:line="360" w:lineRule="auto"/>
        <w:ind w:left="360"/>
        <w:jc w:val="both"/>
        <w:rPr>
          <w:rFonts w:ascii="Arial" w:hAnsi="Arial" w:cs="Arial"/>
          <w:b/>
          <w:bCs/>
          <w:color w:val="auto"/>
          <w:sz w:val="24"/>
          <w:szCs w:val="24"/>
        </w:rPr>
      </w:pPr>
      <w:r w:rsidRPr="00A272B4">
        <w:rPr>
          <w:rFonts w:ascii="Arial" w:hAnsi="Arial" w:cs="Arial"/>
          <w:b/>
          <w:bCs/>
          <w:color w:val="auto"/>
          <w:sz w:val="24"/>
          <w:szCs w:val="24"/>
        </w:rPr>
        <w:lastRenderedPageBreak/>
        <w:t>Introduction and Scope</w:t>
      </w:r>
    </w:p>
    <w:p w14:paraId="6BDD6212" w14:textId="77777777" w:rsidR="00E5255A" w:rsidRPr="00A272B4" w:rsidRDefault="00E5255A" w:rsidP="00A272B4">
      <w:pPr>
        <w:spacing w:line="360" w:lineRule="auto"/>
        <w:jc w:val="both"/>
        <w:rPr>
          <w:rFonts w:ascii="Arial" w:hAnsi="Arial" w:cs="Arial"/>
        </w:rPr>
      </w:pPr>
      <w:r w:rsidRPr="00A272B4">
        <w:rPr>
          <w:rFonts w:ascii="Arial" w:hAnsi="Arial" w:cs="Arial"/>
        </w:rPr>
        <w:tab/>
        <w:t>Mullins and Christy (2016) argue that shared values and assumptions shape structure, decisions, motivation and control. This is particularly relevant to Primark, a fashion retailer whose promise of affordable products depends on many linked decisions in stores, sourcing, design and logistics. Primark states that it offers great value without compromise and has more than 500 stores in 20 countries and over 80,000 colleagues (Primark, 2026a). Associated British Foods (ABF), its parent company, reported Primark retail sales of £9.5 billion and adjusted operating profit of £1.126 billion in the 2025 financial year (ABF, 2025). Those figures indicate commercial scale, but they do not by themselves establish that the culture is healthy or sustainable.</w:t>
      </w:r>
    </w:p>
    <w:p w14:paraId="2708312B" w14:textId="77777777" w:rsidR="00E5255A" w:rsidRPr="00A272B4" w:rsidRDefault="00E5255A" w:rsidP="00A272B4">
      <w:pPr>
        <w:spacing w:line="360" w:lineRule="auto"/>
        <w:jc w:val="both"/>
        <w:rPr>
          <w:rFonts w:ascii="Arial" w:hAnsi="Arial" w:cs="Arial"/>
        </w:rPr>
      </w:pPr>
      <w:r w:rsidRPr="00A272B4">
        <w:rPr>
          <w:rFonts w:ascii="Arial" w:hAnsi="Arial" w:cs="Arial"/>
        </w:rPr>
        <w:tab/>
        <w:t xml:space="preserve">This report uses published company material and academic literature rather than internal observation. It examines how culture </w:t>
      </w:r>
      <w:proofErr w:type="gramStart"/>
      <w:r w:rsidRPr="00A272B4">
        <w:rPr>
          <w:rFonts w:ascii="Arial" w:hAnsi="Arial" w:cs="Arial"/>
        </w:rPr>
        <w:t>influences</w:t>
      </w:r>
      <w:proofErr w:type="gramEnd"/>
      <w:r w:rsidRPr="00A272B4">
        <w:rPr>
          <w:rFonts w:ascii="Arial" w:hAnsi="Arial" w:cs="Arial"/>
        </w:rPr>
        <w:t xml:space="preserve"> structure and decisions; identifies the likely dominant cultural orientation; assesses adaptation to external pressures; evaluates culture as an enabler and barrier; and proposes improvements. Company reports provide evidence of declared policies and selected outcomes, while their self-reporting creates a risk of favourable presentation. The analysis therefore distinguishes stated values, observable practices and plausible underlying assumptions.</w:t>
      </w:r>
    </w:p>
    <w:p w14:paraId="0053165E" w14:textId="77777777" w:rsidR="00E5255A" w:rsidRPr="00A272B4" w:rsidRDefault="00E5255A" w:rsidP="00A272B4">
      <w:pPr>
        <w:pStyle w:val="Heading1"/>
        <w:numPr>
          <w:ilvl w:val="0"/>
          <w:numId w:val="3"/>
        </w:numPr>
        <w:spacing w:line="360" w:lineRule="auto"/>
        <w:ind w:left="450" w:hanging="450"/>
        <w:jc w:val="both"/>
        <w:rPr>
          <w:rFonts w:ascii="Arial" w:hAnsi="Arial" w:cs="Arial"/>
          <w:b/>
          <w:bCs/>
          <w:color w:val="auto"/>
          <w:sz w:val="24"/>
          <w:szCs w:val="24"/>
        </w:rPr>
      </w:pPr>
      <w:r w:rsidRPr="00A272B4">
        <w:rPr>
          <w:rFonts w:ascii="Arial" w:hAnsi="Arial" w:cs="Arial"/>
          <w:b/>
          <w:bCs/>
          <w:color w:val="auto"/>
          <w:sz w:val="24"/>
          <w:szCs w:val="24"/>
        </w:rPr>
        <w:t xml:space="preserve">Culture, Structure </w:t>
      </w:r>
      <w:proofErr w:type="gramStart"/>
      <w:r w:rsidRPr="00A272B4">
        <w:rPr>
          <w:rFonts w:ascii="Arial" w:hAnsi="Arial" w:cs="Arial"/>
          <w:b/>
          <w:bCs/>
          <w:color w:val="auto"/>
          <w:sz w:val="24"/>
          <w:szCs w:val="24"/>
        </w:rPr>
        <w:t>And</w:t>
      </w:r>
      <w:proofErr w:type="gramEnd"/>
      <w:r w:rsidRPr="00A272B4">
        <w:rPr>
          <w:rFonts w:ascii="Arial" w:hAnsi="Arial" w:cs="Arial"/>
          <w:b/>
          <w:bCs/>
          <w:color w:val="auto"/>
          <w:sz w:val="24"/>
          <w:szCs w:val="24"/>
        </w:rPr>
        <w:t xml:space="preserve"> Decision-Making</w:t>
      </w:r>
    </w:p>
    <w:p w14:paraId="0E8DBC2A"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Schein and Schein (2017) distinguish artefacts, espoused values and basic underlying assumptions. Artefacts are visible signs such as store formats, product ranges, campaigns, reporting systems and supplier codes. Espoused values are the priorities an organisation says it holds. Underlying assumptions are harder to see: the beliefs treated as obvious in everyday decisions. This framework is useful for Primark because a public sustainability pledge and an actual buying decision may operate at different levels.</w:t>
      </w:r>
    </w:p>
    <w:p w14:paraId="6E784A95"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Primark's stores, price communication and expansion are visible artefacts of a value-focused retail model. Its public commitments add another layer: the Supplier Code of Conduct covers wages, health and safety, freedom of association and risks including forced labour (Primark, 2026b). The 2024/25 sustainability report describes </w:t>
      </w:r>
      <w:r w:rsidR="00E5255A" w:rsidRPr="00A272B4">
        <w:rPr>
          <w:rFonts w:ascii="Arial" w:hAnsi="Arial" w:cs="Arial"/>
        </w:rPr>
        <w:lastRenderedPageBreak/>
        <w:t>traceability and the Primark Cares programme, while Primark states that 74% of its clothing used recycled or more sustainably sourced fibres, compared with 66% the previous year (Primark, 2025). These facts indicate formal systems and measurable objectives. They do not prove that every supplier employee experiences the stated standards. Schein's model warns against equating a published value with an embedded assumption.</w:t>
      </w:r>
    </w:p>
    <w:p w14:paraId="17D22E99"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The structure visible in Primark's public material combines central coordination with geographically dispersed execution. A global sourcing and ethical trade function sets standards and works across key sourcing markets; local stores deliver the customer proposition. Primark describes an Ethical Trade and Environmental Sustainability team of 130 colleagues across more than ten sourcing markets (Primark Careers, 2026). This specialised function suggests that purchasing and compliance cannot be left to individual stores. Standardised codes can protect consistency across a large network, but central rules also need local information about factory conditions, customer preferences and operational problems.</w:t>
      </w:r>
    </w:p>
    <w:p w14:paraId="755261FF" w14:textId="77777777" w:rsidR="00AB0E88" w:rsidRPr="00A272B4" w:rsidRDefault="00C54F16" w:rsidP="00A272B4">
      <w:pPr>
        <w:keepNext/>
        <w:spacing w:after="120" w:line="360" w:lineRule="auto"/>
        <w:rPr>
          <w:rFonts w:ascii="Arial" w:hAnsi="Arial" w:cs="Arial"/>
        </w:rPr>
      </w:pPr>
      <w:r w:rsidRPr="00A272B4">
        <w:rPr>
          <w:rFonts w:ascii="Arial" w:hAnsi="Arial" w:cs="Arial"/>
          <w:b/>
        </w:rPr>
        <w:t>Primark organisational structure</w:t>
      </w:r>
    </w:p>
    <w:p w14:paraId="7486593D" w14:textId="77777777" w:rsidR="00AB0E88" w:rsidRPr="00A272B4" w:rsidRDefault="00C54F16" w:rsidP="00A272B4">
      <w:pPr>
        <w:keepNext/>
        <w:spacing w:after="120" w:line="360" w:lineRule="auto"/>
        <w:jc w:val="center"/>
        <w:rPr>
          <w:rFonts w:ascii="Arial" w:hAnsi="Arial" w:cs="Arial"/>
        </w:rPr>
      </w:pPr>
      <w:r w:rsidRPr="00A272B4">
        <w:rPr>
          <w:rFonts w:ascii="Arial" w:hAnsi="Arial" w:cs="Arial"/>
          <w:noProof/>
        </w:rPr>
        <w:drawing>
          <wp:inline distT="0" distB="0" distL="0" distR="0" wp14:anchorId="43600A39" wp14:editId="56750DBD">
            <wp:extent cx="5303520" cy="27429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ucture.png"/>
                    <pic:cNvPicPr/>
                  </pic:nvPicPr>
                  <pic:blipFill>
                    <a:blip r:embed="rId12"/>
                    <a:stretch>
                      <a:fillRect/>
                    </a:stretch>
                  </pic:blipFill>
                  <pic:spPr>
                    <a:xfrm>
                      <a:off x="0" y="0"/>
                      <a:ext cx="5303520" cy="2742979"/>
                    </a:xfrm>
                    <a:prstGeom prst="rect">
                      <a:avLst/>
                    </a:prstGeom>
                  </pic:spPr>
                </pic:pic>
              </a:graphicData>
            </a:graphic>
          </wp:inline>
        </w:drawing>
      </w:r>
    </w:p>
    <w:p w14:paraId="611A5EB0" w14:textId="77777777" w:rsidR="00AB0E88" w:rsidRPr="00A272B4" w:rsidRDefault="00C54F16" w:rsidP="00A272B4">
      <w:pPr>
        <w:spacing w:line="360" w:lineRule="auto"/>
        <w:rPr>
          <w:rFonts w:ascii="Arial" w:hAnsi="Arial" w:cs="Arial"/>
        </w:rPr>
      </w:pPr>
      <w:r w:rsidRPr="00A272B4">
        <w:rPr>
          <w:rFonts w:ascii="Arial" w:hAnsi="Arial" w:cs="Arial"/>
        </w:rPr>
        <w:t>Figure 1. Illustrative functional structure of Primark. Based on the functions discussed above (Primark, 2026b; Primark Careers, 2026). Arrows show coordination, not verified reporting lines.</w:t>
      </w:r>
    </w:p>
    <w:p w14:paraId="4BAF6492" w14:textId="77777777" w:rsidR="00B73744"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Culture influences decisions through what managers reward and what information they consider. A strong value proposition can speed choices about product, </w:t>
      </w:r>
      <w:r w:rsidR="00E5255A" w:rsidRPr="00A272B4">
        <w:rPr>
          <w:rFonts w:ascii="Arial" w:hAnsi="Arial" w:cs="Arial"/>
        </w:rPr>
        <w:lastRenderedPageBreak/>
        <w:t>stock and price and give staff a clear purpose. It may also create a bias toward cost and volume when a proposed change increases the unit price.</w:t>
      </w:r>
    </w:p>
    <w:p w14:paraId="22B21EB1" w14:textId="77777777" w:rsidR="00E5255A" w:rsidRPr="00A272B4" w:rsidRDefault="00B73744"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 A decision to use more durable materials, for example, cannot be evaluated solely through immediate buying cost; it affects garment life, customer trust and future waste. Barney (1986) argues that culture can contribute to sustained advantage when it is valuable and difficult to imitate. Yet a low-price culture is not automatically distinctive if competitors can reproduce its practices. The ability to deliver value while meeting credible labour and environmental standards is a more demanding source of advantage.</w:t>
      </w:r>
    </w:p>
    <w:p w14:paraId="26502420"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The comparison should not imply that all Primark employees share one culture. Schneider, Ehrhart and Macey (2013) distinguish the deeper assumptions of culture from employees' perceptions of current practices, often called climate. A buyer, store colleague and supplier worker may experience different incentives and authority. Without internal interviews or survey evidence, this report cannot conclude how consistently Primark's declared values guide decisions at each level.</w:t>
      </w:r>
    </w:p>
    <w:p w14:paraId="6B869F76"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Decision rights are especially important in a retailer whose products pass through several functions. Design may propose a material, buying may negotiate cost, quality teams may test durability, and sourcing specialists may identify labour concerns. If each function is judged only on its own target, a decision that looks efficient locally can produce a poor overall result. A shared culture can help these functions agree on priorities, but only when the decision process states which trade-offs require escalation. For example, a lower-priced fabric might protect an immediate price point while increasing returns or shortening product life. The question for leaders is who can challenge that choice and what evidence must be considered before it becomes a large order. Public information does not reveal Primark's internal approval thresholds, so this is an analytical risk rather than a claim about a documented failure.</w:t>
      </w:r>
    </w:p>
    <w:p w14:paraId="26A068C8" w14:textId="77777777" w:rsidR="00E5255A" w:rsidRPr="00A272B4" w:rsidRDefault="003F117E" w:rsidP="00A272B4">
      <w:pPr>
        <w:pStyle w:val="Heading1"/>
        <w:numPr>
          <w:ilvl w:val="0"/>
          <w:numId w:val="3"/>
        </w:numPr>
        <w:spacing w:line="360" w:lineRule="auto"/>
        <w:ind w:left="450" w:hanging="450"/>
        <w:jc w:val="both"/>
        <w:rPr>
          <w:rFonts w:ascii="Arial" w:hAnsi="Arial" w:cs="Arial"/>
          <w:b/>
          <w:bCs/>
          <w:color w:val="auto"/>
          <w:sz w:val="24"/>
          <w:szCs w:val="24"/>
        </w:rPr>
      </w:pPr>
      <w:r w:rsidRPr="00A272B4">
        <w:rPr>
          <w:rFonts w:ascii="Arial" w:hAnsi="Arial" w:cs="Arial"/>
          <w:b/>
          <w:bCs/>
          <w:color w:val="auto"/>
          <w:sz w:val="24"/>
          <w:szCs w:val="24"/>
        </w:rPr>
        <w:t>Identifying the Prevailing Culture</w:t>
      </w:r>
    </w:p>
    <w:p w14:paraId="72E07E52"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Cameron and Quinn's (2011) competing values framework compares market, hierarchy, clan and adhocracy orientations. Market culture prioritises results and external competition; hierarchy values rules and consistency; clan emphasises involvement; adhocracy favours innovation. Primark appears predominantly market-</w:t>
      </w:r>
      <w:r w:rsidR="00E5255A" w:rsidRPr="00A272B4">
        <w:rPr>
          <w:rFonts w:ascii="Arial" w:hAnsi="Arial" w:cs="Arial"/>
        </w:rPr>
        <w:lastRenderedPageBreak/>
        <w:t>oriented because accessible prices, product appeal, store growth and financial performance are central to its public story. ABF reported that new stores in Europe and the United States contributed four percentage points to 2025 sales growth, while renewed attention to value and the product offer improved UK like-for-like trading in the second half (ABF, 2025). These decisions fit an external, performance-led orientation.</w:t>
      </w:r>
    </w:p>
    <w:p w14:paraId="295AFC70"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There are also hierarchy features. The Supplier Code, sourcing map and sustainability measures impose common expectations across dispersed activities. Primark says its sourcing map covers production sites making 95% of products sold in its stores (Primark, 2026c). Formal monitoring is especially relevant when a retailer buys from independent factories rather than owning all production. Such systems may reduce inconsistency, but a factory appearing on a map is not evidence of full compliance at every moment.</w:t>
      </w:r>
    </w:p>
    <w:p w14:paraId="229316DA"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Clan elements appear in colleague development and inclusion statements. Primark describes learning, talent development and colleague networks (Primark Careers, 2026). These may support belonging and knowledge sharing, but public careers material is promotional; it cannot establish whether front-line employees feel able to challenge decisions. Morrison (2023) shows why employee voice matters: people may remain silent when they believe speaking up carries a cost or will not lead to change. A culture that invites feedback in principle still needs safe channels and visible responses.</w:t>
      </w:r>
    </w:p>
    <w:p w14:paraId="7FE06B94"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The framework is a heuristic rather than a diagnostic score. Hartnell, Ou and Kinicki (2011) found that culture types relate differently to outcomes, so no single type is universally best. Primark's scale makes a mixture plausible and arguably necessary: market discipline for value, hierarchy for sourcing control, and collaboration for learning. Hofstede's (2011) national cultural dimensions can prompt awareness of differing expectations across countries, but national averages must not be used to stereotype employees or to infer Primark's organisational culture. The dominant market interpretation is therefore provisional and should be tested through interviews, staff data and decision records.</w:t>
      </w:r>
    </w:p>
    <w:p w14:paraId="5F8C0A6B"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A cultural diagnosis should also consider how different groups understand success. A store manager may focus on availability, queue length and customer </w:t>
      </w:r>
      <w:r w:rsidR="00E5255A" w:rsidRPr="00A272B4">
        <w:rPr>
          <w:rFonts w:ascii="Arial" w:hAnsi="Arial" w:cs="Arial"/>
        </w:rPr>
        <w:lastRenderedPageBreak/>
        <w:t>experience, while a buyer may focus on margin and delivery. A sourcing specialist may prioritise safety and remediation. These priorities need not conflict, but they can compete when time and resources are limited. Cameron and Quinn's framework helps identify the tension between external results and internal control; it cannot show which group has the final authority in a particular meeting. To investigate this, Primark could compare survey responses from roles and countries, then examine whether staff perceptions match decisions made after concerns are raised. This would test the proposed mix of cultural orientations rather than assigning a fixed label from public documents.</w:t>
      </w:r>
    </w:p>
    <w:p w14:paraId="1A789C3D" w14:textId="77777777" w:rsidR="003F117E"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An alternative interpretation would emphasise hierarchy because supplier standards, reporting and central controls are prominent in company publications. However, those controls appear to serve a commercial model whose public identity remains affordability and growth. A third interpretation might call the culture increasingly sustainability-led, given Primark Cares. That conclusion would need evidence that environmental and worker outcomes can override short-term sales or cost targets when the objectives conflict. The distinction matters because a statement of purpose identifies an ambition, whereas the prevailing culture is shown by repeated choices under pressure.</w:t>
      </w:r>
    </w:p>
    <w:p w14:paraId="6C96FF70" w14:textId="77777777" w:rsidR="00E5255A" w:rsidRPr="00A272B4" w:rsidRDefault="003F117E" w:rsidP="00A272B4">
      <w:pPr>
        <w:pStyle w:val="ListParagraph"/>
        <w:numPr>
          <w:ilvl w:val="0"/>
          <w:numId w:val="3"/>
        </w:numPr>
        <w:spacing w:line="360" w:lineRule="auto"/>
        <w:ind w:left="360"/>
        <w:jc w:val="both"/>
        <w:rPr>
          <w:rFonts w:ascii="Arial" w:hAnsi="Arial" w:cs="Arial"/>
          <w:b/>
          <w:bCs/>
        </w:rPr>
      </w:pPr>
      <w:r w:rsidRPr="00A272B4">
        <w:rPr>
          <w:rFonts w:ascii="Arial" w:hAnsi="Arial" w:cs="Arial"/>
          <w:b/>
          <w:bCs/>
        </w:rPr>
        <w:t xml:space="preserve">External Environment </w:t>
      </w:r>
      <w:proofErr w:type="gramStart"/>
      <w:r w:rsidRPr="00A272B4">
        <w:rPr>
          <w:rFonts w:ascii="Arial" w:hAnsi="Arial" w:cs="Arial"/>
          <w:b/>
          <w:bCs/>
        </w:rPr>
        <w:t>And</w:t>
      </w:r>
      <w:proofErr w:type="gramEnd"/>
      <w:r w:rsidRPr="00A272B4">
        <w:rPr>
          <w:rFonts w:ascii="Arial" w:hAnsi="Arial" w:cs="Arial"/>
          <w:b/>
          <w:bCs/>
        </w:rPr>
        <w:t xml:space="preserve"> Adaptation</w:t>
      </w:r>
    </w:p>
    <w:p w14:paraId="77D262D2"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Primark faces linked economic, social, technological and environmental pressures. Customers seek attractive prices, while inflation and cost changes can squeeze margins. The 2025 results show both the strength of the value proposition and a need to adjust products and communication in response to uneven trading across markets (ABF, 2025). A culture oriented toward commercial feedback can respond quickly to sales signals. The limitation is that short-term indicators may underweight longer-term effects such as durability and supplier conditions.</w:t>
      </w:r>
    </w:p>
    <w:p w14:paraId="5D260B4C"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Environmental pressure is particularly significant for fashion. Niinimäki et al. (2020) describe the resource use and waste associated with fast fashion. </w:t>
      </w:r>
      <w:proofErr w:type="spellStart"/>
      <w:r w:rsidR="00E5255A" w:rsidRPr="00A272B4">
        <w:rPr>
          <w:rFonts w:ascii="Arial" w:hAnsi="Arial" w:cs="Arial"/>
        </w:rPr>
        <w:t>Sahimaa</w:t>
      </w:r>
      <w:proofErr w:type="spellEnd"/>
      <w:r w:rsidR="00E5255A" w:rsidRPr="00A272B4">
        <w:rPr>
          <w:rFonts w:ascii="Arial" w:hAnsi="Arial" w:cs="Arial"/>
        </w:rPr>
        <w:t xml:space="preserve"> et al. (2024) argue that changes in fibres alone do not solve problems caused by short product lifetimes and high volumes; systemic change requires design, use, reuse and business-model decisions. Primark's reported increase to 74% recycled or more sustainably sourced fibres indicates movement on materials, but the percentage does </w:t>
      </w:r>
      <w:r w:rsidR="00E5255A" w:rsidRPr="00A272B4">
        <w:rPr>
          <w:rFonts w:ascii="Arial" w:hAnsi="Arial" w:cs="Arial"/>
        </w:rPr>
        <w:lastRenderedPageBreak/>
        <w:t>not measure how long garments last, whether total resource use falls, or how much clothing is sold. Bansal and Song (2017) similarly caution that corporate responsibility claims and long-term sustainability are related but distinct. Primark's culture must therefore make space for questions about absolute impacts, not only relative product attributes.</w:t>
      </w:r>
    </w:p>
    <w:p w14:paraId="178C49F0"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Primark has introduced programmes on materials, circular design and ethical trade, suggesting adaptation within its affordability model. </w:t>
      </w:r>
      <w:proofErr w:type="spellStart"/>
      <w:r w:rsidR="00E5255A" w:rsidRPr="00A272B4">
        <w:rPr>
          <w:rFonts w:ascii="Arial" w:hAnsi="Arial" w:cs="Arial"/>
        </w:rPr>
        <w:t>Abdelmeguid</w:t>
      </w:r>
      <w:proofErr w:type="spellEnd"/>
      <w:r w:rsidR="00E5255A" w:rsidRPr="00A272B4">
        <w:rPr>
          <w:rFonts w:ascii="Arial" w:hAnsi="Arial" w:cs="Arial"/>
        </w:rPr>
        <w:t xml:space="preserve">, </w:t>
      </w:r>
      <w:proofErr w:type="spellStart"/>
      <w:r w:rsidR="00E5255A" w:rsidRPr="00A272B4">
        <w:rPr>
          <w:rFonts w:ascii="Arial" w:hAnsi="Arial" w:cs="Arial"/>
        </w:rPr>
        <w:t>Afy</w:t>
      </w:r>
      <w:proofErr w:type="spellEnd"/>
      <w:r w:rsidR="00E5255A" w:rsidRPr="00A272B4">
        <w:rPr>
          <w:rFonts w:ascii="Arial" w:hAnsi="Arial" w:cs="Arial"/>
        </w:rPr>
        <w:t xml:space="preserve">-Shararah and </w:t>
      </w:r>
      <w:proofErr w:type="spellStart"/>
      <w:r w:rsidR="00E5255A" w:rsidRPr="00A272B4">
        <w:rPr>
          <w:rFonts w:ascii="Arial" w:hAnsi="Arial" w:cs="Arial"/>
        </w:rPr>
        <w:t>Salonitis</w:t>
      </w:r>
      <w:proofErr w:type="spellEnd"/>
      <w:r w:rsidR="00E5255A" w:rsidRPr="00A272B4">
        <w:rPr>
          <w:rFonts w:ascii="Arial" w:hAnsi="Arial" w:cs="Arial"/>
        </w:rPr>
        <w:t xml:space="preserve"> (2024) emphasise that circular practices depend on behaviour across the value chain, not just a product label. Primark's challenge is to coordinate buyers, designers, suppliers, stores and customers around durability and reuse while protecting access for price-sensitive shoppers. This is a strategic tension, rather than a problem that one department can solve.</w:t>
      </w:r>
    </w:p>
    <w:p w14:paraId="7BFD422B"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Social expectations and supply-chain scrutiny also shape adaptation. The Supplier Code sets minimum standards, and Primark participates in collaborative living-wage initiatives (Primark, 2025). However, rules can be undermined if purchasing teams demand prices or lead times that conflict with safe working conditions. External adaptation requires alignment between sourcing promises and commercial incentives. Here the cultural question is whether staff can raise conflicts before an order is placed, and whether leaders accept a higher short-term cost when necessary. Public data is insufficient to establish how often this happens.</w:t>
      </w:r>
    </w:p>
    <w:p w14:paraId="6B6323B5" w14:textId="447A810E" w:rsidR="00CA1D3D"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Digital change adds another pressure. Primark's customer experience remains strongly connected to physical stores, but online information, inventory visibility and digital communication affect what shoppers expect. Investment in digital tools can improve stock information and feedback, yet software will not automatically change the priorities behind a buying decision. If managers are rewarded only for short-term sales, better data may simply make the existing model faster. If they are also accountable for quality and waste, the same data can reveal where products fail to meet expectations. Adaptation therefore depends on culture and incentives as well as technology.</w:t>
      </w:r>
    </w:p>
    <w:p w14:paraId="41E7CA42" w14:textId="0D2811B3" w:rsidR="0095375A" w:rsidRPr="00A272B4" w:rsidRDefault="0095375A" w:rsidP="00A272B4">
      <w:pPr>
        <w:keepNext/>
        <w:spacing w:after="120" w:line="360" w:lineRule="auto"/>
        <w:jc w:val="center"/>
        <w:rPr>
          <w:rFonts w:ascii="Arial" w:hAnsi="Arial" w:cs="Arial"/>
        </w:rPr>
      </w:pPr>
      <w:r w:rsidRPr="00A272B4">
        <w:rPr>
          <w:rFonts w:ascii="Arial" w:hAnsi="Arial" w:cs="Arial"/>
          <w:noProof/>
        </w:rPr>
        <w:lastRenderedPageBreak/>
        <w:drawing>
          <wp:inline distT="0" distB="0" distL="0" distR="0" wp14:anchorId="2348FB92" wp14:editId="6D6A4363">
            <wp:extent cx="3169339" cy="4206240"/>
            <wp:effectExtent l="0" t="0" r="2540" b="0"/>
            <wp:docPr id="57966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69339" cy="4206240"/>
                    </a:xfrm>
                    <a:prstGeom prst="rect">
                      <a:avLst/>
                    </a:prstGeom>
                    <a:noFill/>
                    <a:ln>
                      <a:noFill/>
                    </a:ln>
                  </pic:spPr>
                </pic:pic>
              </a:graphicData>
            </a:graphic>
          </wp:inline>
        </w:drawing>
      </w:r>
    </w:p>
    <w:p w14:paraId="7F1E3BDF" w14:textId="3A6EF6F9" w:rsidR="00AB0E88" w:rsidRPr="00A272B4" w:rsidRDefault="00C54F16" w:rsidP="00A272B4">
      <w:pPr>
        <w:spacing w:line="360" w:lineRule="auto"/>
        <w:rPr>
          <w:rFonts w:ascii="Arial" w:hAnsi="Arial" w:cs="Arial"/>
        </w:rPr>
      </w:pPr>
      <w:r w:rsidRPr="00A272B4">
        <w:t>Figure 2. Customers and employees at Primark checkout desks, Oxford Street, London, 26 February 2016. Historical illustration of in-store selling. Credit: Luke MacGregor/Bloomberg via Getty Images (source information shown in the supplied screenshot).</w:t>
      </w:r>
    </w:p>
    <w:p w14:paraId="45EBD485"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The external pressures also unfold on different timescales. A missed sales target is visible quickly, whereas the effect of poor durability or supplier pressure may emerge months later. This difference can cause rational managers to prefer the measure reported this week over the risk borne by others in the future. One practical response is to link customer complaints and product testing to future buying reviews, so long-term quality evidence reaches the people setting specifications. Primark should also examine whether a lower-cost product remains good value after expected wear, repair and disposal are considered. The underlying cultural adjustment is to treat learning from delayed outcomes as part of commercial performance. It cannot be verified solely from a sustainability target or a new digital system.</w:t>
      </w:r>
    </w:p>
    <w:p w14:paraId="0344CB8F" w14:textId="77777777" w:rsidR="00E5255A" w:rsidRPr="00A272B4" w:rsidRDefault="00E5255A" w:rsidP="00A272B4">
      <w:pPr>
        <w:pStyle w:val="Heading1"/>
        <w:numPr>
          <w:ilvl w:val="0"/>
          <w:numId w:val="3"/>
        </w:numPr>
        <w:spacing w:line="360" w:lineRule="auto"/>
        <w:ind w:left="360"/>
        <w:jc w:val="both"/>
        <w:rPr>
          <w:rFonts w:ascii="Arial" w:hAnsi="Arial" w:cs="Arial"/>
          <w:b/>
          <w:bCs/>
          <w:color w:val="auto"/>
          <w:sz w:val="24"/>
          <w:szCs w:val="24"/>
        </w:rPr>
      </w:pPr>
      <w:r w:rsidRPr="00A272B4">
        <w:rPr>
          <w:rFonts w:ascii="Arial" w:hAnsi="Arial" w:cs="Arial"/>
          <w:b/>
          <w:bCs/>
          <w:color w:val="auto"/>
          <w:sz w:val="24"/>
          <w:szCs w:val="24"/>
        </w:rPr>
        <w:lastRenderedPageBreak/>
        <w:t xml:space="preserve">Culture </w:t>
      </w:r>
      <w:r w:rsidR="00E1622B" w:rsidRPr="00A272B4">
        <w:rPr>
          <w:rFonts w:ascii="Arial" w:hAnsi="Arial" w:cs="Arial"/>
          <w:b/>
          <w:bCs/>
          <w:color w:val="auto"/>
          <w:sz w:val="24"/>
          <w:szCs w:val="24"/>
        </w:rPr>
        <w:t xml:space="preserve">As Enabler </w:t>
      </w:r>
      <w:proofErr w:type="gramStart"/>
      <w:r w:rsidR="00E1622B" w:rsidRPr="00A272B4">
        <w:rPr>
          <w:rFonts w:ascii="Arial" w:hAnsi="Arial" w:cs="Arial"/>
          <w:b/>
          <w:bCs/>
          <w:color w:val="auto"/>
          <w:sz w:val="24"/>
          <w:szCs w:val="24"/>
        </w:rPr>
        <w:t>And</w:t>
      </w:r>
      <w:proofErr w:type="gramEnd"/>
      <w:r w:rsidR="00E1622B" w:rsidRPr="00A272B4">
        <w:rPr>
          <w:rFonts w:ascii="Arial" w:hAnsi="Arial" w:cs="Arial"/>
          <w:b/>
          <w:bCs/>
          <w:color w:val="auto"/>
          <w:sz w:val="24"/>
          <w:szCs w:val="24"/>
        </w:rPr>
        <w:t xml:space="preserve"> Barrier</w:t>
      </w:r>
    </w:p>
    <w:p w14:paraId="0141ED3E"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Culture acts as an enabler when it gives people a shared purpose and a reliable way to coordinate. Primark's value focus supports clear customer positioning and repeatable decisions across a growing store network. Formal supplier and sustainability systems give colleagues common standards. Liu, Tsui and </w:t>
      </w:r>
      <w:proofErr w:type="spellStart"/>
      <w:r w:rsidR="00E5255A" w:rsidRPr="00A272B4">
        <w:rPr>
          <w:rFonts w:ascii="Arial" w:hAnsi="Arial" w:cs="Arial"/>
        </w:rPr>
        <w:t>Kianto's</w:t>
      </w:r>
      <w:proofErr w:type="spellEnd"/>
      <w:r w:rsidR="00E5255A" w:rsidRPr="00A272B4">
        <w:rPr>
          <w:rFonts w:ascii="Arial" w:hAnsi="Arial" w:cs="Arial"/>
        </w:rPr>
        <w:t xml:space="preserve"> (2021) meta-analysis </w:t>
      </w:r>
      <w:proofErr w:type="gramStart"/>
      <w:r w:rsidR="00E5255A" w:rsidRPr="00A272B4">
        <w:rPr>
          <w:rFonts w:ascii="Arial" w:hAnsi="Arial" w:cs="Arial"/>
        </w:rPr>
        <w:t>associates</w:t>
      </w:r>
      <w:proofErr w:type="gramEnd"/>
      <w:r w:rsidR="00E5255A" w:rsidRPr="00A272B4">
        <w:rPr>
          <w:rFonts w:ascii="Arial" w:hAnsi="Arial" w:cs="Arial"/>
        </w:rPr>
        <w:t xml:space="preserve"> knowledge-friendly cultures with organisational performance, suggesting that learning across functions can be valuable when a retailer needs to adapt. The relationship is not proof that Primark's own learning practices caused its financial results.</w:t>
      </w:r>
    </w:p>
    <w:p w14:paraId="59371128"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The same culture can become a barrier if the imperative for low prices crowds out questions about product life or labour conditions. Market targets may reward rapid throughput while environmental and social costs remain less visible in ordinary reports. </w:t>
      </w:r>
      <w:proofErr w:type="spellStart"/>
      <w:r w:rsidR="00E5255A" w:rsidRPr="00A272B4">
        <w:rPr>
          <w:rFonts w:ascii="Arial" w:hAnsi="Arial" w:cs="Arial"/>
        </w:rPr>
        <w:t>Sahimaa</w:t>
      </w:r>
      <w:proofErr w:type="spellEnd"/>
      <w:r w:rsidR="00E5255A" w:rsidRPr="00A272B4">
        <w:rPr>
          <w:rFonts w:ascii="Arial" w:hAnsi="Arial" w:cs="Arial"/>
        </w:rPr>
        <w:t xml:space="preserve"> et al. (2024) argue that incremental changes may leave the high-volume logic of fast fashion intact. Primark's materials progress should thus be recognised without treating it as a complete answer to systemic criticism.</w:t>
      </w:r>
    </w:p>
    <w:p w14:paraId="309A0DC2"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Another potential barrier is silence within a large hierarchy. If store colleagues or suppliers see problems but cannot escalate them safely, senior management receives incomplete information. Morrison (2023) identifies organisational consequences of employee silence. Primark's public statements about inclusion and development are positive signals, yet independent evidence of voice, response rates and remedy outcomes is needed before concluding that participation is embedded. </w:t>
      </w:r>
      <w:r w:rsidRPr="00A272B4">
        <w:rPr>
          <w:rFonts w:ascii="Arial" w:hAnsi="Arial" w:cs="Arial"/>
        </w:rPr>
        <w:tab/>
      </w:r>
      <w:r w:rsidR="00E5255A" w:rsidRPr="00A272B4">
        <w:rPr>
          <w:rFonts w:ascii="Arial" w:hAnsi="Arial" w:cs="Arial"/>
        </w:rPr>
        <w:t>The most defensible judgement is conditional: Primark's culture enables scale and affordability, but its effectiveness over time depends on whether ethical, environmental and employee feedback can alter commercial decisions rather than merely accompany them.</w:t>
      </w:r>
    </w:p>
    <w:p w14:paraId="210E973B" w14:textId="77777777" w:rsidR="00E5255A" w:rsidRPr="00A272B4" w:rsidRDefault="00E5255A" w:rsidP="00A272B4">
      <w:pPr>
        <w:spacing w:line="360" w:lineRule="auto"/>
        <w:jc w:val="both"/>
        <w:rPr>
          <w:rFonts w:ascii="Arial" w:hAnsi="Arial" w:cs="Arial"/>
        </w:rPr>
      </w:pPr>
      <w:r w:rsidRPr="00A272B4">
        <w:rPr>
          <w:rFonts w:ascii="Arial" w:hAnsi="Arial" w:cs="Arial"/>
        </w:rPr>
        <w:t xml:space="preserve">The judgement also depends on whose interests count. For a customer with a limited budget, affordable clothes can be a genuine benefit. For a supplier worker, the relevant test may be pay, hours and safety. For the wider public, resource use and waste matter. A culture can be effective against one narrow objective and problematic against another. This is why an assessment based only on Primark's reported financial performance would be incomplete. It is also why this report avoids describing the company as wholly ethical or wholly harmful </w:t>
      </w:r>
      <w:proofErr w:type="gramStart"/>
      <w:r w:rsidRPr="00A272B4">
        <w:rPr>
          <w:rFonts w:ascii="Arial" w:hAnsi="Arial" w:cs="Arial"/>
        </w:rPr>
        <w:t>on the basis of</w:t>
      </w:r>
      <w:proofErr w:type="gramEnd"/>
      <w:r w:rsidRPr="00A272B4">
        <w:rPr>
          <w:rFonts w:ascii="Arial" w:hAnsi="Arial" w:cs="Arial"/>
        </w:rPr>
        <w:t xml:space="preserve"> selective public indicators.</w:t>
      </w:r>
    </w:p>
    <w:p w14:paraId="47CC7E69" w14:textId="77777777" w:rsidR="00E5255A" w:rsidRPr="00A272B4" w:rsidRDefault="003F117E" w:rsidP="00A272B4">
      <w:pPr>
        <w:spacing w:line="360" w:lineRule="auto"/>
        <w:jc w:val="both"/>
        <w:rPr>
          <w:rFonts w:ascii="Arial" w:hAnsi="Arial" w:cs="Arial"/>
        </w:rPr>
      </w:pPr>
      <w:r w:rsidRPr="00A272B4">
        <w:rPr>
          <w:rFonts w:ascii="Arial" w:hAnsi="Arial" w:cs="Arial"/>
        </w:rPr>
        <w:lastRenderedPageBreak/>
        <w:tab/>
      </w:r>
      <w:r w:rsidR="00E5255A" w:rsidRPr="00A272B4">
        <w:rPr>
          <w:rFonts w:ascii="Arial" w:hAnsi="Arial" w:cs="Arial"/>
        </w:rPr>
        <w:t>There is a further risk in assuming that formal compliance signals automatically change informal behaviour. A supplier may pass an audit yet still face pressure when an order changes late. Similarly, a store employee may know the escalation process but hesitate to use it if colleagues believe complaints are unwelcome. Schein and Schein (2017) suggest that repeated leadership responses teach employees what matters in practice. Managers therefore need to explain decisions made after a concern is raised, including instances where cost or timing changes as a result. Such examples would provide stronger evidence of a learning culture than training attendance alone. Equally, reports of unresolved concerns would show where cultural barriers remain. Public sources provide too little detail to determine whether these patterns occur at Primark.</w:t>
      </w:r>
    </w:p>
    <w:p w14:paraId="0B1A6308" w14:textId="77777777" w:rsidR="00E5255A" w:rsidRPr="00A272B4" w:rsidRDefault="003F117E" w:rsidP="00A272B4">
      <w:pPr>
        <w:pStyle w:val="Heading1"/>
        <w:numPr>
          <w:ilvl w:val="0"/>
          <w:numId w:val="3"/>
        </w:numPr>
        <w:spacing w:line="360" w:lineRule="auto"/>
        <w:ind w:left="360"/>
        <w:jc w:val="both"/>
        <w:rPr>
          <w:rFonts w:ascii="Arial" w:hAnsi="Arial" w:cs="Arial"/>
          <w:b/>
          <w:bCs/>
          <w:color w:val="auto"/>
          <w:sz w:val="24"/>
          <w:szCs w:val="24"/>
        </w:rPr>
      </w:pPr>
      <w:r w:rsidRPr="00A272B4">
        <w:rPr>
          <w:rFonts w:ascii="Arial" w:hAnsi="Arial" w:cs="Arial"/>
          <w:b/>
          <w:bCs/>
          <w:color w:val="auto"/>
          <w:sz w:val="24"/>
          <w:szCs w:val="24"/>
        </w:rPr>
        <w:t>Performance And Recommendations</w:t>
      </w:r>
    </w:p>
    <w:p w14:paraId="0E55D811" w14:textId="77777777" w:rsidR="00E5255A" w:rsidRPr="00A272B4" w:rsidRDefault="00E5255A" w:rsidP="00A272B4">
      <w:pPr>
        <w:spacing w:line="360" w:lineRule="auto"/>
        <w:jc w:val="both"/>
        <w:rPr>
          <w:rFonts w:ascii="Arial" w:hAnsi="Arial" w:cs="Arial"/>
        </w:rPr>
      </w:pPr>
      <w:r w:rsidRPr="00A272B4">
        <w:rPr>
          <w:rFonts w:ascii="Arial" w:hAnsi="Arial" w:cs="Arial"/>
        </w:rPr>
        <w:t>Performance should be assessed across more than sales and profit. ABF's 2025 retail sales and profit show that the operating model generated substantial financial returns. They do not reveal whether garment life improved, whether supplier workers received better wages, or whether store colleagues felt able to report problems. Hartnell et al. (2011) and Schneider et al. (2013) support a multidimensional view of culture and effectiveness; financial, operational, employee and social outcomes should be considered together. This avoids claiming that a single cultural trait directly caused the reported results.</w:t>
      </w:r>
    </w:p>
    <w:p w14:paraId="0E4EB375" w14:textId="77777777" w:rsidR="00AB0E88" w:rsidRPr="00A272B4" w:rsidRDefault="00C54F16" w:rsidP="00A272B4">
      <w:pPr>
        <w:keepNext/>
        <w:spacing w:after="120" w:line="360" w:lineRule="auto"/>
        <w:jc w:val="center"/>
        <w:rPr>
          <w:rFonts w:ascii="Arial" w:hAnsi="Arial" w:cs="Arial"/>
        </w:rPr>
      </w:pPr>
      <w:r w:rsidRPr="00A272B4">
        <w:rPr>
          <w:rFonts w:ascii="Arial" w:hAnsi="Arial" w:cs="Arial"/>
          <w:noProof/>
        </w:rPr>
        <w:lastRenderedPageBreak/>
        <w:drawing>
          <wp:inline distT="0" distB="0" distL="0" distR="0" wp14:anchorId="2595CFCD" wp14:editId="7F51BE6A">
            <wp:extent cx="5303520" cy="25339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es.png"/>
                    <pic:cNvPicPr/>
                  </pic:nvPicPr>
                  <pic:blipFill>
                    <a:blip r:embed="rId14"/>
                    <a:stretch>
                      <a:fillRect/>
                    </a:stretch>
                  </pic:blipFill>
                  <pic:spPr>
                    <a:xfrm>
                      <a:off x="0" y="0"/>
                      <a:ext cx="5303520" cy="2533904"/>
                    </a:xfrm>
                    <a:prstGeom prst="rect">
                      <a:avLst/>
                    </a:prstGeom>
                  </pic:spPr>
                </pic:pic>
              </a:graphicData>
            </a:graphic>
          </wp:inline>
        </w:drawing>
      </w:r>
    </w:p>
    <w:p w14:paraId="7C475A94" w14:textId="77777777" w:rsidR="00AB0E88" w:rsidRPr="00A272B4" w:rsidRDefault="00C54F16" w:rsidP="00A272B4">
      <w:pPr>
        <w:spacing w:line="360" w:lineRule="auto"/>
        <w:rPr>
          <w:rFonts w:ascii="Arial" w:hAnsi="Arial" w:cs="Arial"/>
        </w:rPr>
      </w:pPr>
      <w:r w:rsidRPr="00A272B4">
        <w:t>Figure 3. Primark total sales growth by market, FY2025 versus FY2024, at constant currency. Source: ABF (2025), Annual Results Announcement, Retail operating review, p. 5.</w:t>
      </w:r>
    </w:p>
    <w:p w14:paraId="586AE01E" w14:textId="77777777" w:rsidR="00AB0E88" w:rsidRPr="00A272B4" w:rsidRDefault="00C54F16" w:rsidP="00A272B4">
      <w:pPr>
        <w:spacing w:after="120" w:line="360" w:lineRule="auto"/>
        <w:rPr>
          <w:rFonts w:ascii="Arial" w:hAnsi="Arial" w:cs="Arial"/>
        </w:rPr>
      </w:pPr>
      <w:r w:rsidRPr="00A272B4">
        <w:rPr>
          <w:rFonts w:ascii="Arial" w:hAnsi="Arial" w:cs="Arial"/>
        </w:rPr>
        <w:t>Sales fell by 1% in the UK and Ireland but rose by 2% in the rest of Europe and 20% in the US. Total Primark sales grew by 1%. These are total sales changes, including the effects of new stores; they are not like-for-like sales figures (ABF, 2025).</w:t>
      </w:r>
    </w:p>
    <w:p w14:paraId="1724BE96"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First, Primark should integrate durability and labour indicators into buying approval alongside price, margin and delivery. A cross-functional review could require buyers, quality teams and ethical-trade staff to record the expected life of a product, the supplier's working-hours risk and the commercial trade-off. Senior leaders should review exceptions before large orders proceed. This recommendation follows Schein and Schein's (2017) insight that leaders embed values through the criteria they use in decisions. Its cost is slower approval and possible price pressure, so Primark should pilot it in selected product categories and measure defect rates, returns and supplier outcomes before scaling.</w:t>
      </w:r>
    </w:p>
    <w:p w14:paraId="77B0323E"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Second, Primark should strengthen voice from stores and the supply chain. It could publish how many concerns are raised, the proportion resolved, median time to resolution and examples of changes made, while protecting confidentiality. Supplier and worker representatives should be able to challenge unrealistic lead times without retaliation. Morrison (2023) provides the rationale for making voice consequential. A reporting channel alone is insufficient if commercial managers do not act on the information. Independent checks would improve credibility.</w:t>
      </w:r>
    </w:p>
    <w:p w14:paraId="3D8465BE" w14:textId="77777777" w:rsidR="00E5255A" w:rsidRPr="00A272B4" w:rsidRDefault="003F117E" w:rsidP="00A272B4">
      <w:pPr>
        <w:spacing w:line="360" w:lineRule="auto"/>
        <w:jc w:val="both"/>
        <w:rPr>
          <w:rFonts w:ascii="Arial" w:hAnsi="Arial" w:cs="Arial"/>
        </w:rPr>
      </w:pPr>
      <w:r w:rsidRPr="00A272B4">
        <w:rPr>
          <w:rFonts w:ascii="Arial" w:hAnsi="Arial" w:cs="Arial"/>
        </w:rPr>
        <w:lastRenderedPageBreak/>
        <w:tab/>
      </w:r>
      <w:r w:rsidR="00E5255A" w:rsidRPr="00A272B4">
        <w:rPr>
          <w:rFonts w:ascii="Arial" w:hAnsi="Arial" w:cs="Arial"/>
        </w:rPr>
        <w:t xml:space="preserve">Third, Primark should publish a balanced scorecard connecting value to longevity and absolute environmental outcomes. Useful measures include garment durability tests, repair or reuse uptake, total material volume, supplier working-hours breaches and progress on wages, alongside sales and margin. Niinimäki et al. (2020) and </w:t>
      </w:r>
      <w:proofErr w:type="spellStart"/>
      <w:r w:rsidR="00E5255A" w:rsidRPr="00A272B4">
        <w:rPr>
          <w:rFonts w:ascii="Arial" w:hAnsi="Arial" w:cs="Arial"/>
        </w:rPr>
        <w:t>Sahimaa</w:t>
      </w:r>
      <w:proofErr w:type="spellEnd"/>
      <w:r w:rsidR="00E5255A" w:rsidRPr="00A272B4">
        <w:rPr>
          <w:rFonts w:ascii="Arial" w:hAnsi="Arial" w:cs="Arial"/>
        </w:rPr>
        <w:t xml:space="preserve"> et al. (2024) show why material percentages alone are an incomplete measure of fashion sustainability. The scorecard should explain methods and limitations, because rising sales can offset improvements per item.</w:t>
      </w:r>
    </w:p>
    <w:p w14:paraId="1B3FEF2F"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The scorecard should distinguish leading indicators from final outcomes. Training buyers and testing fabrics may predict improvement, but they do not show that customers </w:t>
      </w:r>
      <w:proofErr w:type="gramStart"/>
      <w:r w:rsidR="00E5255A" w:rsidRPr="00A272B4">
        <w:rPr>
          <w:rFonts w:ascii="Arial" w:hAnsi="Arial" w:cs="Arial"/>
        </w:rPr>
        <w:t>actually wear</w:t>
      </w:r>
      <w:proofErr w:type="gramEnd"/>
      <w:r w:rsidR="00E5255A" w:rsidRPr="00A272B4">
        <w:rPr>
          <w:rFonts w:ascii="Arial" w:hAnsi="Arial" w:cs="Arial"/>
        </w:rPr>
        <w:t xml:space="preserve"> clothes longer. Primark could start with a small set of product categories, compare durability test results with return reasons and customer feedback, and refine the method before reporting a company-wide figure. For suppliers, it should separate the presence of a policy from evidence of remedy after a breach. Targets must be interpreted with context: a higher number of detected problems may reflect better monitoring. Independent assurance and consistent definitions over time would make trends easier to judge. This approach creates a clearer test of whether culture changes what the business delivers.</w:t>
      </w:r>
    </w:p>
    <w:p w14:paraId="5055F405" w14:textId="387D6F6F" w:rsidR="00537A5B"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Finally, Primark should use regular cross-functional reviews to compare its declared values with actual decisions. A sample of buying, supplier and store decisions can reveal whether low cost, ethical standards and customer quality were weighed consistently. This is more useful than assuming a single culture label provides an answer. The recommendations are feasible in stages, but their success should be judged by observed changes in decisions and outcomes, not by the number of new policies.</w:t>
      </w:r>
    </w:p>
    <w:p w14:paraId="59897BCB" w14:textId="77777777" w:rsidR="00A272B4" w:rsidRDefault="00A272B4" w:rsidP="00A272B4">
      <w:pPr>
        <w:spacing w:line="360" w:lineRule="auto"/>
        <w:jc w:val="both"/>
        <w:rPr>
          <w:rFonts w:ascii="Arial" w:hAnsi="Arial" w:cs="Arial"/>
        </w:rPr>
      </w:pPr>
    </w:p>
    <w:p w14:paraId="77921365" w14:textId="77777777" w:rsidR="00A272B4" w:rsidRDefault="00A272B4" w:rsidP="00A272B4">
      <w:pPr>
        <w:spacing w:line="360" w:lineRule="auto"/>
        <w:jc w:val="both"/>
        <w:rPr>
          <w:rFonts w:ascii="Arial" w:hAnsi="Arial" w:cs="Arial"/>
        </w:rPr>
      </w:pPr>
    </w:p>
    <w:p w14:paraId="064B5D77" w14:textId="77777777" w:rsidR="00A272B4" w:rsidRDefault="00A272B4" w:rsidP="00A272B4">
      <w:pPr>
        <w:spacing w:line="360" w:lineRule="auto"/>
        <w:jc w:val="both"/>
        <w:rPr>
          <w:rFonts w:ascii="Arial" w:hAnsi="Arial" w:cs="Arial"/>
        </w:rPr>
      </w:pPr>
    </w:p>
    <w:p w14:paraId="74DA0335" w14:textId="77777777" w:rsidR="00A272B4" w:rsidRDefault="00A272B4" w:rsidP="00A272B4">
      <w:pPr>
        <w:spacing w:line="360" w:lineRule="auto"/>
        <w:jc w:val="both"/>
        <w:rPr>
          <w:rFonts w:ascii="Arial" w:hAnsi="Arial" w:cs="Arial"/>
        </w:rPr>
      </w:pPr>
    </w:p>
    <w:p w14:paraId="7DACA4A1" w14:textId="77777777" w:rsidR="00A272B4" w:rsidRPr="00A272B4" w:rsidRDefault="00A272B4" w:rsidP="00A272B4">
      <w:pPr>
        <w:spacing w:line="360" w:lineRule="auto"/>
        <w:jc w:val="both"/>
        <w:rPr>
          <w:rFonts w:ascii="Arial" w:hAnsi="Arial" w:cs="Arial"/>
        </w:rPr>
      </w:pPr>
    </w:p>
    <w:p w14:paraId="5E527F07" w14:textId="77777777" w:rsidR="00E5255A" w:rsidRPr="00A272B4" w:rsidRDefault="00E5255A" w:rsidP="00A272B4">
      <w:pPr>
        <w:pStyle w:val="Heading1"/>
        <w:numPr>
          <w:ilvl w:val="0"/>
          <w:numId w:val="3"/>
        </w:numPr>
        <w:spacing w:line="360" w:lineRule="auto"/>
        <w:ind w:left="360"/>
        <w:jc w:val="both"/>
        <w:rPr>
          <w:rFonts w:ascii="Arial" w:hAnsi="Arial" w:cs="Arial"/>
          <w:b/>
          <w:bCs/>
          <w:color w:val="auto"/>
          <w:sz w:val="24"/>
          <w:szCs w:val="24"/>
        </w:rPr>
      </w:pPr>
      <w:r w:rsidRPr="00A272B4">
        <w:rPr>
          <w:rFonts w:ascii="Arial" w:hAnsi="Arial" w:cs="Arial"/>
          <w:b/>
          <w:bCs/>
          <w:color w:val="auto"/>
          <w:sz w:val="24"/>
          <w:szCs w:val="24"/>
        </w:rPr>
        <w:lastRenderedPageBreak/>
        <w:t>Conclusion</w:t>
      </w:r>
    </w:p>
    <w:p w14:paraId="1DE00F27"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Primark's public evidence points to a predominantly market-oriented culture supported by formal controls and some collaborative practices. This combination helps coordinate affordable fashion at international scale. It also creates a recurring tension: commercial speed and low prices can limit progress on garment longevity, worker welfare and environmental impact if those outcomes are not part of everyday decisions. The evidence does not permit a definitive claim about employees' underlying assumptions or supplier experiences. Primark can strengthen the enabling side of its culture by giving ethical and durability evidence genuine authority in buying, listening to colleagues and suppliers, and reporting outcomes that test the substance of its commitments.</w:t>
      </w:r>
    </w:p>
    <w:p w14:paraId="37B21C51" w14:textId="77777777" w:rsidR="00E5255A" w:rsidRPr="00A272B4" w:rsidRDefault="003F117E" w:rsidP="00A272B4">
      <w:pPr>
        <w:spacing w:line="360" w:lineRule="auto"/>
        <w:jc w:val="both"/>
        <w:rPr>
          <w:rFonts w:ascii="Arial" w:hAnsi="Arial" w:cs="Arial"/>
        </w:rPr>
      </w:pPr>
      <w:r w:rsidRPr="00A272B4">
        <w:rPr>
          <w:rFonts w:ascii="Arial" w:hAnsi="Arial" w:cs="Arial"/>
        </w:rPr>
        <w:tab/>
      </w:r>
      <w:r w:rsidR="00E5255A" w:rsidRPr="00A272B4">
        <w:rPr>
          <w:rFonts w:ascii="Arial" w:hAnsi="Arial" w:cs="Arial"/>
        </w:rPr>
        <w:t xml:space="preserve">The recommended changes should be evaluated over several reporting periods. One year of improved materials or sales cannot establish a durable cultural shift. A stronger test would show that concerns raised by workers and colleagues affect product and sourcing choices, that garments last longer in use, and that progress is maintained when costs rise. This would connect the company's stated values to the decisions that culture </w:t>
      </w:r>
      <w:proofErr w:type="gramStart"/>
      <w:r w:rsidR="00E5255A" w:rsidRPr="00A272B4">
        <w:rPr>
          <w:rFonts w:ascii="Arial" w:hAnsi="Arial" w:cs="Arial"/>
        </w:rPr>
        <w:t>actually shapes</w:t>
      </w:r>
      <w:proofErr w:type="gramEnd"/>
      <w:r w:rsidR="00E5255A" w:rsidRPr="00A272B4">
        <w:rPr>
          <w:rFonts w:ascii="Arial" w:hAnsi="Arial" w:cs="Arial"/>
        </w:rPr>
        <w:t>. Comparing those decisions with worker and customer outcomes would also help leaders identify where affordability, responsible sourcing and durability reinforce one another, and where a genuine trade-off still requires transparent judgement.</w:t>
      </w:r>
    </w:p>
    <w:p w14:paraId="3110EF82" w14:textId="77777777" w:rsidR="00E5255A" w:rsidRPr="00A272B4" w:rsidRDefault="00E5255A" w:rsidP="00A272B4">
      <w:pPr>
        <w:pStyle w:val="Heading1"/>
        <w:pageBreakBefore/>
        <w:numPr>
          <w:ilvl w:val="0"/>
          <w:numId w:val="3"/>
        </w:numPr>
        <w:spacing w:line="360" w:lineRule="auto"/>
        <w:ind w:left="360"/>
        <w:jc w:val="both"/>
        <w:rPr>
          <w:rFonts w:ascii="Arial" w:hAnsi="Arial" w:cs="Arial"/>
          <w:b/>
          <w:bCs/>
          <w:color w:val="auto"/>
          <w:sz w:val="24"/>
          <w:szCs w:val="24"/>
        </w:rPr>
      </w:pPr>
      <w:r w:rsidRPr="00A272B4">
        <w:rPr>
          <w:rFonts w:ascii="Arial" w:hAnsi="Arial" w:cs="Arial"/>
          <w:b/>
          <w:bCs/>
          <w:color w:val="auto"/>
          <w:sz w:val="24"/>
          <w:szCs w:val="24"/>
        </w:rPr>
        <w:lastRenderedPageBreak/>
        <w:t>References</w:t>
      </w:r>
    </w:p>
    <w:p w14:paraId="71C109F1" w14:textId="77777777" w:rsidR="00E5255A" w:rsidRPr="00A272B4" w:rsidRDefault="00E5255A" w:rsidP="00A272B4">
      <w:pPr>
        <w:spacing w:after="100" w:line="360" w:lineRule="auto"/>
        <w:ind w:left="360" w:hanging="360"/>
        <w:jc w:val="both"/>
        <w:rPr>
          <w:rFonts w:ascii="Arial" w:hAnsi="Arial" w:cs="Arial"/>
        </w:rPr>
      </w:pPr>
      <w:proofErr w:type="spellStart"/>
      <w:r w:rsidRPr="00A272B4">
        <w:rPr>
          <w:rFonts w:ascii="Arial" w:hAnsi="Arial" w:cs="Arial"/>
        </w:rPr>
        <w:t>Abdelmeguid</w:t>
      </w:r>
      <w:proofErr w:type="spellEnd"/>
      <w:r w:rsidRPr="00A272B4">
        <w:rPr>
          <w:rFonts w:ascii="Arial" w:hAnsi="Arial" w:cs="Arial"/>
        </w:rPr>
        <w:t xml:space="preserve">, A., </w:t>
      </w:r>
      <w:proofErr w:type="spellStart"/>
      <w:r w:rsidRPr="00A272B4">
        <w:rPr>
          <w:rFonts w:ascii="Arial" w:hAnsi="Arial" w:cs="Arial"/>
        </w:rPr>
        <w:t>Afy</w:t>
      </w:r>
      <w:proofErr w:type="spellEnd"/>
      <w:r w:rsidRPr="00A272B4">
        <w:rPr>
          <w:rFonts w:ascii="Arial" w:hAnsi="Arial" w:cs="Arial"/>
        </w:rPr>
        <w:t xml:space="preserve">-Shararah, M. and </w:t>
      </w:r>
      <w:proofErr w:type="spellStart"/>
      <w:r w:rsidRPr="00A272B4">
        <w:rPr>
          <w:rFonts w:ascii="Arial" w:hAnsi="Arial" w:cs="Arial"/>
        </w:rPr>
        <w:t>Salonitis</w:t>
      </w:r>
      <w:proofErr w:type="spellEnd"/>
      <w:r w:rsidRPr="00A272B4">
        <w:rPr>
          <w:rFonts w:ascii="Arial" w:hAnsi="Arial" w:cs="Arial"/>
        </w:rPr>
        <w:t xml:space="preserve">, K. (2024) 'Towards circular fashion: Management strategies promoting circular behaviour along the value chain', Sustainable Production and Consumption, 48, pp. 143-156. </w:t>
      </w:r>
      <w:proofErr w:type="gramStart"/>
      <w:r w:rsidRPr="00A272B4">
        <w:rPr>
          <w:rFonts w:ascii="Arial" w:hAnsi="Arial" w:cs="Arial"/>
        </w:rPr>
        <w:t>doi:10.1016/j.spc</w:t>
      </w:r>
      <w:proofErr w:type="gramEnd"/>
      <w:r w:rsidRPr="00A272B4">
        <w:rPr>
          <w:rFonts w:ascii="Arial" w:hAnsi="Arial" w:cs="Arial"/>
        </w:rPr>
        <w:t>.2024.05.010.</w:t>
      </w:r>
    </w:p>
    <w:p w14:paraId="15A759D7"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Associated British Foods (ABF) (2025) Annual results announcement 2025. Available at: https://www.abf.co.uk/media/news/2025/2025-annual-results-announcement (Accessed: 26 September 2026).</w:t>
      </w:r>
    </w:p>
    <w:p w14:paraId="502E472D"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Bansal, P. and Song, H.-C. (2017) 'Similar but not the same: Differentiating corporate sustainability from corporate responsibility', Academy of Management Annals, 11(1), pp. 105-149. doi:10.5465/annals.2015.0095.</w:t>
      </w:r>
    </w:p>
    <w:p w14:paraId="1A6D5A6C"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Barney, J.B. (1986) 'Organizational culture: Can it be a source of sustained competitive advantage?', Academy of Management Review, 11(3), pp. 656-665.</w:t>
      </w:r>
    </w:p>
    <w:p w14:paraId="7032A93D"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 xml:space="preserve">Cameron, K.S. and Quinn, R.E. (2011) Diagnosing and changing organizational culture. 3rd </w:t>
      </w:r>
      <w:proofErr w:type="spellStart"/>
      <w:r w:rsidRPr="00A272B4">
        <w:rPr>
          <w:rFonts w:ascii="Arial" w:hAnsi="Arial" w:cs="Arial"/>
        </w:rPr>
        <w:t>edn</w:t>
      </w:r>
      <w:proofErr w:type="spellEnd"/>
      <w:r w:rsidRPr="00A272B4">
        <w:rPr>
          <w:rFonts w:ascii="Arial" w:hAnsi="Arial" w:cs="Arial"/>
        </w:rPr>
        <w:t>. San Francisco: Jossey-Bass.</w:t>
      </w:r>
    </w:p>
    <w:p w14:paraId="6293785A"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Hartnell, C.A., Ou, A.Y. and Kinicki, A. (2011) 'Organizational culture and organizational effectiveness: A meta-analytic investigation of the competing values framework', Journal of Applied Psychology, 96(4), pp. 677-694.</w:t>
      </w:r>
    </w:p>
    <w:p w14:paraId="4E7D03D0"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Hofstede, G. (2011) '</w:t>
      </w:r>
      <w:proofErr w:type="spellStart"/>
      <w:r w:rsidRPr="00A272B4">
        <w:rPr>
          <w:rFonts w:ascii="Arial" w:hAnsi="Arial" w:cs="Arial"/>
        </w:rPr>
        <w:t>Dimensionalizing</w:t>
      </w:r>
      <w:proofErr w:type="spellEnd"/>
      <w:r w:rsidRPr="00A272B4">
        <w:rPr>
          <w:rFonts w:ascii="Arial" w:hAnsi="Arial" w:cs="Arial"/>
        </w:rPr>
        <w:t xml:space="preserve"> cultures: The Hofstede model in context', Online Readings in Psychology and Culture, 2(1). doi:10.9707/2307-0919.1014.</w:t>
      </w:r>
    </w:p>
    <w:p w14:paraId="2D082AB7"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 xml:space="preserve">Liu, G., Tsui, E. and </w:t>
      </w:r>
      <w:proofErr w:type="spellStart"/>
      <w:r w:rsidRPr="00A272B4">
        <w:rPr>
          <w:rFonts w:ascii="Arial" w:hAnsi="Arial" w:cs="Arial"/>
        </w:rPr>
        <w:t>Kianto</w:t>
      </w:r>
      <w:proofErr w:type="spellEnd"/>
      <w:r w:rsidRPr="00A272B4">
        <w:rPr>
          <w:rFonts w:ascii="Arial" w:hAnsi="Arial" w:cs="Arial"/>
        </w:rPr>
        <w:t xml:space="preserve">, A. (2021) 'Knowledge-friendly organisational culture and performance: A meta-analysis', Journal of Business Research, 134, pp. 738-753. </w:t>
      </w:r>
      <w:proofErr w:type="gramStart"/>
      <w:r w:rsidRPr="00A272B4">
        <w:rPr>
          <w:rFonts w:ascii="Arial" w:hAnsi="Arial" w:cs="Arial"/>
        </w:rPr>
        <w:t>doi:10.1016/j.jbusres</w:t>
      </w:r>
      <w:proofErr w:type="gramEnd"/>
      <w:r w:rsidRPr="00A272B4">
        <w:rPr>
          <w:rFonts w:ascii="Arial" w:hAnsi="Arial" w:cs="Arial"/>
        </w:rPr>
        <w:t>.2021.05.048.</w:t>
      </w:r>
    </w:p>
    <w:p w14:paraId="2D5B7464"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 xml:space="preserve">Morrison, E.W. (2023) 'Employee voice and silence: Taking stock a decade later', Annual Review of Organizational Psychology and Organizational </w:t>
      </w:r>
      <w:proofErr w:type="spellStart"/>
      <w:r w:rsidRPr="00A272B4">
        <w:rPr>
          <w:rFonts w:ascii="Arial" w:hAnsi="Arial" w:cs="Arial"/>
        </w:rPr>
        <w:t>Behavior</w:t>
      </w:r>
      <w:proofErr w:type="spellEnd"/>
      <w:r w:rsidRPr="00A272B4">
        <w:rPr>
          <w:rFonts w:ascii="Arial" w:hAnsi="Arial" w:cs="Arial"/>
        </w:rPr>
        <w:t>, 10, pp. 79-107. doi:10.1146/annurev-orgpsych-120920-054654.</w:t>
      </w:r>
    </w:p>
    <w:p w14:paraId="288CE5DD"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 xml:space="preserve">Mullins, L.J. and Christy, G. (2016) Management and organisational behaviour. 11th </w:t>
      </w:r>
      <w:proofErr w:type="spellStart"/>
      <w:r w:rsidRPr="00A272B4">
        <w:rPr>
          <w:rFonts w:ascii="Arial" w:hAnsi="Arial" w:cs="Arial"/>
        </w:rPr>
        <w:t>edn</w:t>
      </w:r>
      <w:proofErr w:type="spellEnd"/>
      <w:r w:rsidRPr="00A272B4">
        <w:rPr>
          <w:rFonts w:ascii="Arial" w:hAnsi="Arial" w:cs="Arial"/>
        </w:rPr>
        <w:t>. Harlow: Pearson.</w:t>
      </w:r>
    </w:p>
    <w:p w14:paraId="405B1857"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Niinimäki, K. et al. (2020) 'The environmental price of fast fashion', Nature Reviews Earth &amp; Environment, 1, pp. 189-200. doi:10.1038/s43017-020-0039-9.</w:t>
      </w:r>
    </w:p>
    <w:p w14:paraId="01C19F45"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lastRenderedPageBreak/>
        <w:t>Primark (2025) Sustainability and Ethics Progress Report 2024/25. Available at: https://sr.primark.com/ (Accessed: 26 September 2026).</w:t>
      </w:r>
    </w:p>
    <w:p w14:paraId="7C07CF7D" w14:textId="77777777" w:rsidR="00E5255A" w:rsidRPr="00A272B4" w:rsidRDefault="00E5255A" w:rsidP="00A272B4">
      <w:pPr>
        <w:spacing w:after="100" w:line="360" w:lineRule="auto"/>
        <w:ind w:left="360" w:hanging="360"/>
        <w:jc w:val="both"/>
        <w:rPr>
          <w:rFonts w:ascii="Arial" w:hAnsi="Arial" w:cs="Arial"/>
        </w:rPr>
      </w:pPr>
      <w:r w:rsidRPr="00A272B4">
        <w:rPr>
          <w:rFonts w:ascii="Arial" w:hAnsi="Arial" w:cs="Arial"/>
        </w:rPr>
        <w:t>Primark (2026a) Who we are. Available at: https://corporate.primark.com/en-gb/a/primark-cares/about-us/who-we-are (Accessed: 26 September 2026).</w:t>
      </w:r>
    </w:p>
    <w:p w14:paraId="52AFDBCF" w14:textId="77777777" w:rsidR="00E5255A" w:rsidRPr="00537A5B" w:rsidRDefault="00E5255A" w:rsidP="00A272B4">
      <w:pPr>
        <w:spacing w:after="100" w:line="360" w:lineRule="auto"/>
        <w:ind w:left="360" w:hanging="360"/>
        <w:jc w:val="both"/>
        <w:rPr>
          <w:rFonts w:ascii="Arial" w:hAnsi="Arial" w:cs="Arial"/>
        </w:rPr>
      </w:pPr>
      <w:r w:rsidRPr="00A272B4">
        <w:rPr>
          <w:rFonts w:ascii="Arial" w:hAnsi="Arial" w:cs="Arial"/>
        </w:rPr>
        <w:t>Primark (2026b) Responsible sourcing. Available at: https://corporate.primark.com/en-gb/sustainability-an</w:t>
      </w:r>
      <w:r w:rsidRPr="00537A5B">
        <w:rPr>
          <w:rFonts w:ascii="Arial" w:hAnsi="Arial" w:cs="Arial"/>
        </w:rPr>
        <w:t>d-ethics/our-approach/responsible-sourcing (Accessed: 26 September 2026).</w:t>
      </w:r>
    </w:p>
    <w:p w14:paraId="3F90663F" w14:textId="77777777" w:rsidR="00E5255A" w:rsidRPr="00537A5B" w:rsidRDefault="00E5255A" w:rsidP="00A272B4">
      <w:pPr>
        <w:spacing w:after="100" w:line="360" w:lineRule="auto"/>
        <w:ind w:left="360" w:hanging="360"/>
        <w:jc w:val="both"/>
        <w:rPr>
          <w:rFonts w:ascii="Arial" w:hAnsi="Arial" w:cs="Arial"/>
        </w:rPr>
      </w:pPr>
      <w:r w:rsidRPr="00537A5B">
        <w:rPr>
          <w:rFonts w:ascii="Arial" w:hAnsi="Arial" w:cs="Arial"/>
        </w:rPr>
        <w:t>Primark (2026c) Global sourcing map. Available at: https://corporate.primark.com/en-gb/a/primark-cares/our-approach/global-sourcing-map (Accessed: 26 September 2026).</w:t>
      </w:r>
    </w:p>
    <w:p w14:paraId="21AF54C2" w14:textId="77777777" w:rsidR="00E5255A" w:rsidRPr="00537A5B" w:rsidRDefault="00E5255A" w:rsidP="00A272B4">
      <w:pPr>
        <w:spacing w:after="100" w:line="360" w:lineRule="auto"/>
        <w:ind w:left="360" w:hanging="360"/>
        <w:jc w:val="both"/>
        <w:rPr>
          <w:rFonts w:ascii="Arial" w:hAnsi="Arial" w:cs="Arial"/>
        </w:rPr>
      </w:pPr>
      <w:r w:rsidRPr="00537A5B">
        <w:rPr>
          <w:rFonts w:ascii="Arial" w:hAnsi="Arial" w:cs="Arial"/>
        </w:rPr>
        <w:t>Primark Careers (2026) People and culture. Available at: https://careers.primark.com/en/people-and-culture (Accessed: 26 September 2026).</w:t>
      </w:r>
    </w:p>
    <w:p w14:paraId="5E535018" w14:textId="77777777" w:rsidR="00E5255A" w:rsidRPr="00537A5B" w:rsidRDefault="00E5255A" w:rsidP="00A272B4">
      <w:pPr>
        <w:spacing w:after="100" w:line="360" w:lineRule="auto"/>
        <w:ind w:left="360" w:hanging="360"/>
        <w:jc w:val="both"/>
        <w:rPr>
          <w:rFonts w:ascii="Arial" w:hAnsi="Arial" w:cs="Arial"/>
        </w:rPr>
      </w:pPr>
      <w:proofErr w:type="spellStart"/>
      <w:r w:rsidRPr="00537A5B">
        <w:rPr>
          <w:rFonts w:ascii="Arial" w:hAnsi="Arial" w:cs="Arial"/>
        </w:rPr>
        <w:t>Sahimaa</w:t>
      </w:r>
      <w:proofErr w:type="spellEnd"/>
      <w:r w:rsidRPr="00537A5B">
        <w:rPr>
          <w:rFonts w:ascii="Arial" w:hAnsi="Arial" w:cs="Arial"/>
        </w:rPr>
        <w:t>, O. et al. (2024) 'From simplistic to systemic sustainability in the textile and fashion industry', Circular Economy and Sustainability, 4, pp. 1115-1131. doi:10.1007/s43615-023-00322-w.</w:t>
      </w:r>
    </w:p>
    <w:p w14:paraId="3D349CB5" w14:textId="77777777" w:rsidR="00E5255A" w:rsidRPr="00537A5B" w:rsidRDefault="00E5255A" w:rsidP="00A272B4">
      <w:pPr>
        <w:spacing w:after="100" w:line="360" w:lineRule="auto"/>
        <w:ind w:left="360" w:hanging="360"/>
        <w:jc w:val="both"/>
        <w:rPr>
          <w:rFonts w:ascii="Arial" w:hAnsi="Arial" w:cs="Arial"/>
        </w:rPr>
      </w:pPr>
      <w:r w:rsidRPr="00537A5B">
        <w:rPr>
          <w:rFonts w:ascii="Arial" w:hAnsi="Arial" w:cs="Arial"/>
        </w:rPr>
        <w:t xml:space="preserve">Schein, E.H. and Schein, P.A. (2017) Organizational culture and leadership. 5th </w:t>
      </w:r>
      <w:proofErr w:type="spellStart"/>
      <w:r w:rsidRPr="00537A5B">
        <w:rPr>
          <w:rFonts w:ascii="Arial" w:hAnsi="Arial" w:cs="Arial"/>
        </w:rPr>
        <w:t>edn</w:t>
      </w:r>
      <w:proofErr w:type="spellEnd"/>
      <w:r w:rsidRPr="00537A5B">
        <w:rPr>
          <w:rFonts w:ascii="Arial" w:hAnsi="Arial" w:cs="Arial"/>
        </w:rPr>
        <w:t>. Hoboken: Wiley.</w:t>
      </w:r>
    </w:p>
    <w:p w14:paraId="266CAC7D" w14:textId="77777777" w:rsidR="00E5255A" w:rsidRPr="00537A5B" w:rsidRDefault="00E5255A" w:rsidP="00A272B4">
      <w:pPr>
        <w:spacing w:after="100" w:line="360" w:lineRule="auto"/>
        <w:ind w:left="360" w:hanging="360"/>
        <w:jc w:val="both"/>
        <w:rPr>
          <w:rFonts w:ascii="Arial" w:hAnsi="Arial" w:cs="Arial"/>
        </w:rPr>
      </w:pPr>
      <w:r w:rsidRPr="00537A5B">
        <w:rPr>
          <w:rFonts w:ascii="Arial" w:hAnsi="Arial" w:cs="Arial"/>
        </w:rPr>
        <w:t>Schneider, B., Ehrhart, M.G. and Macey, W.H. (2013) 'Organizational climate and culture', Annual Review of Psychology, 64, pp. 361-388. doi:10.1146/annurev-psych-113011-143809.</w:t>
      </w:r>
    </w:p>
    <w:p w14:paraId="3221FDFE" w14:textId="77777777" w:rsidR="00E5255A" w:rsidRPr="00537A5B" w:rsidRDefault="00E5255A" w:rsidP="00A272B4">
      <w:pPr>
        <w:spacing w:line="360" w:lineRule="auto"/>
        <w:jc w:val="both"/>
        <w:rPr>
          <w:rFonts w:ascii="Arial" w:hAnsi="Arial" w:cs="Arial"/>
        </w:rPr>
      </w:pPr>
      <w:r w:rsidRPr="00537A5B">
        <w:rPr>
          <w:rFonts w:ascii="Arial" w:hAnsi="Arial" w:cs="Arial"/>
        </w:rPr>
        <w:t>Word count (main text, including executive summary; excluding title, student details, headings, table of contents and references): 3269</w:t>
      </w:r>
    </w:p>
    <w:sectPr w:rsidR="00E5255A" w:rsidRPr="00537A5B" w:rsidSect="001529B7">
      <w:pgSz w:w="11906" w:h="16838"/>
      <w:pgMar w:top="1440"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92BFD" w14:textId="77777777" w:rsidR="00883A13" w:rsidRDefault="00883A13" w:rsidP="003474D1">
      <w:pPr>
        <w:spacing w:after="0" w:line="240" w:lineRule="auto"/>
      </w:pPr>
      <w:r>
        <w:separator/>
      </w:r>
    </w:p>
  </w:endnote>
  <w:endnote w:type="continuationSeparator" w:id="0">
    <w:p w14:paraId="11C892CB" w14:textId="77777777" w:rsidR="00883A13" w:rsidRDefault="00883A13" w:rsidP="00347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9714649"/>
      <w:docPartObj>
        <w:docPartGallery w:val="Page Numbers (Bottom of Page)"/>
        <w:docPartUnique/>
      </w:docPartObj>
    </w:sdtPr>
    <w:sdtEndPr>
      <w:rPr>
        <w:noProof/>
      </w:rPr>
    </w:sdtEndPr>
    <w:sdtContent>
      <w:p w14:paraId="704DA49A" w14:textId="77777777" w:rsidR="001529B7" w:rsidRDefault="00152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08D78" w14:textId="77777777" w:rsidR="00FB5554" w:rsidRDefault="00FB5554" w:rsidP="00FB555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E3F94" w14:textId="77777777" w:rsidR="00630838" w:rsidRDefault="00630838">
    <w:pPr>
      <w:pStyle w:val="Footer"/>
      <w:jc w:val="center"/>
    </w:pPr>
  </w:p>
  <w:p w14:paraId="3579F5EB" w14:textId="77777777" w:rsidR="00630838" w:rsidRDefault="00630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BCC17" w14:textId="77777777" w:rsidR="00883A13" w:rsidRDefault="00883A13" w:rsidP="003474D1">
      <w:pPr>
        <w:spacing w:after="0" w:line="240" w:lineRule="auto"/>
      </w:pPr>
      <w:r>
        <w:separator/>
      </w:r>
    </w:p>
  </w:footnote>
  <w:footnote w:type="continuationSeparator" w:id="0">
    <w:p w14:paraId="60A20622" w14:textId="77777777" w:rsidR="00883A13" w:rsidRDefault="00883A13" w:rsidP="00347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C3505"/>
    <w:multiLevelType w:val="hybridMultilevel"/>
    <w:tmpl w:val="0FF6C1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973F70"/>
    <w:multiLevelType w:val="hybridMultilevel"/>
    <w:tmpl w:val="DACECA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865489"/>
    <w:multiLevelType w:val="hybridMultilevel"/>
    <w:tmpl w:val="97726C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060B92"/>
    <w:multiLevelType w:val="hybridMultilevel"/>
    <w:tmpl w:val="2BEA0B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6411D8"/>
    <w:multiLevelType w:val="hybridMultilevel"/>
    <w:tmpl w:val="6FD83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2004D5"/>
    <w:multiLevelType w:val="hybridMultilevel"/>
    <w:tmpl w:val="08E6C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DB638A"/>
    <w:multiLevelType w:val="hybridMultilevel"/>
    <w:tmpl w:val="CA549048"/>
    <w:lvl w:ilvl="0" w:tplc="3F9234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A62A3F"/>
    <w:multiLevelType w:val="hybridMultilevel"/>
    <w:tmpl w:val="BC2A31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53162D"/>
    <w:multiLevelType w:val="hybridMultilevel"/>
    <w:tmpl w:val="EF5C59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327529"/>
    <w:multiLevelType w:val="hybridMultilevel"/>
    <w:tmpl w:val="D662F1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192B8C"/>
    <w:multiLevelType w:val="hybridMultilevel"/>
    <w:tmpl w:val="C8283F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0063695">
    <w:abstractNumId w:val="6"/>
  </w:num>
  <w:num w:numId="2" w16cid:durableId="1569149436">
    <w:abstractNumId w:val="10"/>
  </w:num>
  <w:num w:numId="3" w16cid:durableId="943346197">
    <w:abstractNumId w:val="4"/>
  </w:num>
  <w:num w:numId="4" w16cid:durableId="407770623">
    <w:abstractNumId w:val="0"/>
  </w:num>
  <w:num w:numId="5" w16cid:durableId="677199482">
    <w:abstractNumId w:val="2"/>
  </w:num>
  <w:num w:numId="6" w16cid:durableId="950353869">
    <w:abstractNumId w:val="7"/>
  </w:num>
  <w:num w:numId="7" w16cid:durableId="1125587706">
    <w:abstractNumId w:val="1"/>
  </w:num>
  <w:num w:numId="8" w16cid:durableId="196478915">
    <w:abstractNumId w:val="9"/>
  </w:num>
  <w:num w:numId="9" w16cid:durableId="602421525">
    <w:abstractNumId w:val="3"/>
  </w:num>
  <w:num w:numId="10" w16cid:durableId="499390270">
    <w:abstractNumId w:val="8"/>
  </w:num>
  <w:num w:numId="11" w16cid:durableId="20459833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E7"/>
    <w:rsid w:val="000811C5"/>
    <w:rsid w:val="00127CD7"/>
    <w:rsid w:val="001529B7"/>
    <w:rsid w:val="00273535"/>
    <w:rsid w:val="002E172A"/>
    <w:rsid w:val="003474D1"/>
    <w:rsid w:val="003F117E"/>
    <w:rsid w:val="00424DCD"/>
    <w:rsid w:val="0045471E"/>
    <w:rsid w:val="004905E7"/>
    <w:rsid w:val="004A4B09"/>
    <w:rsid w:val="00537A5B"/>
    <w:rsid w:val="00547BE4"/>
    <w:rsid w:val="00630838"/>
    <w:rsid w:val="0066147A"/>
    <w:rsid w:val="006C6383"/>
    <w:rsid w:val="00710761"/>
    <w:rsid w:val="007C26A3"/>
    <w:rsid w:val="00860140"/>
    <w:rsid w:val="00880AE1"/>
    <w:rsid w:val="00882393"/>
    <w:rsid w:val="00883A13"/>
    <w:rsid w:val="0095375A"/>
    <w:rsid w:val="009814EB"/>
    <w:rsid w:val="009946CC"/>
    <w:rsid w:val="00A272B4"/>
    <w:rsid w:val="00A82112"/>
    <w:rsid w:val="00AB0E88"/>
    <w:rsid w:val="00B73744"/>
    <w:rsid w:val="00BE4493"/>
    <w:rsid w:val="00C54F16"/>
    <w:rsid w:val="00CA1D3D"/>
    <w:rsid w:val="00CC242D"/>
    <w:rsid w:val="00D14AB1"/>
    <w:rsid w:val="00D804F5"/>
    <w:rsid w:val="00DD5215"/>
    <w:rsid w:val="00DD5B7E"/>
    <w:rsid w:val="00E1622B"/>
    <w:rsid w:val="00E5255A"/>
    <w:rsid w:val="00F677AE"/>
    <w:rsid w:val="00F93777"/>
    <w:rsid w:val="00FB1962"/>
    <w:rsid w:val="00FB5554"/>
    <w:rsid w:val="00FF09AE"/>
    <w:rsid w:val="00FF3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3A298"/>
  <w15:chartTrackingRefBased/>
  <w15:docId w15:val="{7CCD8280-62FD-41A5-8901-95E9EB4A9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D3D"/>
  </w:style>
  <w:style w:type="paragraph" w:styleId="Heading1">
    <w:name w:val="heading 1"/>
    <w:basedOn w:val="Normal"/>
    <w:next w:val="Normal"/>
    <w:link w:val="Heading1Char"/>
    <w:uiPriority w:val="9"/>
    <w:qFormat/>
    <w:rsid w:val="00490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5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5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5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5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5E7"/>
    <w:rPr>
      <w:rFonts w:eastAsiaTheme="majorEastAsia" w:cstheme="majorBidi"/>
      <w:color w:val="272727" w:themeColor="text1" w:themeTint="D8"/>
    </w:rPr>
  </w:style>
  <w:style w:type="paragraph" w:styleId="Title">
    <w:name w:val="Title"/>
    <w:basedOn w:val="Normal"/>
    <w:next w:val="Normal"/>
    <w:link w:val="TitleChar"/>
    <w:uiPriority w:val="10"/>
    <w:qFormat/>
    <w:rsid w:val="00490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5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5E7"/>
    <w:pPr>
      <w:spacing w:before="160"/>
      <w:jc w:val="center"/>
    </w:pPr>
    <w:rPr>
      <w:i/>
      <w:iCs/>
      <w:color w:val="404040" w:themeColor="text1" w:themeTint="BF"/>
    </w:rPr>
  </w:style>
  <w:style w:type="character" w:customStyle="1" w:styleId="QuoteChar">
    <w:name w:val="Quote Char"/>
    <w:basedOn w:val="DefaultParagraphFont"/>
    <w:link w:val="Quote"/>
    <w:uiPriority w:val="29"/>
    <w:rsid w:val="004905E7"/>
    <w:rPr>
      <w:i/>
      <w:iCs/>
      <w:color w:val="404040" w:themeColor="text1" w:themeTint="BF"/>
    </w:rPr>
  </w:style>
  <w:style w:type="paragraph" w:styleId="ListParagraph">
    <w:name w:val="List Paragraph"/>
    <w:basedOn w:val="Normal"/>
    <w:uiPriority w:val="34"/>
    <w:qFormat/>
    <w:rsid w:val="004905E7"/>
    <w:pPr>
      <w:ind w:left="720"/>
      <w:contextualSpacing/>
    </w:pPr>
  </w:style>
  <w:style w:type="character" w:styleId="IntenseEmphasis">
    <w:name w:val="Intense Emphasis"/>
    <w:basedOn w:val="DefaultParagraphFont"/>
    <w:uiPriority w:val="21"/>
    <w:qFormat/>
    <w:rsid w:val="004905E7"/>
    <w:rPr>
      <w:i/>
      <w:iCs/>
      <w:color w:val="0F4761" w:themeColor="accent1" w:themeShade="BF"/>
    </w:rPr>
  </w:style>
  <w:style w:type="paragraph" w:styleId="IntenseQuote">
    <w:name w:val="Intense Quote"/>
    <w:basedOn w:val="Normal"/>
    <w:next w:val="Normal"/>
    <w:link w:val="IntenseQuoteChar"/>
    <w:uiPriority w:val="30"/>
    <w:qFormat/>
    <w:rsid w:val="00490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5E7"/>
    <w:rPr>
      <w:i/>
      <w:iCs/>
      <w:color w:val="0F4761" w:themeColor="accent1" w:themeShade="BF"/>
    </w:rPr>
  </w:style>
  <w:style w:type="character" w:styleId="IntenseReference">
    <w:name w:val="Intense Reference"/>
    <w:basedOn w:val="DefaultParagraphFont"/>
    <w:uiPriority w:val="32"/>
    <w:qFormat/>
    <w:rsid w:val="004905E7"/>
    <w:rPr>
      <w:b/>
      <w:bCs/>
      <w:smallCaps/>
      <w:color w:val="0F4761" w:themeColor="accent1" w:themeShade="BF"/>
      <w:spacing w:val="5"/>
    </w:rPr>
  </w:style>
  <w:style w:type="paragraph" w:styleId="Header">
    <w:name w:val="header"/>
    <w:basedOn w:val="Normal"/>
    <w:link w:val="HeaderChar"/>
    <w:uiPriority w:val="99"/>
    <w:unhideWhenUsed/>
    <w:rsid w:val="003474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4D1"/>
  </w:style>
  <w:style w:type="paragraph" w:styleId="Footer">
    <w:name w:val="footer"/>
    <w:basedOn w:val="Normal"/>
    <w:link w:val="FooterChar"/>
    <w:uiPriority w:val="99"/>
    <w:unhideWhenUsed/>
    <w:rsid w:val="003474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4D1"/>
  </w:style>
  <w:style w:type="paragraph" w:styleId="NormalWeb">
    <w:name w:val="Normal (Web)"/>
    <w:basedOn w:val="Normal"/>
    <w:uiPriority w:val="99"/>
    <w:semiHidden/>
    <w:unhideWhenUsed/>
    <w:rsid w:val="0095375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hm.org.uk/uwtsd-london-logo-002/"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52037-A085-40D5-8658-EA37A0A83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4194</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Yustina Da Costsa</dc:creator>
  <cp:keywords/>
  <dc:description/>
  <cp:lastModifiedBy>Yustina Da Costsa</cp:lastModifiedBy>
  <cp:revision>2</cp:revision>
  <dcterms:created xsi:type="dcterms:W3CDTF">2026-10-18T20:55:00Z</dcterms:created>
  <dcterms:modified xsi:type="dcterms:W3CDTF">2026-10-18T20:55:00Z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e26b241a-f3b5-46d7-bbec-3fb9289e8bc1</vt:lpwstr>
  </property>
</Properties>
</file>