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3002F" w14:textId="59EE91EB" w:rsidR="00403714" w:rsidRDefault="000E2E7E">
      <w:r>
        <w:t xml:space="preserve">                                     </w:t>
      </w:r>
      <w:r>
        <w:rPr>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E3F4352" w14:textId="77777777" w:rsidR="000E2E7E" w:rsidRDefault="000E2E7E"/>
    <w:p w14:paraId="73022E7D" w14:textId="77777777" w:rsidR="000E2E7E" w:rsidRDefault="000E2E7E">
      <w:pPr>
        <w:rPr>
          <w:sz w:val="52"/>
          <w:szCs w:val="52"/>
        </w:rPr>
      </w:pPr>
    </w:p>
    <w:p w14:paraId="0C87A799" w14:textId="2E11B833" w:rsidR="000E2E7E" w:rsidRPr="000E2E7E" w:rsidRDefault="000E2E7E">
      <w:pPr>
        <w:rPr>
          <w:b/>
          <w:bCs/>
          <w:sz w:val="52"/>
          <w:szCs w:val="52"/>
        </w:rPr>
      </w:pPr>
      <w:r w:rsidRPr="000E2E7E">
        <w:rPr>
          <w:b/>
          <w:bCs/>
          <w:sz w:val="52"/>
          <w:szCs w:val="52"/>
        </w:rPr>
        <w:t>Module Code:</w:t>
      </w:r>
      <w:r>
        <w:rPr>
          <w:b/>
          <w:bCs/>
          <w:sz w:val="52"/>
          <w:szCs w:val="52"/>
        </w:rPr>
        <w:t xml:space="preserve">  </w:t>
      </w:r>
      <w:r w:rsidRPr="000E2E7E">
        <w:rPr>
          <w:b/>
          <w:bCs/>
          <w:sz w:val="48"/>
          <w:szCs w:val="48"/>
        </w:rPr>
        <w:t>ECAD</w:t>
      </w:r>
      <w:r w:rsidR="00510D18">
        <w:rPr>
          <w:b/>
          <w:bCs/>
          <w:sz w:val="48"/>
          <w:szCs w:val="48"/>
        </w:rPr>
        <w:t>5014</w:t>
      </w:r>
    </w:p>
    <w:p w14:paraId="10FFAE95" w14:textId="77777777" w:rsidR="000E2E7E" w:rsidRPr="000E2E7E" w:rsidRDefault="000E2E7E">
      <w:pPr>
        <w:rPr>
          <w:b/>
          <w:bCs/>
          <w:sz w:val="52"/>
          <w:szCs w:val="52"/>
        </w:rPr>
      </w:pPr>
    </w:p>
    <w:p w14:paraId="12C585B1" w14:textId="77777777" w:rsidR="000E2E7E" w:rsidRDefault="000E2E7E">
      <w:pPr>
        <w:rPr>
          <w:b/>
          <w:bCs/>
          <w:sz w:val="52"/>
          <w:szCs w:val="52"/>
        </w:rPr>
      </w:pPr>
      <w:r w:rsidRPr="000E2E7E">
        <w:rPr>
          <w:b/>
          <w:bCs/>
          <w:sz w:val="52"/>
          <w:szCs w:val="52"/>
        </w:rPr>
        <w:t>Assignment Title:</w:t>
      </w:r>
      <w:r>
        <w:rPr>
          <w:b/>
          <w:bCs/>
          <w:sz w:val="52"/>
          <w:szCs w:val="52"/>
        </w:rPr>
        <w:t xml:space="preserve"> </w:t>
      </w:r>
    </w:p>
    <w:p w14:paraId="1648AA10" w14:textId="0F7AD627" w:rsidR="000E2E7E" w:rsidRPr="000E2E7E" w:rsidRDefault="00510D18">
      <w:pPr>
        <w:rPr>
          <w:b/>
          <w:bCs/>
          <w:sz w:val="52"/>
          <w:szCs w:val="52"/>
        </w:rPr>
      </w:pPr>
      <w:r>
        <w:rPr>
          <w:b/>
          <w:bCs/>
          <w:sz w:val="44"/>
          <w:szCs w:val="44"/>
        </w:rPr>
        <w:t>Design and conduct a small-scale research study, and critically evaluate the chosen research tools, and the impact of your findings on your professional practice.</w:t>
      </w:r>
    </w:p>
    <w:p w14:paraId="78DCE9B9" w14:textId="77777777" w:rsidR="000E2E7E" w:rsidRPr="000E2E7E" w:rsidRDefault="000E2E7E">
      <w:pPr>
        <w:rPr>
          <w:b/>
          <w:bCs/>
          <w:sz w:val="52"/>
          <w:szCs w:val="52"/>
        </w:rPr>
      </w:pPr>
    </w:p>
    <w:p w14:paraId="47D65DC0" w14:textId="0065E096" w:rsidR="000E2E7E" w:rsidRPr="000E2E7E" w:rsidRDefault="000E2E7E">
      <w:pPr>
        <w:rPr>
          <w:b/>
          <w:bCs/>
          <w:sz w:val="52"/>
          <w:szCs w:val="52"/>
        </w:rPr>
      </w:pPr>
      <w:r w:rsidRPr="000E2E7E">
        <w:rPr>
          <w:b/>
          <w:bCs/>
          <w:sz w:val="52"/>
          <w:szCs w:val="52"/>
        </w:rPr>
        <w:t>Student Name:</w:t>
      </w:r>
      <w:r w:rsidR="009F27E2">
        <w:rPr>
          <w:b/>
          <w:bCs/>
          <w:sz w:val="52"/>
          <w:szCs w:val="52"/>
        </w:rPr>
        <w:t xml:space="preserve"> Elise Ward</w:t>
      </w:r>
    </w:p>
    <w:p w14:paraId="1025240F" w14:textId="7E46DEA2" w:rsidR="000E2E7E" w:rsidRPr="000E2E7E" w:rsidRDefault="000E2E7E">
      <w:pPr>
        <w:rPr>
          <w:b/>
          <w:bCs/>
          <w:sz w:val="52"/>
          <w:szCs w:val="52"/>
        </w:rPr>
      </w:pPr>
      <w:r w:rsidRPr="000E2E7E">
        <w:rPr>
          <w:b/>
          <w:bCs/>
          <w:sz w:val="52"/>
          <w:szCs w:val="52"/>
        </w:rPr>
        <w:t>Student Number:</w:t>
      </w:r>
      <w:r w:rsidR="009F27E2">
        <w:rPr>
          <w:b/>
          <w:bCs/>
          <w:sz w:val="52"/>
          <w:szCs w:val="52"/>
        </w:rPr>
        <w:t xml:space="preserve"> 2304322 </w:t>
      </w:r>
    </w:p>
    <w:p w14:paraId="66EB3C44" w14:textId="3EA69FAC" w:rsidR="000E2E7E" w:rsidRDefault="000E2E7E">
      <w:pPr>
        <w:rPr>
          <w:b/>
          <w:bCs/>
          <w:sz w:val="52"/>
          <w:szCs w:val="52"/>
        </w:rPr>
      </w:pPr>
      <w:r w:rsidRPr="000E2E7E">
        <w:rPr>
          <w:b/>
          <w:bCs/>
          <w:sz w:val="52"/>
          <w:szCs w:val="52"/>
        </w:rPr>
        <w:t>BA Primary Education (QTS)</w:t>
      </w:r>
    </w:p>
    <w:p w14:paraId="097A6454" w14:textId="77777777" w:rsidR="000E2E7E" w:rsidRPr="000E2E7E" w:rsidRDefault="000E2E7E">
      <w:pPr>
        <w:rPr>
          <w:b/>
          <w:bCs/>
          <w:sz w:val="52"/>
          <w:szCs w:val="52"/>
        </w:rPr>
      </w:pPr>
    </w:p>
    <w:p w14:paraId="2009F732" w14:textId="48BB52C1" w:rsidR="000E2E7E" w:rsidRPr="00B939CF" w:rsidRDefault="000E2E7E" w:rsidP="000E2E7E">
      <w:pPr>
        <w:rPr>
          <w:b/>
          <w:bCs/>
          <w:sz w:val="32"/>
          <w:szCs w:val="32"/>
          <w:u w:val="single"/>
        </w:rPr>
      </w:pPr>
      <w:r w:rsidRPr="00E243A8">
        <w:rPr>
          <w:b/>
          <w:bCs/>
          <w:sz w:val="32"/>
          <w:szCs w:val="32"/>
          <w:u w:val="single"/>
        </w:rPr>
        <w:lastRenderedPageBreak/>
        <w:t>AI Acknowledgement</w:t>
      </w:r>
    </w:p>
    <w:p w14:paraId="395CF8DB" w14:textId="5C909377" w:rsidR="000E2E7E" w:rsidRPr="00DD5969" w:rsidRDefault="000E2E7E" w:rsidP="000E2E7E">
      <w:r w:rsidRPr="00DD5969">
        <w:t xml:space="preserve">I acknowledge the use of </w:t>
      </w:r>
      <w:r w:rsidR="001806AC">
        <w:t xml:space="preserve">ChatGPT </w:t>
      </w:r>
      <w:hyperlink r:id="rId7" w:history="1">
        <w:r w:rsidR="00AA694F" w:rsidRPr="00701DC0">
          <w:rPr>
            <w:rStyle w:val="Hyperlink"/>
          </w:rPr>
          <w:t>https://chatgpt.com</w:t>
        </w:r>
      </w:hyperlink>
      <w:r w:rsidR="00AA694F">
        <w:t xml:space="preserve"> </w:t>
      </w:r>
      <w:r w:rsidRPr="00DD5969">
        <w:t xml:space="preserve">on </w:t>
      </w:r>
      <w:r w:rsidR="00AA694F">
        <w:t>2/04/25</w:t>
      </w:r>
      <w:r w:rsidRPr="00DD5969">
        <w:t xml:space="preserve"> to </w:t>
      </w:r>
      <w:r w:rsidR="00AA694F">
        <w:t>Find credible sources</w:t>
      </w:r>
      <w:r w:rsidRPr="00DD5969">
        <w:t xml:space="preserve">. I used the prompt(s): </w:t>
      </w:r>
    </w:p>
    <w:p w14:paraId="3EC3AC2C" w14:textId="30741D4E" w:rsidR="000E2E7E" w:rsidRPr="00BC3D01" w:rsidRDefault="000E2E7E" w:rsidP="000E2E7E">
      <w:r w:rsidRPr="00DD5969">
        <w:t xml:space="preserve">1. </w:t>
      </w:r>
      <w:r w:rsidR="00BC3D01" w:rsidRPr="00BC3D01">
        <w:rPr>
          <w:rFonts w:eastAsia="Times New Roman"/>
          <w:color w:val="000000"/>
        </w:rPr>
        <w:t>What credible source mentions</w:t>
      </w:r>
      <w:r w:rsidR="00074E1E">
        <w:rPr>
          <w:rFonts w:eastAsia="Times New Roman"/>
          <w:color w:val="000000"/>
        </w:rPr>
        <w:t xml:space="preserve"> that Hattie</w:t>
      </w:r>
      <w:r w:rsidR="002F3C86">
        <w:rPr>
          <w:rFonts w:eastAsia="Times New Roman"/>
          <w:color w:val="000000"/>
        </w:rPr>
        <w:t xml:space="preserve"> </w:t>
      </w:r>
      <w:r w:rsidR="0093769D">
        <w:rPr>
          <w:rFonts w:eastAsia="Times New Roman"/>
          <w:color w:val="000000"/>
        </w:rPr>
        <w:t xml:space="preserve">agrees with </w:t>
      </w:r>
      <w:r w:rsidR="00074E1E">
        <w:rPr>
          <w:rFonts w:eastAsia="Times New Roman"/>
          <w:color w:val="000000"/>
        </w:rPr>
        <w:t>WAGOLL</w:t>
      </w:r>
      <w:r w:rsidR="0093769D">
        <w:rPr>
          <w:rFonts w:eastAsia="Times New Roman"/>
          <w:color w:val="000000"/>
        </w:rPr>
        <w:t>?</w:t>
      </w:r>
    </w:p>
    <w:p w14:paraId="62A10BDA" w14:textId="2F4FA912" w:rsidR="000E2E7E" w:rsidRPr="00DD5969" w:rsidRDefault="000E2E7E" w:rsidP="000E2E7E">
      <w:r w:rsidRPr="00DD5969">
        <w:t xml:space="preserve">2. </w:t>
      </w:r>
      <w:r w:rsidR="009F0B4A">
        <w:t>Are there any credible sources that say</w:t>
      </w:r>
      <w:r w:rsidR="00106716">
        <w:t xml:space="preserve"> benefits and limitations of semi-structured interviews?</w:t>
      </w:r>
    </w:p>
    <w:p w14:paraId="57509DCF" w14:textId="77777777" w:rsidR="000E2E7E" w:rsidRDefault="000E2E7E" w:rsidP="000E2E7E">
      <w:r w:rsidRPr="00DD5969">
        <w:t xml:space="preserve">I confirm that I have not presented any AI generated text as my own work. </w:t>
      </w:r>
    </w:p>
    <w:p w14:paraId="6CDE5B9A" w14:textId="421FC0F1" w:rsidR="000E2E7E" w:rsidRPr="005C68DC" w:rsidRDefault="000E2E7E" w:rsidP="000E2E7E">
      <w:r w:rsidRPr="00DD5969">
        <w:t xml:space="preserve">I confirm </w:t>
      </w:r>
      <w:r>
        <w:t xml:space="preserve">that </w:t>
      </w:r>
      <w:r w:rsidRPr="00DD5969">
        <w:t>I have copies of my drafts, notes, and other resources I used before and after the use of AI tools which I may be asked to provide in evidence.</w:t>
      </w:r>
    </w:p>
    <w:p w14:paraId="576F22A4" w14:textId="77777777" w:rsidR="000E2E7E" w:rsidRDefault="000E2E7E" w:rsidP="000E2E7E">
      <w:pPr>
        <w:rPr>
          <w:sz w:val="16"/>
          <w:szCs w:val="16"/>
        </w:rPr>
      </w:pPr>
    </w:p>
    <w:tbl>
      <w:tblPr>
        <w:tblStyle w:val="TableGrid"/>
        <w:tblW w:w="9282" w:type="dxa"/>
        <w:tblLook w:val="04A0" w:firstRow="1" w:lastRow="0" w:firstColumn="1" w:lastColumn="0" w:noHBand="0" w:noVBand="1"/>
      </w:tblPr>
      <w:tblGrid>
        <w:gridCol w:w="3256"/>
        <w:gridCol w:w="3118"/>
        <w:gridCol w:w="2908"/>
      </w:tblGrid>
      <w:tr w:rsidR="000E2E7E" w:rsidRPr="001B4AB4" w14:paraId="0ADB3F25" w14:textId="77777777" w:rsidTr="000E2E7E">
        <w:trPr>
          <w:trHeight w:val="360"/>
        </w:trPr>
        <w:tc>
          <w:tcPr>
            <w:tcW w:w="3256" w:type="dxa"/>
          </w:tcPr>
          <w:p w14:paraId="2110C93E" w14:textId="45B7432A" w:rsidR="000E2E7E" w:rsidRPr="00121BB2" w:rsidRDefault="000E2E7E" w:rsidP="00AE36BB">
            <w:pPr>
              <w:rPr>
                <w:b/>
                <w:bCs/>
                <w:color w:val="FFFFFF"/>
                <w:sz w:val="28"/>
                <w:szCs w:val="28"/>
                <w:lang w:val="cy-GB"/>
              </w:rPr>
            </w:pPr>
            <w:r w:rsidRPr="00121BB2">
              <w:rPr>
                <w:b/>
                <w:bCs/>
                <w:sz w:val="28"/>
                <w:szCs w:val="28"/>
                <w:lang w:val="cy-GB"/>
              </w:rPr>
              <w:t>Targets from previous module</w:t>
            </w:r>
          </w:p>
        </w:tc>
        <w:tc>
          <w:tcPr>
            <w:tcW w:w="3118" w:type="dxa"/>
          </w:tcPr>
          <w:p w14:paraId="1C0504E0" w14:textId="648CF4FC" w:rsidR="000E2E7E" w:rsidRPr="00121BB2" w:rsidRDefault="000E2E7E" w:rsidP="00AE36BB">
            <w:pPr>
              <w:rPr>
                <w:b/>
                <w:bCs/>
                <w:color w:val="FFFFFF"/>
                <w:sz w:val="28"/>
                <w:szCs w:val="28"/>
                <w:lang w:val="cy-GB"/>
              </w:rPr>
            </w:pPr>
            <w:r w:rsidRPr="00121BB2">
              <w:rPr>
                <w:b/>
                <w:bCs/>
                <w:sz w:val="28"/>
                <w:szCs w:val="28"/>
                <w:lang w:val="cy-GB"/>
              </w:rPr>
              <w:t>How I have worked on these?</w:t>
            </w:r>
          </w:p>
        </w:tc>
        <w:tc>
          <w:tcPr>
            <w:tcW w:w="2908" w:type="dxa"/>
          </w:tcPr>
          <w:p w14:paraId="0ED8A1ED" w14:textId="77777777" w:rsidR="000E2E7E" w:rsidRPr="00121BB2" w:rsidRDefault="000E2E7E" w:rsidP="00AE36BB">
            <w:pPr>
              <w:rPr>
                <w:rFonts w:ascii="Calibri" w:hAnsi="Calibri" w:cs="Calibri"/>
                <w:b/>
                <w:bCs/>
                <w:sz w:val="28"/>
                <w:szCs w:val="28"/>
                <w:lang w:val="cy-GB"/>
              </w:rPr>
            </w:pPr>
            <w:r w:rsidRPr="00121BB2">
              <w:rPr>
                <w:rFonts w:ascii="Calibri" w:hAnsi="Calibri" w:cs="Calibri"/>
                <w:b/>
                <w:bCs/>
                <w:sz w:val="28"/>
                <w:szCs w:val="28"/>
                <w:lang w:val="cy-GB"/>
              </w:rPr>
              <w:t>An example can be seen on…</w:t>
            </w:r>
          </w:p>
          <w:p w14:paraId="0798C571" w14:textId="146BBBF0" w:rsidR="000E2E7E" w:rsidRPr="00121BB2" w:rsidRDefault="000E2E7E" w:rsidP="00AE36BB">
            <w:pPr>
              <w:rPr>
                <w:b/>
                <w:bCs/>
                <w:color w:val="FFFFFF"/>
                <w:sz w:val="28"/>
                <w:szCs w:val="28"/>
                <w:lang w:val="cy-GB"/>
              </w:rPr>
            </w:pPr>
          </w:p>
        </w:tc>
      </w:tr>
      <w:tr w:rsidR="000E2E7E" w:rsidRPr="001B4AB4" w14:paraId="0EC7171C" w14:textId="77777777" w:rsidTr="000E2E7E">
        <w:trPr>
          <w:trHeight w:val="338"/>
        </w:trPr>
        <w:tc>
          <w:tcPr>
            <w:tcW w:w="3256" w:type="dxa"/>
          </w:tcPr>
          <w:p w14:paraId="4DC5C8A2" w14:textId="58E4DE9A" w:rsidR="000E2E7E" w:rsidRDefault="00BB2DB1" w:rsidP="00AE36BB">
            <w:pPr>
              <w:rPr>
                <w:lang w:val="cy-GB"/>
              </w:rPr>
            </w:pPr>
            <w:r>
              <w:rPr>
                <w:lang w:val="cy-GB"/>
              </w:rPr>
              <w:t>Choose your vocabulary carefully</w:t>
            </w:r>
            <w:r w:rsidR="007E1C0C">
              <w:rPr>
                <w:lang w:val="cy-GB"/>
              </w:rPr>
              <w:t xml:space="preserve"> and ensure most appropriate words are selected for most impact</w:t>
            </w:r>
            <w:r w:rsidR="00041B8B">
              <w:rPr>
                <w:lang w:val="cy-GB"/>
              </w:rPr>
              <w:t xml:space="preserve">. Continue to develop academic writing method. </w:t>
            </w:r>
          </w:p>
          <w:p w14:paraId="18121FAC" w14:textId="77777777" w:rsidR="000E2E7E" w:rsidRPr="001B4AB4" w:rsidRDefault="000E2E7E" w:rsidP="00AE36BB">
            <w:pPr>
              <w:rPr>
                <w:lang w:val="cy-GB"/>
              </w:rPr>
            </w:pPr>
          </w:p>
        </w:tc>
        <w:tc>
          <w:tcPr>
            <w:tcW w:w="3118" w:type="dxa"/>
          </w:tcPr>
          <w:p w14:paraId="0A55C9ED" w14:textId="500425DD" w:rsidR="000E2E7E" w:rsidRPr="001B4AB4" w:rsidRDefault="00975A79" w:rsidP="00AE36BB">
            <w:pPr>
              <w:rPr>
                <w:lang w:val="cy-GB"/>
              </w:rPr>
            </w:pPr>
            <w:r>
              <w:rPr>
                <w:lang w:val="cy-GB"/>
              </w:rPr>
              <w:t xml:space="preserve">Engaged with the the </w:t>
            </w:r>
            <w:r w:rsidR="00B05AC6">
              <w:rPr>
                <w:lang w:val="cy-GB"/>
              </w:rPr>
              <w:t xml:space="preserve">academic phrasebank </w:t>
            </w:r>
            <w:r w:rsidR="000C1F91">
              <w:rPr>
                <w:lang w:val="cy-GB"/>
              </w:rPr>
              <w:t xml:space="preserve">provided on moodle. </w:t>
            </w:r>
          </w:p>
        </w:tc>
        <w:tc>
          <w:tcPr>
            <w:tcW w:w="2908" w:type="dxa"/>
          </w:tcPr>
          <w:p w14:paraId="183044AB" w14:textId="545B8316" w:rsidR="000E2E7E" w:rsidRPr="001B4AB4" w:rsidRDefault="00975A79" w:rsidP="00AE36BB">
            <w:pPr>
              <w:rPr>
                <w:lang w:val="cy-GB"/>
              </w:rPr>
            </w:pPr>
            <w:r>
              <w:rPr>
                <w:lang w:val="cy-GB"/>
              </w:rPr>
              <w:t xml:space="preserve">Consistently throughout assignment. </w:t>
            </w:r>
          </w:p>
        </w:tc>
      </w:tr>
      <w:tr w:rsidR="000E2E7E" w:rsidRPr="001B4AB4" w14:paraId="388E36FE" w14:textId="77777777" w:rsidTr="000E2E7E">
        <w:trPr>
          <w:trHeight w:val="338"/>
        </w:trPr>
        <w:tc>
          <w:tcPr>
            <w:tcW w:w="3256" w:type="dxa"/>
          </w:tcPr>
          <w:p w14:paraId="2740262D" w14:textId="3ED144DA" w:rsidR="000E2E7E" w:rsidRDefault="00041B8B" w:rsidP="00AE36BB">
            <w:pPr>
              <w:rPr>
                <w:lang w:val="cy-GB"/>
              </w:rPr>
            </w:pPr>
            <w:r>
              <w:rPr>
                <w:lang w:val="cy-GB"/>
              </w:rPr>
              <w:t xml:space="preserve">Sustain your high level of </w:t>
            </w:r>
            <w:r w:rsidR="00922592">
              <w:rPr>
                <w:lang w:val="cy-GB"/>
              </w:rPr>
              <w:t xml:space="preserve">critical analysis, ensuring a balanced investigation of contradictory </w:t>
            </w:r>
            <w:r w:rsidR="00DE18D7">
              <w:rPr>
                <w:lang w:val="cy-GB"/>
              </w:rPr>
              <w:t>or incomplete data. Explore opportunities for original contributions to your field</w:t>
            </w:r>
            <w:r w:rsidR="00AC2E9F">
              <w:rPr>
                <w:lang w:val="cy-GB"/>
              </w:rPr>
              <w:t xml:space="preserve">, perhaps through research projects or academic paper submissions. </w:t>
            </w:r>
          </w:p>
          <w:p w14:paraId="06CE4F7D" w14:textId="77777777" w:rsidR="000E2E7E" w:rsidRPr="001B4AB4" w:rsidRDefault="000E2E7E" w:rsidP="00AE36BB">
            <w:pPr>
              <w:rPr>
                <w:lang w:val="cy-GB"/>
              </w:rPr>
            </w:pPr>
          </w:p>
        </w:tc>
        <w:tc>
          <w:tcPr>
            <w:tcW w:w="3118" w:type="dxa"/>
          </w:tcPr>
          <w:p w14:paraId="33CC185F" w14:textId="3A7B1310" w:rsidR="000E2E7E" w:rsidRPr="001B4AB4" w:rsidRDefault="00370DF4" w:rsidP="00AE36BB">
            <w:pPr>
              <w:rPr>
                <w:lang w:val="cy-GB"/>
              </w:rPr>
            </w:pPr>
            <w:r>
              <w:rPr>
                <w:lang w:val="cy-GB"/>
              </w:rPr>
              <w:t>Continued to critically analyse throughout</w:t>
            </w:r>
            <w:r w:rsidR="00A347DC">
              <w:rPr>
                <w:lang w:val="cy-GB"/>
              </w:rPr>
              <w:t xml:space="preserve"> and use credible sources to back up </w:t>
            </w:r>
            <w:r w:rsidR="00C763E3">
              <w:rPr>
                <w:lang w:val="cy-GB"/>
              </w:rPr>
              <w:t xml:space="preserve">arguments. </w:t>
            </w:r>
          </w:p>
        </w:tc>
        <w:tc>
          <w:tcPr>
            <w:tcW w:w="2908" w:type="dxa"/>
          </w:tcPr>
          <w:p w14:paraId="37CFC390" w14:textId="4736432C" w:rsidR="000E2E7E" w:rsidRPr="001B4AB4" w:rsidRDefault="00975A79" w:rsidP="00AE36BB">
            <w:pPr>
              <w:rPr>
                <w:lang w:val="cy-GB"/>
              </w:rPr>
            </w:pPr>
            <w:r>
              <w:rPr>
                <w:lang w:val="cy-GB"/>
              </w:rPr>
              <w:t xml:space="preserve">Literature review and methodology. </w:t>
            </w:r>
          </w:p>
        </w:tc>
      </w:tr>
      <w:tr w:rsidR="000E2E7E" w:rsidRPr="001B4AB4" w14:paraId="05EE73CD" w14:textId="77777777" w:rsidTr="000E2E7E">
        <w:trPr>
          <w:trHeight w:val="338"/>
        </w:trPr>
        <w:tc>
          <w:tcPr>
            <w:tcW w:w="3256" w:type="dxa"/>
          </w:tcPr>
          <w:p w14:paraId="5C658833" w14:textId="2A4FA5E5" w:rsidR="000E2E7E" w:rsidRDefault="00AC2E9F" w:rsidP="00AE36BB">
            <w:pPr>
              <w:rPr>
                <w:lang w:val="cy-GB"/>
              </w:rPr>
            </w:pPr>
            <w:r>
              <w:rPr>
                <w:lang w:val="cy-GB"/>
              </w:rPr>
              <w:t xml:space="preserve">Continue to develop </w:t>
            </w:r>
            <w:r w:rsidR="009343FF">
              <w:rPr>
                <w:lang w:val="cy-GB"/>
              </w:rPr>
              <w:t xml:space="preserve">the skills of synthesis and analysing by comparing and contrasting the main arguments that arise across multiple sources. </w:t>
            </w:r>
          </w:p>
          <w:p w14:paraId="42E07348" w14:textId="77777777" w:rsidR="000E2E7E" w:rsidRPr="001B4AB4" w:rsidRDefault="000E2E7E" w:rsidP="00AE36BB">
            <w:pPr>
              <w:rPr>
                <w:lang w:val="cy-GB"/>
              </w:rPr>
            </w:pPr>
          </w:p>
        </w:tc>
        <w:tc>
          <w:tcPr>
            <w:tcW w:w="3118" w:type="dxa"/>
          </w:tcPr>
          <w:p w14:paraId="37B37629" w14:textId="79DA265B" w:rsidR="000E2E7E" w:rsidRPr="001B4AB4" w:rsidRDefault="009B2299" w:rsidP="00AE36BB">
            <w:pPr>
              <w:rPr>
                <w:lang w:val="cy-GB"/>
              </w:rPr>
            </w:pPr>
            <w:r>
              <w:rPr>
                <w:lang w:val="cy-GB"/>
              </w:rPr>
              <w:t xml:space="preserve">Used multiple credible sources to </w:t>
            </w:r>
            <w:r w:rsidR="00542104">
              <w:rPr>
                <w:lang w:val="cy-GB"/>
              </w:rPr>
              <w:t>compare and contrast different viewpoints</w:t>
            </w:r>
            <w:r w:rsidR="00370DF4">
              <w:rPr>
                <w:lang w:val="cy-GB"/>
              </w:rPr>
              <w:t xml:space="preserve">. </w:t>
            </w:r>
            <w:r w:rsidR="00542104">
              <w:rPr>
                <w:lang w:val="cy-GB"/>
              </w:rPr>
              <w:t xml:space="preserve"> </w:t>
            </w:r>
          </w:p>
        </w:tc>
        <w:tc>
          <w:tcPr>
            <w:tcW w:w="2908" w:type="dxa"/>
          </w:tcPr>
          <w:p w14:paraId="7AC8D709" w14:textId="1DBD63BE" w:rsidR="000E2E7E" w:rsidRPr="001B4AB4" w:rsidRDefault="00542104" w:rsidP="00AE36BB">
            <w:pPr>
              <w:rPr>
                <w:lang w:val="cy-GB"/>
              </w:rPr>
            </w:pPr>
            <w:r>
              <w:rPr>
                <w:lang w:val="cy-GB"/>
              </w:rPr>
              <w:t xml:space="preserve">Literature review. </w:t>
            </w:r>
          </w:p>
        </w:tc>
      </w:tr>
    </w:tbl>
    <w:p w14:paraId="44B6B5EF" w14:textId="77777777" w:rsidR="000E2E7E" w:rsidRPr="000E2E7E" w:rsidRDefault="000E2E7E" w:rsidP="000E2E7E">
      <w:pPr>
        <w:rPr>
          <w:sz w:val="16"/>
          <w:szCs w:val="16"/>
          <w:lang w:val="cy-GB"/>
        </w:rPr>
      </w:pPr>
    </w:p>
    <w:p w14:paraId="4CF6C14B" w14:textId="77777777" w:rsidR="000E2E7E" w:rsidRDefault="000E2E7E" w:rsidP="000E2E7E">
      <w:pPr>
        <w:rPr>
          <w:sz w:val="16"/>
          <w:szCs w:val="16"/>
        </w:rPr>
      </w:pPr>
    </w:p>
    <w:p w14:paraId="771B4000" w14:textId="2402F543" w:rsidR="000E2E7E" w:rsidRPr="000C1F91" w:rsidRDefault="000E2E7E" w:rsidP="000E2E7E">
      <w:pPr>
        <w:rPr>
          <w:sz w:val="36"/>
          <w:szCs w:val="36"/>
        </w:rPr>
      </w:pPr>
    </w:p>
    <w:p w14:paraId="2D2A7E36" w14:textId="7DC1FAEA" w:rsidR="000E2E7E" w:rsidRPr="00E0119B" w:rsidRDefault="00E0119B" w:rsidP="000E2E7E">
      <w:pPr>
        <w:rPr>
          <w:b/>
          <w:bCs/>
          <w:sz w:val="28"/>
          <w:szCs w:val="28"/>
          <w:u w:val="single"/>
        </w:rPr>
      </w:pPr>
      <w:r>
        <w:rPr>
          <w:b/>
          <w:bCs/>
          <w:sz w:val="28"/>
          <w:szCs w:val="28"/>
          <w:u w:val="single"/>
        </w:rPr>
        <w:t>What are KS2 teachers’ and pupils’ perceptions of the impact of W</w:t>
      </w:r>
      <w:r w:rsidR="002464D7">
        <w:rPr>
          <w:b/>
          <w:bCs/>
          <w:sz w:val="28"/>
          <w:szCs w:val="28"/>
          <w:u w:val="single"/>
        </w:rPr>
        <w:t>AGOLL in advancing learning</w:t>
      </w:r>
    </w:p>
    <w:p w14:paraId="0CB371F6" w14:textId="77777777" w:rsidR="00B439E2" w:rsidRPr="00D25032" w:rsidRDefault="00B439E2" w:rsidP="00456589">
      <w:pPr>
        <w:rPr>
          <w:b/>
          <w:bCs/>
          <w:u w:val="single"/>
        </w:rPr>
      </w:pPr>
      <w:r w:rsidRPr="00D25032">
        <w:rPr>
          <w:b/>
          <w:bCs/>
          <w:u w:val="single"/>
        </w:rPr>
        <w:lastRenderedPageBreak/>
        <w:t>Introduction</w:t>
      </w:r>
    </w:p>
    <w:p w14:paraId="5B27AC61" w14:textId="5FA93341" w:rsidR="00B439E2" w:rsidRDefault="00B439E2" w:rsidP="00456589">
      <w:r>
        <w:t>This assignment aims to discuss and analyse research findings of pupils’ and teachers’ opinions of a specific Assessment for Learning strategy to further develop professional learning and teacher development. Assessment for learning (AFL) is an approach to teaching and learning that assesses children throughout the ongoing process</w:t>
      </w:r>
      <w:r w:rsidR="001659F7">
        <w:t xml:space="preserve">, </w:t>
      </w:r>
      <w:r>
        <w:t>rather than at the end of their learning</w:t>
      </w:r>
      <w:r w:rsidR="00C67476" w:rsidRPr="00C67476">
        <w:rPr>
          <w:rFonts w:eastAsia="Times New Roman"/>
          <w:color w:val="000000"/>
        </w:rPr>
        <w:t xml:space="preserve"> </w:t>
      </w:r>
      <w:r w:rsidR="00C67476">
        <w:rPr>
          <w:rFonts w:eastAsia="Times New Roman"/>
          <w:color w:val="000000"/>
        </w:rPr>
        <w:t>(Cambridge International, 2019)</w:t>
      </w:r>
      <w:r>
        <w:t xml:space="preserve">. The Curriculum for Wales </w:t>
      </w:r>
      <w:r w:rsidR="00441A9F">
        <w:t xml:space="preserve">(2023) </w:t>
      </w:r>
      <w:r>
        <w:t>identifies AFL as a vital element to implement within the classroom. The Pedagogical Principles outlines that good teaching and learning uses AFL throughout</w:t>
      </w:r>
      <w:r w:rsidR="00BD0BEE" w:rsidRPr="00BD0BEE">
        <w:rPr>
          <w:rFonts w:eastAsia="Times New Roman"/>
          <w:color w:val="000000"/>
        </w:rPr>
        <w:t xml:space="preserve"> </w:t>
      </w:r>
      <w:r w:rsidR="00BD0BEE">
        <w:rPr>
          <w:rFonts w:eastAsia="Times New Roman"/>
          <w:color w:val="000000"/>
        </w:rPr>
        <w:t>(Welsh Government, 2023)</w:t>
      </w:r>
      <w:r>
        <w:t xml:space="preserve">. AFL is essential for pupil confidence and engagement to grow and for children to thrive in their learning. Black and Wiliam (2009) suggest that AFL can develop metacognition amongst children, meaning they become aware of their own learning, and how to monitor and evaluate it </w:t>
      </w:r>
      <w:r>
        <w:rPr>
          <w:rFonts w:eastAsia="Times New Roman"/>
          <w:color w:val="000000"/>
        </w:rPr>
        <w:t>(</w:t>
      </w:r>
      <w:proofErr w:type="spellStart"/>
      <w:r>
        <w:rPr>
          <w:rFonts w:eastAsia="Times New Roman"/>
          <w:color w:val="000000"/>
        </w:rPr>
        <w:t>Westbroek</w:t>
      </w:r>
      <w:proofErr w:type="spellEnd"/>
      <w:r>
        <w:rPr>
          <w:rFonts w:eastAsia="Times New Roman"/>
          <w:color w:val="000000"/>
        </w:rPr>
        <w:t xml:space="preserve"> et al., 2020)</w:t>
      </w:r>
      <w:r>
        <w:t>. A small-scale research study was conducted in a rural village in South Wales</w:t>
      </w:r>
      <w:r w:rsidR="003A4215">
        <w:t xml:space="preserve"> consisting of 118 pupils.</w:t>
      </w:r>
      <w:r>
        <w:t xml:space="preserve"> The school that the research was conducted at must remain anonymous under </w:t>
      </w:r>
      <w:r w:rsidR="009C4E12">
        <w:t>The British Educational Research Association (</w:t>
      </w:r>
      <w:r w:rsidR="003A42CE">
        <w:t xml:space="preserve">BERA) </w:t>
      </w:r>
      <w:r>
        <w:t>guidelines and will be referred to as School X</w:t>
      </w:r>
      <w:r w:rsidR="00731694">
        <w:t xml:space="preserve"> (BERA, 2024).</w:t>
      </w:r>
      <w:r>
        <w:t xml:space="preserve"> The research </w:t>
      </w:r>
      <w:r w:rsidR="00727562">
        <w:t>project</w:t>
      </w:r>
      <w:r>
        <w:t xml:space="preserve"> gathered data through a questionnaire and semi-structured interviews</w:t>
      </w:r>
      <w:r w:rsidR="00350DBB">
        <w:t xml:space="preserve">. </w:t>
      </w:r>
      <w:r w:rsidR="001803C3">
        <w:t xml:space="preserve">An </w:t>
      </w:r>
      <w:r w:rsidR="001803C3">
        <w:t>ethics form</w:t>
      </w:r>
      <w:r w:rsidR="001803C3">
        <w:t xml:space="preserve"> was</w:t>
      </w:r>
      <w:r w:rsidR="001803C3">
        <w:t xml:space="preserve"> created</w:t>
      </w:r>
      <w:r w:rsidR="001803C3">
        <w:t xml:space="preserve"> which</w:t>
      </w:r>
      <w:r w:rsidR="001803C3">
        <w:t xml:space="preserve"> highlights the aims of the research activity</w:t>
      </w:r>
      <w:r w:rsidR="001803C3">
        <w:t xml:space="preserve"> (see appendix 1)</w:t>
      </w:r>
      <w:r w:rsidR="001803C3">
        <w:t xml:space="preserve">. These include exploring teacher and pupil perceptions of WAGOLL, critically evaluating the interviews and questionnaire research methods and to further develop personal knowledge and understanding of WAGOLL as a tool to advancing learning. </w:t>
      </w:r>
    </w:p>
    <w:p w14:paraId="1C0CE00E" w14:textId="77777777" w:rsidR="00B439E2" w:rsidRPr="00D25032" w:rsidRDefault="00B439E2" w:rsidP="00456589">
      <w:r>
        <w:rPr>
          <w:b/>
          <w:bCs/>
          <w:u w:val="single"/>
        </w:rPr>
        <w:t xml:space="preserve">Literature review </w:t>
      </w:r>
    </w:p>
    <w:p w14:paraId="34FC3242" w14:textId="77777777" w:rsidR="00B439E2" w:rsidRDefault="00B439E2" w:rsidP="00456589">
      <w:r>
        <w:t xml:space="preserve">The focus question of this assignment is ‘What are KS2 teachers’ and pupils’ perceptions of WAGOLL in advancing learning’. A WAGOLL is also known as ‘what a good one looks like’ and is used within the classroom by teachers displaying a good piece of work </w:t>
      </w:r>
      <w:r>
        <w:rPr>
          <w:rFonts w:eastAsia="Times New Roman"/>
          <w:color w:val="000000"/>
        </w:rPr>
        <w:t>(Bushnell et al., 2020, p.41). This</w:t>
      </w:r>
      <w:r>
        <w:t xml:space="preserve"> can be through teacher constructed examples and pupil work examples. Black and Wiliam (1998) theorised that there are 4 key elements to AFL. One of which, focuses on sharing learning intentions and criteria with learners. WAGOLL examples fall under this area of AFL (</w:t>
      </w:r>
      <w:r>
        <w:rPr>
          <w:rFonts w:eastAsia="Times New Roman"/>
          <w:color w:val="000000"/>
        </w:rPr>
        <w:t xml:space="preserve">Black et al., 2003, p.22). </w:t>
      </w:r>
    </w:p>
    <w:p w14:paraId="4A20D828" w14:textId="77777777" w:rsidR="00B439E2" w:rsidRPr="00B171EC" w:rsidRDefault="00B439E2" w:rsidP="00456589">
      <w:pPr>
        <w:rPr>
          <w:rFonts w:eastAsia="Times New Roman"/>
          <w:color w:val="000000"/>
        </w:rPr>
      </w:pPr>
      <w:r>
        <w:t xml:space="preserve">WAGOLL examples are argued to only be beneficial when used throughout the learning process rather than at the end for pupils to fully understand what is expected of them during the lesson </w:t>
      </w:r>
      <w:r>
        <w:rPr>
          <w:rFonts w:eastAsia="Times New Roman"/>
          <w:color w:val="000000"/>
        </w:rPr>
        <w:t>(Bartlett, 2015)</w:t>
      </w:r>
      <w:r>
        <w:t xml:space="preserve">. A WAGOLL can be beneficial for children to use in every area of learning, however, is most commonly used within Literacy lessons or when introducing a new topic </w:t>
      </w:r>
      <w:r>
        <w:rPr>
          <w:rFonts w:eastAsia="Times New Roman"/>
          <w:color w:val="000000"/>
        </w:rPr>
        <w:t>(</w:t>
      </w:r>
      <w:proofErr w:type="spellStart"/>
      <w:r>
        <w:rPr>
          <w:rFonts w:eastAsia="Times New Roman"/>
          <w:color w:val="000000"/>
        </w:rPr>
        <w:t>Teachit</w:t>
      </w:r>
      <w:proofErr w:type="spellEnd"/>
      <w:r>
        <w:rPr>
          <w:rFonts w:eastAsia="Times New Roman"/>
          <w:color w:val="000000"/>
        </w:rPr>
        <w:t>, 2024)</w:t>
      </w:r>
      <w:r>
        <w:t>. However, WAGOLL examples can be challenging to implement affectively due to differences in ability. For example, the WAGOLL may be too challenging for lower ability pupils to work towards or not challenging enough for high ability pupils to work towards (</w:t>
      </w:r>
      <w:r>
        <w:rPr>
          <w:rFonts w:eastAsia="Times New Roman"/>
          <w:color w:val="000000"/>
        </w:rPr>
        <w:t xml:space="preserve">Education Endowment Foundation, 2021). </w:t>
      </w:r>
    </w:p>
    <w:p w14:paraId="691149A0" w14:textId="1A223C4A" w:rsidR="00B439E2" w:rsidRDefault="00B439E2" w:rsidP="00456589">
      <w:r>
        <w:lastRenderedPageBreak/>
        <w:t>John Hattie</w:t>
      </w:r>
      <w:r w:rsidR="004F66BB">
        <w:t xml:space="preserve"> (</w:t>
      </w:r>
      <w:r w:rsidR="00FB6611">
        <w:t>2009)</w:t>
      </w:r>
      <w:r>
        <w:t xml:space="preserve"> argues that teacher expectations can be made clear through the means of a WAGOLL example. Hattie also argues that children gain the most benefits from a WAGOLL example when they are able to analyse it and understand the attributes of high-quality work</w:t>
      </w:r>
      <w:r w:rsidR="00C50428">
        <w:t xml:space="preserve"> (Hattie, 2009). </w:t>
      </w:r>
      <w:r>
        <w:t xml:space="preserve">Additionally, D Royce Sadler (1989) identifies that WAGOLL examples encourage children to deepen their understanding and that they cannot fully understand the lesson without seeing an example of good work </w:t>
      </w:r>
      <w:r>
        <w:rPr>
          <w:rFonts w:eastAsia="Times New Roman"/>
          <w:color w:val="000000"/>
        </w:rPr>
        <w:t xml:space="preserve">(Sadler, 1989). </w:t>
      </w:r>
      <w:r>
        <w:t xml:space="preserve">Correspondingly, </w:t>
      </w:r>
      <w:proofErr w:type="spellStart"/>
      <w:r>
        <w:t>Estyn</w:t>
      </w:r>
      <w:proofErr w:type="spellEnd"/>
      <w:r>
        <w:t xml:space="preserve"> recognises that the most effective teaching offers pupils an excellent example of work which deepens their understanding, confidence and increases independence in their learning (</w:t>
      </w:r>
      <w:proofErr w:type="spellStart"/>
      <w:r>
        <w:t>Estyn</w:t>
      </w:r>
      <w:proofErr w:type="spellEnd"/>
      <w:r>
        <w:t xml:space="preserve">, 2022). However, Sadler also states that a WAGOLL example should be generated from pupil work to be the most effective example (York St. John University, 2024). </w:t>
      </w:r>
    </w:p>
    <w:p w14:paraId="574269D2" w14:textId="69804BC9" w:rsidR="00B439E2" w:rsidRDefault="00B439E2" w:rsidP="00456589">
      <w:r>
        <w:t xml:space="preserve">To add, WAGOLL is a key method for pupils with ALN to have a visual representation of the expectations for their work </w:t>
      </w:r>
      <w:r>
        <w:rPr>
          <w:rFonts w:eastAsia="Times New Roman"/>
          <w:color w:val="000000"/>
        </w:rPr>
        <w:t xml:space="preserve">(British Dyslexia Association, 2023). </w:t>
      </w:r>
      <w:r>
        <w:t>However,</w:t>
      </w:r>
      <w:r w:rsidR="007041AA">
        <w:t xml:space="preserve"> Dylan</w:t>
      </w:r>
      <w:r>
        <w:t xml:space="preserve"> Wiliam</w:t>
      </w:r>
      <w:r w:rsidR="007041AA">
        <w:t xml:space="preserve"> (2017)</w:t>
      </w:r>
      <w:r>
        <w:t xml:space="preserve"> highlights that sharing good examples of work can lead to pupils becoming overly dependent on the model given to them and to an extent, copying the displayed work (Wiliam, 2017, p.75). Similar to this thought, Dobson and Stephenson</w:t>
      </w:r>
      <w:r w:rsidR="00441A9F">
        <w:t xml:space="preserve"> (2018)</w:t>
      </w:r>
      <w:r>
        <w:t xml:space="preserve"> state that a WAGOLL can sometimes mean children are not challenging themselves to complete the work to their own ability and are restricting their learning </w:t>
      </w:r>
      <w:r>
        <w:rPr>
          <w:rFonts w:eastAsia="Times New Roman"/>
          <w:color w:val="000000"/>
        </w:rPr>
        <w:t>(Dobson and Stephenson, 2018)</w:t>
      </w:r>
      <w:r>
        <w:t xml:space="preserve">. </w:t>
      </w:r>
    </w:p>
    <w:p w14:paraId="29E2904E" w14:textId="77777777" w:rsidR="00B439E2" w:rsidRDefault="00B439E2" w:rsidP="00456589">
      <w:r>
        <w:t xml:space="preserve">Additionally, WAGOLL can motivate pupils to work towards a certain level of work if the example is within their ability range. In contrast, WAGOLL examples can lead to pupils becoming less motivated and withdraw from the lesson if the example is well beyond their ability level or is not similar to their work </w:t>
      </w:r>
      <w:r>
        <w:rPr>
          <w:rFonts w:eastAsia="Times New Roman"/>
          <w:color w:val="000000"/>
        </w:rPr>
        <w:t xml:space="preserve">(Wiliam, 2017, p.75). </w:t>
      </w:r>
      <w:r>
        <w:t>To add, there can also be differences of opinions to what is deemed a high-quality piece of work, meaning the best example may not be selected (Smith, 2025).</w:t>
      </w:r>
    </w:p>
    <w:p w14:paraId="73C6D334" w14:textId="77777777" w:rsidR="00B439E2" w:rsidRDefault="00B439E2" w:rsidP="00456589">
      <w:proofErr w:type="spellStart"/>
      <w:r>
        <w:t>Vygotsky</w:t>
      </w:r>
      <w:proofErr w:type="spellEnd"/>
      <w:r>
        <w:t xml:space="preserve"> argues the theory of the Zone of Proximal Development (ZPD) in which children can develop skills with support that they cannot develop without support. </w:t>
      </w:r>
      <w:proofErr w:type="spellStart"/>
      <w:r>
        <w:t>Vygotsky</w:t>
      </w:r>
      <w:proofErr w:type="spellEnd"/>
      <w:r>
        <w:t xml:space="preserve"> also introduced the concept of scaffolding, meaning the support that is given to help bridge the gap between what learners can currently do and what they will be able to do with support </w:t>
      </w:r>
      <w:r>
        <w:rPr>
          <w:rFonts w:eastAsia="Times New Roman"/>
          <w:color w:val="000000"/>
        </w:rPr>
        <w:t xml:space="preserve">(Mooney, 2013, p.101-102). </w:t>
      </w:r>
      <w:r>
        <w:t xml:space="preserve">WAGOLL examples are a method of scaffolding, involving teachers providing temporary support for pupils to reach an understanding. </w:t>
      </w:r>
    </w:p>
    <w:p w14:paraId="2DA16E0C" w14:textId="77777777" w:rsidR="00B439E2" w:rsidRDefault="00B439E2" w:rsidP="00456589">
      <w:pPr>
        <w:rPr>
          <w:rFonts w:eastAsia="Times New Roman"/>
          <w:color w:val="000000"/>
        </w:rPr>
      </w:pPr>
      <w:r>
        <w:t>The Education Endowment Foundation (EEF) indicates that scaffolding techniques can be in the form of written examples, such as a WAGOLL. The EEF recognises that scaffolding techniques such as a WAGOLL, can develop metacognition amongst pupils</w:t>
      </w:r>
      <w:r w:rsidRPr="009911EE">
        <w:rPr>
          <w:rFonts w:eastAsia="Times New Roman"/>
          <w:color w:val="000000"/>
        </w:rPr>
        <w:t xml:space="preserve"> </w:t>
      </w:r>
      <w:r>
        <w:rPr>
          <w:rFonts w:eastAsia="Times New Roman"/>
          <w:color w:val="000000"/>
        </w:rPr>
        <w:t>(Stephenson and Gill, 2024, p.199)</w:t>
      </w:r>
      <w:r>
        <w:t xml:space="preserve">. It is also recognised by the EEF that these strategies can gain at least 7 months of learning time with a low implementation cost. However, there is little research to support their implementation within the classroom </w:t>
      </w:r>
      <w:r>
        <w:rPr>
          <w:rFonts w:eastAsia="Times New Roman"/>
          <w:color w:val="000000"/>
        </w:rPr>
        <w:t xml:space="preserve">(Education Endowment Foundation, 2021). </w:t>
      </w:r>
    </w:p>
    <w:p w14:paraId="25079B73" w14:textId="77777777" w:rsidR="00B439E2" w:rsidRDefault="00B439E2" w:rsidP="00456589">
      <w:pPr>
        <w:rPr>
          <w:b/>
          <w:bCs/>
          <w:u w:val="single"/>
        </w:rPr>
      </w:pPr>
      <w:r>
        <w:rPr>
          <w:b/>
          <w:bCs/>
          <w:u w:val="single"/>
        </w:rPr>
        <w:lastRenderedPageBreak/>
        <w:t xml:space="preserve">Methodology </w:t>
      </w:r>
    </w:p>
    <w:p w14:paraId="2FE3637E" w14:textId="5AE468C0" w:rsidR="00B439E2" w:rsidRDefault="00B439E2" w:rsidP="00456589">
      <w:r>
        <w:t xml:space="preserve">Throughout the course of the research conducted, semi-structured interviews were used to gather qualitative data. Comparatively, questionnaires were also used throughout the research project to gather primarily quantitative data with small sections of the questionnaire offering qualitative data. Qualitative data is recognised as descriptive information that cannot be interpreted using numerical analysis. However, Quantitative data is outlined as data that can be interpreted in numerical forms </w:t>
      </w:r>
      <w:r>
        <w:rPr>
          <w:rFonts w:eastAsia="Times New Roman"/>
          <w:color w:val="000000"/>
        </w:rPr>
        <w:t>(National Library of Medicine, 2022).</w:t>
      </w:r>
      <w:r w:rsidR="00796A73">
        <w:t xml:space="preserve"> It is outlined that</w:t>
      </w:r>
      <w:r w:rsidR="00E26632">
        <w:t xml:space="preserve"> s</w:t>
      </w:r>
      <w:r w:rsidR="00585D5B">
        <w:t>emi-structured interviews a</w:t>
      </w:r>
      <w:r w:rsidR="00D156F3">
        <w:t xml:space="preserve">re a </w:t>
      </w:r>
      <w:r w:rsidR="00893BA4">
        <w:t>method of gaining data</w:t>
      </w:r>
      <w:r w:rsidR="00D156F3">
        <w:t xml:space="preserve"> involv</w:t>
      </w:r>
      <w:r w:rsidR="00893BA4">
        <w:t>ing</w:t>
      </w:r>
      <w:r w:rsidR="00961022">
        <w:t xml:space="preserve"> a set of pre-determined questions</w:t>
      </w:r>
      <w:r w:rsidR="00DE4885">
        <w:t xml:space="preserve"> from the interviewer but also allows for </w:t>
      </w:r>
      <w:r w:rsidR="00796A73">
        <w:t>flexibility</w:t>
      </w:r>
      <w:r w:rsidR="00741566">
        <w:t xml:space="preserve"> </w:t>
      </w:r>
      <w:r w:rsidR="00796A73">
        <w:rPr>
          <w:rFonts w:eastAsia="Times New Roman"/>
          <w:color w:val="000000"/>
        </w:rPr>
        <w:t xml:space="preserve">(Cohen, Manion and Morrison, 2018). </w:t>
      </w:r>
    </w:p>
    <w:p w14:paraId="416CB503" w14:textId="732C9CDA" w:rsidR="00B439E2" w:rsidRDefault="00B439E2" w:rsidP="00456589">
      <w:r>
        <w:t xml:space="preserve">Semi-structured interviews were conducted </w:t>
      </w:r>
      <w:r w:rsidR="00DC7782">
        <w:t xml:space="preserve">with a sample of 2 KS2 </w:t>
      </w:r>
      <w:r w:rsidR="006F3274">
        <w:t>teachers</w:t>
      </w:r>
      <w:r w:rsidR="00DC7782">
        <w:t xml:space="preserve"> within School X</w:t>
      </w:r>
      <w:r w:rsidR="004437DA">
        <w:t xml:space="preserve"> to gather their</w:t>
      </w:r>
      <w:r>
        <w:t xml:space="preserve"> opinions on </w:t>
      </w:r>
      <w:proofErr w:type="spellStart"/>
      <w:r w:rsidR="00C26086">
        <w:t>WAGOLL</w:t>
      </w:r>
      <w:r w:rsidR="001B7456">
        <w:t>S</w:t>
      </w:r>
      <w:proofErr w:type="spellEnd"/>
      <w:r w:rsidR="00C26086">
        <w:t xml:space="preserve"> advancing learning</w:t>
      </w:r>
      <w:r>
        <w:t xml:space="preserve">. The interview consisted of 8 main questions with smaller sub questions to ask the participants </w:t>
      </w:r>
      <w:r w:rsidR="001B7456">
        <w:t xml:space="preserve">which </w:t>
      </w:r>
      <w:r>
        <w:t xml:space="preserve">prompt a deepened discussion. The intended goal for interview responses was 2, with the minimum expected response being 1. However, a larger sample would be more beneficial for data as it means that data can be generalised, meaning it is able to be applied to the wider population </w:t>
      </w:r>
      <w:r>
        <w:rPr>
          <w:rFonts w:eastAsia="Times New Roman"/>
          <w:color w:val="000000"/>
        </w:rPr>
        <w:t xml:space="preserve">(Larsson, 2009). </w:t>
      </w:r>
      <w:r>
        <w:t xml:space="preserve">It was not possible to gather a larger number of responses for teacher interviews due to School X only having 2 KS2 teachers. </w:t>
      </w:r>
    </w:p>
    <w:p w14:paraId="0268FE93" w14:textId="3272B577" w:rsidR="00B439E2" w:rsidRDefault="00B439E2" w:rsidP="00456589">
      <w:r>
        <w:t xml:space="preserve">Semi-structured interviews can be a beneficial method to gather research data. Tegan George recognises that they can provide reliable data to researchers due to the rich and authentic information provided. However, George also states that semi-structured interviews can have less validity than other research methods due to the flexibility of answers gathered </w:t>
      </w:r>
      <w:r>
        <w:rPr>
          <w:rFonts w:eastAsia="Times New Roman"/>
          <w:color w:val="000000"/>
        </w:rPr>
        <w:t xml:space="preserve">(George, 2022). </w:t>
      </w:r>
      <w:r>
        <w:t xml:space="preserve">Additionally, semi-structured interviews can be associated with interviewer bias, meaning participants answers to questions are swayed towards the interviewers' opinions and the specific answers they are looking for </w:t>
      </w:r>
      <w:r>
        <w:rPr>
          <w:rFonts w:eastAsia="Times New Roman"/>
          <w:color w:val="000000"/>
        </w:rPr>
        <w:t>(</w:t>
      </w:r>
      <w:proofErr w:type="spellStart"/>
      <w:r>
        <w:rPr>
          <w:rFonts w:eastAsia="Times New Roman"/>
          <w:color w:val="000000"/>
        </w:rPr>
        <w:t>Kvale</w:t>
      </w:r>
      <w:proofErr w:type="spellEnd"/>
      <w:r>
        <w:rPr>
          <w:rFonts w:eastAsia="Times New Roman"/>
          <w:color w:val="000000"/>
        </w:rPr>
        <w:t xml:space="preserve"> and Brinkmann, 2009, p.130)</w:t>
      </w:r>
      <w:r>
        <w:t>. Due to the qualitative data provided from semi-structured interviews, there may be inconsistencies with data gathered meaning it is difficult to analyse and interpret the data</w:t>
      </w:r>
      <w:r w:rsidRPr="0055474E">
        <w:rPr>
          <w:rFonts w:eastAsia="Times New Roman"/>
          <w:color w:val="000000"/>
        </w:rPr>
        <w:t xml:space="preserve"> </w:t>
      </w:r>
      <w:r>
        <w:rPr>
          <w:rFonts w:eastAsia="Times New Roman"/>
          <w:color w:val="000000"/>
        </w:rPr>
        <w:t>(NCVO, no date).</w:t>
      </w:r>
      <w:r>
        <w:t xml:space="preserve"> </w:t>
      </w:r>
      <w:r w:rsidR="00397AF3">
        <w:t xml:space="preserve">The interview questions can be identified in appendix </w:t>
      </w:r>
      <w:r w:rsidR="00DD1927">
        <w:t xml:space="preserve">4. </w:t>
      </w:r>
      <w:r>
        <w:t xml:space="preserve">The qualitative data gathered from the interviews is displayed in a transcript seen in appendix </w:t>
      </w:r>
      <w:r w:rsidR="00304E62">
        <w:t>5 and 6</w:t>
      </w:r>
      <w:r w:rsidR="00397AF3">
        <w:t xml:space="preserve">. </w:t>
      </w:r>
      <w:r w:rsidR="000271BC">
        <w:t xml:space="preserve">After comparing both </w:t>
      </w:r>
      <w:r w:rsidR="005C2CC9">
        <w:t>interview times and responses, it can be recognised that interview</w:t>
      </w:r>
      <w:r w:rsidR="001E51B7">
        <w:t xml:space="preserve"> 2 </w:t>
      </w:r>
      <w:r w:rsidR="000271BC">
        <w:t xml:space="preserve">was a significantly </w:t>
      </w:r>
      <w:r w:rsidR="00F0394D">
        <w:t>short</w:t>
      </w:r>
      <w:r w:rsidR="00AD7D1D">
        <w:t xml:space="preserve">er and less in depth than </w:t>
      </w:r>
      <w:r w:rsidR="005F44B7">
        <w:t>interview 1, meaning less</w:t>
      </w:r>
      <w:r w:rsidR="00DB2158">
        <w:t xml:space="preserve"> useful</w:t>
      </w:r>
      <w:r w:rsidR="005F44B7">
        <w:t xml:space="preserve"> data was </w:t>
      </w:r>
      <w:r w:rsidR="004C5299">
        <w:t>gathered</w:t>
      </w:r>
      <w:r w:rsidR="00DB2158">
        <w:t xml:space="preserve">. </w:t>
      </w:r>
    </w:p>
    <w:p w14:paraId="10FAEFA6" w14:textId="6EC0D2EB" w:rsidR="00B439E2" w:rsidRDefault="00B439E2" w:rsidP="00456589">
      <w:r>
        <w:t xml:space="preserve">During the research project, the questionnaire was dispersed </w:t>
      </w:r>
      <w:r w:rsidR="0011679D">
        <w:t>to a sample of</w:t>
      </w:r>
      <w:r>
        <w:t xml:space="preserve"> 28 pupils </w:t>
      </w:r>
      <w:r w:rsidR="00406822">
        <w:t xml:space="preserve">of year 5 and 6 </w:t>
      </w:r>
      <w:r>
        <w:t xml:space="preserve">in School X, with an expectation of </w:t>
      </w:r>
      <w:r w:rsidR="0052559D">
        <w:t xml:space="preserve">10 </w:t>
      </w:r>
      <w:r>
        <w:t xml:space="preserve">responses. The questionnaire gathered 27 responses of pupil perceptions of WAGOLL to their learning. Microsoft Forms was the chosen tool to gather questionnaire responses as it ensures anonymity and easy access for the participants to complete the questionnaire through scanning a QR code. The questionnaire primarily consisted of closed-ended questions with 2 questions allowing for flexible answers. Close ended questions were chosen due to </w:t>
      </w:r>
      <w:r>
        <w:lastRenderedPageBreak/>
        <w:t xml:space="preserve">time constraints, meaning this method ensured all children had the opportunity to answer all of the questions in the time allocated. However, it is essential to recognise that close ended questions can lead children towards an answer that they may not actually believe </w:t>
      </w:r>
      <w:r>
        <w:rPr>
          <w:rFonts w:eastAsia="Times New Roman"/>
          <w:color w:val="000000"/>
        </w:rPr>
        <w:t>(</w:t>
      </w:r>
      <w:proofErr w:type="spellStart"/>
      <w:r>
        <w:rPr>
          <w:rFonts w:eastAsia="Times New Roman"/>
          <w:color w:val="000000"/>
        </w:rPr>
        <w:t>Reja</w:t>
      </w:r>
      <w:proofErr w:type="spellEnd"/>
      <w:r>
        <w:rPr>
          <w:rFonts w:eastAsia="Times New Roman"/>
          <w:color w:val="000000"/>
        </w:rPr>
        <w:t xml:space="preserve"> et al., 2003). </w:t>
      </w:r>
    </w:p>
    <w:p w14:paraId="742A4EAE" w14:textId="56FC73BB" w:rsidR="00B439E2" w:rsidRDefault="00B439E2" w:rsidP="00456589">
      <w:r>
        <w:t xml:space="preserve">Questionnaires are also a beneficial method for conducting research, in particular with children as it ensures they remain anonymous (Lambert, 2019). This factor also ensures that there is no researcher bias that could negatively impact the research results. Munn and </w:t>
      </w:r>
      <w:proofErr w:type="spellStart"/>
      <w:r>
        <w:t>Drever</w:t>
      </w:r>
      <w:proofErr w:type="spellEnd"/>
      <w:r w:rsidR="00D21B6D">
        <w:t xml:space="preserve"> (1990)</w:t>
      </w:r>
      <w:r>
        <w:t xml:space="preserve"> suggest that questionnaires allow for easy data analysis that can be generalised. However, responses tend to be superficial. Additionally, questionnaires are quick to distribute and have little to no cost, meaning they have a high response rate</w:t>
      </w:r>
      <w:r w:rsidRPr="00FE6108">
        <w:rPr>
          <w:rFonts w:eastAsia="Times New Roman"/>
          <w:color w:val="000000"/>
        </w:rPr>
        <w:t xml:space="preserve"> </w:t>
      </w:r>
      <w:r>
        <w:rPr>
          <w:rFonts w:eastAsia="Times New Roman"/>
          <w:color w:val="000000"/>
        </w:rPr>
        <w:t xml:space="preserve">(Munn and </w:t>
      </w:r>
      <w:proofErr w:type="spellStart"/>
      <w:r>
        <w:rPr>
          <w:rFonts w:eastAsia="Times New Roman"/>
          <w:color w:val="000000"/>
        </w:rPr>
        <w:t>Drever</w:t>
      </w:r>
      <w:proofErr w:type="spellEnd"/>
      <w:r>
        <w:rPr>
          <w:rFonts w:eastAsia="Times New Roman"/>
          <w:color w:val="000000"/>
        </w:rPr>
        <w:t>, 1990)</w:t>
      </w:r>
      <w:r>
        <w:t xml:space="preserve">. However, due to questionnaires being quick to fill out, they can be rushed by participants meaning there is no validity as answers may not be properly thought about (Lambert, 2019). </w:t>
      </w:r>
      <w:r w:rsidR="00AC2CB9">
        <w:t xml:space="preserve">This may also negatively impact the credibility of </w:t>
      </w:r>
      <w:r w:rsidR="008D3EE8">
        <w:t xml:space="preserve">the data. </w:t>
      </w:r>
      <w:r w:rsidR="004B1FA8">
        <w:t xml:space="preserve">The questionnaire can be found in appendix 7. </w:t>
      </w:r>
      <w:r>
        <w:t>The quantitative data gathered from the questionnaires is displayed in bar graphs and pie charts shown in appendix</w:t>
      </w:r>
      <w:r w:rsidR="004B1FA8">
        <w:t xml:space="preserve"> 8. </w:t>
      </w:r>
    </w:p>
    <w:p w14:paraId="4E5E2177" w14:textId="2D4C163A" w:rsidR="00391BD3" w:rsidRPr="004B1FA8" w:rsidRDefault="00391BD3" w:rsidP="00456589">
      <w:r>
        <w:t xml:space="preserve">However, there are limitations to this research study. Due to the interview section of the research being conducted in a small school with only 2 teachers within KS2, the volume of data gathered during interviews is limited. This could be tackled by opening the research to a larger sample group such as Foundation Learning teachers. However, this could negatively impact data findings as there would be a significantly large difference between pupils’ ability in the youngest year group and the oldest year group so teacher perceptions of WAGOLL could be affected. </w:t>
      </w:r>
    </w:p>
    <w:p w14:paraId="161971A9" w14:textId="5215CBD8" w:rsidR="00B439E2" w:rsidRDefault="00B439E2" w:rsidP="00456589">
      <w:r>
        <w:t xml:space="preserve">Throughout the course of the research project, ethics were significant to consider. </w:t>
      </w:r>
      <w:r w:rsidR="009C4E12">
        <w:t xml:space="preserve">The BERA </w:t>
      </w:r>
      <w:r>
        <w:t>guidelines were consistently adhered to throughout the course of the research and influenced decision making. For example, through confidentiality considerations (BERA,</w:t>
      </w:r>
      <w:r w:rsidR="00AE7DC9">
        <w:t xml:space="preserve"> </w:t>
      </w:r>
      <w:r>
        <w:t>2024). Confidentiality and privacy must remain central to all research that takes place to ensure the research remains ethical. Confidentiality means to maintain a secure privacy of sensitive information such as names, age, address and other personal details</w:t>
      </w:r>
      <w:r w:rsidRPr="00C43955">
        <w:rPr>
          <w:rFonts w:eastAsia="Times New Roman"/>
          <w:color w:val="000000"/>
        </w:rPr>
        <w:t xml:space="preserve"> </w:t>
      </w:r>
      <w:r>
        <w:rPr>
          <w:rFonts w:eastAsia="Times New Roman"/>
          <w:color w:val="000000"/>
        </w:rPr>
        <w:t xml:space="preserve">(Kang and </w:t>
      </w:r>
      <w:proofErr w:type="spellStart"/>
      <w:r>
        <w:rPr>
          <w:rFonts w:eastAsia="Times New Roman"/>
          <w:color w:val="000000"/>
        </w:rPr>
        <w:t>Hwang</w:t>
      </w:r>
      <w:proofErr w:type="spellEnd"/>
      <w:r>
        <w:rPr>
          <w:rFonts w:eastAsia="Times New Roman"/>
          <w:color w:val="000000"/>
        </w:rPr>
        <w:t>, 2023)</w:t>
      </w:r>
      <w:r>
        <w:t>.</w:t>
      </w:r>
    </w:p>
    <w:p w14:paraId="692A0B07" w14:textId="256A80B1" w:rsidR="00B439E2" w:rsidRDefault="00B439E2" w:rsidP="00456589">
      <w:r>
        <w:t>Prior to the research project, an ethics form was completed which outlined how the research will remain ethical</w:t>
      </w:r>
      <w:r w:rsidR="005776C5">
        <w:t xml:space="preserve"> (see appendix 1)</w:t>
      </w:r>
      <w:r>
        <w:t>. This includes respecting the views of participants, adhering to their rights and informing them how the data will be used. Moreover, before the research was conducted, a consent form was issued for the school headteacher to fill out as the Gatekeeper of School X (</w:t>
      </w:r>
      <w:r w:rsidR="005776C5">
        <w:t>see</w:t>
      </w:r>
      <w:r>
        <w:t xml:space="preserve"> appendix 2). A consent form was also filled out by both participants of the interview; however, the completed forms cannot be included to ensure the participants remain anonymous under BERA guidelines </w:t>
      </w:r>
      <w:r w:rsidR="00BD11F2">
        <w:t>(see</w:t>
      </w:r>
      <w:r>
        <w:t xml:space="preserve"> appendix 3). Consent must be obtained prior to research </w:t>
      </w:r>
      <w:r>
        <w:lastRenderedPageBreak/>
        <w:t xml:space="preserve">being conducted to ensure participants feel informed about their decision to take part </w:t>
      </w:r>
      <w:r>
        <w:rPr>
          <w:rFonts w:eastAsia="Times New Roman"/>
          <w:color w:val="000000"/>
        </w:rPr>
        <w:t xml:space="preserve">(University of Oxford, 2021). </w:t>
      </w:r>
    </w:p>
    <w:p w14:paraId="7D6417F8" w14:textId="468A3BDC" w:rsidR="00CF5804" w:rsidRPr="002A121B" w:rsidRDefault="00B439E2" w:rsidP="00456589">
      <w:r>
        <w:t xml:space="preserve">The UNCRC identifies in article 12 that the views and decisions of a child must be respected in all matters regarding them </w:t>
      </w:r>
      <w:r>
        <w:rPr>
          <w:rFonts w:eastAsia="Times New Roman"/>
          <w:color w:val="000000"/>
        </w:rPr>
        <w:t>(UNICEF, 1989).</w:t>
      </w:r>
      <w:r>
        <w:t xml:space="preserve"> In relation to this and BERA guidelines, the children and teachers who were involved in the research were informed that they had the right to withdraw at any time and also had the choice not to </w:t>
      </w:r>
      <w:r w:rsidR="00391BD3">
        <w:t>take part</w:t>
      </w:r>
      <w:r>
        <w:t xml:space="preserve"> in the research (BERA, 2024). 27 of the pupils selected ‘yes’ for question 1 which gave their consent for the research. </w:t>
      </w:r>
    </w:p>
    <w:p w14:paraId="5275FADD" w14:textId="3B95D047" w:rsidR="00B439E2" w:rsidRDefault="00B439E2" w:rsidP="00456589">
      <w:pPr>
        <w:rPr>
          <w:b/>
          <w:bCs/>
          <w:u w:val="single"/>
        </w:rPr>
      </w:pPr>
      <w:r>
        <w:rPr>
          <w:b/>
          <w:bCs/>
          <w:u w:val="single"/>
        </w:rPr>
        <w:t>Discussions and findings</w:t>
      </w:r>
    </w:p>
    <w:p w14:paraId="1325DF08" w14:textId="7D430770" w:rsidR="00B439E2" w:rsidRDefault="00B439E2" w:rsidP="00456589">
      <w:r>
        <w:t>As identified in appendix 8, the pie chart for question 2 shows that 64% of children believe WAGOLL examples to be somewhat helpful to their learning, with 18% believing them to be very helpful and 18% also believing them to be neither helpful nor unhelpful. To add, question 3 of the pupil questionnaire displayed that 32% of pupils believe that WAGOLL examples help them to understand the lesson better, with 7% believing they do not help to understand better</w:t>
      </w:r>
      <w:r w:rsidR="00EA3F10">
        <w:t>, and</w:t>
      </w:r>
      <w:r>
        <w:t xml:space="preserve"> 61% selecting maybe. Due to the high number of ‘maybe’ answers, it could indicate that children do not have a sufficient awareness about WAGOLL examples and if they pose any benefits to their learning. However, teacher 1 had a different viewpoint to question 5 which is highlighted in appendix 5. They stated that WAGOLL examples help children to deepen their understanding of the lesson as it allows pupils to understand where the teacher intends the learning to go and how they are going to get there. </w:t>
      </w:r>
      <w:r w:rsidR="007625BF">
        <w:t>This aligns with Hattie’s</w:t>
      </w:r>
      <w:r>
        <w:t xml:space="preserve">’ thought, as he suggests that </w:t>
      </w:r>
      <w:proofErr w:type="spellStart"/>
      <w:r>
        <w:t>WAGOLLS</w:t>
      </w:r>
      <w:proofErr w:type="spellEnd"/>
      <w:r>
        <w:t xml:space="preserve"> can help children to understand the lesson better and shows pupils where the lesson is intended to g</w:t>
      </w:r>
      <w:r w:rsidR="009D0EA6">
        <w:t xml:space="preserve">o (Hattie, 2009). </w:t>
      </w:r>
    </w:p>
    <w:p w14:paraId="6157477E" w14:textId="3829B54A" w:rsidR="00B439E2" w:rsidRDefault="00B439E2" w:rsidP="00456589">
      <w:r>
        <w:t xml:space="preserve">The pie chart shown for question 4 demonstrates that 68% of pupils agree that their class teacher sometimes shows them a WAGOLL example (see appendix 8). To add, 11% of pupils stated that their teacher rarely shows them a WAGOLL example. </w:t>
      </w:r>
      <w:r w:rsidRPr="005D474F">
        <w:t>Linking to this, teacher 2 stated</w:t>
      </w:r>
      <w:r>
        <w:t xml:space="preserve"> for question 7</w:t>
      </w:r>
      <w:r w:rsidRPr="005D474F">
        <w:t xml:space="preserve"> that pupil constructed WAGOLL are used less within the classroom as they are time consuming</w:t>
      </w:r>
      <w:r>
        <w:t xml:space="preserve">. Despite the barrier identified to implementing this method, </w:t>
      </w:r>
      <w:r w:rsidRPr="00EE3BD3">
        <w:t>both teacher interviews stated in their response to question</w:t>
      </w:r>
      <w:r>
        <w:t xml:space="preserve"> 7 that they believe </w:t>
      </w:r>
      <w:r w:rsidRPr="00EE3BD3">
        <w:t>pupil made WAGOLL are more beneficial for learning as it makes children believe it is something achievable for them</w:t>
      </w:r>
      <w:r>
        <w:t xml:space="preserve">, which evidently improves their confidence. Question 5 of the pupil questionnaire highlights that 25% of the respondents selected ‘no’ when asked wether seeing a WAGOLL example improves their confidence in their own work (see appendix 8). In contrast, the interview conducted with teacher 2 outlined for question 6 that WAGOLL examples do improve pupil confidence, and they recognise this through improvements in their pupils writing (see appendix 6). This suggests that teachers may have a better opinion of </w:t>
      </w:r>
      <w:proofErr w:type="spellStart"/>
      <w:r>
        <w:t>WAGOLLS</w:t>
      </w:r>
      <w:proofErr w:type="spellEnd"/>
      <w:r>
        <w:t xml:space="preserve"> than pupils. </w:t>
      </w:r>
    </w:p>
    <w:p w14:paraId="6C5E96CB" w14:textId="6CBF1230" w:rsidR="00B439E2" w:rsidRPr="006E2BB7" w:rsidRDefault="00925441" w:rsidP="00456589">
      <w:r>
        <w:lastRenderedPageBreak/>
        <w:t>Th</w:t>
      </w:r>
      <w:r w:rsidR="00EE0846">
        <w:t xml:space="preserve">e </w:t>
      </w:r>
      <w:r w:rsidR="00B439E2">
        <w:t xml:space="preserve">teacher interview highlighted in appendix 6 noted for question 4 that a barrier to WAGOLL examples is that it can over scaffold tasks for pupils to the extent that they can ‘copy it, become complacent and not think of their own work’. </w:t>
      </w:r>
      <w:r w:rsidR="00EE0846">
        <w:t>This point reinforces Dylan Wiliam statement that showing good examples of work to pupils can cause them to overly copy it and not think of their own ideas (Wiliam, 2017, p.75). In relation to this,</w:t>
      </w:r>
      <w:r w:rsidR="008A7471">
        <w:t xml:space="preserve"> the</w:t>
      </w:r>
      <w:r w:rsidR="00B439E2">
        <w:t xml:space="preserve"> answer</w:t>
      </w:r>
      <w:r w:rsidR="008A7471">
        <w:t xml:space="preserve"> also</w:t>
      </w:r>
      <w:r w:rsidR="00B439E2">
        <w:t xml:space="preserve"> links to </w:t>
      </w:r>
      <w:proofErr w:type="spellStart"/>
      <w:r w:rsidR="00B439E2">
        <w:t>Vygotsky</w:t>
      </w:r>
      <w:proofErr w:type="spellEnd"/>
      <w:r w:rsidR="00B439E2">
        <w:t xml:space="preserve"> theory of scaffolding as noted earlier, however, counteracts his claim of the positive effects that it can bring as the participant recognises that too much scaffolding can actually impact children negatively</w:t>
      </w:r>
      <w:r w:rsidR="00B439E2">
        <w:rPr>
          <w:rFonts w:eastAsia="Times New Roman"/>
          <w:color w:val="000000"/>
        </w:rPr>
        <w:t xml:space="preserve"> (Mooney, 2013, p.101-102)</w:t>
      </w:r>
      <w:r w:rsidR="00B439E2">
        <w:t xml:space="preserve">. This is due to children not challenging themselves in their work.  </w:t>
      </w:r>
    </w:p>
    <w:p w14:paraId="40FA7F87" w14:textId="08A368A8" w:rsidR="00B439E2" w:rsidRDefault="00B439E2" w:rsidP="00456589">
      <w:r>
        <w:t>Question 1.1 of the teacher interview shown in appendix 5 suggests that a WAGOLL is particularly beneficial for children when a ‘what a bad one looks like’ (WABOLL) is also shown for pupils to identify the differences and analyse what makes one example good and the other example bad. Similar to this thought, Sadler identified that examples of work can only be beneficial for children when they are able to analyse the parts of it that make it a good example (</w:t>
      </w:r>
      <w:r>
        <w:rPr>
          <w:rFonts w:eastAsia="Times New Roman"/>
          <w:color w:val="000000"/>
        </w:rPr>
        <w:t>Sadler, 1989).</w:t>
      </w:r>
      <w:r w:rsidR="00C51209">
        <w:t xml:space="preserve"> </w:t>
      </w:r>
      <w:r>
        <w:t>As identified earlier, The British Dyslexia Association outlines that WAGOLL examples are a key tool to ensure pupils with ALN have a visual representation of the lesson expectations (</w:t>
      </w:r>
      <w:r>
        <w:rPr>
          <w:rFonts w:eastAsia="Times New Roman"/>
          <w:color w:val="000000"/>
        </w:rPr>
        <w:t xml:space="preserve">British Dyslexia Association, 2023). </w:t>
      </w:r>
      <w:r>
        <w:t xml:space="preserve">Teacher 1 recalled on a personal experience of this during question 3. They stated that during a creative water cycle lesson, pupils with ALN only fully understood the task once they had a visual representation of the end outcome (see appendix 5). </w:t>
      </w:r>
    </w:p>
    <w:p w14:paraId="64FB3076" w14:textId="0DCD19F6" w:rsidR="00B439E2" w:rsidRDefault="00B439E2" w:rsidP="00456589">
      <w:pPr>
        <w:rPr>
          <w:rFonts w:ascii="Segoe UI" w:eastAsia="Times New Roman" w:hAnsi="Segoe UI" w:cs="Segoe UI"/>
          <w:color w:val="212121"/>
          <w:sz w:val="21"/>
          <w:szCs w:val="21"/>
          <w:shd w:val="clear" w:color="auto" w:fill="F8F8F8"/>
        </w:rPr>
      </w:pPr>
      <w:r>
        <w:t xml:space="preserve">Dylan Wiliam suggests that WAGOLL examples can cause children to withdraw from the lesson if the example is not similar to their work or is well beyond their level of ability </w:t>
      </w:r>
      <w:r>
        <w:rPr>
          <w:rFonts w:eastAsia="Times New Roman"/>
          <w:color w:val="000000"/>
        </w:rPr>
        <w:t xml:space="preserve">(Wiliam, 2017, p.75). </w:t>
      </w:r>
      <w:r>
        <w:t xml:space="preserve">Comparatively, question 6 of the questionnaire give insight into pupils' personal opinion of why a WAGOLL helps or does not help their confidence. One response stated that a WAGOLL can negatively impact their confidence as they are mostly a lot better than what the respondent feels they could write themselves. Similarly, another respondent stated, ‘I don’t feel like I always need them, and if I see a WAGOLL but it’s completely different to my work it makes me question it even more than before’ (see appendix 8). </w:t>
      </w:r>
    </w:p>
    <w:p w14:paraId="137F1794" w14:textId="77777777" w:rsidR="00B439E2" w:rsidRDefault="00B439E2" w:rsidP="00456589">
      <w:pPr>
        <w:rPr>
          <w:b/>
          <w:bCs/>
          <w:u w:val="single"/>
        </w:rPr>
      </w:pPr>
      <w:r>
        <w:rPr>
          <w:b/>
          <w:bCs/>
          <w:u w:val="single"/>
        </w:rPr>
        <w:t xml:space="preserve">Conclusion and recommendations </w:t>
      </w:r>
    </w:p>
    <w:p w14:paraId="73BA9DB0" w14:textId="1C4DC261" w:rsidR="007738EA" w:rsidRDefault="00B439E2" w:rsidP="00456589">
      <w:r>
        <w:t xml:space="preserve">To conclude, KS2 pupil and teacher perceptions of WAGOLL in advancing learning are significantly different. Pupils are predominantly unsure of wether WAGOLL advances their learning or is beneficial for them. However, teacher perceptions of WAGOLL included that they are beneficial for advancing learning, including improving confidence, deepening understanding and displaying teacher expectations. </w:t>
      </w:r>
      <w:r w:rsidR="001751CC">
        <w:t xml:space="preserve">Ideas identified in the literature review </w:t>
      </w:r>
      <w:r w:rsidR="00861B32">
        <w:t xml:space="preserve">are similar to the findings of the teacher interviews. This includes </w:t>
      </w:r>
      <w:r w:rsidR="00065921">
        <w:t xml:space="preserve">theorists such as Hattie and Sadler. However, the findings of the questionnaire are significantly different to that of literature and </w:t>
      </w:r>
      <w:r w:rsidR="00134AF6">
        <w:t xml:space="preserve">teacher </w:t>
      </w:r>
      <w:r w:rsidR="000C76E9">
        <w:t>perceptions</w:t>
      </w:r>
      <w:r w:rsidR="00134AF6">
        <w:t>.</w:t>
      </w:r>
      <w:r w:rsidR="00F905B3">
        <w:t xml:space="preserve"> </w:t>
      </w:r>
      <w:r w:rsidR="00F905B3">
        <w:lastRenderedPageBreak/>
        <w:t xml:space="preserve">The chosen research methods have been significantly </w:t>
      </w:r>
      <w:r w:rsidR="006560A2">
        <w:t xml:space="preserve">analysed to ensure research is fully </w:t>
      </w:r>
      <w:r w:rsidR="00170F7B">
        <w:t>supported by the best possible methods.</w:t>
      </w:r>
    </w:p>
    <w:p w14:paraId="0DB85426" w14:textId="01ADC49F" w:rsidR="00B439E2" w:rsidRDefault="00735A3A" w:rsidP="00456589">
      <w:r>
        <w:t xml:space="preserve">If the research was conducted again, </w:t>
      </w:r>
      <w:r w:rsidR="00D65359">
        <w:t>I would use the coding and themes</w:t>
      </w:r>
      <w:r w:rsidR="008F2898">
        <w:t xml:space="preserve"> technique to analyse data which ensures an easier analysis of qualitative data. </w:t>
      </w:r>
      <w:r w:rsidR="00471B50">
        <w:t xml:space="preserve">To add, I would also ensure that a </w:t>
      </w:r>
      <w:r w:rsidR="00763DDA">
        <w:t xml:space="preserve">wider range of analysis methods are used for </w:t>
      </w:r>
      <w:r w:rsidR="007E69C3">
        <w:t>displaying qualitative data.</w:t>
      </w:r>
      <w:r w:rsidR="006F5B5C">
        <w:t xml:space="preserve"> </w:t>
      </w:r>
      <w:r w:rsidR="00110278">
        <w:t xml:space="preserve"> Throughout the research project,</w:t>
      </w:r>
      <w:r w:rsidR="004A67E9">
        <w:t xml:space="preserve"> </w:t>
      </w:r>
      <w:r w:rsidR="0081364B">
        <w:t>relevant data has been gathered which will inform future practice, includi</w:t>
      </w:r>
      <w:r w:rsidR="0059383F">
        <w:t>ng an important assessment for learning technique</w:t>
      </w:r>
      <w:r w:rsidR="00360AA4">
        <w:t xml:space="preserve"> being WAGOLL which will be </w:t>
      </w:r>
      <w:r w:rsidR="000C76E9">
        <w:t xml:space="preserve">used throughout PTE3. </w:t>
      </w:r>
    </w:p>
    <w:p w14:paraId="687CC106" w14:textId="77777777" w:rsidR="00375ACC" w:rsidRDefault="00375ACC" w:rsidP="00456589">
      <w:pPr>
        <w:rPr>
          <w:b/>
          <w:bCs/>
          <w:u w:val="single"/>
        </w:rPr>
      </w:pPr>
      <w:r>
        <w:rPr>
          <w:b/>
          <w:bCs/>
          <w:u w:val="single"/>
        </w:rPr>
        <w:t>Reference list</w:t>
      </w:r>
    </w:p>
    <w:p w14:paraId="1505DED2" w14:textId="77777777" w:rsidR="00375ACC" w:rsidRPr="00F637E5" w:rsidRDefault="00375ACC" w:rsidP="00456589">
      <w:pPr>
        <w:pStyle w:val="NormalWeb"/>
        <w:spacing w:before="0" w:beforeAutospacing="0" w:after="240" w:afterAutospacing="0" w:line="360" w:lineRule="atLeast"/>
        <w:rPr>
          <w:color w:val="000000"/>
        </w:rPr>
      </w:pPr>
      <w:r>
        <w:rPr>
          <w:color w:val="000000"/>
        </w:rPr>
        <w:t>A Guide to Assessment at York St John University. (2024).</w:t>
      </w:r>
      <w:r>
        <w:rPr>
          <w:rStyle w:val="apple-converted-space"/>
          <w:color w:val="000000"/>
        </w:rPr>
        <w:t> </w:t>
      </w:r>
      <w:r>
        <w:rPr>
          <w:i/>
          <w:iCs/>
          <w:color w:val="000000"/>
        </w:rPr>
        <w:t>Feedback - Key Theories and Concepts - A Guide to Assessment at York St John University</w:t>
      </w:r>
      <w:r>
        <w:rPr>
          <w:color w:val="000000"/>
        </w:rPr>
        <w:t xml:space="preserve">. Available at: </w:t>
      </w:r>
      <w:hyperlink r:id="rId8" w:history="1">
        <w:r w:rsidRPr="00EC0490">
          <w:rPr>
            <w:rStyle w:val="Hyperlink"/>
          </w:rPr>
          <w:t>https://blog.yorksj.ac.uk/assessment/feedback-key-theories-and-concepts/</w:t>
        </w:r>
      </w:hyperlink>
      <w:r>
        <w:rPr>
          <w:color w:val="000000"/>
        </w:rPr>
        <w:t xml:space="preserve">. [Accessed 1 Apr. 2025]. </w:t>
      </w:r>
    </w:p>
    <w:p w14:paraId="1D41D763" w14:textId="77777777" w:rsidR="00375ACC" w:rsidRDefault="00375ACC" w:rsidP="00456589">
      <w:pPr>
        <w:pStyle w:val="NormalWeb"/>
        <w:spacing w:before="0" w:beforeAutospacing="0" w:after="240" w:afterAutospacing="0" w:line="360" w:lineRule="atLeast"/>
        <w:rPr>
          <w:color w:val="000000"/>
        </w:rPr>
      </w:pPr>
      <w:r>
        <w:rPr>
          <w:color w:val="000000"/>
        </w:rPr>
        <w:t>Bartlett, J. (2015).</w:t>
      </w:r>
      <w:r>
        <w:rPr>
          <w:rStyle w:val="apple-converted-space"/>
          <w:color w:val="000000"/>
        </w:rPr>
        <w:t> </w:t>
      </w:r>
      <w:r>
        <w:rPr>
          <w:i/>
          <w:iCs/>
          <w:color w:val="000000"/>
        </w:rPr>
        <w:t>Outstanding assessment for learning in the classroom</w:t>
      </w:r>
      <w:r>
        <w:rPr>
          <w:color w:val="000000"/>
        </w:rPr>
        <w:t>. Milton Park, Abingdon, Oxon ; New York, Ny: Routledge.</w:t>
      </w:r>
    </w:p>
    <w:p w14:paraId="01F0B42E" w14:textId="77777777" w:rsidR="00375ACC" w:rsidRPr="00C876F4" w:rsidRDefault="00375ACC" w:rsidP="00456589">
      <w:pPr>
        <w:pStyle w:val="NormalWeb"/>
        <w:spacing w:before="0" w:beforeAutospacing="0" w:after="240" w:afterAutospacing="0" w:line="360" w:lineRule="atLeast"/>
        <w:rPr>
          <w:color w:val="000000"/>
        </w:rPr>
      </w:pPr>
      <w:r>
        <w:rPr>
          <w:color w:val="000000"/>
        </w:rPr>
        <w:t>BERA (2024).</w:t>
      </w:r>
      <w:r>
        <w:rPr>
          <w:rStyle w:val="apple-converted-space"/>
          <w:color w:val="000000"/>
        </w:rPr>
        <w:t> </w:t>
      </w:r>
      <w:r>
        <w:rPr>
          <w:i/>
          <w:iCs/>
          <w:color w:val="000000"/>
        </w:rPr>
        <w:t>Ethical Guidelines for Educational Research, fifth edition (2024)</w:t>
      </w:r>
      <w:r>
        <w:rPr>
          <w:color w:val="000000"/>
        </w:rPr>
        <w:t xml:space="preserve">. www.bera.ac.uk. Available at: </w:t>
      </w:r>
      <w:hyperlink r:id="rId9" w:anchor="privacy-data-storage" w:history="1">
        <w:r w:rsidRPr="00B24A04">
          <w:rPr>
            <w:rStyle w:val="Hyperlink"/>
          </w:rPr>
          <w:t>https://www.bera.ac.uk/publication/ethical-guidelines-for-educational-research-fifth-edition-2024-online#privacy-data-storage</w:t>
        </w:r>
      </w:hyperlink>
      <w:r>
        <w:rPr>
          <w:color w:val="000000"/>
        </w:rPr>
        <w:t xml:space="preserve"> [Accessed 3 Apr. 2025].</w:t>
      </w:r>
    </w:p>
    <w:p w14:paraId="0A3CF991" w14:textId="77777777" w:rsidR="00375ACC" w:rsidRDefault="00375ACC" w:rsidP="00456589">
      <w:pPr>
        <w:pStyle w:val="NormalWeb"/>
        <w:spacing w:before="0" w:beforeAutospacing="0" w:after="240" w:afterAutospacing="0" w:line="360" w:lineRule="atLeast"/>
        <w:rPr>
          <w:color w:val="000000"/>
        </w:rPr>
      </w:pPr>
      <w:r>
        <w:rPr>
          <w:color w:val="000000"/>
        </w:rPr>
        <w:t>Black, P., Harrison, C., Lee, C., Marshall, B. and Wiliam, D. (2003).</w:t>
      </w:r>
      <w:r>
        <w:rPr>
          <w:rStyle w:val="apple-converted-space"/>
          <w:color w:val="000000"/>
        </w:rPr>
        <w:t> </w:t>
      </w:r>
      <w:r>
        <w:rPr>
          <w:i/>
          <w:iCs/>
          <w:color w:val="000000"/>
        </w:rPr>
        <w:t>Assessment for learning: Putting It into Practice</w:t>
      </w:r>
      <w:r>
        <w:rPr>
          <w:color w:val="000000"/>
        </w:rPr>
        <w:t xml:space="preserve">. Berkshire Open University Press. Available at: </w:t>
      </w:r>
      <w:hyperlink r:id="rId10" w:history="1">
        <w:r w:rsidRPr="0070749A">
          <w:rPr>
            <w:rStyle w:val="Hyperlink"/>
          </w:rPr>
          <w:t>https://www.vlebooks.com/Product/Index/154573?page=0&amp;startBookmarkId=-1</w:t>
        </w:r>
      </w:hyperlink>
      <w:r>
        <w:rPr>
          <w:color w:val="000000"/>
        </w:rPr>
        <w:t xml:space="preserve"> [Accessed 1 Apr. 2025]. </w:t>
      </w:r>
    </w:p>
    <w:p w14:paraId="603EF3A3" w14:textId="77777777" w:rsidR="00375ACC" w:rsidRDefault="00375ACC" w:rsidP="00456589">
      <w:pPr>
        <w:pStyle w:val="NormalWeb"/>
        <w:spacing w:before="0" w:beforeAutospacing="0" w:after="240" w:afterAutospacing="0" w:line="360" w:lineRule="atLeast"/>
        <w:rPr>
          <w:color w:val="000000"/>
        </w:rPr>
      </w:pPr>
      <w:r>
        <w:rPr>
          <w:color w:val="000000"/>
        </w:rPr>
        <w:t>British Dyslexia Association (2023).</w:t>
      </w:r>
      <w:r>
        <w:rPr>
          <w:rStyle w:val="apple-converted-space"/>
          <w:color w:val="000000"/>
        </w:rPr>
        <w:t> </w:t>
      </w:r>
      <w:r>
        <w:rPr>
          <w:i/>
          <w:iCs/>
          <w:color w:val="000000"/>
        </w:rPr>
        <w:t>Teaching Dyslexic Students: Theory and Practice</w:t>
      </w:r>
      <w:r>
        <w:rPr>
          <w:rStyle w:val="apple-converted-space"/>
          <w:i/>
          <w:iCs/>
          <w:color w:val="000000"/>
        </w:rPr>
        <w:t>.</w:t>
      </w:r>
      <w:r>
        <w:rPr>
          <w:color w:val="000000"/>
        </w:rPr>
        <w:t xml:space="preserve"> Jessica Kingsley Publishers.</w:t>
      </w:r>
    </w:p>
    <w:p w14:paraId="6A159B61" w14:textId="77777777" w:rsidR="00375ACC" w:rsidRDefault="00375ACC" w:rsidP="00456589">
      <w:pPr>
        <w:pStyle w:val="NormalWeb"/>
        <w:spacing w:before="0" w:beforeAutospacing="0" w:after="240" w:afterAutospacing="0" w:line="360" w:lineRule="atLeast"/>
        <w:rPr>
          <w:color w:val="000000"/>
        </w:rPr>
      </w:pPr>
      <w:r>
        <w:rPr>
          <w:color w:val="000000"/>
        </w:rPr>
        <w:t>Bushnell, A., Gill, A., Waugh , D. and Smith, R. (2020).</w:t>
      </w:r>
      <w:r>
        <w:rPr>
          <w:rStyle w:val="apple-converted-space"/>
          <w:color w:val="000000"/>
        </w:rPr>
        <w:t> </w:t>
      </w:r>
      <w:r>
        <w:rPr>
          <w:i/>
          <w:iCs/>
          <w:color w:val="000000"/>
        </w:rPr>
        <w:t>MASTERING WRITING AT GREATER DEPTH : a guide for primary teaching.</w:t>
      </w:r>
      <w:r>
        <w:rPr>
          <w:rStyle w:val="apple-converted-space"/>
          <w:color w:val="000000"/>
        </w:rPr>
        <w:t> </w:t>
      </w:r>
      <w:r>
        <w:rPr>
          <w:color w:val="000000"/>
        </w:rPr>
        <w:t>1st ed. S.L.: Sage Publications.</w:t>
      </w:r>
    </w:p>
    <w:p w14:paraId="7AF070DD" w14:textId="37903385" w:rsidR="004F060B" w:rsidRDefault="00E55C15" w:rsidP="004061D3">
      <w:pPr>
        <w:pStyle w:val="NormalWeb"/>
        <w:spacing w:before="0" w:beforeAutospacing="0" w:after="240" w:afterAutospacing="0" w:line="360" w:lineRule="atLeast"/>
        <w:divId w:val="1149831646"/>
        <w:rPr>
          <w:color w:val="000000"/>
        </w:rPr>
      </w:pPr>
      <w:r>
        <w:rPr>
          <w:color w:val="000000"/>
        </w:rPr>
        <w:t>Cambridge International (2019).</w:t>
      </w:r>
      <w:r>
        <w:rPr>
          <w:rStyle w:val="apple-converted-space"/>
          <w:color w:val="000000"/>
        </w:rPr>
        <w:t> </w:t>
      </w:r>
      <w:r>
        <w:rPr>
          <w:i/>
          <w:iCs/>
          <w:color w:val="000000"/>
        </w:rPr>
        <w:t>What does assessment for learning mean?</w:t>
      </w:r>
      <w:r>
        <w:rPr>
          <w:color w:val="000000"/>
        </w:rPr>
        <w:t xml:space="preserve"> Available at: </w:t>
      </w:r>
      <w:hyperlink r:id="rId11" w:history="1">
        <w:r w:rsidRPr="00701DC0">
          <w:rPr>
            <w:rStyle w:val="Hyperlink"/>
          </w:rPr>
          <w:t>https://www.cambridgeinternational.org/Images/271179-assessment-for-learning.pdf</w:t>
        </w:r>
      </w:hyperlink>
      <w:r>
        <w:rPr>
          <w:color w:val="000000"/>
        </w:rPr>
        <w:t xml:space="preserve"> [Accessed 4 Apr. 2025].</w:t>
      </w:r>
    </w:p>
    <w:p w14:paraId="6CC98335" w14:textId="2F7833F3" w:rsidR="004F060B" w:rsidRDefault="004F060B" w:rsidP="004F060B">
      <w:pPr>
        <w:pStyle w:val="NormalWeb"/>
        <w:spacing w:before="0" w:beforeAutospacing="0" w:after="240" w:afterAutospacing="0" w:line="360" w:lineRule="atLeast"/>
        <w:divId w:val="605306676"/>
        <w:rPr>
          <w:color w:val="000000"/>
        </w:rPr>
      </w:pPr>
      <w:r>
        <w:rPr>
          <w:color w:val="000000"/>
        </w:rPr>
        <w:t>Cohen, L., Manion, L. and Morrison, K. (2018).</w:t>
      </w:r>
      <w:r>
        <w:rPr>
          <w:rStyle w:val="apple-converted-space"/>
          <w:color w:val="000000"/>
        </w:rPr>
        <w:t> </w:t>
      </w:r>
      <w:r>
        <w:rPr>
          <w:i/>
          <w:iCs/>
          <w:color w:val="000000"/>
        </w:rPr>
        <w:t>Research Methods in Education</w:t>
      </w:r>
      <w:r>
        <w:rPr>
          <w:color w:val="000000"/>
        </w:rPr>
        <w:t>. 8th ed. London: Routledge.</w:t>
      </w:r>
    </w:p>
    <w:p w14:paraId="59F6CDB9" w14:textId="7526CE69" w:rsidR="00375ACC" w:rsidRDefault="00375ACC" w:rsidP="00456589">
      <w:pPr>
        <w:pStyle w:val="NormalWeb"/>
        <w:spacing w:before="0" w:beforeAutospacing="0" w:after="240" w:afterAutospacing="0" w:line="360" w:lineRule="atLeast"/>
        <w:rPr>
          <w:color w:val="000000"/>
        </w:rPr>
      </w:pPr>
      <w:r>
        <w:rPr>
          <w:color w:val="000000"/>
        </w:rPr>
        <w:lastRenderedPageBreak/>
        <w:t>Dobson, T. and Stephenson, L. (2018). Preservice Teachers’ Identity-Agency With Progressive Writing Pedagogies - Leeds Beckett Repository.</w:t>
      </w:r>
      <w:r>
        <w:rPr>
          <w:rStyle w:val="apple-converted-space"/>
          <w:color w:val="000000"/>
        </w:rPr>
        <w:t> </w:t>
      </w:r>
      <w:r>
        <w:rPr>
          <w:i/>
          <w:iCs/>
          <w:color w:val="000000"/>
        </w:rPr>
        <w:t>Leedsbeckett.ac.uk</w:t>
      </w:r>
      <w:r>
        <w:rPr>
          <w:color w:val="000000"/>
        </w:rPr>
        <w:t>, [online] 18(2). doi:https://eprints.leedsbeckett.ac.uk/id/eprint/4981/1/Preservice-Teachers-IdentityPV-DOBSON.pdf.</w:t>
      </w:r>
    </w:p>
    <w:p w14:paraId="6C3F2B37" w14:textId="1E62179B" w:rsidR="00375ACC" w:rsidRDefault="00375ACC" w:rsidP="00456589">
      <w:pPr>
        <w:pStyle w:val="NormalWeb"/>
        <w:spacing w:before="0" w:beforeAutospacing="0" w:after="240" w:afterAutospacing="0" w:line="360" w:lineRule="atLeast"/>
        <w:rPr>
          <w:color w:val="000000"/>
        </w:rPr>
      </w:pPr>
      <w:r>
        <w:rPr>
          <w:color w:val="000000"/>
        </w:rPr>
        <w:t>Education Endowment Foundation (2021).</w:t>
      </w:r>
      <w:r>
        <w:rPr>
          <w:rStyle w:val="apple-converted-space"/>
          <w:color w:val="000000"/>
        </w:rPr>
        <w:t> </w:t>
      </w:r>
      <w:r>
        <w:rPr>
          <w:i/>
          <w:iCs/>
          <w:color w:val="000000"/>
        </w:rPr>
        <w:t>Metacognition and Self-regulated Learning</w:t>
      </w:r>
      <w:r>
        <w:rPr>
          <w:color w:val="000000"/>
        </w:rPr>
        <w:t xml:space="preserve">. EEF. Available at: </w:t>
      </w:r>
      <w:hyperlink r:id="rId12" w:history="1">
        <w:r w:rsidRPr="00EC0490">
          <w:rPr>
            <w:rStyle w:val="Hyperlink"/>
          </w:rPr>
          <w:t>https://educationendowmentfoundation.org.uk/education-evidence/guidance-reports/metacognition</w:t>
        </w:r>
      </w:hyperlink>
      <w:r>
        <w:rPr>
          <w:color w:val="000000"/>
        </w:rPr>
        <w:t xml:space="preserve"> [Accessed 2 Apr. 2025].</w:t>
      </w:r>
    </w:p>
    <w:p w14:paraId="4E69C43B" w14:textId="618BC3F8" w:rsidR="00375ACC" w:rsidRDefault="00375ACC" w:rsidP="00456589">
      <w:pPr>
        <w:pStyle w:val="NormalWeb"/>
        <w:spacing w:before="0" w:beforeAutospacing="0" w:after="240" w:afterAutospacing="0" w:line="360" w:lineRule="atLeast"/>
        <w:rPr>
          <w:color w:val="000000"/>
        </w:rPr>
      </w:pPr>
      <w:proofErr w:type="spellStart"/>
      <w:r>
        <w:rPr>
          <w:color w:val="000000"/>
        </w:rPr>
        <w:t>Estyn</w:t>
      </w:r>
      <w:proofErr w:type="spellEnd"/>
      <w:r>
        <w:rPr>
          <w:color w:val="000000"/>
        </w:rPr>
        <w:t xml:space="preserve"> (2022).</w:t>
      </w:r>
      <w:r>
        <w:rPr>
          <w:rStyle w:val="apple-converted-space"/>
          <w:color w:val="000000"/>
        </w:rPr>
        <w:t> </w:t>
      </w:r>
      <w:r>
        <w:rPr>
          <w:i/>
          <w:iCs/>
          <w:color w:val="000000"/>
        </w:rPr>
        <w:t>Effective approaches to assessment that improve teaching and learning</w:t>
      </w:r>
      <w:r>
        <w:rPr>
          <w:color w:val="000000"/>
        </w:rPr>
        <w:t xml:space="preserve">. [online] Available at: </w:t>
      </w:r>
      <w:hyperlink r:id="rId13" w:history="1">
        <w:r w:rsidR="004061D3" w:rsidRPr="00701DC0">
          <w:rPr>
            <w:rStyle w:val="Hyperlink"/>
          </w:rPr>
          <w:t>https://www.estyn.gov.wales/system/files/2022-10/Effective%20approaches%20to%20assessment%20that%20improve%20teaching%20and%20learning.pdf</w:t>
        </w:r>
      </w:hyperlink>
      <w:r w:rsidR="004061D3">
        <w:rPr>
          <w:color w:val="000000"/>
        </w:rPr>
        <w:t xml:space="preserve"> </w:t>
      </w:r>
      <w:r>
        <w:rPr>
          <w:color w:val="000000"/>
        </w:rPr>
        <w:t>[Accessed 2 Apr. 2025].</w:t>
      </w:r>
    </w:p>
    <w:p w14:paraId="4A99F0D0" w14:textId="77777777" w:rsidR="00375ACC" w:rsidRDefault="00375ACC" w:rsidP="00456589">
      <w:pPr>
        <w:pStyle w:val="NormalWeb"/>
        <w:spacing w:before="0" w:beforeAutospacing="0" w:after="240" w:afterAutospacing="0" w:line="360" w:lineRule="atLeast"/>
        <w:rPr>
          <w:color w:val="000000"/>
        </w:rPr>
      </w:pPr>
      <w:r>
        <w:rPr>
          <w:color w:val="000000"/>
        </w:rPr>
        <w:t>George, T. (2022).</w:t>
      </w:r>
      <w:r>
        <w:rPr>
          <w:rStyle w:val="apple-converted-space"/>
          <w:color w:val="000000"/>
        </w:rPr>
        <w:t> </w:t>
      </w:r>
      <w:r>
        <w:rPr>
          <w:i/>
          <w:iCs/>
          <w:color w:val="000000"/>
        </w:rPr>
        <w:t>Semi-Structured Interview | Definition, Guide &amp; Examples</w:t>
      </w:r>
      <w:r>
        <w:rPr>
          <w:color w:val="000000"/>
        </w:rPr>
        <w:t xml:space="preserve">, </w:t>
      </w:r>
      <w:proofErr w:type="spellStart"/>
      <w:r>
        <w:rPr>
          <w:color w:val="000000"/>
        </w:rPr>
        <w:t>Scribbr</w:t>
      </w:r>
      <w:proofErr w:type="spellEnd"/>
      <w:r>
        <w:rPr>
          <w:color w:val="000000"/>
        </w:rPr>
        <w:t xml:space="preserve">. Available at: </w:t>
      </w:r>
      <w:hyperlink r:id="rId14" w:history="1">
        <w:r w:rsidRPr="00B24A04">
          <w:rPr>
            <w:rStyle w:val="Hyperlink"/>
          </w:rPr>
          <w:t>https://www.scribbr.co.uk/research-methods/semi-structured-interviews/</w:t>
        </w:r>
      </w:hyperlink>
      <w:r>
        <w:rPr>
          <w:color w:val="000000"/>
        </w:rPr>
        <w:t xml:space="preserve"> [Accessed 3 Apr. 2025].</w:t>
      </w:r>
    </w:p>
    <w:p w14:paraId="5E5C442E" w14:textId="7C6F0453" w:rsidR="0051690B" w:rsidRDefault="0051690B" w:rsidP="0051690B">
      <w:pPr>
        <w:pStyle w:val="NormalWeb"/>
        <w:spacing w:before="0" w:beforeAutospacing="0" w:after="240" w:afterAutospacing="0" w:line="360" w:lineRule="atLeast"/>
        <w:divId w:val="347100178"/>
        <w:rPr>
          <w:color w:val="000000"/>
        </w:rPr>
      </w:pPr>
      <w:r>
        <w:rPr>
          <w:color w:val="000000"/>
        </w:rPr>
        <w:t>Hattie, J. (2009).</w:t>
      </w:r>
      <w:r>
        <w:rPr>
          <w:rStyle w:val="apple-converted-space"/>
          <w:color w:val="000000"/>
        </w:rPr>
        <w:t> </w:t>
      </w:r>
      <w:r>
        <w:rPr>
          <w:i/>
          <w:iCs/>
          <w:color w:val="000000"/>
        </w:rPr>
        <w:t>Visible learning: a Synthesis of over 800 meta-analyses Relating to Achievement</w:t>
      </w:r>
      <w:r>
        <w:rPr>
          <w:color w:val="000000"/>
        </w:rPr>
        <w:t>. London: Routledge.</w:t>
      </w:r>
    </w:p>
    <w:p w14:paraId="0EB82C30" w14:textId="0E4DEBD0" w:rsidR="00375ACC" w:rsidRDefault="00375ACC" w:rsidP="00456589">
      <w:pPr>
        <w:pStyle w:val="NormalWeb"/>
        <w:spacing w:before="0" w:beforeAutospacing="0" w:after="240" w:afterAutospacing="0" w:line="360" w:lineRule="atLeast"/>
        <w:rPr>
          <w:color w:val="000000"/>
        </w:rPr>
      </w:pPr>
      <w:r>
        <w:rPr>
          <w:color w:val="000000"/>
        </w:rPr>
        <w:t xml:space="preserve">Kang, E. and </w:t>
      </w:r>
      <w:proofErr w:type="spellStart"/>
      <w:r>
        <w:rPr>
          <w:color w:val="000000"/>
        </w:rPr>
        <w:t>Hwang</w:t>
      </w:r>
      <w:proofErr w:type="spellEnd"/>
      <w:r>
        <w:rPr>
          <w:color w:val="000000"/>
        </w:rPr>
        <w:t>, H.-J. (2023). The Importance of Anonymity and Confidentiality for Conducting Survey Research.</w:t>
      </w:r>
      <w:r>
        <w:rPr>
          <w:rStyle w:val="apple-converted-space"/>
          <w:color w:val="000000"/>
        </w:rPr>
        <w:t> </w:t>
      </w:r>
      <w:r>
        <w:rPr>
          <w:i/>
          <w:iCs/>
          <w:color w:val="000000"/>
        </w:rPr>
        <w:t>Journal of Research and Publication Ethics</w:t>
      </w:r>
      <w:r>
        <w:rPr>
          <w:color w:val="000000"/>
        </w:rPr>
        <w:t xml:space="preserve">, 4(1), pp.1–7. </w:t>
      </w:r>
      <w:proofErr w:type="spellStart"/>
      <w:r>
        <w:rPr>
          <w:color w:val="000000"/>
        </w:rPr>
        <w:t>doi:https</w:t>
      </w:r>
      <w:proofErr w:type="spellEnd"/>
      <w:r>
        <w:rPr>
          <w:color w:val="000000"/>
        </w:rPr>
        <w:t>://doi.org/10.15722/jrpe.4.1.202303.1.</w:t>
      </w:r>
    </w:p>
    <w:p w14:paraId="4A83F1FF" w14:textId="77777777" w:rsidR="00375ACC" w:rsidRDefault="00375ACC" w:rsidP="00456589">
      <w:pPr>
        <w:pStyle w:val="NormalWeb"/>
        <w:spacing w:before="0" w:beforeAutospacing="0" w:after="240" w:afterAutospacing="0" w:line="360" w:lineRule="atLeast"/>
        <w:rPr>
          <w:color w:val="000000"/>
        </w:rPr>
      </w:pPr>
      <w:proofErr w:type="spellStart"/>
      <w:r>
        <w:rPr>
          <w:color w:val="000000"/>
        </w:rPr>
        <w:t>Kvale</w:t>
      </w:r>
      <w:proofErr w:type="spellEnd"/>
      <w:r>
        <w:rPr>
          <w:color w:val="000000"/>
        </w:rPr>
        <w:t>, S. and Brinkmann, S. (2009).</w:t>
      </w:r>
      <w:r>
        <w:rPr>
          <w:rStyle w:val="apple-converted-space"/>
          <w:color w:val="000000"/>
        </w:rPr>
        <w:t> </w:t>
      </w:r>
      <w:r>
        <w:rPr>
          <w:i/>
          <w:iCs/>
          <w:color w:val="000000"/>
        </w:rPr>
        <w:t>InterViews : Learning the Craft of Qualitative Research Interviewing</w:t>
      </w:r>
      <w:r>
        <w:rPr>
          <w:color w:val="000000"/>
        </w:rPr>
        <w:t>. 2nd ed. Thousand Oaks, Calif.: Sage Publications.</w:t>
      </w:r>
    </w:p>
    <w:p w14:paraId="42E7A532" w14:textId="77777777" w:rsidR="00375ACC" w:rsidRDefault="00375ACC" w:rsidP="00456589">
      <w:pPr>
        <w:pStyle w:val="NormalWeb"/>
        <w:spacing w:before="0" w:beforeAutospacing="0" w:after="240" w:afterAutospacing="0" w:line="360" w:lineRule="atLeast"/>
        <w:rPr>
          <w:color w:val="000000"/>
        </w:rPr>
      </w:pPr>
      <w:r>
        <w:rPr>
          <w:color w:val="000000"/>
        </w:rPr>
        <w:t xml:space="preserve">Larsson, S. (2009). A pluralist view of </w:t>
      </w:r>
      <w:proofErr w:type="spellStart"/>
      <w:r>
        <w:rPr>
          <w:color w:val="000000"/>
        </w:rPr>
        <w:t>generalization</w:t>
      </w:r>
      <w:proofErr w:type="spellEnd"/>
      <w:r>
        <w:rPr>
          <w:color w:val="000000"/>
        </w:rPr>
        <w:t xml:space="preserve"> in qualitative research.</w:t>
      </w:r>
      <w:r>
        <w:rPr>
          <w:rStyle w:val="apple-converted-space"/>
          <w:color w:val="000000"/>
        </w:rPr>
        <w:t> </w:t>
      </w:r>
      <w:r>
        <w:rPr>
          <w:i/>
          <w:iCs/>
          <w:color w:val="000000"/>
        </w:rPr>
        <w:t>International Journal of Research &amp; Method in Education</w:t>
      </w:r>
      <w:r>
        <w:rPr>
          <w:color w:val="000000"/>
        </w:rPr>
        <w:t xml:space="preserve">, 32(1), pp.25–38. </w:t>
      </w:r>
      <w:proofErr w:type="spellStart"/>
      <w:r>
        <w:rPr>
          <w:color w:val="000000"/>
        </w:rPr>
        <w:t>doi:https</w:t>
      </w:r>
      <w:proofErr w:type="spellEnd"/>
      <w:r>
        <w:rPr>
          <w:color w:val="000000"/>
        </w:rPr>
        <w:t>://doi.org/10.1080/17437270902759931.</w:t>
      </w:r>
    </w:p>
    <w:p w14:paraId="4BB935AC" w14:textId="77777777" w:rsidR="00375ACC" w:rsidRDefault="00375ACC" w:rsidP="00456589">
      <w:pPr>
        <w:pStyle w:val="NormalWeb"/>
        <w:spacing w:before="0" w:beforeAutospacing="0" w:after="240" w:afterAutospacing="0" w:line="360" w:lineRule="atLeast"/>
        <w:rPr>
          <w:color w:val="000000"/>
        </w:rPr>
      </w:pPr>
      <w:r>
        <w:rPr>
          <w:color w:val="000000"/>
        </w:rPr>
        <w:t>Mooney, C.G. (2013).</w:t>
      </w:r>
      <w:r>
        <w:rPr>
          <w:rStyle w:val="apple-converted-space"/>
          <w:color w:val="000000"/>
        </w:rPr>
        <w:t> </w:t>
      </w:r>
      <w:r>
        <w:rPr>
          <w:i/>
          <w:iCs/>
          <w:color w:val="000000"/>
        </w:rPr>
        <w:t xml:space="preserve">Theories of Childhood : An Introduction to Dewey, Montessori, </w:t>
      </w:r>
      <w:proofErr w:type="spellStart"/>
      <w:r>
        <w:rPr>
          <w:i/>
          <w:iCs/>
          <w:color w:val="000000"/>
        </w:rPr>
        <w:t>Erikson</w:t>
      </w:r>
      <w:proofErr w:type="spellEnd"/>
      <w:r>
        <w:rPr>
          <w:i/>
          <w:iCs/>
          <w:color w:val="000000"/>
        </w:rPr>
        <w:t xml:space="preserve">, Piaget, and </w:t>
      </w:r>
      <w:proofErr w:type="spellStart"/>
      <w:r>
        <w:rPr>
          <w:i/>
          <w:iCs/>
          <w:color w:val="000000"/>
        </w:rPr>
        <w:t>Vygotsky</w:t>
      </w:r>
      <w:proofErr w:type="spellEnd"/>
      <w:r>
        <w:rPr>
          <w:color w:val="000000"/>
        </w:rPr>
        <w:t xml:space="preserve">. 2nd ed. St. Paul, MN: </w:t>
      </w:r>
      <w:proofErr w:type="spellStart"/>
      <w:r>
        <w:rPr>
          <w:color w:val="000000"/>
        </w:rPr>
        <w:t>Redleaf</w:t>
      </w:r>
      <w:proofErr w:type="spellEnd"/>
      <w:r>
        <w:rPr>
          <w:color w:val="000000"/>
        </w:rPr>
        <w:t xml:space="preserve"> Press.</w:t>
      </w:r>
    </w:p>
    <w:p w14:paraId="1A22D7F4" w14:textId="77777777" w:rsidR="004061D3" w:rsidRDefault="00375ACC" w:rsidP="00456589">
      <w:pPr>
        <w:pStyle w:val="NormalWeb"/>
        <w:spacing w:before="0" w:beforeAutospacing="0" w:after="240" w:afterAutospacing="0" w:line="360" w:lineRule="atLeast"/>
        <w:rPr>
          <w:color w:val="000000"/>
        </w:rPr>
      </w:pPr>
      <w:r>
        <w:rPr>
          <w:color w:val="000000"/>
        </w:rPr>
        <w:t xml:space="preserve">Munn, P. and </w:t>
      </w:r>
      <w:proofErr w:type="spellStart"/>
      <w:r>
        <w:rPr>
          <w:color w:val="000000"/>
        </w:rPr>
        <w:t>Drever</w:t>
      </w:r>
      <w:proofErr w:type="spellEnd"/>
      <w:r>
        <w:rPr>
          <w:color w:val="000000"/>
        </w:rPr>
        <w:t>, E. (1990).</w:t>
      </w:r>
      <w:r>
        <w:rPr>
          <w:rStyle w:val="apple-converted-space"/>
          <w:color w:val="000000"/>
        </w:rPr>
        <w:t> </w:t>
      </w:r>
      <w:r>
        <w:rPr>
          <w:i/>
          <w:iCs/>
          <w:color w:val="000000"/>
        </w:rPr>
        <w:t>Eric Using Questionnaires in Small-Scale Research. A Teachers’ Guide</w:t>
      </w:r>
      <w:r>
        <w:rPr>
          <w:color w:val="000000"/>
        </w:rPr>
        <w:t xml:space="preserve">. Available at: </w:t>
      </w:r>
      <w:hyperlink r:id="rId15" w:history="1">
        <w:r w:rsidRPr="00B24A04">
          <w:rPr>
            <w:rStyle w:val="Hyperlink"/>
          </w:rPr>
          <w:t>https://files.eric.ed.gov/fulltext/ED326488.pdf</w:t>
        </w:r>
      </w:hyperlink>
      <w:r>
        <w:rPr>
          <w:color w:val="000000"/>
        </w:rPr>
        <w:t xml:space="preserve">. </w:t>
      </w:r>
      <w:r w:rsidR="004061D3">
        <w:rPr>
          <w:color w:val="000000"/>
        </w:rPr>
        <w:t>[Accessed 3 Apr. 2025].</w:t>
      </w:r>
    </w:p>
    <w:p w14:paraId="6EFCE3DE" w14:textId="45C3712D" w:rsidR="00375ACC" w:rsidRDefault="00375ACC" w:rsidP="00456589">
      <w:pPr>
        <w:pStyle w:val="NormalWeb"/>
        <w:spacing w:before="0" w:beforeAutospacing="0" w:after="240" w:afterAutospacing="0" w:line="360" w:lineRule="atLeast"/>
        <w:rPr>
          <w:color w:val="000000"/>
        </w:rPr>
      </w:pPr>
      <w:r>
        <w:rPr>
          <w:color w:val="000000"/>
        </w:rPr>
        <w:t>National Library of Medicine (2022).</w:t>
      </w:r>
      <w:r>
        <w:rPr>
          <w:rStyle w:val="apple-converted-space"/>
          <w:color w:val="000000"/>
        </w:rPr>
        <w:t> </w:t>
      </w:r>
      <w:r>
        <w:rPr>
          <w:i/>
          <w:iCs/>
          <w:color w:val="000000"/>
        </w:rPr>
        <w:t>Qualitative Data</w:t>
      </w:r>
      <w:r>
        <w:rPr>
          <w:color w:val="000000"/>
        </w:rPr>
        <w:t xml:space="preserve">. Available at: </w:t>
      </w:r>
      <w:hyperlink r:id="rId16" w:history="1">
        <w:r w:rsidRPr="00EC0490">
          <w:rPr>
            <w:rStyle w:val="Hyperlink"/>
          </w:rPr>
          <w:t>https://www.nnlm.gov/guides/data-glossary/qualitative-data</w:t>
        </w:r>
      </w:hyperlink>
      <w:r>
        <w:rPr>
          <w:color w:val="000000"/>
        </w:rPr>
        <w:t>. [Accessed 2 Apr. 2025].</w:t>
      </w:r>
    </w:p>
    <w:p w14:paraId="76BE9C4E" w14:textId="16B0A19B" w:rsidR="00375ACC" w:rsidRDefault="00375ACC" w:rsidP="00456589">
      <w:pPr>
        <w:pStyle w:val="NormalWeb"/>
        <w:spacing w:before="0" w:beforeAutospacing="0" w:after="240" w:afterAutospacing="0" w:line="360" w:lineRule="atLeast"/>
        <w:rPr>
          <w:color w:val="000000"/>
        </w:rPr>
      </w:pPr>
      <w:r>
        <w:rPr>
          <w:color w:val="000000"/>
        </w:rPr>
        <w:lastRenderedPageBreak/>
        <w:t>NCVO. (no date).</w:t>
      </w:r>
      <w:r>
        <w:rPr>
          <w:rStyle w:val="apple-converted-space"/>
          <w:color w:val="000000"/>
        </w:rPr>
        <w:t> </w:t>
      </w:r>
      <w:r>
        <w:rPr>
          <w:i/>
          <w:iCs/>
          <w:color w:val="000000"/>
        </w:rPr>
        <w:t>How to analyse qualitative data for evaluation</w:t>
      </w:r>
      <w:r>
        <w:rPr>
          <w:color w:val="000000"/>
        </w:rPr>
        <w:t xml:space="preserve">. Available at: </w:t>
      </w:r>
      <w:hyperlink r:id="rId17" w:history="1">
        <w:r w:rsidR="004C765E" w:rsidRPr="00701DC0">
          <w:rPr>
            <w:rStyle w:val="Hyperlink"/>
          </w:rPr>
          <w:t>https://www.ncvo.org.uk/help-and-guidance/strategy-and-impact/impact-evaluation/evaluation-and-impact-reporting/how-to-analyse-qualitative-data-for-evaluation/</w:t>
        </w:r>
      </w:hyperlink>
      <w:r>
        <w:rPr>
          <w:color w:val="000000"/>
        </w:rPr>
        <w:t>.</w:t>
      </w:r>
      <w:r w:rsidR="004C765E">
        <w:rPr>
          <w:color w:val="000000"/>
        </w:rPr>
        <w:t xml:space="preserve"> </w:t>
      </w:r>
      <w:r w:rsidR="004C765E">
        <w:rPr>
          <w:color w:val="000000"/>
        </w:rPr>
        <w:t xml:space="preserve"> [Accessed 3 Apr. 2025].</w:t>
      </w:r>
    </w:p>
    <w:p w14:paraId="097F4251" w14:textId="77777777" w:rsidR="00375ACC" w:rsidRDefault="00375ACC" w:rsidP="00456589">
      <w:pPr>
        <w:pStyle w:val="NormalWeb"/>
        <w:spacing w:before="0" w:beforeAutospacing="0" w:after="240" w:afterAutospacing="0" w:line="360" w:lineRule="atLeast"/>
        <w:rPr>
          <w:color w:val="000000"/>
        </w:rPr>
      </w:pPr>
      <w:proofErr w:type="spellStart"/>
      <w:r>
        <w:rPr>
          <w:color w:val="000000"/>
        </w:rPr>
        <w:t>Reja</w:t>
      </w:r>
      <w:proofErr w:type="spellEnd"/>
      <w:r>
        <w:rPr>
          <w:color w:val="000000"/>
        </w:rPr>
        <w:t xml:space="preserve">, U., </w:t>
      </w:r>
      <w:proofErr w:type="spellStart"/>
      <w:r>
        <w:rPr>
          <w:color w:val="000000"/>
        </w:rPr>
        <w:t>Manfreda</w:t>
      </w:r>
      <w:proofErr w:type="spellEnd"/>
      <w:r>
        <w:rPr>
          <w:color w:val="000000"/>
        </w:rPr>
        <w:t xml:space="preserve">, K., </w:t>
      </w:r>
      <w:proofErr w:type="spellStart"/>
      <w:r>
        <w:rPr>
          <w:color w:val="000000"/>
        </w:rPr>
        <w:t>Hlebec</w:t>
      </w:r>
      <w:proofErr w:type="spellEnd"/>
      <w:r>
        <w:rPr>
          <w:color w:val="000000"/>
        </w:rPr>
        <w:t xml:space="preserve">, V. and </w:t>
      </w:r>
      <w:proofErr w:type="spellStart"/>
      <w:r>
        <w:rPr>
          <w:color w:val="000000"/>
        </w:rPr>
        <w:t>Vehovar</w:t>
      </w:r>
      <w:proofErr w:type="spellEnd"/>
      <w:r>
        <w:rPr>
          <w:color w:val="000000"/>
        </w:rPr>
        <w:t>, V. (2003).</w:t>
      </w:r>
      <w:r>
        <w:rPr>
          <w:rStyle w:val="apple-converted-space"/>
          <w:color w:val="000000"/>
        </w:rPr>
        <w:t> </w:t>
      </w:r>
      <w:r>
        <w:rPr>
          <w:i/>
          <w:iCs/>
          <w:color w:val="000000"/>
        </w:rPr>
        <w:t>Open-ended vs. Close-ended Questions in Web Questionnaires</w:t>
      </w:r>
      <w:r>
        <w:rPr>
          <w:color w:val="000000"/>
        </w:rPr>
        <w:t xml:space="preserve">. Available at: </w:t>
      </w:r>
      <w:hyperlink r:id="rId18" w:history="1">
        <w:r w:rsidRPr="00B24A04">
          <w:rPr>
            <w:rStyle w:val="Hyperlink"/>
          </w:rPr>
          <w:t>https://begrijpelijkeformulieren.org/sites/begrijpelijkeformulieren/files/Reja_e.a._Open-ended_vs._Close-ended_Questions_in_Web.pdf</w:t>
        </w:r>
      </w:hyperlink>
      <w:r>
        <w:rPr>
          <w:color w:val="000000"/>
        </w:rPr>
        <w:t xml:space="preserve"> [Accessed 3 Apr. 2025].</w:t>
      </w:r>
    </w:p>
    <w:p w14:paraId="721FD924" w14:textId="77777777" w:rsidR="00375ACC" w:rsidRPr="00793564" w:rsidRDefault="00375ACC" w:rsidP="00456589">
      <w:pPr>
        <w:pStyle w:val="NormalWeb"/>
        <w:spacing w:before="0" w:beforeAutospacing="0" w:after="240" w:afterAutospacing="0" w:line="360" w:lineRule="atLeast"/>
        <w:rPr>
          <w:color w:val="000000"/>
        </w:rPr>
      </w:pPr>
      <w:r>
        <w:rPr>
          <w:color w:val="000000"/>
        </w:rPr>
        <w:t>Smith, M. (2025). What does a good one look like?: exploring what makes high quality creative writing with GCSE English students through comparative judgement as a form of peer assessment.</w:t>
      </w:r>
      <w:r>
        <w:rPr>
          <w:rStyle w:val="apple-converted-space"/>
          <w:color w:val="000000"/>
        </w:rPr>
        <w:t> </w:t>
      </w:r>
      <w:r>
        <w:rPr>
          <w:i/>
          <w:iCs/>
          <w:color w:val="000000"/>
        </w:rPr>
        <w:t>English in Education</w:t>
      </w:r>
      <w:r>
        <w:rPr>
          <w:color w:val="000000"/>
        </w:rPr>
        <w:t xml:space="preserve">, 59(1), pp.58–72. </w:t>
      </w:r>
      <w:proofErr w:type="spellStart"/>
      <w:r>
        <w:rPr>
          <w:color w:val="000000"/>
        </w:rPr>
        <w:t>doi</w:t>
      </w:r>
      <w:proofErr w:type="spellEnd"/>
      <w:r>
        <w:rPr>
          <w:color w:val="000000"/>
        </w:rPr>
        <w:t>: https://doi.org/10.1080/04250494.2024.2449332</w:t>
      </w:r>
    </w:p>
    <w:p w14:paraId="4ADA315D" w14:textId="77777777" w:rsidR="00375ACC" w:rsidRDefault="00375ACC" w:rsidP="00456589">
      <w:pPr>
        <w:pStyle w:val="NormalWeb"/>
        <w:spacing w:before="0" w:beforeAutospacing="0" w:after="240" w:afterAutospacing="0" w:line="360" w:lineRule="atLeast"/>
        <w:rPr>
          <w:color w:val="000000"/>
        </w:rPr>
      </w:pPr>
      <w:r>
        <w:rPr>
          <w:color w:val="000000"/>
        </w:rPr>
        <w:t>Stephenson, M. and Gill, A. (2024).</w:t>
      </w:r>
      <w:r>
        <w:rPr>
          <w:rStyle w:val="apple-converted-space"/>
          <w:color w:val="000000"/>
        </w:rPr>
        <w:t> </w:t>
      </w:r>
      <w:r>
        <w:rPr>
          <w:i/>
          <w:iCs/>
          <w:color w:val="000000"/>
        </w:rPr>
        <w:t>Training to be a Primary School Teacher: The ITT and Beyond</w:t>
      </w:r>
      <w:r>
        <w:rPr>
          <w:color w:val="000000"/>
        </w:rPr>
        <w:t xml:space="preserve">. Sage publications. </w:t>
      </w:r>
    </w:p>
    <w:p w14:paraId="2FA49D38" w14:textId="77777777" w:rsidR="00375ACC" w:rsidRDefault="00375ACC" w:rsidP="00456589">
      <w:pPr>
        <w:pStyle w:val="NormalWeb"/>
        <w:spacing w:before="0" w:beforeAutospacing="0" w:after="240" w:afterAutospacing="0" w:line="360" w:lineRule="atLeast"/>
        <w:rPr>
          <w:color w:val="000000"/>
        </w:rPr>
      </w:pPr>
      <w:proofErr w:type="spellStart"/>
      <w:r>
        <w:rPr>
          <w:color w:val="000000"/>
        </w:rPr>
        <w:t>Teachit</w:t>
      </w:r>
      <w:proofErr w:type="spellEnd"/>
      <w:r>
        <w:rPr>
          <w:color w:val="000000"/>
        </w:rPr>
        <w:t>. (2024).</w:t>
      </w:r>
      <w:r>
        <w:rPr>
          <w:rStyle w:val="apple-converted-space"/>
          <w:color w:val="000000"/>
        </w:rPr>
        <w:t> </w:t>
      </w:r>
      <w:r>
        <w:rPr>
          <w:i/>
          <w:iCs/>
          <w:color w:val="000000"/>
        </w:rPr>
        <w:t>WAGOLL: A teacher’s guide</w:t>
      </w:r>
      <w:r>
        <w:rPr>
          <w:color w:val="000000"/>
        </w:rPr>
        <w:t xml:space="preserve">. Available at: </w:t>
      </w:r>
      <w:hyperlink r:id="rId19" w:history="1">
        <w:r w:rsidRPr="00EC0490">
          <w:rPr>
            <w:rStyle w:val="Hyperlink"/>
          </w:rPr>
          <w:t>https://www.teachit.co.uk/cpd/wagoll-teachers-guide</w:t>
        </w:r>
      </w:hyperlink>
      <w:r>
        <w:rPr>
          <w:color w:val="000000"/>
        </w:rPr>
        <w:t>. [Accessed 2 Apr. 2025].</w:t>
      </w:r>
    </w:p>
    <w:p w14:paraId="59303E6A" w14:textId="77777777" w:rsidR="00375ACC" w:rsidRDefault="00375ACC" w:rsidP="00456589">
      <w:pPr>
        <w:pStyle w:val="NormalWeb"/>
        <w:spacing w:before="0" w:beforeAutospacing="0" w:after="240" w:afterAutospacing="0" w:line="360" w:lineRule="atLeast"/>
        <w:rPr>
          <w:color w:val="000000"/>
        </w:rPr>
      </w:pPr>
      <w:r>
        <w:rPr>
          <w:color w:val="000000"/>
        </w:rPr>
        <w:t>University of Oxford (2021).</w:t>
      </w:r>
      <w:r>
        <w:rPr>
          <w:rStyle w:val="apple-converted-space"/>
          <w:color w:val="000000"/>
        </w:rPr>
        <w:t> </w:t>
      </w:r>
      <w:r>
        <w:rPr>
          <w:i/>
          <w:iCs/>
          <w:color w:val="000000"/>
        </w:rPr>
        <w:t>Informed Consent | Research Support</w:t>
      </w:r>
      <w:r>
        <w:rPr>
          <w:color w:val="000000"/>
        </w:rPr>
        <w:t xml:space="preserve">. University of Oxford. Available at: </w:t>
      </w:r>
      <w:hyperlink r:id="rId20" w:history="1">
        <w:r w:rsidRPr="00B24A04">
          <w:rPr>
            <w:rStyle w:val="Hyperlink"/>
          </w:rPr>
          <w:t>https://researchsupport.admin.ox.ac.uk/governance/ethics/resources/consent</w:t>
        </w:r>
      </w:hyperlink>
      <w:r>
        <w:rPr>
          <w:color w:val="000000"/>
        </w:rPr>
        <w:t xml:space="preserve"> [Accessed 3 Apr. 2025].</w:t>
      </w:r>
    </w:p>
    <w:p w14:paraId="5DBFD9FD" w14:textId="1E043AB2" w:rsidR="007F04DB" w:rsidRPr="00346192" w:rsidRDefault="007F04DB" w:rsidP="004C2278">
      <w:pPr>
        <w:pStyle w:val="NormalWeb"/>
        <w:spacing w:before="0" w:beforeAutospacing="0" w:after="240" w:afterAutospacing="0" w:line="360" w:lineRule="atLeast"/>
        <w:divId w:val="739139901"/>
        <w:rPr>
          <w:color w:val="000000"/>
        </w:rPr>
      </w:pPr>
      <w:r>
        <w:rPr>
          <w:color w:val="000000"/>
        </w:rPr>
        <w:t>Welsh Government (2023).</w:t>
      </w:r>
      <w:r>
        <w:rPr>
          <w:rStyle w:val="apple-converted-space"/>
          <w:color w:val="000000"/>
        </w:rPr>
        <w:t> </w:t>
      </w:r>
      <w:r>
        <w:rPr>
          <w:i/>
          <w:iCs/>
          <w:color w:val="000000"/>
        </w:rPr>
        <w:t xml:space="preserve">Pedagogy - </w:t>
      </w:r>
      <w:proofErr w:type="spellStart"/>
      <w:r>
        <w:rPr>
          <w:i/>
          <w:iCs/>
          <w:color w:val="000000"/>
        </w:rPr>
        <w:t>Hwb</w:t>
      </w:r>
      <w:proofErr w:type="spellEnd"/>
      <w:r>
        <w:rPr>
          <w:color w:val="000000"/>
        </w:rPr>
        <w:t xml:space="preserve">. Available at: </w:t>
      </w:r>
      <w:hyperlink r:id="rId21" w:history="1">
        <w:r w:rsidRPr="00701DC0">
          <w:rPr>
            <w:rStyle w:val="Hyperlink"/>
          </w:rPr>
          <w:t>https://hwb.gov.wales/curriculum-for-wales/designing-your-curriculum/pedagogy</w:t>
        </w:r>
      </w:hyperlink>
      <w:r>
        <w:rPr>
          <w:color w:val="000000"/>
        </w:rPr>
        <w:t xml:space="preserve"> [Accessed 4 Apr. 2025].</w:t>
      </w:r>
    </w:p>
    <w:p w14:paraId="2AD756E1" w14:textId="77777777" w:rsidR="00375ACC" w:rsidRPr="00AD1799" w:rsidRDefault="00375ACC" w:rsidP="00456589">
      <w:pPr>
        <w:rPr>
          <w:u w:val="single"/>
        </w:rPr>
      </w:pPr>
      <w:proofErr w:type="spellStart"/>
      <w:r w:rsidRPr="00AD1799">
        <w:rPr>
          <w:rFonts w:eastAsia="Times New Roman"/>
          <w:color w:val="000000"/>
          <w:shd w:val="clear" w:color="auto" w:fill="FFFFFF"/>
        </w:rPr>
        <w:t>Westbroek</w:t>
      </w:r>
      <w:proofErr w:type="spellEnd"/>
      <w:r w:rsidRPr="00AD1799">
        <w:rPr>
          <w:rFonts w:eastAsia="Times New Roman"/>
          <w:color w:val="000000"/>
          <w:shd w:val="clear" w:color="auto" w:fill="FFFFFF"/>
        </w:rPr>
        <w:t xml:space="preserve">, H.B., van </w:t>
      </w:r>
      <w:proofErr w:type="spellStart"/>
      <w:r w:rsidRPr="00AD1799">
        <w:rPr>
          <w:rFonts w:eastAsia="Times New Roman"/>
          <w:color w:val="000000"/>
          <w:shd w:val="clear" w:color="auto" w:fill="FFFFFF"/>
        </w:rPr>
        <w:t>Rens</w:t>
      </w:r>
      <w:proofErr w:type="spellEnd"/>
      <w:r w:rsidRPr="00AD1799">
        <w:rPr>
          <w:rFonts w:eastAsia="Times New Roman"/>
          <w:color w:val="000000"/>
          <w:shd w:val="clear" w:color="auto" w:fill="FFFFFF"/>
        </w:rPr>
        <w:t>, L., van den Berg, E. and Janssen, F.</w:t>
      </w:r>
      <w:r w:rsidRPr="00AD1799">
        <w:rPr>
          <w:rFonts w:eastAsia="Times New Roman" w:cs="Open Sans"/>
          <w:color w:val="333333"/>
          <w:shd w:val="clear" w:color="auto" w:fill="FFFFFF"/>
        </w:rPr>
        <w:t xml:space="preserve"> (2020) ‘A practical approach to assessment for learning and differentiated instruction’,</w:t>
      </w:r>
      <w:r w:rsidRPr="00AD1799">
        <w:rPr>
          <w:rStyle w:val="apple-converted-space"/>
          <w:rFonts w:eastAsia="Times New Roman" w:cs="Open Sans"/>
          <w:color w:val="333333"/>
          <w:shd w:val="clear" w:color="auto" w:fill="FFFFFF"/>
        </w:rPr>
        <w:t> </w:t>
      </w:r>
      <w:r w:rsidRPr="00AD1799">
        <w:rPr>
          <w:rFonts w:eastAsia="Times New Roman" w:cs="Open Sans"/>
          <w:color w:val="333333"/>
        </w:rPr>
        <w:t>International Journal of Science Education</w:t>
      </w:r>
      <w:r w:rsidRPr="00AD1799">
        <w:rPr>
          <w:rFonts w:eastAsia="Times New Roman" w:cs="Open Sans"/>
          <w:color w:val="333333"/>
          <w:shd w:val="clear" w:color="auto" w:fill="FFFFFF"/>
        </w:rPr>
        <w:t xml:space="preserve">, 42(6), pp. 1-22. </w:t>
      </w:r>
      <w:proofErr w:type="spellStart"/>
      <w:r w:rsidRPr="00AD1799">
        <w:rPr>
          <w:rFonts w:eastAsia="Times New Roman" w:cs="Open Sans"/>
          <w:color w:val="333333"/>
          <w:shd w:val="clear" w:color="auto" w:fill="FFFFFF"/>
        </w:rPr>
        <w:t>doi:10.1080</w:t>
      </w:r>
      <w:proofErr w:type="spellEnd"/>
      <w:r w:rsidRPr="00AD1799">
        <w:rPr>
          <w:rFonts w:eastAsia="Times New Roman" w:cs="Open Sans"/>
          <w:color w:val="333333"/>
          <w:shd w:val="clear" w:color="auto" w:fill="FFFFFF"/>
        </w:rPr>
        <w:t>/09500693.2020.1744044.</w:t>
      </w:r>
    </w:p>
    <w:p w14:paraId="222CBE92" w14:textId="77777777" w:rsidR="00375ACC" w:rsidRPr="0040197F" w:rsidRDefault="00375ACC" w:rsidP="00456589">
      <w:pPr>
        <w:pStyle w:val="NormalWeb"/>
        <w:spacing w:before="0" w:beforeAutospacing="0" w:after="240" w:afterAutospacing="0" w:line="360" w:lineRule="atLeast"/>
        <w:rPr>
          <w:color w:val="000000"/>
        </w:rPr>
      </w:pPr>
      <w:r>
        <w:rPr>
          <w:color w:val="000000"/>
        </w:rPr>
        <w:t>Wiliam, D. (2017).</w:t>
      </w:r>
      <w:r>
        <w:rPr>
          <w:rStyle w:val="apple-converted-space"/>
          <w:color w:val="000000"/>
        </w:rPr>
        <w:t> </w:t>
      </w:r>
      <w:r>
        <w:rPr>
          <w:i/>
          <w:iCs/>
          <w:color w:val="000000"/>
        </w:rPr>
        <w:t>Embedded Formative Assessment</w:t>
      </w:r>
      <w:r>
        <w:rPr>
          <w:color w:val="000000"/>
        </w:rPr>
        <w:t>. 2nd ed. Solution Tree Press.</w:t>
      </w:r>
    </w:p>
    <w:p w14:paraId="2997AFCC" w14:textId="77777777" w:rsidR="00375ACC" w:rsidRDefault="00375ACC" w:rsidP="00456589">
      <w:pPr>
        <w:rPr>
          <w:rFonts w:ascii="Open Sans" w:eastAsia="Times New Roman" w:hAnsi="Open Sans" w:cs="Open Sans"/>
          <w:color w:val="000000" w:themeColor="text1"/>
          <w:shd w:val="clear" w:color="auto" w:fill="FFFFFF"/>
        </w:rPr>
      </w:pPr>
    </w:p>
    <w:p w14:paraId="3B3FE6E6" w14:textId="77777777" w:rsidR="00375ACC" w:rsidRDefault="00375ACC" w:rsidP="00456589">
      <w:pPr>
        <w:rPr>
          <w:rFonts w:ascii="Open Sans" w:eastAsia="Times New Roman" w:hAnsi="Open Sans" w:cs="Open Sans"/>
          <w:color w:val="000000" w:themeColor="text1"/>
          <w:shd w:val="clear" w:color="auto" w:fill="FFFFFF"/>
        </w:rPr>
      </w:pPr>
    </w:p>
    <w:p w14:paraId="6413DE7C" w14:textId="77777777" w:rsidR="000E2E7E" w:rsidRPr="000E2E7E" w:rsidRDefault="000E2E7E" w:rsidP="000E2E7E">
      <w:pPr>
        <w:rPr>
          <w:sz w:val="28"/>
          <w:szCs w:val="28"/>
        </w:rPr>
      </w:pPr>
    </w:p>
    <w:p w14:paraId="512734CD" w14:textId="77777777" w:rsidR="000E2E7E" w:rsidRPr="00B103B9" w:rsidRDefault="000E2E7E" w:rsidP="000E2E7E">
      <w:pPr>
        <w:rPr>
          <w:sz w:val="16"/>
          <w:szCs w:val="16"/>
        </w:rPr>
      </w:pPr>
    </w:p>
    <w:p w14:paraId="1CD1FA79" w14:textId="1E826845" w:rsidR="000E2E7E" w:rsidRPr="000E2E7E" w:rsidRDefault="000E2E7E">
      <w:pPr>
        <w:rPr>
          <w:sz w:val="52"/>
          <w:szCs w:val="52"/>
        </w:rPr>
      </w:pPr>
    </w:p>
    <w:sectPr w:rsidR="000E2E7E" w:rsidRPr="000E2E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4CFFCE" w14:textId="77777777" w:rsidR="004F060B" w:rsidRDefault="004F060B" w:rsidP="004F060B">
      <w:pPr>
        <w:spacing w:after="0" w:line="240" w:lineRule="auto"/>
      </w:pPr>
      <w:r>
        <w:separator/>
      </w:r>
    </w:p>
  </w:endnote>
  <w:endnote w:type="continuationSeparator" w:id="0">
    <w:p w14:paraId="289AA388" w14:textId="77777777" w:rsidR="004F060B" w:rsidRDefault="004F060B" w:rsidP="004F06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ACFF"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2C29DF" w14:textId="77777777" w:rsidR="004F060B" w:rsidRDefault="004F060B" w:rsidP="004F060B">
      <w:pPr>
        <w:spacing w:after="0" w:line="240" w:lineRule="auto"/>
      </w:pPr>
      <w:r>
        <w:separator/>
      </w:r>
    </w:p>
  </w:footnote>
  <w:footnote w:type="continuationSeparator" w:id="0">
    <w:p w14:paraId="70FFDCE5" w14:textId="77777777" w:rsidR="004F060B" w:rsidRDefault="004F060B" w:rsidP="004F06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271BC"/>
    <w:rsid w:val="00041B8B"/>
    <w:rsid w:val="0005678C"/>
    <w:rsid w:val="00065921"/>
    <w:rsid w:val="00074E1E"/>
    <w:rsid w:val="00075C9A"/>
    <w:rsid w:val="000C1F91"/>
    <w:rsid w:val="000C76E9"/>
    <w:rsid w:val="000E2E7E"/>
    <w:rsid w:val="00106716"/>
    <w:rsid w:val="00110278"/>
    <w:rsid w:val="0011679D"/>
    <w:rsid w:val="00121BB2"/>
    <w:rsid w:val="00134AF6"/>
    <w:rsid w:val="001659F7"/>
    <w:rsid w:val="001675AC"/>
    <w:rsid w:val="00170F7B"/>
    <w:rsid w:val="001751CC"/>
    <w:rsid w:val="001803C3"/>
    <w:rsid w:val="001806AC"/>
    <w:rsid w:val="00191CFB"/>
    <w:rsid w:val="001A14F1"/>
    <w:rsid w:val="001B7456"/>
    <w:rsid w:val="001E51B7"/>
    <w:rsid w:val="001E698E"/>
    <w:rsid w:val="002464D7"/>
    <w:rsid w:val="002A121B"/>
    <w:rsid w:val="002F3C86"/>
    <w:rsid w:val="00304E62"/>
    <w:rsid w:val="0034718C"/>
    <w:rsid w:val="00350DBB"/>
    <w:rsid w:val="00360AA4"/>
    <w:rsid w:val="00370DF4"/>
    <w:rsid w:val="00371AC6"/>
    <w:rsid w:val="00372668"/>
    <w:rsid w:val="00375ACC"/>
    <w:rsid w:val="00381A8D"/>
    <w:rsid w:val="003911EC"/>
    <w:rsid w:val="00391BD3"/>
    <w:rsid w:val="00397AF3"/>
    <w:rsid w:val="003A4215"/>
    <w:rsid w:val="003A42CE"/>
    <w:rsid w:val="003A7750"/>
    <w:rsid w:val="003E52A6"/>
    <w:rsid w:val="00403714"/>
    <w:rsid w:val="004061D3"/>
    <w:rsid w:val="00406822"/>
    <w:rsid w:val="00441A9F"/>
    <w:rsid w:val="004437DA"/>
    <w:rsid w:val="00471B50"/>
    <w:rsid w:val="004A67E9"/>
    <w:rsid w:val="004B1FA8"/>
    <w:rsid w:val="004B4FF7"/>
    <w:rsid w:val="004C1165"/>
    <w:rsid w:val="004C2278"/>
    <w:rsid w:val="004C5299"/>
    <w:rsid w:val="004C765E"/>
    <w:rsid w:val="004E2491"/>
    <w:rsid w:val="004F060B"/>
    <w:rsid w:val="004F66BB"/>
    <w:rsid w:val="004F7A4B"/>
    <w:rsid w:val="00504994"/>
    <w:rsid w:val="00510D18"/>
    <w:rsid w:val="0051690B"/>
    <w:rsid w:val="0052559D"/>
    <w:rsid w:val="00542104"/>
    <w:rsid w:val="005654A3"/>
    <w:rsid w:val="005776C5"/>
    <w:rsid w:val="0058427C"/>
    <w:rsid w:val="00585D5B"/>
    <w:rsid w:val="0059383F"/>
    <w:rsid w:val="005C2CC9"/>
    <w:rsid w:val="005C68DC"/>
    <w:rsid w:val="005E58A6"/>
    <w:rsid w:val="005F44B7"/>
    <w:rsid w:val="00604703"/>
    <w:rsid w:val="00615DC3"/>
    <w:rsid w:val="00653F79"/>
    <w:rsid w:val="006560A2"/>
    <w:rsid w:val="006713C1"/>
    <w:rsid w:val="00675747"/>
    <w:rsid w:val="006F3274"/>
    <w:rsid w:val="006F5B5C"/>
    <w:rsid w:val="007041AA"/>
    <w:rsid w:val="00717454"/>
    <w:rsid w:val="00726C3E"/>
    <w:rsid w:val="00727562"/>
    <w:rsid w:val="00731694"/>
    <w:rsid w:val="00735A3A"/>
    <w:rsid w:val="00741566"/>
    <w:rsid w:val="007625BF"/>
    <w:rsid w:val="00763DDA"/>
    <w:rsid w:val="007738EA"/>
    <w:rsid w:val="00796A73"/>
    <w:rsid w:val="007E1C0C"/>
    <w:rsid w:val="007E69C3"/>
    <w:rsid w:val="007F04DB"/>
    <w:rsid w:val="0081364B"/>
    <w:rsid w:val="00861B32"/>
    <w:rsid w:val="00893BA4"/>
    <w:rsid w:val="008A1525"/>
    <w:rsid w:val="008A7471"/>
    <w:rsid w:val="008D3EE8"/>
    <w:rsid w:val="008F0B48"/>
    <w:rsid w:val="008F2898"/>
    <w:rsid w:val="00922592"/>
    <w:rsid w:val="00925441"/>
    <w:rsid w:val="009343FF"/>
    <w:rsid w:val="0093769D"/>
    <w:rsid w:val="00957F6D"/>
    <w:rsid w:val="00961022"/>
    <w:rsid w:val="00963C1A"/>
    <w:rsid w:val="00965B69"/>
    <w:rsid w:val="00975A79"/>
    <w:rsid w:val="00980C76"/>
    <w:rsid w:val="009B2299"/>
    <w:rsid w:val="009C4E12"/>
    <w:rsid w:val="009D0EA6"/>
    <w:rsid w:val="009D31A8"/>
    <w:rsid w:val="009F0B4A"/>
    <w:rsid w:val="009F27E2"/>
    <w:rsid w:val="00A03B08"/>
    <w:rsid w:val="00A347DC"/>
    <w:rsid w:val="00AA694F"/>
    <w:rsid w:val="00AB5565"/>
    <w:rsid w:val="00AC2CB9"/>
    <w:rsid w:val="00AC2E9F"/>
    <w:rsid w:val="00AD7D1D"/>
    <w:rsid w:val="00AE162E"/>
    <w:rsid w:val="00AE7DC9"/>
    <w:rsid w:val="00AF6B80"/>
    <w:rsid w:val="00B05AC6"/>
    <w:rsid w:val="00B34583"/>
    <w:rsid w:val="00B439E2"/>
    <w:rsid w:val="00B939CF"/>
    <w:rsid w:val="00BB2DB1"/>
    <w:rsid w:val="00BB47A5"/>
    <w:rsid w:val="00BC3D01"/>
    <w:rsid w:val="00BD0BEE"/>
    <w:rsid w:val="00BD11F2"/>
    <w:rsid w:val="00BF2EF4"/>
    <w:rsid w:val="00C0493E"/>
    <w:rsid w:val="00C26086"/>
    <w:rsid w:val="00C50428"/>
    <w:rsid w:val="00C51209"/>
    <w:rsid w:val="00C67476"/>
    <w:rsid w:val="00C763E3"/>
    <w:rsid w:val="00C8788C"/>
    <w:rsid w:val="00C9490A"/>
    <w:rsid w:val="00CF5804"/>
    <w:rsid w:val="00D156F3"/>
    <w:rsid w:val="00D21B6D"/>
    <w:rsid w:val="00D65359"/>
    <w:rsid w:val="00DB2158"/>
    <w:rsid w:val="00DC6E39"/>
    <w:rsid w:val="00DC7782"/>
    <w:rsid w:val="00DD1927"/>
    <w:rsid w:val="00DE18D7"/>
    <w:rsid w:val="00DE4885"/>
    <w:rsid w:val="00DF09B3"/>
    <w:rsid w:val="00E0119B"/>
    <w:rsid w:val="00E134D0"/>
    <w:rsid w:val="00E26632"/>
    <w:rsid w:val="00E5184C"/>
    <w:rsid w:val="00E55C15"/>
    <w:rsid w:val="00E64926"/>
    <w:rsid w:val="00EA3F10"/>
    <w:rsid w:val="00EE0846"/>
    <w:rsid w:val="00EE5A04"/>
    <w:rsid w:val="00F0394D"/>
    <w:rsid w:val="00F65945"/>
    <w:rsid w:val="00F66413"/>
    <w:rsid w:val="00F905B3"/>
    <w:rsid w:val="00FA372C"/>
    <w:rsid w:val="00FB1957"/>
    <w:rsid w:val="00FB661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A694F"/>
    <w:rPr>
      <w:color w:val="467886" w:themeColor="hyperlink"/>
      <w:u w:val="single"/>
    </w:rPr>
  </w:style>
  <w:style w:type="character" w:styleId="UnresolvedMention">
    <w:name w:val="Unresolved Mention"/>
    <w:basedOn w:val="DefaultParagraphFont"/>
    <w:uiPriority w:val="99"/>
    <w:semiHidden/>
    <w:unhideWhenUsed/>
    <w:rsid w:val="00AA694F"/>
    <w:rPr>
      <w:color w:val="605E5C"/>
      <w:shd w:val="clear" w:color="auto" w:fill="E1DFDD"/>
    </w:rPr>
  </w:style>
  <w:style w:type="character" w:customStyle="1" w:styleId="apple-converted-space">
    <w:name w:val="apple-converted-space"/>
    <w:basedOn w:val="DefaultParagraphFont"/>
    <w:rsid w:val="00375ACC"/>
  </w:style>
  <w:style w:type="paragraph" w:styleId="NormalWeb">
    <w:name w:val="Normal (Web)"/>
    <w:basedOn w:val="Normal"/>
    <w:uiPriority w:val="99"/>
    <w:unhideWhenUsed/>
    <w:rsid w:val="00375ACC"/>
    <w:pPr>
      <w:spacing w:before="100" w:beforeAutospacing="1" w:after="100" w:afterAutospacing="1" w:line="240" w:lineRule="auto"/>
    </w:pPr>
    <w:rPr>
      <w:rFonts w:ascii="Times New Roman" w:hAnsi="Times New Roman" w:cs="Times New Roman"/>
      <w:kern w:val="0"/>
      <w:lang w:eastAsia="en-GB"/>
      <w14:ligatures w14:val="none"/>
    </w:rPr>
  </w:style>
  <w:style w:type="paragraph" w:styleId="Header">
    <w:name w:val="header"/>
    <w:basedOn w:val="Normal"/>
    <w:link w:val="HeaderChar"/>
    <w:uiPriority w:val="99"/>
    <w:unhideWhenUsed/>
    <w:rsid w:val="004F06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060B"/>
  </w:style>
  <w:style w:type="paragraph" w:styleId="Footer">
    <w:name w:val="footer"/>
    <w:basedOn w:val="Normal"/>
    <w:link w:val="FooterChar"/>
    <w:uiPriority w:val="99"/>
    <w:unhideWhenUsed/>
    <w:rsid w:val="004F06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6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8303557">
      <w:bodyDiv w:val="1"/>
      <w:marLeft w:val="0"/>
      <w:marRight w:val="0"/>
      <w:marTop w:val="0"/>
      <w:marBottom w:val="0"/>
      <w:divBdr>
        <w:top w:val="none" w:sz="0" w:space="0" w:color="auto"/>
        <w:left w:val="none" w:sz="0" w:space="0" w:color="auto"/>
        <w:bottom w:val="none" w:sz="0" w:space="0" w:color="auto"/>
        <w:right w:val="none" w:sz="0" w:space="0" w:color="auto"/>
      </w:divBdr>
      <w:divsChild>
        <w:div w:id="1149831646">
          <w:marLeft w:val="0"/>
          <w:marRight w:val="0"/>
          <w:marTop w:val="0"/>
          <w:marBottom w:val="0"/>
          <w:divBdr>
            <w:top w:val="none" w:sz="0" w:space="0" w:color="auto"/>
            <w:left w:val="none" w:sz="0" w:space="0" w:color="auto"/>
            <w:bottom w:val="none" w:sz="0" w:space="0" w:color="auto"/>
            <w:right w:val="none" w:sz="0" w:space="0" w:color="auto"/>
          </w:divBdr>
        </w:div>
      </w:divsChild>
    </w:div>
    <w:div w:id="1255625685">
      <w:bodyDiv w:val="1"/>
      <w:marLeft w:val="0"/>
      <w:marRight w:val="0"/>
      <w:marTop w:val="0"/>
      <w:marBottom w:val="0"/>
      <w:divBdr>
        <w:top w:val="none" w:sz="0" w:space="0" w:color="auto"/>
        <w:left w:val="none" w:sz="0" w:space="0" w:color="auto"/>
        <w:bottom w:val="none" w:sz="0" w:space="0" w:color="auto"/>
        <w:right w:val="none" w:sz="0" w:space="0" w:color="auto"/>
      </w:divBdr>
      <w:divsChild>
        <w:div w:id="605306676">
          <w:marLeft w:val="0"/>
          <w:marRight w:val="0"/>
          <w:marTop w:val="0"/>
          <w:marBottom w:val="0"/>
          <w:divBdr>
            <w:top w:val="none" w:sz="0" w:space="0" w:color="auto"/>
            <w:left w:val="none" w:sz="0" w:space="0" w:color="auto"/>
            <w:bottom w:val="none" w:sz="0" w:space="0" w:color="auto"/>
            <w:right w:val="none" w:sz="0" w:space="0" w:color="auto"/>
          </w:divBdr>
        </w:div>
      </w:divsChild>
    </w:div>
    <w:div w:id="1730223198">
      <w:bodyDiv w:val="1"/>
      <w:marLeft w:val="0"/>
      <w:marRight w:val="0"/>
      <w:marTop w:val="0"/>
      <w:marBottom w:val="0"/>
      <w:divBdr>
        <w:top w:val="none" w:sz="0" w:space="0" w:color="auto"/>
        <w:left w:val="none" w:sz="0" w:space="0" w:color="auto"/>
        <w:bottom w:val="none" w:sz="0" w:space="0" w:color="auto"/>
        <w:right w:val="none" w:sz="0" w:space="0" w:color="auto"/>
      </w:divBdr>
      <w:divsChild>
        <w:div w:id="347100178">
          <w:marLeft w:val="0"/>
          <w:marRight w:val="0"/>
          <w:marTop w:val="0"/>
          <w:marBottom w:val="0"/>
          <w:divBdr>
            <w:top w:val="none" w:sz="0" w:space="0" w:color="auto"/>
            <w:left w:val="none" w:sz="0" w:space="0" w:color="auto"/>
            <w:bottom w:val="none" w:sz="0" w:space="0" w:color="auto"/>
            <w:right w:val="none" w:sz="0" w:space="0" w:color="auto"/>
          </w:divBdr>
        </w:div>
      </w:divsChild>
    </w:div>
    <w:div w:id="2116703027">
      <w:bodyDiv w:val="1"/>
      <w:marLeft w:val="0"/>
      <w:marRight w:val="0"/>
      <w:marTop w:val="0"/>
      <w:marBottom w:val="0"/>
      <w:divBdr>
        <w:top w:val="none" w:sz="0" w:space="0" w:color="auto"/>
        <w:left w:val="none" w:sz="0" w:space="0" w:color="auto"/>
        <w:bottom w:val="none" w:sz="0" w:space="0" w:color="auto"/>
        <w:right w:val="none" w:sz="0" w:space="0" w:color="auto"/>
      </w:divBdr>
      <w:divsChild>
        <w:div w:id="7391399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yorksj.ac.uk/assessment/feedback-key-theories-and-concepts/" TargetMode="External"/><Relationship Id="rId13" Type="http://schemas.openxmlformats.org/officeDocument/2006/relationships/hyperlink" Target="https://www.estyn.gov.wales/system/files/2022-10/Effective%20approaches%20to%20assessment%20that%20improve%20teaching%20and%20learning.pdf" TargetMode="External"/><Relationship Id="rId18" Type="http://schemas.openxmlformats.org/officeDocument/2006/relationships/hyperlink" Target="https://begrijpelijkeformulieren.org/sites/begrijpelijkeformulieren/files/Reja_e.a._Open-ended_vs._Close-ended_Questions_in_Web.pdf" TargetMode="External"/><Relationship Id="rId3" Type="http://schemas.openxmlformats.org/officeDocument/2006/relationships/webSettings" Target="webSettings.xml"/><Relationship Id="rId21" Type="http://schemas.openxmlformats.org/officeDocument/2006/relationships/hyperlink" Target="https://hwb.gov.wales/curriculum-for-wales/designing-your-curriculum/pedagogy" TargetMode="External"/><Relationship Id="rId7" Type="http://schemas.openxmlformats.org/officeDocument/2006/relationships/hyperlink" Target="https://chatgpt.com" TargetMode="External"/><Relationship Id="rId12" Type="http://schemas.openxmlformats.org/officeDocument/2006/relationships/hyperlink" Target="https://educationendowmentfoundation.org.uk/education-evidence/guidance-reports/metacognition" TargetMode="External"/><Relationship Id="rId17" Type="http://schemas.openxmlformats.org/officeDocument/2006/relationships/hyperlink" Target="https://www.ncvo.org.uk/help-and-guidance/strategy-and-impact/impact-evaluation/evaluation-and-impact-reporting/how-to-analyse-qualitative-data-for-evaluation/" TargetMode="External"/><Relationship Id="rId2" Type="http://schemas.openxmlformats.org/officeDocument/2006/relationships/settings" Target="settings.xml"/><Relationship Id="rId16" Type="http://schemas.openxmlformats.org/officeDocument/2006/relationships/hyperlink" Target="https://www.nnlm.gov/guides/data-glossary/qualitative-data" TargetMode="External"/><Relationship Id="rId20" Type="http://schemas.openxmlformats.org/officeDocument/2006/relationships/hyperlink" Target="https://researchsupport.admin.ox.ac.uk/governance/ethics/resources/consent"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ambridgeinternational.org/Images/271179-assessment-for-learning.pdf" TargetMode="External"/><Relationship Id="rId5" Type="http://schemas.openxmlformats.org/officeDocument/2006/relationships/endnotes" Target="endnotes.xml"/><Relationship Id="rId15" Type="http://schemas.openxmlformats.org/officeDocument/2006/relationships/hyperlink" Target="https://files.eric.ed.gov/fulltext/ED326488.pdf" TargetMode="External"/><Relationship Id="rId23" Type="http://schemas.openxmlformats.org/officeDocument/2006/relationships/theme" Target="theme/theme1.xml"/><Relationship Id="rId10" Type="http://schemas.openxmlformats.org/officeDocument/2006/relationships/hyperlink" Target="https://www.vlebooks.com/Product/Index/154573?page=0&amp;startBookmarkId=-1" TargetMode="External"/><Relationship Id="rId19" Type="http://schemas.openxmlformats.org/officeDocument/2006/relationships/hyperlink" Target="https://www.teachit.co.uk/cpd/wagoll-teachers-guide" TargetMode="External"/><Relationship Id="rId4" Type="http://schemas.openxmlformats.org/officeDocument/2006/relationships/footnotes" Target="footnotes.xml"/><Relationship Id="rId9" Type="http://schemas.openxmlformats.org/officeDocument/2006/relationships/hyperlink" Target="https://www.bera.ac.uk/publication/ethical-guidelines-for-educational-research-fifth-edition-2024-online" TargetMode="External"/><Relationship Id="rId14" Type="http://schemas.openxmlformats.org/officeDocument/2006/relationships/hyperlink" Target="https://www.scribbr.co.uk/research-methods/semi-structured-interview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4131</Words>
  <Characters>23548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Elise Ward (2304322)</cp:lastModifiedBy>
  <cp:revision>2</cp:revision>
  <dcterms:created xsi:type="dcterms:W3CDTF">2025-04-04T21:33:00Z</dcterms:created>
  <dcterms:modified xsi:type="dcterms:W3CDTF">2025-04-04T21:33:00Z</dcterms:modified>
</cp:coreProperties>
</file>