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E6F4D" w14:textId="77777777" w:rsidR="00A35A55" w:rsidRDefault="00A35A55" w:rsidP="000B6FD6"/>
    <w:p w14:paraId="0CA722A4" w14:textId="63E0E669" w:rsidR="000B6FD6" w:rsidRPr="000B6FD6" w:rsidRDefault="000B6FD6" w:rsidP="000B6FD6">
      <w:pPr>
        <w:rPr>
          <w:b/>
          <w:bCs/>
          <w:sz w:val="28"/>
          <w:szCs w:val="28"/>
        </w:rPr>
      </w:pPr>
      <w:r w:rsidRPr="000B6FD6">
        <w:rPr>
          <w:b/>
          <w:bCs/>
          <w:sz w:val="28"/>
          <w:szCs w:val="28"/>
        </w:rPr>
        <w:t>PESTEL ANALYSIS</w:t>
      </w:r>
    </w:p>
    <w:p w14:paraId="401B518B" w14:textId="6E8E405E" w:rsidR="00663E34" w:rsidRDefault="00A35A55" w:rsidP="000B6FD6">
      <w:pPr>
        <w:rPr>
          <w:b/>
          <w:bCs/>
        </w:rPr>
      </w:pPr>
      <w:r>
        <w:rPr>
          <w:b/>
          <w:bCs/>
        </w:rPr>
        <w:t xml:space="preserve">Pestel </w:t>
      </w:r>
      <w:r w:rsidR="00B3685A" w:rsidRPr="000B6FD6">
        <w:rPr>
          <w:b/>
          <w:bCs/>
        </w:rPr>
        <w:t>analyses the macro‑environmental factors influencing CICL UK, highlighting opportunities, threats, and obligations across political, economic, social, technological, environmental, and legal domains</w:t>
      </w:r>
      <w:r w:rsidR="000B6FD6" w:rsidRPr="000B6FD6">
        <w:rPr>
          <w:b/>
          <w:bCs/>
        </w:rPr>
        <w:t>.</w:t>
      </w:r>
    </w:p>
    <w:p w14:paraId="08B03447" w14:textId="1CBC9D9E" w:rsidR="00A35A55" w:rsidRPr="000B6FD6" w:rsidRDefault="00A35A55" w:rsidP="000B6FD6">
      <w:pPr>
        <w:rPr>
          <w:b/>
          <w:bCs/>
        </w:rPr>
      </w:pPr>
      <w:r>
        <w:rPr>
          <w:b/>
          <w:bCs/>
        </w:rPr>
        <w:t>Factors are outlined below.</w:t>
      </w:r>
    </w:p>
    <w:p w14:paraId="5530D989" w14:textId="77777777" w:rsidR="000B6FD6" w:rsidRPr="000B6FD6" w:rsidRDefault="000B6FD6" w:rsidP="000B6FD6">
      <w:pPr>
        <w:rPr>
          <w:b/>
          <w:bCs/>
        </w:rPr>
      </w:pPr>
    </w:p>
    <w:p w14:paraId="4664C2E5" w14:textId="75293CE2" w:rsidR="000B6FD6" w:rsidRPr="000B6FD6" w:rsidRDefault="000B6FD6" w:rsidP="000B6FD6">
      <w:pPr>
        <w:rPr>
          <w:b/>
          <w:bCs/>
          <w:sz w:val="28"/>
          <w:szCs w:val="28"/>
        </w:rPr>
      </w:pPr>
      <w:r w:rsidRPr="000B6FD6">
        <w:rPr>
          <w:b/>
          <w:bCs/>
          <w:sz w:val="28"/>
          <w:szCs w:val="28"/>
        </w:rPr>
        <w:t>POLITICAL FACTORS</w:t>
      </w:r>
    </w:p>
    <w:p w14:paraId="29DD9B3A" w14:textId="464028CE" w:rsidR="000B6FD6" w:rsidRPr="00A35A55" w:rsidRDefault="000B6FD6" w:rsidP="000B6FD6">
      <w:pPr>
        <w:rPr>
          <w:b/>
          <w:bCs/>
        </w:rPr>
      </w:pPr>
      <w:r>
        <w:t>1.</w:t>
      </w:r>
      <w:r w:rsidRPr="00A35A55">
        <w:rPr>
          <w:b/>
          <w:bCs/>
        </w:rPr>
        <w:t>Government infrastructure investment</w:t>
      </w:r>
    </w:p>
    <w:p w14:paraId="65248704" w14:textId="77777777" w:rsidR="00663E34" w:rsidRDefault="00B3685A">
      <w:r>
        <w:t xml:space="preserve">The UK government’s strategic funding of infrastructure, regeneration, and smart city development offers CICL UK access to public sector contracts in smart </w:t>
      </w:r>
      <w:proofErr w:type="gramStart"/>
      <w:r>
        <w:t>building</w:t>
      </w:r>
      <w:proofErr w:type="gramEnd"/>
      <w:r>
        <w:t>, integrated systems, and facilities management.</w:t>
      </w:r>
    </w:p>
    <w:p w14:paraId="548DC689" w14:textId="7D67D1BA" w:rsidR="000B6FD6" w:rsidRPr="00A35A55" w:rsidRDefault="000B6FD6" w:rsidP="000B6FD6">
      <w:pPr>
        <w:rPr>
          <w:b/>
          <w:bCs/>
        </w:rPr>
      </w:pPr>
      <w:r>
        <w:t>2.</w:t>
      </w:r>
      <w:r w:rsidRPr="00A35A55">
        <w:rPr>
          <w:b/>
          <w:bCs/>
        </w:rPr>
        <w:t>Brexit and Trade Regulations</w:t>
      </w:r>
    </w:p>
    <w:p w14:paraId="0BA76F6B" w14:textId="77777777" w:rsidR="00663E34" w:rsidRPr="000B6FD6" w:rsidRDefault="00B3685A">
      <w:pPr>
        <w:rPr>
          <w:sz w:val="28"/>
          <w:szCs w:val="28"/>
        </w:rPr>
      </w:pPr>
      <w:r>
        <w:t xml:space="preserve">After the UK’s exit from the EU, import duties, border checks, and reduced freedom of movement for labour may increase procurement costs and restrict access to skilled workers </w:t>
      </w:r>
      <w:r w:rsidRPr="000B6FD6">
        <w:rPr>
          <w:sz w:val="28"/>
          <w:szCs w:val="28"/>
        </w:rPr>
        <w:t>from EU countries.</w:t>
      </w:r>
    </w:p>
    <w:p w14:paraId="572BEF46" w14:textId="6E7F4BE9" w:rsidR="000B6FD6" w:rsidRPr="000B6FD6" w:rsidRDefault="000B6FD6" w:rsidP="000B6FD6">
      <w:pPr>
        <w:rPr>
          <w:b/>
          <w:bCs/>
          <w:sz w:val="28"/>
          <w:szCs w:val="28"/>
        </w:rPr>
      </w:pPr>
      <w:r w:rsidRPr="000B6FD6">
        <w:rPr>
          <w:b/>
          <w:bCs/>
          <w:sz w:val="28"/>
          <w:szCs w:val="28"/>
        </w:rPr>
        <w:t>ECONOMIC FACTORS</w:t>
      </w:r>
    </w:p>
    <w:p w14:paraId="49D5F940" w14:textId="33B614DE" w:rsidR="000B6FD6" w:rsidRPr="000B6FD6" w:rsidRDefault="000B6FD6" w:rsidP="000B6FD6">
      <w:r>
        <w:t>1.</w:t>
      </w:r>
      <w:r w:rsidRPr="00A35A55">
        <w:rPr>
          <w:b/>
          <w:bCs/>
        </w:rPr>
        <w:t>inflation and interest rates</w:t>
      </w:r>
    </w:p>
    <w:p w14:paraId="668DBF4E" w14:textId="3A849155" w:rsidR="00663E34" w:rsidRDefault="00B3685A" w:rsidP="000B6FD6">
      <w:r>
        <w:t xml:space="preserve">Elevated inflation and rising interest rates increase costs for raw materials, energy, equipment, and financing. These pressures may compress margins and require more </w:t>
      </w:r>
    </w:p>
    <w:p w14:paraId="43E3600B" w14:textId="40A9B234" w:rsidR="000B6FD6" w:rsidRPr="000B6FD6" w:rsidRDefault="000B6FD6" w:rsidP="000B6FD6">
      <w:r>
        <w:t>2.</w:t>
      </w:r>
      <w:r w:rsidRPr="00A35A55">
        <w:rPr>
          <w:b/>
          <w:bCs/>
        </w:rPr>
        <w:t>Cyclicality of Development &amp; Maintenance Demand</w:t>
      </w:r>
    </w:p>
    <w:p w14:paraId="66F0FA5C" w14:textId="77777777" w:rsidR="00663E34" w:rsidRDefault="00B3685A">
      <w:r>
        <w:t>Economic downturns can reduce capital expenditure in real estate and infrastructure, whereas upturns drive new projects. CICL UK must balance capital‑project work with stable maintenance, service, or retrofit contracts to smooth revenue volatility.</w:t>
      </w:r>
    </w:p>
    <w:p w14:paraId="5475585E" w14:textId="3102E6C3" w:rsidR="000B6FD6" w:rsidRPr="000B6FD6" w:rsidRDefault="000B6FD6" w:rsidP="000B6FD6">
      <w:pPr>
        <w:rPr>
          <w:b/>
          <w:bCs/>
          <w:sz w:val="28"/>
          <w:szCs w:val="28"/>
        </w:rPr>
      </w:pPr>
      <w:r w:rsidRPr="000B6FD6">
        <w:rPr>
          <w:b/>
          <w:bCs/>
          <w:sz w:val="28"/>
          <w:szCs w:val="28"/>
        </w:rPr>
        <w:t>SOCIAL FACTORS</w:t>
      </w:r>
    </w:p>
    <w:p w14:paraId="5FD9D934" w14:textId="6D8FE842" w:rsidR="000B6FD6" w:rsidRPr="000B6FD6" w:rsidRDefault="000B6FD6" w:rsidP="000B6FD6">
      <w:r>
        <w:t>1.</w:t>
      </w:r>
      <w:r w:rsidRPr="00A35A55">
        <w:rPr>
          <w:b/>
          <w:bCs/>
        </w:rPr>
        <w:t>Sustainability &amp; ESG Expectations</w:t>
      </w:r>
    </w:p>
    <w:p w14:paraId="6EBB292A" w14:textId="77777777" w:rsidR="00663E34" w:rsidRDefault="00B3685A">
      <w:r>
        <w:t>Clients and stakeholders increasingly expect contractors to deliver environmentally responsible projects, with lower carbon footprints, circular practices, and sustainable materials.</w:t>
      </w:r>
    </w:p>
    <w:p w14:paraId="345F3403" w14:textId="37785785" w:rsidR="000B6FD6" w:rsidRPr="000B6FD6" w:rsidRDefault="000B6FD6" w:rsidP="000B6FD6">
      <w:r>
        <w:t>2.</w:t>
      </w:r>
      <w:r w:rsidRPr="00A35A55">
        <w:rPr>
          <w:b/>
          <w:bCs/>
        </w:rPr>
        <w:t>Evolving workplace Norms</w:t>
      </w:r>
    </w:p>
    <w:p w14:paraId="00789347" w14:textId="77777777" w:rsidR="00663E34" w:rsidRDefault="00B3685A">
      <w:r>
        <w:lastRenderedPageBreak/>
        <w:t>The rise of hybrid working and demand for flexible office space drives opportunities in smart infrastructure, adaptive floorplans, energy‑efficient systems, and digital building controls.</w:t>
      </w:r>
    </w:p>
    <w:p w14:paraId="228DE544" w14:textId="1ACF23B2" w:rsidR="000B6FD6" w:rsidRPr="000B6FD6" w:rsidRDefault="000B6FD6" w:rsidP="000B6FD6">
      <w:pPr>
        <w:rPr>
          <w:b/>
          <w:bCs/>
        </w:rPr>
      </w:pPr>
      <w:r w:rsidRPr="000B6FD6">
        <w:rPr>
          <w:b/>
          <w:bCs/>
        </w:rPr>
        <w:t>TECHNOLOGICAL FACTORS</w:t>
      </w:r>
    </w:p>
    <w:p w14:paraId="69F627E6" w14:textId="1DA828A5" w:rsidR="000B6FD6" w:rsidRPr="00A35A55" w:rsidRDefault="000B6FD6" w:rsidP="000B6FD6">
      <w:pPr>
        <w:rPr>
          <w:b/>
          <w:bCs/>
        </w:rPr>
      </w:pPr>
      <w:r>
        <w:t>1.</w:t>
      </w:r>
      <w:r w:rsidRPr="00A35A55">
        <w:rPr>
          <w:b/>
          <w:bCs/>
        </w:rPr>
        <w:t>Digital Transformation &amp; Automation</w:t>
      </w:r>
    </w:p>
    <w:p w14:paraId="1E7D3DD9" w14:textId="77777777" w:rsidR="00663E34" w:rsidRDefault="00B3685A">
      <w:r>
        <w:t>Technologies like Building Information Modelling (BIM), Internet of Things (IoT) sensors, predictive analytics, and AI-driven maintenance improve efficiency and service differentiation.</w:t>
      </w:r>
    </w:p>
    <w:p w14:paraId="4FF69310" w14:textId="3131EE78" w:rsidR="000B6FD6" w:rsidRPr="000B6FD6" w:rsidRDefault="000B6FD6" w:rsidP="000B6FD6">
      <w:r>
        <w:t>2.</w:t>
      </w:r>
      <w:r w:rsidRPr="00A35A55">
        <w:rPr>
          <w:b/>
          <w:bCs/>
        </w:rPr>
        <w:t>Cybersecurity &amp; Data Protection</w:t>
      </w:r>
    </w:p>
    <w:p w14:paraId="1F3BAB6F" w14:textId="77777777" w:rsidR="00663E34" w:rsidRPr="000B6FD6" w:rsidRDefault="00B3685A">
      <w:pPr>
        <w:rPr>
          <w:sz w:val="28"/>
          <w:szCs w:val="28"/>
        </w:rPr>
      </w:pPr>
      <w:r>
        <w:t xml:space="preserve">As operations depend more on connected systems (cloud, IoT, remote monitoring), safeguarding data, preventing breaches, and ensuring system resilience become essential to </w:t>
      </w:r>
      <w:r w:rsidRPr="00A35A55">
        <w:t>protect reputation and avoid regulatory penalties.</w:t>
      </w:r>
    </w:p>
    <w:p w14:paraId="13C541F2" w14:textId="15DB0ED1" w:rsidR="000B6FD6" w:rsidRPr="00A35A55" w:rsidRDefault="000B6FD6" w:rsidP="000B6FD6">
      <w:pPr>
        <w:rPr>
          <w:b/>
          <w:bCs/>
          <w:sz w:val="28"/>
          <w:szCs w:val="28"/>
        </w:rPr>
      </w:pPr>
      <w:r w:rsidRPr="00A35A55">
        <w:rPr>
          <w:b/>
          <w:bCs/>
          <w:sz w:val="28"/>
          <w:szCs w:val="28"/>
        </w:rPr>
        <w:t>ENVIROMENTAL FACTORS</w:t>
      </w:r>
    </w:p>
    <w:p w14:paraId="045CC770" w14:textId="4724B9B4" w:rsidR="00A35A55" w:rsidRPr="00A35A55" w:rsidRDefault="00A35A55" w:rsidP="00A35A55">
      <w:pPr>
        <w:rPr>
          <w:b/>
          <w:bCs/>
        </w:rPr>
      </w:pPr>
      <w:r w:rsidRPr="00A35A55">
        <w:rPr>
          <w:b/>
          <w:bCs/>
        </w:rPr>
        <w:t>1.Net Zero /Carbon Reduction Mandate</w:t>
      </w:r>
    </w:p>
    <w:p w14:paraId="5D7D6E81" w14:textId="77777777" w:rsidR="00663E34" w:rsidRDefault="00B3685A">
      <w:r>
        <w:t>The UK has enshrined a legally binding commitment to reach net zero greenhouse gas emissions by 2050 (gov.uk, 2021). This commitment forces stricter carbon reporting, emission caps, incentives for clean energy, and pressure on all sectors, including construction and services, to decarbonise.</w:t>
      </w:r>
    </w:p>
    <w:p w14:paraId="60BF9750" w14:textId="4EBD88EF" w:rsidR="00A35A55" w:rsidRPr="00A35A55" w:rsidRDefault="00A35A55" w:rsidP="00A35A55">
      <w:pPr>
        <w:rPr>
          <w:b/>
          <w:bCs/>
        </w:rPr>
      </w:pPr>
      <w:r w:rsidRPr="00A35A55">
        <w:rPr>
          <w:b/>
          <w:bCs/>
        </w:rPr>
        <w:t>2.Regulation on Energy Efficiency &amp; Waste Management</w:t>
      </w:r>
    </w:p>
    <w:p w14:paraId="5074DE07" w14:textId="77777777" w:rsidR="00663E34" w:rsidRDefault="00B3685A">
      <w:r>
        <w:t>Stronger laws on energy performance of buildings, waste disposal, recycling, and green procurement require that CICL UK adopt efficient designs, renewable integration, and sustainable construction methods.</w:t>
      </w:r>
    </w:p>
    <w:p w14:paraId="6B9B88B2" w14:textId="19ED1C3C" w:rsidR="00A35A55" w:rsidRPr="00A35A55" w:rsidRDefault="00A35A55" w:rsidP="00A35A55">
      <w:pPr>
        <w:rPr>
          <w:b/>
          <w:bCs/>
          <w:sz w:val="28"/>
          <w:szCs w:val="28"/>
        </w:rPr>
      </w:pPr>
      <w:r w:rsidRPr="00A35A55">
        <w:rPr>
          <w:b/>
          <w:bCs/>
          <w:sz w:val="28"/>
          <w:szCs w:val="28"/>
        </w:rPr>
        <w:t>LEGAL FACTORS</w:t>
      </w:r>
    </w:p>
    <w:p w14:paraId="3CA13EA8" w14:textId="4896E3ED" w:rsidR="00A35A55" w:rsidRPr="00A35A55" w:rsidRDefault="00A35A55" w:rsidP="00A35A55">
      <w:pPr>
        <w:rPr>
          <w:b/>
          <w:bCs/>
        </w:rPr>
      </w:pPr>
      <w:r w:rsidRPr="00A35A55">
        <w:rPr>
          <w:b/>
          <w:bCs/>
        </w:rPr>
        <w:t>1.Health &amp; Safety Compliance / CDM Regulations</w:t>
      </w:r>
    </w:p>
    <w:p w14:paraId="6BD26C9A" w14:textId="77777777" w:rsidR="00663E34" w:rsidRDefault="00B3685A">
      <w:r>
        <w:t>The UK’s Construction (Design and Management) Regulations 2015 (CDM 2015) impose duties on clients, contractors, and designers to manage risks throughout construction, refurbishment, and maintenance projects (HSE, 2021).</w:t>
      </w:r>
    </w:p>
    <w:p w14:paraId="4CD32C62" w14:textId="0425106D" w:rsidR="00A35A55" w:rsidRPr="00A35A55" w:rsidRDefault="00A35A55" w:rsidP="00A35A55">
      <w:r>
        <w:t>2.Data Protection &amp; Contractual law</w:t>
      </w:r>
    </w:p>
    <w:p w14:paraId="644FDF0F" w14:textId="77777777" w:rsidR="00663E34" w:rsidRDefault="00B3685A">
      <w:r>
        <w:t xml:space="preserve">The UK GDPR and Data Protection Act 2018 </w:t>
      </w:r>
      <w:proofErr w:type="gramStart"/>
      <w:r>
        <w:t>regulate</w:t>
      </w:r>
      <w:proofErr w:type="gramEnd"/>
      <w:r>
        <w:t xml:space="preserve"> handling of employee and client personal data. Proper contracts, data security, and audit trails are required to avoid fines and litigation.</w:t>
      </w:r>
    </w:p>
    <w:p w14:paraId="521D9C99" w14:textId="38502DFC" w:rsidR="00A35A55" w:rsidRPr="00A35A55" w:rsidRDefault="00A35A55" w:rsidP="00A35A55">
      <w:pPr>
        <w:rPr>
          <w:b/>
          <w:bCs/>
          <w:sz w:val="28"/>
          <w:szCs w:val="28"/>
        </w:rPr>
      </w:pPr>
      <w:r w:rsidRPr="00A35A55">
        <w:rPr>
          <w:b/>
          <w:bCs/>
          <w:sz w:val="28"/>
          <w:szCs w:val="28"/>
        </w:rPr>
        <w:t>STRATEGIC IMPLICATIONS FOR CICL -UK</w:t>
      </w:r>
    </w:p>
    <w:p w14:paraId="7F78FCAA" w14:textId="3F4892B3" w:rsidR="00663E34" w:rsidRDefault="00B3685A" w:rsidP="00A35A55">
      <w:r>
        <w:lastRenderedPageBreak/>
        <w:t>CICL UK operates in a sector heavily shaped by regulation, sustainability imperatives, and rapid technological change. Success depends on agility: aligning with carbon reduction goals, adopting advanced digital systems, securing compliance in safety and data law, and managing exposure to macroeconomic cycles. The company should emphasise stable service contracts, invest in sustainable innovation, develop strong compliance frameworks, and position itself as a trusted, forward‑thinking integrated solutions provider</w:t>
      </w:r>
      <w:r w:rsidR="00A35A55">
        <w:t>.</w:t>
      </w:r>
    </w:p>
    <w:p w14:paraId="0CA8028D" w14:textId="77777777" w:rsidR="00A35A55" w:rsidRDefault="00A35A55" w:rsidP="00A35A55"/>
    <w:p w14:paraId="6C157C0B" w14:textId="391FEEDD" w:rsidR="00A35A55" w:rsidRPr="00A35A55" w:rsidRDefault="00A35A55" w:rsidP="00A35A55">
      <w:pPr>
        <w:rPr>
          <w:b/>
          <w:bCs/>
          <w:sz w:val="24"/>
          <w:szCs w:val="24"/>
        </w:rPr>
      </w:pPr>
      <w:r w:rsidRPr="00A35A55">
        <w:rPr>
          <w:b/>
          <w:bCs/>
          <w:sz w:val="24"/>
          <w:szCs w:val="24"/>
        </w:rPr>
        <w:t>References</w:t>
      </w:r>
    </w:p>
    <w:p w14:paraId="5F81F925" w14:textId="77777777" w:rsidR="00663E34" w:rsidRDefault="00B3685A">
      <w:r>
        <w:t>1. GOV.UK. (2021). Net Zero Strategy. Retrieved from https://www.gov.uk/government/publications/net-zero-strategy/1-why-net-zero</w:t>
      </w:r>
    </w:p>
    <w:p w14:paraId="183FF628" w14:textId="77777777" w:rsidR="00663E34" w:rsidRDefault="00B3685A">
      <w:r>
        <w:t>2. Health and Safety Executive (HSE). (2021). Construction (Design and Management) Regulations 2015. Retrieved from https://www.hse.gov.uk/construction/cdm/2015/index.htm</w:t>
      </w:r>
    </w:p>
    <w:p w14:paraId="68D31DB7" w14:textId="77777777" w:rsidR="00663E34" w:rsidRDefault="00B3685A">
      <w:r>
        <w:t>3. Information Commissioner’s Office (ICO). (2018). Guide to the UK GDPR. Retrieved from https://ico.org.uk/for-organisations/guide-to-data-protection/guide-to-the-general-data-protection-regulation-gdpr/</w:t>
      </w:r>
    </w:p>
    <w:sectPr w:rsidR="00663E3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915876">
    <w:abstractNumId w:val="8"/>
  </w:num>
  <w:num w:numId="2" w16cid:durableId="1683051080">
    <w:abstractNumId w:val="6"/>
  </w:num>
  <w:num w:numId="3" w16cid:durableId="1806196045">
    <w:abstractNumId w:val="5"/>
  </w:num>
  <w:num w:numId="4" w16cid:durableId="713314776">
    <w:abstractNumId w:val="4"/>
  </w:num>
  <w:num w:numId="5" w16cid:durableId="632753138">
    <w:abstractNumId w:val="7"/>
  </w:num>
  <w:num w:numId="6" w16cid:durableId="1156922308">
    <w:abstractNumId w:val="3"/>
  </w:num>
  <w:num w:numId="7" w16cid:durableId="1758554701">
    <w:abstractNumId w:val="2"/>
  </w:num>
  <w:num w:numId="8" w16cid:durableId="2024284143">
    <w:abstractNumId w:val="1"/>
  </w:num>
  <w:num w:numId="9" w16cid:durableId="775562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B6FD6"/>
    <w:rsid w:val="0015074B"/>
    <w:rsid w:val="0029639D"/>
    <w:rsid w:val="00326F90"/>
    <w:rsid w:val="0033387F"/>
    <w:rsid w:val="00663E34"/>
    <w:rsid w:val="00A35A55"/>
    <w:rsid w:val="00AA1D8D"/>
    <w:rsid w:val="00B3685A"/>
    <w:rsid w:val="00B47730"/>
    <w:rsid w:val="00CB0664"/>
    <w:rsid w:val="00F76CE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4F22DC"/>
  <w14:defaultImageDpi w14:val="300"/>
  <w15:docId w15:val="{786C3D96-2ACB-F14E-85EA-DCCA4760D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657</Words>
  <Characters>3750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Maria N</cp:lastModifiedBy>
  <cp:revision>2</cp:revision>
  <dcterms:created xsi:type="dcterms:W3CDTF">2025-11-02T07:49:00Z</dcterms:created>
  <dcterms:modified xsi:type="dcterms:W3CDTF">2025-11-02T07:49:00Z</dcterms:modified>
  <cp:category/>
</cp:coreProperties>
</file>