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none"/>
              <w:left w:val="none"/>
              <w:bottom w:val="none"/>
              <w:right w:val="none"/>
            </w:tcBorders>
            <w:shd w:fill="1B2A4A" w:val="clear"/>
            <w:tcMar>
              <w:top w:type="dxa" w:w="140"/>
              <w:left w:type="dxa" w:w="240"/>
              <w:bottom w:type="dxa" w:w="140"/>
              <w:right w:type="dxa" w:w="240"/>
            </w:tcMar>
          </w:tcPr>
          <w:p>
            <w:pPr>
              <w:spacing w:after="0" w:before="0"/>
            </w:pPr>
            <w:r>
              <w:rPr>
                <w:rFonts w:ascii="Cambria" w:cs="Cambria" w:eastAsia="Cambria" w:hAnsi="Cambria"/>
                <w:b/>
                <w:bCs/>
                <w:color w:val="FFFFFF"/>
                <w:sz w:val="28"/>
                <w:szCs w:val="28"/>
              </w:rPr>
              <w:t xml:space="preserve">LCDB7007  |  Theory and the Pilot Study  |  Activity 3 Handout</w:t>
            </w:r>
          </w:p>
        </w:tc>
      </w:tr>
    </w:tbl>
    <w:p>
      <w:pPr>
        <w:spacing w:after="120" w:before="0"/>
      </w:pPr>
      <w:r>
        <w:rPr>
          <w:rFonts w:ascii="Calibri" w:cs="Calibri" w:eastAsia="Calibri" w:hAnsi="Calibri"/>
          <w:color w:val="1A1A2E"/>
          <w:sz w:val="22"/>
          <w:szCs w:val="22"/>
        </w:rPr>
        <w:t xml:space="preserve"/>
      </w:r>
    </w:p>
    <w:p>
      <w:pPr>
        <w:pStyle w:val="Heading1"/>
        <w:spacing w:after="160" w:before="0"/>
      </w:pPr>
      <w:r>
        <w:rPr>
          <w:rFonts w:ascii="Cambria" w:cs="Cambria" w:eastAsia="Cambria" w:hAnsi="Cambria"/>
          <w:b/>
          <w:bCs/>
          <w:color w:val="1B2A4A"/>
          <w:sz w:val="34"/>
          <w:szCs w:val="34"/>
        </w:rPr>
        <w:t xml:space="preserve">Handout B: Pilot Study Theory Section — Critical Audit</w:t>
      </w:r>
    </w:p>
    <w:p>
      <w:pPr>
        <w:spacing w:after="120" w:before="60"/>
      </w:pPr>
      <w:r>
        <w:rPr>
          <w:rFonts w:ascii="Calibri" w:cs="Calibri" w:eastAsia="Calibri" w:hAnsi="Calibri"/>
          <w:color w:val="607085"/>
          <w:sz w:val="22"/>
          <w:szCs w:val="22"/>
        </w:rPr>
        <w:t xml:space="preserve">Read the following extract from a doctoral pilot study report. It is a realistic but fictional account, modelled on the kind of theoretical work produced at DBA Year 2. Apply the three audit questions and complete the assessment below.</w:t>
      </w:r>
    </w:p>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006D77" w:sz="2"/>
              <w:left w:val="single" w:color="006D77" w:sz="2"/>
              <w:bottom w:val="single" w:color="006D77" w:sz="2"/>
              <w:right w:val="single" w:color="006D77" w:sz="2"/>
            </w:tcBorders>
            <w:shd w:fill="EEF4F4" w:val="clear"/>
            <w:tcMar>
              <w:top w:type="dxa" w:w="160"/>
              <w:left w:type="dxa" w:w="240"/>
              <w:bottom w:type="dxa" w:w="160"/>
              <w:right w:type="dxa" w:w="240"/>
            </w:tcMar>
          </w:tcPr>
          <w:p>
            <w:pPr>
              <w:spacing w:after="80" w:before="0"/>
            </w:pPr>
            <w:r>
              <w:rPr>
                <w:rFonts w:ascii="Calibri" w:cs="Calibri" w:eastAsia="Calibri" w:hAnsi="Calibri"/>
                <w:b/>
                <w:bCs/>
                <w:color w:val="006D77"/>
                <w:sz w:val="22"/>
                <w:szCs w:val="22"/>
              </w:rPr>
              <w:t xml:space="preserve">Study title: </w:t>
            </w:r>
            <w:r>
              <w:rPr>
                <w:rFonts w:ascii="Calibri" w:cs="Calibri" w:eastAsia="Calibri" w:hAnsi="Calibri"/>
                <w:color w:val="1A1A2E"/>
                <w:sz w:val="22"/>
                <w:szCs w:val="22"/>
              </w:rPr>
              <w:t xml:space="preserve">Exploring the perceived employability of language practitioners in China in the era of artificial intelligence: a pilot study</w:t>
            </w:r>
          </w:p>
          <w:p>
            <w:pPr>
              <w:spacing w:after="60" w:before="0"/>
            </w:pPr>
            <w:r>
              <w:rPr>
                <w:rFonts w:ascii="Calibri" w:cs="Calibri" w:eastAsia="Calibri" w:hAnsi="Calibri"/>
                <w:b/>
                <w:bCs/>
                <w:color w:val="006D77"/>
                <w:sz w:val="22"/>
                <w:szCs w:val="22"/>
              </w:rPr>
              <w:t xml:space="preserve">Researcher: </w:t>
            </w:r>
            <w:r>
              <w:rPr>
                <w:rFonts w:ascii="Calibri" w:cs="Calibri" w:eastAsia="Calibri" w:hAnsi="Calibri"/>
                <w:color w:val="1A1A2E"/>
                <w:sz w:val="22"/>
                <w:szCs w:val="22"/>
              </w:rPr>
              <w:t xml:space="preserve">DBA Year 2 candidate. Former senior translator, 10 years’ experience in the language services industry.</w:t>
            </w:r>
          </w:p>
          <w:p>
            <w:pPr>
              <w:spacing w:after="60" w:before="0"/>
            </w:pPr>
            <w:r>
              <w:rPr>
                <w:rFonts w:ascii="Calibri" w:cs="Calibri" w:eastAsia="Calibri" w:hAnsi="Calibri"/>
                <w:b/>
                <w:bCs/>
                <w:color w:val="006D77"/>
                <w:sz w:val="22"/>
                <w:szCs w:val="22"/>
              </w:rPr>
              <w:t xml:space="preserve">Pilot sample: </w:t>
            </w:r>
            <w:r>
              <w:rPr>
                <w:rFonts w:ascii="Calibri" w:cs="Calibri" w:eastAsia="Calibri" w:hAnsi="Calibri"/>
                <w:color w:val="1A1A2E"/>
                <w:sz w:val="22"/>
                <w:szCs w:val="22"/>
              </w:rPr>
              <w:t xml:space="preserve">Four semi-structured interviews with Chinese language practitioners currently employed in translation and interpretation roles.</w:t>
            </w:r>
          </w:p>
          <w:p>
            <w:pPr>
              <w:spacing w:after="60" w:before="0"/>
            </w:pPr>
            <w:r>
              <w:rPr>
                <w:rFonts w:ascii="Calibri" w:cs="Calibri" w:eastAsia="Calibri" w:hAnsi="Calibri"/>
                <w:b/>
                <w:bCs/>
                <w:color w:val="006D77"/>
                <w:sz w:val="22"/>
                <w:szCs w:val="22"/>
              </w:rPr>
              <w:t xml:space="preserve">Core theoretical lens: </w:t>
            </w:r>
            <w:r>
              <w:rPr>
                <w:rFonts w:ascii="Calibri" w:cs="Calibri" w:eastAsia="Calibri" w:hAnsi="Calibri"/>
                <w:color w:val="1A1A2E"/>
                <w:sz w:val="22"/>
                <w:szCs w:val="22"/>
              </w:rPr>
              <w:t xml:space="preserve">Capital Theory (Bourdieu, 1986; Luthans, 2006), encompassing human, social, psychological and adaptability capital.</w:t>
            </w:r>
          </w:p>
        </w:tc>
      </w:tr>
    </w:tbl>
    <w:p>
      <w:pPr>
        <w:spacing w:after="120" w:before="0"/>
      </w:pPr>
      <w:r>
        <w:rPr>
          <w:rFonts w:ascii="Calibri" w:cs="Calibri" w:eastAsia="Calibri" w:hAnsi="Calibri"/>
          <w:color w:val="1A1A2E"/>
          <w:sz w:val="22"/>
          <w:szCs w:val="22"/>
        </w:rPr>
        <w:t xml:space="preserve"/>
      </w:r>
    </w:p>
    <w:p>
      <w:pPr>
        <w:pStyle w:val="Heading2"/>
        <w:spacing w:after="120" w:before="240"/>
      </w:pPr>
      <w:r>
        <w:rPr>
          <w:rFonts w:ascii="Cambria" w:cs="Cambria" w:eastAsia="Cambria" w:hAnsi="Cambria"/>
          <w:b/>
          <w:bCs/>
          <w:color w:val="006D77"/>
          <w:sz w:val="26"/>
          <w:szCs w:val="26"/>
        </w:rPr>
        <w:t xml:space="preserve">Extract: Theoretical Framework Section of Pilot Study Report</w:t>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E07B39" w:sz="2"/>
              <w:left w:val="single" w:color="E07B39" w:sz="2"/>
              <w:bottom w:val="single" w:color="E07B39" w:sz="2"/>
              <w:right w:val="single" w:color="E07B39" w:sz="2"/>
            </w:tcBorders>
            <w:shd w:fill="FFF9F0" w:val="clear"/>
            <w:tcMar>
              <w:top w:type="dxa" w:w="160"/>
              <w:left w:type="dxa" w:w="240"/>
              <w:bottom w:type="dxa" w:w="160"/>
              <w:right w:type="dxa" w:w="240"/>
            </w:tcMar>
          </w:tcPr>
          <w:p>
            <w:pPr>
              <w:spacing w:after="80" w:before="0"/>
            </w:pPr>
            <w:r>
              <w:rPr>
                <w:rFonts w:ascii="Calibri" w:cs="Calibri" w:eastAsia="Calibri" w:hAnsi="Calibri"/>
                <w:color w:val="1A1A2E"/>
                <w:sz w:val="22"/>
                <w:szCs w:val="22"/>
              </w:rPr>
              <w:t xml:space="preserve">This pilot study applies Capital Theory as its master framework, drawing on Bourdieu’s (1986) concepts of economic, cultural and social capital alongside Luthans’ (2006) psychological capital. The framework also incorporates Actor-Network Theory (Latour, 2005), Protean Career Theory (Hall, 1996), Adaptability Theory (Ployhart and Bliese, 2006) and the Capability Approach (Sen, 1999).</w:t>
            </w:r>
          </w:p>
          <w:p>
            <w:pPr>
              <w:spacing w:after="120" w:before="0"/>
            </w:pPr>
            <w:r>
              <w:rPr>
                <w:rFonts w:ascii="Calibri" w:cs="Calibri" w:eastAsia="Calibri" w:hAnsi="Calibri"/>
                <w:color w:val="1A1A2E"/>
                <w:sz w:val="22"/>
                <w:szCs w:val="22"/>
              </w:rPr>
              <w:t xml:space="preserve"/>
            </w:r>
          </w:p>
          <w:p>
            <w:pPr>
              <w:spacing w:after="80" w:before="0"/>
            </w:pPr>
            <w:r>
              <w:rPr>
                <w:rFonts w:ascii="Calibri" w:cs="Calibri" w:eastAsia="Calibri" w:hAnsi="Calibri"/>
                <w:color w:val="1A1A2E"/>
                <w:sz w:val="22"/>
                <w:szCs w:val="22"/>
              </w:rPr>
              <w:t xml:space="preserve">The pilot data clearly confirm the centrality of Capital Theory to the research. All four participants described experiences that map directly onto the four forms of capital identified in the framework. Human capital emerged as the dominant theme, with all four participants citing language skill development as their primary employability strategy. Social capital was evident in participants’ references to professional networks and Guanxi. Psychological capital was visible in descriptions of resilience and optimism in response to AI disruption.</w:t>
            </w:r>
          </w:p>
          <w:p>
            <w:pPr>
              <w:spacing w:after="120" w:before="0"/>
            </w:pPr>
            <w:r>
              <w:rPr>
                <w:rFonts w:ascii="Calibri" w:cs="Calibri" w:eastAsia="Calibri" w:hAnsi="Calibri"/>
                <w:color w:val="1A1A2E"/>
                <w:sz w:val="22"/>
                <w:szCs w:val="22"/>
              </w:rPr>
              <w:t xml:space="preserve"/>
            </w:r>
          </w:p>
          <w:p>
            <w:pPr>
              <w:spacing w:after="80" w:before="0"/>
            </w:pPr>
            <w:r>
              <w:rPr>
                <w:rFonts w:ascii="Calibri" w:cs="Calibri" w:eastAsia="Calibri" w:hAnsi="Calibri"/>
                <w:color w:val="1A1A2E"/>
                <w:sz w:val="22"/>
                <w:szCs w:val="22"/>
              </w:rPr>
              <w:t xml:space="preserve">Actor-Network Theory was less prominent in the pilot data. Only two participants explicitly discussed AI tools as agents that shape their work. The researcher has decided, on the basis of the pilot findings, that ANT should be removed from the framework, as it does not appear to be relevant to language practitioners’ experience of employability.</w:t>
            </w:r>
          </w:p>
          <w:p>
            <w:pPr>
              <w:spacing w:after="120" w:before="0"/>
            </w:pPr>
            <w:r>
              <w:rPr>
                <w:rFonts w:ascii="Calibri" w:cs="Calibri" w:eastAsia="Calibri" w:hAnsi="Calibri"/>
                <w:color w:val="1A1A2E"/>
                <w:sz w:val="22"/>
                <w:szCs w:val="22"/>
              </w:rPr>
              <w:t xml:space="preserve"/>
            </w:r>
          </w:p>
          <w:p>
            <w:pPr>
              <w:spacing w:after="80" w:before="0"/>
            </w:pPr>
            <w:r>
              <w:rPr>
                <w:rFonts w:ascii="Calibri" w:cs="Calibri" w:eastAsia="Calibri" w:hAnsi="Calibri"/>
                <w:color w:val="1A1A2E"/>
                <w:sz w:val="22"/>
                <w:szCs w:val="22"/>
              </w:rPr>
              <w:t xml:space="preserve">On the basis of the pilot study, the researcher has developed the following conceptual framework for the full study [diagram described: Capital Theory at the centre, with four forms of capital as nodes, connected to perceived employability as the outcome, mediated by AI disruption as a moderating variable]. This framework will guide data collection and analysis in the full study.</w:t>
            </w:r>
          </w:p>
          <w:p>
            <w:pPr>
              <w:spacing w:after="120" w:before="0"/>
            </w:pPr>
            <w:r>
              <w:rPr>
                <w:rFonts w:ascii="Calibri" w:cs="Calibri" w:eastAsia="Calibri" w:hAnsi="Calibri"/>
                <w:color w:val="1A1A2E"/>
                <w:sz w:val="22"/>
                <w:szCs w:val="22"/>
              </w:rPr>
              <w:t xml:space="preserve"/>
            </w:r>
          </w:p>
          <w:p>
            <w:pPr>
              <w:spacing w:after="80" w:before="0"/>
            </w:pPr>
            <w:r>
              <w:rPr>
                <w:rFonts w:ascii="Calibri" w:cs="Calibri" w:eastAsia="Calibri" w:hAnsi="Calibri"/>
                <w:color w:val="1A1A2E"/>
                <w:sz w:val="22"/>
                <w:szCs w:val="22"/>
              </w:rPr>
              <w:t xml:space="preserve">The pilot findings also suggest a preliminary conceptual model in which human capital and psychological capital are the primary predictors of perceived employability among Chinese language practitioners in the AI era, with social capital playing a secondary mediating role. Cultural capital appears to be less significant than the literature predicted.</w:t>
            </w:r>
          </w:p>
          <w:p>
            <w:pPr>
              <w:spacing w:after="120" w:before="0"/>
            </w:pPr>
            <w:r>
              <w:rPr>
                <w:rFonts w:ascii="Calibri" w:cs="Calibri" w:eastAsia="Calibri" w:hAnsi="Calibri"/>
                <w:color w:val="1A1A2E"/>
                <w:sz w:val="22"/>
                <w:szCs w:val="22"/>
              </w:rPr>
              <w:t xml:space="preserve"/>
            </w:r>
          </w:p>
          <w:p>
            <w:pPr>
              <w:spacing w:after="0" w:before="0"/>
            </w:pPr>
            <w:r>
              <w:rPr>
                <w:rFonts w:ascii="Calibri" w:cs="Calibri" w:eastAsia="Calibri" w:hAnsi="Calibri"/>
                <w:color w:val="1A1A2E"/>
                <w:sz w:val="22"/>
                <w:szCs w:val="22"/>
              </w:rPr>
              <w:t xml:space="preserve">The theoretical framework developed through the pilot study will form the basis of Chapter 2 of the thesis. The researcher is satisfied that the theoretical positioning is now complete and will not require further revision.</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E07B39" w:sz="2"/>
              <w:left w:val="single" w:color="E07B39" w:sz="2"/>
              <w:bottom w:val="single" w:color="E07B39" w:sz="2"/>
              <w:right w:val="single" w:color="E07B39" w:sz="2"/>
            </w:tcBorders>
            <w:shd w:fill="FFF9F0" w:val="clear"/>
            <w:tcMar>
              <w:top w:type="dxa" w:w="160"/>
              <w:left w:type="dxa" w:w="240"/>
              <w:bottom w:type="dxa" w:w="160"/>
              <w:right w:type="dxa" w:w="240"/>
            </w:tcMar>
          </w:tcPr>
          <w:p>
            <w:pPr>
              <w:spacing w:after="100" w:before="0"/>
            </w:pPr>
            <w:r>
              <w:rPr>
                <w:rFonts w:ascii="Cambria" w:cs="Cambria" w:eastAsia="Cambria" w:hAnsi="Cambria"/>
                <w:b/>
                <w:bCs/>
                <w:color w:val="E07B39"/>
                <w:sz w:val="24"/>
                <w:szCs w:val="24"/>
              </w:rPr>
              <w:t xml:space="preserve">Activity 3 – Your Audit Task  |  25 minutes</w:t>
            </w:r>
          </w:p>
          <w:p>
            <w:pPr>
              <w:spacing w:after="120" w:before="60"/>
            </w:pPr>
            <w:r>
              <w:rPr>
                <w:rFonts w:ascii="Calibri" w:cs="Calibri" w:eastAsia="Calibri" w:hAnsi="Calibri"/>
                <w:color w:val="1A1A2E"/>
                <w:sz w:val="22"/>
                <w:szCs w:val="22"/>
              </w:rPr>
              <w:t xml:space="preserve">Apply three audit questions to this extract:</w:t>
            </w:r>
          </w:p>
          <w:p>
            <w:pPr>
              <w:pStyle w:val="ListParagraph"/>
              <w:numPr>
                <w:ilvl w:val="0"/>
                <w:numId w:val="2"/>
              </w:numPr>
              <w:spacing w:after="100" w:before="60"/>
            </w:pPr>
            <w:r>
              <w:rPr>
                <w:rFonts w:ascii="Calibri" w:cs="Calibri" w:eastAsia="Calibri" w:hAnsi="Calibri"/>
                <w:color w:val="1A1A2E"/>
                <w:sz w:val="22"/>
                <w:szCs w:val="22"/>
              </w:rPr>
              <w:t xml:space="preserve">Is theory being used to frame the research, or to conclude it? Find specific sentences that cross this line.</w:t>
            </w:r>
          </w:p>
          <w:p>
            <w:pPr>
              <w:pStyle w:val="ListParagraph"/>
              <w:numPr>
                <w:ilvl w:val="0"/>
                <w:numId w:val="2"/>
              </w:numPr>
              <w:spacing w:after="100" w:before="60"/>
            </w:pPr>
            <w:r>
              <w:rPr>
                <w:rFonts w:ascii="Calibri" w:cs="Calibri" w:eastAsia="Calibri" w:hAnsi="Calibri"/>
                <w:color w:val="1A1A2E"/>
                <w:sz w:val="22"/>
                <w:szCs w:val="22"/>
              </w:rPr>
              <w:t xml:space="preserve">Does the researcher claim too much from four interviews? What specific claims are premature?</w:t>
            </w:r>
          </w:p>
          <w:p>
            <w:pPr>
              <w:pStyle w:val="ListParagraph"/>
              <w:numPr>
                <w:ilvl w:val="0"/>
                <w:numId w:val="2"/>
              </w:numPr>
              <w:spacing w:after="100" w:before="60"/>
            </w:pPr>
            <w:r>
              <w:rPr>
                <w:rFonts w:ascii="Calibri" w:cs="Calibri" w:eastAsia="Calibri" w:hAnsi="Calibri"/>
                <w:color w:val="1A1A2E"/>
                <w:sz w:val="22"/>
                <w:szCs w:val="22"/>
              </w:rPr>
              <w:t xml:space="preserve">Has the researcher produced a premature conceptual framework or conceptual model? What is wrong with doing so at this stage?</w:t>
            </w:r>
          </w:p>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color w:val="1A1A2E"/>
                <w:sz w:val="22"/>
                <w:szCs w:val="22"/>
              </w:rPr>
              <w:t xml:space="preserve">Then complete the RAG audit and written judgement below.</w:t>
            </w:r>
          </w:p>
        </w:tc>
      </w:tr>
    </w:tbl>
    <w:p>
      <w:pPr>
        <w:spacing w:after="120" w:before="0"/>
      </w:pPr>
      <w:r>
        <w:rPr>
          <w:rFonts w:ascii="Calibri" w:cs="Calibri" w:eastAsia="Calibri" w:hAnsi="Calibri"/>
          <w:color w:val="1A1A2E"/>
          <w:sz w:val="22"/>
          <w:szCs w:val="22"/>
        </w:rPr>
        <w:t xml:space="preserve"/>
      </w:r>
    </w:p>
    <w:p>
      <w:pPr>
        <w:pStyle w:val="Heading2"/>
        <w:spacing w:after="120" w:before="200"/>
      </w:pPr>
      <w:r>
        <w:rPr>
          <w:rFonts w:ascii="Cambria" w:cs="Cambria" w:eastAsia="Cambria" w:hAnsi="Cambria"/>
          <w:b/>
          <w:bCs/>
          <w:color w:val="006D77"/>
          <w:sz w:val="26"/>
          <w:szCs w:val="26"/>
        </w:rPr>
        <w:t xml:space="preserve">Your RAG Audit</w:t>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2200"/>
        <w:gridCol w:w="1400"/>
        <w:gridCol w:w="5426"/>
      </w:tblGrid>
      <w:tr>
        <w:tc>
          <w:tcPr>
            <w:tcW w:type="dxa" w:w="2200"/>
            <w:tcBorders>
              <w:top w:val="single" w:color="CCCCCC" w:sz="1"/>
              <w:left w:val="single" w:color="CCCCCC" w:sz="1"/>
              <w:bottom w:val="single" w:color="CCCCCC" w:sz="1"/>
              <w:right w:val="single" w:color="CCCCCC" w:sz="1"/>
            </w:tcBorders>
            <w:shd w:fill="1B2A4A"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Audit question</w:t>
            </w:r>
          </w:p>
        </w:tc>
        <w:tc>
          <w:tcPr>
            <w:tcW w:type="dxa" w:w="1400"/>
            <w:tcBorders>
              <w:top w:val="single" w:color="CCCCCC" w:sz="1"/>
              <w:left w:val="single" w:color="CCCCCC" w:sz="1"/>
              <w:bottom w:val="single" w:color="CCCCCC" w:sz="1"/>
              <w:right w:val="single" w:color="CCCCCC" w:sz="1"/>
            </w:tcBorders>
            <w:shd w:fill="1B2A4A"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RAG</w:t>
            </w:r>
          </w:p>
        </w:tc>
        <w:tc>
          <w:tcPr>
            <w:tcW w:type="dxa" w:w="5426"/>
            <w:tcBorders>
              <w:top w:val="single" w:color="CCCCCC" w:sz="1"/>
              <w:left w:val="single" w:color="CCCCCC" w:sz="1"/>
              <w:bottom w:val="single" w:color="CCCCCC" w:sz="1"/>
              <w:right w:val="single" w:color="CCCCCC" w:sz="1"/>
            </w:tcBorders>
            <w:shd w:fill="1B2A4A"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Evidence from the text</w:t>
            </w:r>
          </w:p>
        </w:tc>
      </w:tr>
      <w:tr>
        <w:tc>
          <w:tcPr>
            <w:tcW w:type="dxa" w:w="2200"/>
            <w:tcBorders>
              <w:top w:val="single" w:color="CCCCCC" w:sz="1"/>
              <w:left w:val="single" w:color="CCCCCC" w:sz="1"/>
              <w:bottom w:val="single" w:color="CCCCCC" w:sz="1"/>
              <w:right w:val="single" w:color="CCCCCC" w:sz="1"/>
            </w:tcBorders>
            <w:shd w:fill="EE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Framing vs concluding: is theory being used appropriately for pilot stage?</w:t>
            </w:r>
          </w:p>
        </w:tc>
        <w:tc>
          <w:tcPr>
            <w:tcW w:type="dxa" w:w="14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c>
          <w:tcPr>
            <w:tcW w:type="dxa" w:w="5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r>
        <w:tc>
          <w:tcPr>
            <w:tcW w:type="dxa" w:w="22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Scale of claims: are the claims proportionate to 4 interviews?</w:t>
            </w:r>
          </w:p>
        </w:tc>
        <w:tc>
          <w:tcPr>
            <w:tcW w:type="dxa" w:w="14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c>
          <w:tcPr>
            <w:tcW w:type="dxa" w:w="5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r>
        <w:tc>
          <w:tcPr>
            <w:tcW w:type="dxa" w:w="2200"/>
            <w:tcBorders>
              <w:top w:val="single" w:color="CCCCCC" w:sz="1"/>
              <w:left w:val="single" w:color="CCCCCC" w:sz="1"/>
              <w:bottom w:val="single" w:color="CCCCCC" w:sz="1"/>
              <w:right w:val="single" w:color="CCCCCC" w:sz="1"/>
            </w:tcBorders>
            <w:shd w:fill="EE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Conceptual framework: is it premature?</w:t>
            </w:r>
          </w:p>
        </w:tc>
        <w:tc>
          <w:tcPr>
            <w:tcW w:type="dxa" w:w="14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c>
          <w:tcPr>
            <w:tcW w:type="dxa" w:w="5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r>
        <w:tc>
          <w:tcPr>
            <w:tcW w:type="dxa" w:w="22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Conceptual model: is it premature?</w:t>
            </w:r>
          </w:p>
        </w:tc>
        <w:tc>
          <w:tcPr>
            <w:tcW w:type="dxa" w:w="14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c>
          <w:tcPr>
            <w:tcW w:type="dxa" w:w="5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bl>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b/>
          <w:bCs/>
          <w:color w:val="006D77"/>
          <w:sz w:val="22"/>
          <w:szCs w:val="22"/>
        </w:rPr>
        <w:t xml:space="preserve">Most important revision the researcher must make:</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b/>
          <w:bCs/>
          <w:color w:val="006D77"/>
          <w:sz w:val="22"/>
          <w:szCs w:val="22"/>
        </w:rPr>
        <w:t xml:space="preserve">Overall judgement — one paragraph:</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sectPr>
      <w:pgSz w:w="11906" w:h="16838" w:orient="portrait"/>
      <w:pgMar w:top="1134" w:right="1134" w:bottom="1134" w:left="1134"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720" w:hanging="360"/>
      </w:pPr>
    </w:lvl>
  </w:abstractNum>
  <w:abstractNum w:abstractNumId="3" w15:restartNumberingAfterBreak="0">
    <w:multiLevelType w:val="hybridMultilevel"/>
    <w:lvl w:ilvl="0" w15:tentative="1">
      <w:start w:val="1"/>
      <w:numFmt w:val="decimal"/>
      <w:lvlText w:val="%1."/>
      <w:lvlJc w:val="left"/>
      <w:pPr>
        <w:ind w:left="720" w:hanging="360"/>
      </w:pPr>
    </w:lvl>
  </w:abstractNum>
  <w:abstractNum w:abstractNumId="4" w15:restartNumberingAfterBreak="0">
    <w:multiLevelType w:val="hybridMultilevel"/>
    <w:lvl w:ilvl="0" w15:tentative="1">
      <w:start w:val="1"/>
      <w:numFmt w:val="bullet"/>
      <w:lvlText w:val="•"/>
      <w:lvlJc w:val="left"/>
      <w:pPr>
        <w:ind w:left="720" w:hanging="360"/>
      </w:pPr>
    </w:lvl>
  </w:abstractNum>
  <w:abstractNum w:abstractNumId="5" w15:restartNumberingAfterBreak="0">
    <w:multiLevelType w:val="hybridMultilevel"/>
    <w:lvl w:ilvl="0" w15:tentative="1">
      <w:start w:val="1"/>
      <w:numFmt w:val="decimal"/>
      <w:lvlText w:val="%1."/>
      <w:lvlJc w:val="left"/>
      <w:pPr>
        <w:ind w:left="720" w:hanging="360"/>
      </w:pPr>
    </w:lvl>
  </w:abstractNum>
  <w:num w:numId="1">
    <w:abstractNumId w:val="1"/>
    <w:lvlOverride w:ilvl="0">
      <w:startOverride w:val="1"/>
    </w:lvlOverride>
  </w:num>
  <w:num w:numId="2">
    <w:abstractNumId w:val="3"/>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cs="Calibri" w:eastAsia="Calibri" w:hAnsi="Calibri"/>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qFormat/>
    <w:pPr>
      <w:spacing w:after="160" w:before="360"/>
      <w:outlineLvl w:val="0"/>
    </w:pPr>
    <w:rPr>
      <w:rFonts w:ascii="Cambria" w:cs="Cambria" w:eastAsia="Cambria" w:hAnsi="Cambria"/>
      <w:b/>
      <w:bCs/>
      <w:color w:val="1B2A4A"/>
      <w:sz w:val="34"/>
      <w:szCs w:val="34"/>
    </w:rPr>
  </w:style>
  <w:style w:type="paragraph" w:styleId="Heading2">
    <w:name w:val="Heading 2"/>
    <w:basedOn w:val="Normal"/>
    <w:next w:val="Normal"/>
    <w:qFormat/>
    <w:pPr>
      <w:spacing w:after="120" w:before="240"/>
      <w:outlineLvl w:val="1"/>
    </w:pPr>
    <w:rPr>
      <w:rFonts w:ascii="Cambria" w:cs="Cambria" w:eastAsia="Cambria" w:hAnsi="Cambria"/>
      <w:b/>
      <w:bCs/>
      <w:color w:val="006D77"/>
      <w:sz w:val="26"/>
      <w:szCs w:val="26"/>
    </w:rPr>
  </w:style>
  <w:style w:type="paragraph" w:styleId="Heading3">
    <w:name w:val="Heading 3"/>
    <w:basedOn w:val="Normal"/>
    <w:next w:val="Normal"/>
    <w:qFormat/>
    <w:pPr>
      <w:spacing w:after="80" w:before="180"/>
      <w:outlineLvl w:val="2"/>
    </w:pPr>
    <w:rPr>
      <w:rFonts w:ascii="Calibri" w:cs="Calibri" w:eastAsia="Calibri" w:hAnsi="Calibri"/>
      <w:b/>
      <w:bCs/>
      <w:color w:val="1A1A2E"/>
      <w:sz w:val="22"/>
      <w:szCs w:val="22"/>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2026-03-18T17:53:54.274Z</dcterms:created>
  <dcterms:modified xsi:type="dcterms:W3CDTF">2026-03-18T17:53:54.274Z</dcterms:modified>
</cp:coreProperties>
</file>

<file path=docProps/custom.xml><?xml version="1.0" encoding="utf-8"?>
<Properties xmlns="http://schemas.openxmlformats.org/officeDocument/2006/custom-properties" xmlns:vt="http://schemas.openxmlformats.org/officeDocument/2006/docPropsVTypes"/>
</file>