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72A6659" w14:textId="77777777" w:rsidR="00B322E0" w:rsidRPr="003D0329" w:rsidRDefault="00B322E0" w:rsidP="009C2D59">
      <w:pPr>
        <w:rPr>
          <w:b/>
          <w:i/>
          <w:color w:val="auto"/>
          <w:sz w:val="88"/>
          <w:szCs w:val="88"/>
        </w:rPr>
      </w:pPr>
      <w:bookmarkStart w:id="0" w:name="__RefHeading___Toc82856599"/>
      <w:bookmarkEnd w:id="0"/>
    </w:p>
    <w:p w14:paraId="0A37501D" w14:textId="77777777" w:rsidR="00B322E0" w:rsidRPr="00752C57" w:rsidRDefault="00B322E0">
      <w:pPr>
        <w:jc w:val="center"/>
        <w:rPr>
          <w:b/>
          <w:i/>
          <w:color w:val="auto"/>
          <w:sz w:val="88"/>
          <w:szCs w:val="88"/>
        </w:rPr>
      </w:pPr>
    </w:p>
    <w:p w14:paraId="1F27556A" w14:textId="77777777" w:rsidR="008C5894" w:rsidRPr="00752C57" w:rsidRDefault="00404F5C" w:rsidP="00A87747">
      <w:pPr>
        <w:jc w:val="center"/>
        <w:rPr>
          <w:b/>
          <w:bCs/>
          <w:i/>
          <w:color w:val="auto"/>
          <w:sz w:val="72"/>
          <w:szCs w:val="72"/>
        </w:rPr>
      </w:pPr>
      <w:r w:rsidRPr="00404F5C">
        <w:rPr>
          <w:b/>
          <w:bCs/>
          <w:i/>
          <w:color w:val="auto"/>
          <w:sz w:val="72"/>
          <w:szCs w:val="72"/>
        </w:rPr>
        <w:t>BMHP5016 Principles of Health and Social Care Practice</w:t>
      </w:r>
    </w:p>
    <w:p w14:paraId="11F99054"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22E0FC93" w14:textId="77777777" w:rsidR="00793373" w:rsidRPr="00752C57" w:rsidRDefault="00793373">
      <w:pPr>
        <w:pStyle w:val="ContentsHeading"/>
        <w:pageBreakBefore/>
        <w:rPr>
          <w:color w:val="auto"/>
        </w:rPr>
      </w:pPr>
      <w:r w:rsidRPr="00752C57">
        <w:rPr>
          <w:color w:val="auto"/>
        </w:rPr>
        <w:t>Table of Contents</w:t>
      </w:r>
    </w:p>
    <w:p w14:paraId="5431BF9F" w14:textId="5FCC4103" w:rsidR="001F2BBC" w:rsidRDefault="00793373">
      <w:pPr>
        <w:pStyle w:val="Obsah1"/>
        <w:rPr>
          <w:rFonts w:asciiTheme="minorHAnsi" w:eastAsiaTheme="minorEastAsia" w:hAnsiTheme="minorHAnsi" w:cstheme="minorBidi"/>
          <w:noProof/>
          <w:color w:val="auto"/>
          <w:sz w:val="22"/>
          <w:lang w:val="en-IN" w:eastAsia="en-IN"/>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1F2BBC">
        <w:rPr>
          <w:noProof/>
        </w:rPr>
        <w:t>Task 1: Reflection on the Importance of Principles of Health and Social Care</w:t>
      </w:r>
      <w:r w:rsidR="001F2BBC">
        <w:rPr>
          <w:noProof/>
        </w:rPr>
        <w:tab/>
      </w:r>
      <w:r w:rsidR="001F2BBC">
        <w:rPr>
          <w:noProof/>
        </w:rPr>
        <w:fldChar w:fldCharType="begin"/>
      </w:r>
      <w:r w:rsidR="001F2BBC">
        <w:rPr>
          <w:noProof/>
        </w:rPr>
        <w:instrText xml:space="preserve"> PAGEREF _Toc219467513 \h </w:instrText>
      </w:r>
      <w:r w:rsidR="001F2BBC">
        <w:rPr>
          <w:noProof/>
        </w:rPr>
      </w:r>
      <w:r w:rsidR="001F2BBC">
        <w:rPr>
          <w:noProof/>
        </w:rPr>
        <w:fldChar w:fldCharType="separate"/>
      </w:r>
      <w:r w:rsidR="001F2BBC">
        <w:rPr>
          <w:noProof/>
        </w:rPr>
        <w:t>3</w:t>
      </w:r>
      <w:r w:rsidR="001F2BBC">
        <w:rPr>
          <w:noProof/>
        </w:rPr>
        <w:fldChar w:fldCharType="end"/>
      </w:r>
    </w:p>
    <w:p w14:paraId="13910FB4" w14:textId="0648B91B" w:rsidR="001F2BBC" w:rsidRDefault="001F2BBC">
      <w:pPr>
        <w:pStyle w:val="Obsah1"/>
        <w:rPr>
          <w:rFonts w:asciiTheme="minorHAnsi" w:eastAsiaTheme="minorEastAsia" w:hAnsiTheme="minorHAnsi" w:cstheme="minorBidi"/>
          <w:noProof/>
          <w:color w:val="auto"/>
          <w:sz w:val="22"/>
          <w:lang w:val="en-IN" w:eastAsia="en-IN"/>
        </w:rPr>
      </w:pPr>
      <w:r>
        <w:rPr>
          <w:noProof/>
        </w:rPr>
        <w:t>Task 2: Practical Examples of Concepts in Practice</w:t>
      </w:r>
      <w:r>
        <w:rPr>
          <w:noProof/>
        </w:rPr>
        <w:tab/>
      </w:r>
      <w:r>
        <w:rPr>
          <w:noProof/>
        </w:rPr>
        <w:fldChar w:fldCharType="begin"/>
      </w:r>
      <w:r>
        <w:rPr>
          <w:noProof/>
        </w:rPr>
        <w:instrText xml:space="preserve"> PAGEREF _Toc219467514 \h </w:instrText>
      </w:r>
      <w:r>
        <w:rPr>
          <w:noProof/>
        </w:rPr>
      </w:r>
      <w:r>
        <w:rPr>
          <w:noProof/>
        </w:rPr>
        <w:fldChar w:fldCharType="separate"/>
      </w:r>
      <w:r>
        <w:rPr>
          <w:noProof/>
        </w:rPr>
        <w:t>5</w:t>
      </w:r>
      <w:r>
        <w:rPr>
          <w:noProof/>
        </w:rPr>
        <w:fldChar w:fldCharType="end"/>
      </w:r>
    </w:p>
    <w:p w14:paraId="3F14372B" w14:textId="4D525FC1" w:rsidR="001F2BBC" w:rsidRDefault="001F2BBC">
      <w:pPr>
        <w:pStyle w:val="Obsah1"/>
        <w:rPr>
          <w:rFonts w:asciiTheme="minorHAnsi" w:eastAsiaTheme="minorEastAsia" w:hAnsiTheme="minorHAnsi" w:cstheme="minorBidi"/>
          <w:noProof/>
          <w:color w:val="auto"/>
          <w:sz w:val="22"/>
          <w:lang w:val="en-IN" w:eastAsia="en-IN"/>
        </w:rPr>
      </w:pPr>
      <w:r>
        <w:rPr>
          <w:noProof/>
        </w:rPr>
        <w:t>Task 3: Self-Reflection as a Health and Social Care Professional</w:t>
      </w:r>
      <w:r>
        <w:rPr>
          <w:noProof/>
        </w:rPr>
        <w:tab/>
      </w:r>
      <w:r>
        <w:rPr>
          <w:noProof/>
        </w:rPr>
        <w:fldChar w:fldCharType="begin"/>
      </w:r>
      <w:r>
        <w:rPr>
          <w:noProof/>
        </w:rPr>
        <w:instrText xml:space="preserve"> PAGEREF _Toc219467515 \h </w:instrText>
      </w:r>
      <w:r>
        <w:rPr>
          <w:noProof/>
        </w:rPr>
      </w:r>
      <w:r>
        <w:rPr>
          <w:noProof/>
        </w:rPr>
        <w:fldChar w:fldCharType="separate"/>
      </w:r>
      <w:r>
        <w:rPr>
          <w:noProof/>
        </w:rPr>
        <w:t>7</w:t>
      </w:r>
      <w:r>
        <w:rPr>
          <w:noProof/>
        </w:rPr>
        <w:fldChar w:fldCharType="end"/>
      </w:r>
    </w:p>
    <w:p w14:paraId="0595511B" w14:textId="50887E4D" w:rsidR="001F2BBC" w:rsidRDefault="001F2BBC">
      <w:pPr>
        <w:pStyle w:val="Obsah1"/>
        <w:rPr>
          <w:rFonts w:asciiTheme="minorHAnsi" w:eastAsiaTheme="minorEastAsia" w:hAnsiTheme="minorHAnsi" w:cstheme="minorBidi"/>
          <w:noProof/>
          <w:color w:val="auto"/>
          <w:sz w:val="22"/>
          <w:lang w:val="en-IN" w:eastAsia="en-IN"/>
        </w:rPr>
      </w:pPr>
      <w:r>
        <w:rPr>
          <w:noProof/>
        </w:rPr>
        <w:t>REFERENCES</w:t>
      </w:r>
      <w:r>
        <w:rPr>
          <w:noProof/>
        </w:rPr>
        <w:tab/>
      </w:r>
      <w:r>
        <w:rPr>
          <w:noProof/>
        </w:rPr>
        <w:fldChar w:fldCharType="begin"/>
      </w:r>
      <w:r>
        <w:rPr>
          <w:noProof/>
        </w:rPr>
        <w:instrText xml:space="preserve"> PAGEREF _Toc219467516 \h </w:instrText>
      </w:r>
      <w:r>
        <w:rPr>
          <w:noProof/>
        </w:rPr>
      </w:r>
      <w:r>
        <w:rPr>
          <w:noProof/>
        </w:rPr>
        <w:fldChar w:fldCharType="separate"/>
      </w:r>
      <w:r>
        <w:rPr>
          <w:noProof/>
        </w:rPr>
        <w:t>10</w:t>
      </w:r>
      <w:r>
        <w:rPr>
          <w:noProof/>
        </w:rPr>
        <w:fldChar w:fldCharType="end"/>
      </w:r>
    </w:p>
    <w:p w14:paraId="5DAB6C7B" w14:textId="2A59DAF5" w:rsidR="005901D0" w:rsidRPr="00752C57" w:rsidRDefault="00793373" w:rsidP="005901D0">
      <w:pPr>
        <w:pStyle w:val="Obsah1"/>
        <w:rPr>
          <w:rFonts w:cs="Times New Roman"/>
          <w:color w:val="auto"/>
          <w:szCs w:val="24"/>
        </w:rPr>
      </w:pPr>
      <w:r w:rsidRPr="00752C57">
        <w:rPr>
          <w:rFonts w:cs="Times New Roman"/>
          <w:color w:val="auto"/>
        </w:rPr>
        <w:fldChar w:fldCharType="end"/>
      </w:r>
    </w:p>
    <w:p w14:paraId="02EB378F" w14:textId="77777777" w:rsidR="00793373" w:rsidRPr="00752C57" w:rsidRDefault="00793373">
      <w:pPr>
        <w:rPr>
          <w:color w:val="auto"/>
          <w:szCs w:val="24"/>
        </w:rPr>
      </w:pPr>
    </w:p>
    <w:p w14:paraId="6A05A809" w14:textId="77777777" w:rsidR="00FA3835" w:rsidRPr="00752C57" w:rsidRDefault="00FA3835">
      <w:pPr>
        <w:rPr>
          <w:color w:val="auto"/>
          <w:szCs w:val="24"/>
        </w:rPr>
      </w:pPr>
    </w:p>
    <w:p w14:paraId="5A39BBE3" w14:textId="77777777" w:rsidR="00FA3835" w:rsidRPr="00752C57" w:rsidRDefault="00FA3835">
      <w:pPr>
        <w:rPr>
          <w:color w:val="auto"/>
          <w:szCs w:val="24"/>
        </w:rPr>
      </w:pPr>
    </w:p>
    <w:p w14:paraId="250B0155" w14:textId="6A0C9669" w:rsidR="0093725C" w:rsidRPr="00752C57" w:rsidRDefault="006407FE" w:rsidP="007E53D1">
      <w:pPr>
        <w:pStyle w:val="Nadpis1"/>
      </w:pPr>
      <w:r>
        <w:br w:type="page"/>
      </w:r>
      <w:bookmarkStart w:id="1" w:name="_Toc219467513"/>
      <w:r w:rsidR="00A74816">
        <w:t>Task 1:</w:t>
      </w:r>
      <w:r w:rsidR="007E53D1">
        <w:t xml:space="preserve"> </w:t>
      </w:r>
      <w:r w:rsidR="007E53D1" w:rsidRPr="007E53D1">
        <w:t>Reflection on the Importance of Principles of Health and Social Care</w:t>
      </w:r>
      <w:bookmarkEnd w:id="1"/>
    </w:p>
    <w:p w14:paraId="547E38A4" w14:textId="09ABA74F" w:rsidR="00DC1EDB" w:rsidRPr="00DC1EDB" w:rsidRDefault="00124BDF" w:rsidP="00DC1EDB">
      <w:pPr>
        <w:suppressAutoHyphens w:val="0"/>
        <w:rPr>
          <w:color w:val="FF0000"/>
        </w:rPr>
      </w:pPr>
      <w:r w:rsidRPr="00DC1EDB">
        <w:rPr>
          <w:color w:val="FF0000"/>
        </w:rPr>
        <w:t>The health and social care philosophy applied in the UK is person-centred care that emphasizes on the importance of individual involvement as far as the choice of care is concerned. According to the Care Act of 2014, there is a duty among the care providers to ensure the people are in their care planning and decision making process</w:t>
      </w:r>
      <w:r w:rsidR="008210CC">
        <w:rPr>
          <w:color w:val="FF0000"/>
        </w:rPr>
        <w:t xml:space="preserve"> </w:t>
      </w:r>
      <w:r w:rsidR="008210CC" w:rsidRPr="008210CC">
        <w:rPr>
          <w:color w:val="FF0000"/>
        </w:rPr>
        <w:t>(</w:t>
      </w:r>
      <w:proofErr w:type="spellStart"/>
      <w:r w:rsidR="008210CC" w:rsidRPr="008210CC">
        <w:rPr>
          <w:color w:val="FF0000"/>
        </w:rPr>
        <w:t>Marczak</w:t>
      </w:r>
      <w:proofErr w:type="spellEnd"/>
      <w:r w:rsidR="008210CC" w:rsidRPr="008210CC">
        <w:rPr>
          <w:color w:val="FF0000"/>
        </w:rPr>
        <w:t xml:space="preserve"> et al., 2021)</w:t>
      </w:r>
      <w:r w:rsidRPr="00DC1EDB">
        <w:rPr>
          <w:color w:val="FF0000"/>
        </w:rPr>
        <w:t>. Under this legislation, the patient should be given the freedom to make choices concerning the way he or she should be treated since his or her values, preferences and needs are not to be compromised. In addition, Health and Social Care Act of 2012 is a legislation that helps facilitate the involvement of the service users in the process of development of care services that they receive, a factor that facilitates the empowerment of the patients and autonomy</w:t>
      </w:r>
      <w:r w:rsidR="008210CC">
        <w:rPr>
          <w:color w:val="FF0000"/>
        </w:rPr>
        <w:t xml:space="preserve"> </w:t>
      </w:r>
      <w:r w:rsidR="008210CC" w:rsidRPr="008210CC">
        <w:rPr>
          <w:color w:val="FF0000"/>
        </w:rPr>
        <w:t>(</w:t>
      </w:r>
      <w:proofErr w:type="spellStart"/>
      <w:r w:rsidR="008210CC" w:rsidRPr="008210CC">
        <w:rPr>
          <w:color w:val="FF0000"/>
        </w:rPr>
        <w:t>Ocloo</w:t>
      </w:r>
      <w:proofErr w:type="spellEnd"/>
      <w:r w:rsidR="008210CC" w:rsidRPr="008210CC">
        <w:rPr>
          <w:color w:val="FF0000"/>
        </w:rPr>
        <w:t xml:space="preserve"> et al., 2021)</w:t>
      </w:r>
      <w:r w:rsidRPr="00DC1EDB">
        <w:rPr>
          <w:color w:val="FF0000"/>
        </w:rPr>
        <w:t xml:space="preserve">. These legislative structures have intentions of transforming the experience of the patient to be a better experience with the idea that no good care can be achieved when the patient does not take part actively in decision making concerning his health </w:t>
      </w:r>
      <w:r w:rsidR="00230DC6" w:rsidRPr="00DC1EDB">
        <w:rPr>
          <w:rFonts w:eastAsia="Times New Roman"/>
          <w:color w:val="FF0000"/>
          <w:lang w:val="en-IN" w:eastAsia="en-IN"/>
        </w:rPr>
        <w:t xml:space="preserve">(Wasim, </w:t>
      </w:r>
      <w:proofErr w:type="spellStart"/>
      <w:r w:rsidR="00230DC6" w:rsidRPr="00DC1EDB">
        <w:rPr>
          <w:rFonts w:eastAsia="Times New Roman"/>
          <w:color w:val="FF0000"/>
          <w:lang w:val="en-IN" w:eastAsia="en-IN"/>
        </w:rPr>
        <w:t>Sajan</w:t>
      </w:r>
      <w:proofErr w:type="spellEnd"/>
      <w:r w:rsidR="00230DC6" w:rsidRPr="00DC1EDB">
        <w:rPr>
          <w:rFonts w:eastAsia="Times New Roman"/>
          <w:color w:val="FF0000"/>
          <w:lang w:val="en-IN" w:eastAsia="en-IN"/>
        </w:rPr>
        <w:t xml:space="preserve"> and Majid, 2023)</w:t>
      </w:r>
      <w:r w:rsidR="00A74816" w:rsidRPr="00DC1EDB">
        <w:rPr>
          <w:color w:val="FF0000"/>
        </w:rPr>
        <w:t xml:space="preserve">. </w:t>
      </w:r>
    </w:p>
    <w:p w14:paraId="75B2E7F4" w14:textId="1ABFD46B" w:rsidR="00A74816" w:rsidRPr="00DC1EDB" w:rsidRDefault="00A74816" w:rsidP="00DC1EDB">
      <w:pPr>
        <w:suppressAutoHyphens w:val="0"/>
        <w:ind w:firstLine="432"/>
        <w:rPr>
          <w:rFonts w:eastAsia="Times New Roman"/>
          <w:color w:val="auto"/>
          <w:lang w:val="en-IN" w:eastAsia="en-IN"/>
        </w:rPr>
      </w:pPr>
      <w:r>
        <w:t>This theory has demonstrated that the necessity to make sure that emotional and psychological needs of patients in question are addressed is equal to the need that physical needs are addressed.</w:t>
      </w:r>
      <w:r w:rsidR="00DC1EDB">
        <w:t xml:space="preserve"> </w:t>
      </w:r>
      <w:r>
        <w:t>People can describe partnership working as the integration of various professionals and organizations to ensure comprehensive and quality care. In the UK, this is possible through Integrated Care Systems (ICS) wherein the health workers, social care, and other voluntary organizations will collaborate in an attempt to meet the multifaceted needs of patients</w:t>
      </w:r>
      <w:r w:rsidR="008210CC">
        <w:t xml:space="preserve"> </w:t>
      </w:r>
      <w:r w:rsidR="008210CC" w:rsidRPr="008210CC">
        <w:t xml:space="preserve">(Goodwin, Stein and </w:t>
      </w:r>
      <w:proofErr w:type="spellStart"/>
      <w:r w:rsidR="008210CC" w:rsidRPr="008210CC">
        <w:t>Amelung</w:t>
      </w:r>
      <w:proofErr w:type="spellEnd"/>
      <w:r w:rsidR="008210CC" w:rsidRPr="008210CC">
        <w:t>, 2025)</w:t>
      </w:r>
      <w:r>
        <w:t>. The cooperation makes the provision of care more coordinated and eliminate the possibility of having a disjointed service. Indicatively, during the long term administration of an illness like diabetes, the medical practitioners come together to come up with an all-hazard plan of care that improves medical and social needs. This would surely improve the quality of life of the patient and limit instances of hospital admissions, besides the patient experience</w:t>
      </w:r>
      <w:r w:rsidR="00230DC6">
        <w:t xml:space="preserve"> </w:t>
      </w:r>
      <w:r w:rsidR="00230DC6" w:rsidRPr="00230DC6">
        <w:rPr>
          <w:rFonts w:eastAsia="Times New Roman"/>
          <w:color w:val="auto"/>
          <w:szCs w:val="24"/>
          <w:lang w:val="en-IN" w:eastAsia="en-IN"/>
        </w:rPr>
        <w:t>(Giusti et al., 2020)</w:t>
      </w:r>
      <w:r>
        <w:t>.</w:t>
      </w:r>
    </w:p>
    <w:p w14:paraId="35B18335" w14:textId="77777777" w:rsidR="00124BDF" w:rsidRPr="00DC1EDB" w:rsidRDefault="00124BDF" w:rsidP="00124BDF">
      <w:pPr>
        <w:suppressAutoHyphens w:val="0"/>
        <w:ind w:firstLine="432"/>
        <w:rPr>
          <w:color w:val="FF0000"/>
        </w:rPr>
      </w:pPr>
      <w:r w:rsidRPr="00DC1EDB">
        <w:rPr>
          <w:color w:val="FF0000"/>
        </w:rPr>
        <w:t xml:space="preserve">The professional codes of ethics are useful in health care and social care delivery since they provide the professionals with codes that embrace the right and dignity of patients. The NHS Code of Ethics provides a guideline of ethical decisions making where emphasis lies on autonomy, beneficence, non-maleficence, and justice. It facilitates patient choice and well-being and equally balances the professional obligation of the care providers. One of them is autonomy and supports the right of a patient to make self-related decisions that suppose that a patient should be capable of understanding the consequences. In practice, though, dilemmas may present problems particularly with patients who are not able to make an informed decision as is the case with dementia patients or even with mental illness patients. Working in such circumstances, the autonomy is used with reference to the ethical principle of best interest because the professionals must emphasize the autonomy and protect the patient and his/her safety (Currier, 2019). These are values that are significant to maintaining ethical </w:t>
      </w:r>
      <w:proofErr w:type="spellStart"/>
      <w:r w:rsidRPr="00DC1EDB">
        <w:rPr>
          <w:color w:val="FF0000"/>
        </w:rPr>
        <w:t>behavior</w:t>
      </w:r>
      <w:proofErr w:type="spellEnd"/>
      <w:r w:rsidRPr="00DC1EDB">
        <w:rPr>
          <w:color w:val="FF0000"/>
        </w:rPr>
        <w:t xml:space="preserve"> in the health and social care practice.</w:t>
      </w:r>
    </w:p>
    <w:p w14:paraId="7A45DE6B" w14:textId="022FC874" w:rsidR="00A74816" w:rsidRPr="00230DC6" w:rsidRDefault="00A74816" w:rsidP="00124BDF">
      <w:pPr>
        <w:suppressAutoHyphens w:val="0"/>
        <w:ind w:firstLine="432"/>
        <w:rPr>
          <w:rFonts w:eastAsia="Times New Roman"/>
          <w:color w:val="auto"/>
          <w:szCs w:val="24"/>
          <w:lang w:val="en-IN" w:eastAsia="en-IN"/>
        </w:rPr>
      </w:pPr>
      <w:r>
        <w:t>One cannot overestimate these principles. The person-centred care is beneficial to the patient experience and patient outcomes since it treats people as individuals in their care. Partnership working is the concept that assists in offerin</w:t>
      </w:r>
      <w:r w:rsidR="008210CC">
        <w:t xml:space="preserve">g a holistic synchronised care </w:t>
      </w:r>
      <w:r w:rsidR="008210CC" w:rsidRPr="008210CC">
        <w:t>(Black, 2022)</w:t>
      </w:r>
      <w:r w:rsidR="008210CC">
        <w:t>.</w:t>
      </w:r>
    </w:p>
    <w:p w14:paraId="41C8F396" w14:textId="77777777" w:rsidR="00A74816" w:rsidRPr="00752C57" w:rsidRDefault="00A74816" w:rsidP="00C574D8"/>
    <w:p w14:paraId="3CE17467" w14:textId="77777777" w:rsidR="00DC1EDB" w:rsidRDefault="00DC1EDB">
      <w:pPr>
        <w:suppressAutoHyphens w:val="0"/>
        <w:spacing w:line="240" w:lineRule="auto"/>
        <w:jc w:val="left"/>
        <w:rPr>
          <w:rFonts w:eastAsia="Times New Roman"/>
          <w:b/>
          <w:bCs/>
          <w:sz w:val="28"/>
          <w:szCs w:val="28"/>
        </w:rPr>
      </w:pPr>
      <w:r>
        <w:br w:type="page"/>
      </w:r>
    </w:p>
    <w:p w14:paraId="324448B4" w14:textId="2D111C77" w:rsidR="00607926" w:rsidRDefault="00A74816" w:rsidP="007E53D1">
      <w:pPr>
        <w:pStyle w:val="Nadpis1"/>
      </w:pPr>
      <w:bookmarkStart w:id="2" w:name="_Toc219467514"/>
      <w:r>
        <w:t xml:space="preserve">Task 2: </w:t>
      </w:r>
      <w:r w:rsidR="007E53D1" w:rsidRPr="007E53D1">
        <w:t>Practical Examples of Concepts in Practice</w:t>
      </w:r>
      <w:bookmarkEnd w:id="2"/>
    </w:p>
    <w:p w14:paraId="62895B75" w14:textId="77777777" w:rsidR="00A74816" w:rsidRPr="00230DC6" w:rsidRDefault="00A74816" w:rsidP="00C574D8">
      <w:pPr>
        <w:suppressAutoHyphens w:val="0"/>
        <w:rPr>
          <w:rFonts w:eastAsia="Times New Roman"/>
          <w:color w:val="auto"/>
          <w:szCs w:val="24"/>
          <w:lang w:val="en-IN" w:eastAsia="en-IN"/>
        </w:rPr>
      </w:pPr>
      <w:r>
        <w:t>A good illustration of how the concept of person-centred care, partnership working and ethics could be applied in the case of the UK would be the Dementia Friendly Communities initiative. This program tries to enrich the life of the dementia individuals through an inclusive life by respecting their needs and preferences of the individuals living with dementia. It is an excellent illustration of how these main principles can be used in practice</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Alderwick</w:t>
      </w:r>
      <w:proofErr w:type="spellEnd"/>
      <w:r w:rsidR="00230DC6" w:rsidRPr="00230DC6">
        <w:rPr>
          <w:rFonts w:eastAsia="Times New Roman"/>
          <w:color w:val="auto"/>
          <w:szCs w:val="24"/>
          <w:lang w:val="en-IN" w:eastAsia="en-IN"/>
        </w:rPr>
        <w:t xml:space="preserve"> et al., 2021)</w:t>
      </w:r>
      <w:r>
        <w:t>.</w:t>
      </w:r>
    </w:p>
    <w:p w14:paraId="531660EC" w14:textId="77777777" w:rsidR="007E53D1" w:rsidRPr="007E53D1" w:rsidRDefault="007E53D1" w:rsidP="007E53D1">
      <w:pPr>
        <w:suppressAutoHyphens w:val="0"/>
        <w:ind w:firstLine="432"/>
        <w:rPr>
          <w:color w:val="FF0000"/>
        </w:rPr>
      </w:pPr>
      <w:r w:rsidRPr="007E53D1">
        <w:rPr>
          <w:color w:val="FF0000"/>
        </w:rPr>
        <w:t xml:space="preserve">Even though the concept of person-centred care can be typically regarded as the most effective in the health care area, it can be extremely problematic in the case of dementia patients. Subsequently patients with dementia particularly those with a well advanced dementia will be incapable of articulating their choices as they may have been degraded in terms of cognitive ability. This raises a dilemma on the implementation of person centred care since the key idea of involving the patients in their decision making process becomes hard. Research has found out that the person-centred care model is effective with patients who possess adequate communication skills but necessitates changes in case of cognitive impairment. Conveniently, an article by </w:t>
      </w:r>
      <w:r w:rsidRPr="008210CC">
        <w:rPr>
          <w:color w:val="000000" w:themeColor="text1"/>
        </w:rPr>
        <w:t>Giusti et al. (2020)</w:t>
      </w:r>
      <w:r w:rsidRPr="007E53D1">
        <w:rPr>
          <w:color w:val="FF0000"/>
        </w:rPr>
        <w:t xml:space="preserve"> notes that where the patients with dementia may be unable to convey their personal requests, the health practitioners must find other channels of communication, such as the family members or assistive technology. These adaptations are necessary to ensure a patient dignity and autonomy that are the main pillars of person-centred care.</w:t>
      </w:r>
    </w:p>
    <w:p w14:paraId="746D8535" w14:textId="20ED850F" w:rsidR="00A74816" w:rsidRPr="00230DC6" w:rsidRDefault="00A74816" w:rsidP="007E53D1">
      <w:pPr>
        <w:suppressAutoHyphens w:val="0"/>
        <w:ind w:firstLine="432"/>
        <w:rPr>
          <w:rFonts w:eastAsia="Times New Roman"/>
          <w:color w:val="auto"/>
          <w:szCs w:val="24"/>
          <w:lang w:val="en-IN" w:eastAsia="en-IN"/>
        </w:rPr>
      </w:pPr>
      <w:r>
        <w:t>The collaborative practice is highly significant in dementia. Dementia Friendly Communities program is an initiative which entails healthcare practitioners, social workers, companies among other individuals in a community in establishing a web of support to the people living with dementia. As an indicator, the healthcare practitioners collaborate with the local businesses to create dementia-friendly environments of the shops, restaurants, and other social venues. Besides, healthcare teams work together with the families to design the care plans that consider the medical needs and also the social interaction in order to make the care holistic and ensuring that the care is inclusive</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Mahony</w:t>
      </w:r>
      <w:proofErr w:type="spellEnd"/>
      <w:r w:rsidR="00230DC6" w:rsidRPr="00230DC6">
        <w:rPr>
          <w:rFonts w:eastAsia="Times New Roman"/>
          <w:color w:val="auto"/>
          <w:szCs w:val="24"/>
          <w:lang w:val="en-IN" w:eastAsia="en-IN"/>
        </w:rPr>
        <w:t>, 2015)</w:t>
      </w:r>
      <w:r>
        <w:t>.</w:t>
      </w:r>
    </w:p>
    <w:p w14:paraId="55F0A9B1" w14:textId="77777777" w:rsidR="00A74816" w:rsidRDefault="00A74816" w:rsidP="00C574D8">
      <w:pPr>
        <w:ind w:firstLine="432"/>
      </w:pPr>
      <w:r>
        <w:t>Another prominent area is the ethics, which is taken into consideration when it comes to dementia. This is one of the greatest ethical considerations; one must have autonomy and provide the required assistance. When making choices and where the healthcare workers are forced to make choices on behalf of the dementia patients, the ethical dilemma occurs, as a rule. In this scenario, the principle of best interest is applied and an individual should not be victimized on the basis of his dignity and wishes. Additionally, the issue of informed consent is also adequately managed and in case, families and care-givers are involved in the decision making process.</w:t>
      </w:r>
    </w:p>
    <w:p w14:paraId="597965EA" w14:textId="77777777" w:rsidR="00F17CBC" w:rsidRDefault="00A74816" w:rsidP="00C574D8">
      <w:pPr>
        <w:ind w:firstLine="432"/>
      </w:pPr>
      <w:r>
        <w:t>This case demonstrates that the person-centred care could be used to make the life of the dementia sufferers more fulfilling by providing them with personalised care. It also depicts effectiveness of partnering in work in the element of ensuring a multifaceted and involved approach of care. Lastly, it has ethical principles of autonomy and best interests that ensures that the rights of the people are respected in their course of care.</w:t>
      </w:r>
    </w:p>
    <w:p w14:paraId="72A3D3EC" w14:textId="77777777" w:rsidR="00A74816" w:rsidRPr="00752C57" w:rsidRDefault="00A74816" w:rsidP="00C574D8"/>
    <w:p w14:paraId="0926FE0A" w14:textId="77777777" w:rsidR="00DC1EDB" w:rsidRDefault="00DC1EDB">
      <w:pPr>
        <w:suppressAutoHyphens w:val="0"/>
        <w:spacing w:line="240" w:lineRule="auto"/>
        <w:jc w:val="left"/>
        <w:rPr>
          <w:rFonts w:eastAsia="Times New Roman"/>
          <w:b/>
          <w:bCs/>
          <w:sz w:val="28"/>
          <w:szCs w:val="28"/>
        </w:rPr>
      </w:pPr>
      <w:r>
        <w:br w:type="page"/>
      </w:r>
    </w:p>
    <w:p w14:paraId="34D5A566" w14:textId="6808DF25" w:rsidR="00607926" w:rsidRDefault="00A74816" w:rsidP="007E53D1">
      <w:pPr>
        <w:pStyle w:val="Nadpis1"/>
      </w:pPr>
      <w:bookmarkStart w:id="3" w:name="_Toc219467515"/>
      <w:r>
        <w:t>Task 3:</w:t>
      </w:r>
      <w:r w:rsidR="007E53D1">
        <w:t xml:space="preserve"> </w:t>
      </w:r>
      <w:r w:rsidR="007E53D1" w:rsidRPr="007E53D1">
        <w:t>Self-Reflection as a Health and Social Care Professional</w:t>
      </w:r>
      <w:bookmarkEnd w:id="3"/>
    </w:p>
    <w:p w14:paraId="66B84405" w14:textId="77777777" w:rsidR="00A74816" w:rsidRDefault="00A74816" w:rsidP="00C574D8">
      <w:r>
        <w:t>Theorizing about the core principles of person-centred care, the partnership working and ethics, I can note that they can greatly affect my future occupation and personal development in health and social care. To a larger degree, these principles are guidelines that will govern all of my interactions with the patient and my colleagues as well as how I approach patient care, teamwork, and my decision-making on the biased ethical situations, even further in my career.</w:t>
      </w:r>
    </w:p>
    <w:p w14:paraId="0D0B940D" w14:textId="77777777" w:rsidR="00A74816" w:rsidRDefault="00A74816" w:rsidP="00C574D8"/>
    <w:p w14:paraId="260A0864" w14:textId="77777777" w:rsidR="00A74816" w:rsidRPr="00A74816" w:rsidRDefault="00A74816" w:rsidP="00C574D8">
      <w:pPr>
        <w:rPr>
          <w:b/>
        </w:rPr>
      </w:pPr>
      <w:r w:rsidRPr="00A74816">
        <w:rPr>
          <w:b/>
        </w:rPr>
        <w:t>Person-Centred Care</w:t>
      </w:r>
    </w:p>
    <w:p w14:paraId="705981BF" w14:textId="3272B842" w:rsidR="00A74816" w:rsidRPr="00230DC6" w:rsidRDefault="007E53D1" w:rsidP="00C574D8">
      <w:pPr>
        <w:suppressAutoHyphens w:val="0"/>
        <w:rPr>
          <w:rFonts w:eastAsia="Times New Roman"/>
          <w:color w:val="auto"/>
          <w:szCs w:val="24"/>
          <w:lang w:val="en-IN" w:eastAsia="en-IN"/>
        </w:rPr>
      </w:pPr>
      <w:r w:rsidRPr="007E53D1">
        <w:rPr>
          <w:color w:val="FF0000"/>
        </w:rPr>
        <w:t>Based on the problems that person-centred care has in situations involving the dementia care, I understand that I would need to alter my practice in such instances</w:t>
      </w:r>
      <w:r w:rsidR="008210CC">
        <w:rPr>
          <w:color w:val="FF0000"/>
        </w:rPr>
        <w:t xml:space="preserve"> </w:t>
      </w:r>
      <w:r w:rsidR="008210CC" w:rsidRPr="008210CC">
        <w:rPr>
          <w:color w:val="FF0000"/>
        </w:rPr>
        <w:t>(</w:t>
      </w:r>
      <w:proofErr w:type="spellStart"/>
      <w:r w:rsidR="008210CC" w:rsidRPr="008210CC">
        <w:rPr>
          <w:color w:val="FF0000"/>
        </w:rPr>
        <w:t>Cheon</w:t>
      </w:r>
      <w:proofErr w:type="spellEnd"/>
      <w:r w:rsidR="008210CC" w:rsidRPr="008210CC">
        <w:rPr>
          <w:color w:val="FF0000"/>
        </w:rPr>
        <w:t xml:space="preserve"> et al., 2021)</w:t>
      </w:r>
      <w:r w:rsidRPr="007E53D1">
        <w:rPr>
          <w:color w:val="FF0000"/>
        </w:rPr>
        <w:t>. The following time, I will also pay attention to new approaches to communication due to the fact that the current gap between the patient demands and the opportunity to express them may be lowered. Overall, I will also complete training on the use of assistive technologies, which will be employed to enable communication with the people with dementia</w:t>
      </w:r>
      <w:r w:rsidR="008210CC">
        <w:rPr>
          <w:color w:val="FF0000"/>
        </w:rPr>
        <w:t xml:space="preserve"> </w:t>
      </w:r>
      <w:r w:rsidR="008210CC" w:rsidRPr="008210CC">
        <w:rPr>
          <w:color w:val="FF0000"/>
        </w:rPr>
        <w:t>(Kong, Kim and Kim, 2021)</w:t>
      </w:r>
      <w:r w:rsidRPr="007E53D1">
        <w:rPr>
          <w:color w:val="FF0000"/>
        </w:rPr>
        <w:t xml:space="preserve">. I will also work with the families and the caregivers to ensure that the will and preferences of the patient will be considered even in the cases when the latter will not be capable of being actively involved into the decision-making process. This valuable learning of the person-centred care inadequacy will enable me to provide a more comprehensive and holistic care to the intellectually ill patients. </w:t>
      </w:r>
      <w:r w:rsidR="00A74816">
        <w:t>As an example, in attending to patients in helping them make a decision regarding their treatment choices, I would also strive to ensure that they are adequately informed about their choices and the potential consequences of all the other choices so that they make informed choices</w:t>
      </w:r>
      <w:r w:rsidR="00230DC6">
        <w:t xml:space="preserve"> </w:t>
      </w:r>
      <w:r w:rsidR="00230DC6" w:rsidRPr="00230DC6">
        <w:rPr>
          <w:rFonts w:eastAsia="Times New Roman"/>
          <w:color w:val="auto"/>
          <w:szCs w:val="24"/>
          <w:lang w:val="en-IN" w:eastAsia="en-IN"/>
        </w:rPr>
        <w:t>(Moore et al., 2023)</w:t>
      </w:r>
      <w:r w:rsidR="00A74816">
        <w:t>.</w:t>
      </w:r>
    </w:p>
    <w:p w14:paraId="55E34A47" w14:textId="3321AD39" w:rsidR="00A74816" w:rsidRDefault="00A74816" w:rsidP="007E53D1">
      <w:pPr>
        <w:ind w:firstLine="720"/>
      </w:pPr>
      <w:r>
        <w:t>It is one of the key points of person-centred care because the patient is supposed to be the most skilled expert in his or her life. This is accompanied by the Care Act 2014 which suggests that the patients be made at the core in their planning of care</w:t>
      </w:r>
      <w:r w:rsidR="008210CC">
        <w:t xml:space="preserve"> </w:t>
      </w:r>
      <w:r w:rsidR="008210CC" w:rsidRPr="008210CC">
        <w:t>(</w:t>
      </w:r>
      <w:proofErr w:type="spellStart"/>
      <w:r w:rsidR="008210CC" w:rsidRPr="008210CC">
        <w:t>Marczak</w:t>
      </w:r>
      <w:proofErr w:type="spellEnd"/>
      <w:r w:rsidR="008210CC" w:rsidRPr="008210CC">
        <w:t xml:space="preserve"> et al., 2021)</w:t>
      </w:r>
      <w:r>
        <w:t>. However, the application of this principle has at one point been challenging in the face of a consistent application since excellently in instances where the patients are cognitively challenged or in cases where their language is not clearly understood. I have handled cases where the patients especially the patients with dementia or difficulty in communication find it hard to give out their wishes. My future practice improvement targets will be to undergo certain communication training (e.g. Mak</w:t>
      </w:r>
      <w:r w:rsidR="008210CC">
        <w:t>a</w:t>
      </w:r>
      <w:r>
        <w:t>ton (a form of the sign language) or focus on the other means of augmentative communication (AAC) equipment, which may assist in the better communication with the patient that has a barrier</w:t>
      </w:r>
      <w:r w:rsidR="008210CC">
        <w:t xml:space="preserve"> </w:t>
      </w:r>
      <w:r w:rsidR="008210CC" w:rsidRPr="008210CC">
        <w:t>(Haywood, 2024)</w:t>
      </w:r>
      <w:r>
        <w:t xml:space="preserve">. I will also consult literature about the use of assistive technology in the care setting to empower more patients with communication problems. </w:t>
      </w:r>
    </w:p>
    <w:p w14:paraId="0E27B00A" w14:textId="77777777" w:rsidR="00A74816" w:rsidRDefault="00A74816" w:rsidP="00C574D8"/>
    <w:p w14:paraId="2D1176DE" w14:textId="77777777" w:rsidR="00A74816" w:rsidRPr="00A74816" w:rsidRDefault="00A74816" w:rsidP="00C574D8">
      <w:pPr>
        <w:rPr>
          <w:b/>
        </w:rPr>
      </w:pPr>
      <w:r w:rsidRPr="00A74816">
        <w:rPr>
          <w:b/>
        </w:rPr>
        <w:t>Partnership Working</w:t>
      </w:r>
    </w:p>
    <w:p w14:paraId="78F8B605" w14:textId="77777777" w:rsidR="00A74816" w:rsidRPr="00230DC6" w:rsidRDefault="00A74816" w:rsidP="00C574D8">
      <w:pPr>
        <w:suppressAutoHyphens w:val="0"/>
        <w:rPr>
          <w:rFonts w:eastAsia="Times New Roman"/>
          <w:color w:val="auto"/>
          <w:szCs w:val="24"/>
          <w:lang w:val="en-IN" w:eastAsia="en-IN"/>
        </w:rPr>
      </w:pPr>
      <w:r>
        <w:t>Effective partnering is another ethical standard that will have an impact on my practice. I also have understood that I should collaborate with other colleagues in the discipline in providing holistic care because healthcare is multi-disciplinary. As it is a part of my work, I do talk to nurses, physiotherapists, social workers or occupational therapists when developing holistic plans of care as it relates to patients. This type of collaboration ensures that all of the spheres of health of the patient, namely, physical, emotional, social, and psychological health are taken into account</w:t>
      </w:r>
      <w:r w:rsidR="00230DC6">
        <w:t xml:space="preserve"> </w:t>
      </w:r>
      <w:r w:rsidR="00230DC6" w:rsidRPr="00230DC6">
        <w:rPr>
          <w:rFonts w:eastAsia="Times New Roman"/>
          <w:color w:val="auto"/>
          <w:szCs w:val="24"/>
          <w:lang w:val="en-IN" w:eastAsia="en-IN"/>
        </w:rPr>
        <w:t>(Bouchez et al., 2023)</w:t>
      </w:r>
      <w:r>
        <w:t>.</w:t>
      </w:r>
    </w:p>
    <w:p w14:paraId="6CEBA77E" w14:textId="1F8A50BA" w:rsidR="00A74816" w:rsidRDefault="00A74816" w:rsidP="00C574D8">
      <w:pPr>
        <w:ind w:firstLine="720"/>
      </w:pPr>
      <w:r>
        <w:t>A case in point is where I collaborate with respiratory therapists, social workers, and nurses to come up with a combined care plan in case of patients that require long-term care e.g., chronic obstructive pulmonary disease (COPD)</w:t>
      </w:r>
      <w:r w:rsidR="008210CC">
        <w:t xml:space="preserve"> </w:t>
      </w:r>
      <w:r w:rsidR="008210CC" w:rsidRPr="008210CC">
        <w:t>(</w:t>
      </w:r>
      <w:proofErr w:type="spellStart"/>
      <w:r w:rsidR="008210CC" w:rsidRPr="008210CC">
        <w:t>Ruvuna</w:t>
      </w:r>
      <w:proofErr w:type="spellEnd"/>
      <w:r w:rsidR="008210CC" w:rsidRPr="008210CC">
        <w:t xml:space="preserve"> and </w:t>
      </w:r>
      <w:proofErr w:type="spellStart"/>
      <w:r w:rsidR="008210CC" w:rsidRPr="008210CC">
        <w:t>Sood</w:t>
      </w:r>
      <w:proofErr w:type="spellEnd"/>
      <w:r w:rsidR="008210CC" w:rsidRPr="008210CC">
        <w:t>, 2020)</w:t>
      </w:r>
      <w:r>
        <w:t xml:space="preserve">. The plan has incorporated medical treatment, lifestyle interventions, and social support as the intended approach which offers an all- rounded approach to the management of the condition. </w:t>
      </w:r>
    </w:p>
    <w:p w14:paraId="0BC3F144" w14:textId="6E3F19B7" w:rsidR="00A74816" w:rsidRDefault="00A74816" w:rsidP="00C574D8">
      <w:pPr>
        <w:ind w:firstLine="720"/>
      </w:pPr>
      <w:r>
        <w:t xml:space="preserve">Despite the perceived benefits of partnership working, there are few times that I have experienced the challenges in collaborating between various professionals on care. The presence of inequalities in the professional attitudes or priorities may lead to disagreement or time-wasting of the decision-making, and the latter, in its turn, may damage the patient experience. I have also found out that such conflicts would be hard to control without proper understanding the role and worldview of every professional involved. To improve my abilities in dealing with such cases, I will attend conflict solving seminars and consult the senior employees who are very familiar with multi-disciplinary teams. </w:t>
      </w:r>
    </w:p>
    <w:p w14:paraId="60061E4C" w14:textId="77777777" w:rsidR="00A74816" w:rsidRDefault="00A74816" w:rsidP="00C574D8"/>
    <w:p w14:paraId="70DD21E4" w14:textId="77777777" w:rsidR="00A74816" w:rsidRPr="00A74816" w:rsidRDefault="00A74816" w:rsidP="00C574D8">
      <w:pPr>
        <w:rPr>
          <w:b/>
        </w:rPr>
      </w:pPr>
      <w:r w:rsidRPr="00A74816">
        <w:rPr>
          <w:b/>
        </w:rPr>
        <w:t>Ethical Decision-Making</w:t>
      </w:r>
    </w:p>
    <w:p w14:paraId="3D7ED8B4" w14:textId="1CBF2CC1" w:rsidR="00A74816" w:rsidRPr="00230DC6" w:rsidRDefault="00A74816" w:rsidP="00C574D8">
      <w:pPr>
        <w:suppressAutoHyphens w:val="0"/>
        <w:rPr>
          <w:rFonts w:eastAsia="Times New Roman"/>
          <w:color w:val="auto"/>
          <w:szCs w:val="24"/>
          <w:lang w:val="en-IN" w:eastAsia="en-IN"/>
        </w:rPr>
      </w:pPr>
      <w:r>
        <w:t xml:space="preserve">I also have a </w:t>
      </w:r>
      <w:r w:rsidR="008210CC">
        <w:t>long-time</w:t>
      </w:r>
      <w:r>
        <w:t xml:space="preserve"> tendency to make ethical decisions particularly during the process involving vulnerable groups such as old patients or even individuals with cognitive disorders</w:t>
      </w:r>
      <w:r w:rsidR="008210CC">
        <w:t xml:space="preserve"> </w:t>
      </w:r>
      <w:r w:rsidR="008210CC" w:rsidRPr="008210CC">
        <w:t>(</w:t>
      </w:r>
      <w:proofErr w:type="spellStart"/>
      <w:r w:rsidR="008210CC" w:rsidRPr="008210CC">
        <w:t>Damasceno</w:t>
      </w:r>
      <w:proofErr w:type="spellEnd"/>
      <w:r w:rsidR="008210CC" w:rsidRPr="008210CC">
        <w:t>, 2020)</w:t>
      </w:r>
      <w:r>
        <w:t>. Respect of autonomy of the patient is one of the main values that directly guide my practice, which means the respect and the support of the right of the people to make their own decision related to their treatment unless they are not able to make decisions. However, I have also had to face that there are other situations when autonomy of the patients may not be in their best interests especially in situations where individuals are not in a position to make good decisions due to the failure of their cognition or mental illness</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Tietzova</w:t>
      </w:r>
      <w:proofErr w:type="spellEnd"/>
      <w:r w:rsidR="00230DC6" w:rsidRPr="00230DC6">
        <w:rPr>
          <w:rFonts w:eastAsia="Times New Roman"/>
          <w:color w:val="auto"/>
          <w:szCs w:val="24"/>
          <w:lang w:val="en-IN" w:eastAsia="en-IN"/>
        </w:rPr>
        <w:t xml:space="preserve">, </w:t>
      </w:r>
      <w:proofErr w:type="spellStart"/>
      <w:r w:rsidR="00230DC6" w:rsidRPr="00230DC6">
        <w:rPr>
          <w:rFonts w:eastAsia="Times New Roman"/>
          <w:color w:val="auto"/>
          <w:szCs w:val="24"/>
          <w:lang w:val="en-IN" w:eastAsia="en-IN"/>
        </w:rPr>
        <w:t>Buzgova</w:t>
      </w:r>
      <w:proofErr w:type="spellEnd"/>
      <w:r w:rsidR="00230DC6" w:rsidRPr="00230DC6">
        <w:rPr>
          <w:rFonts w:eastAsia="Times New Roman"/>
          <w:color w:val="auto"/>
          <w:szCs w:val="24"/>
          <w:lang w:val="en-IN" w:eastAsia="en-IN"/>
        </w:rPr>
        <w:t xml:space="preserve"> and </w:t>
      </w:r>
      <w:proofErr w:type="spellStart"/>
      <w:r w:rsidR="00230DC6" w:rsidRPr="00230DC6">
        <w:rPr>
          <w:rFonts w:eastAsia="Times New Roman"/>
          <w:color w:val="auto"/>
          <w:szCs w:val="24"/>
          <w:lang w:val="en-IN" w:eastAsia="en-IN"/>
        </w:rPr>
        <w:t>Kopecky</w:t>
      </w:r>
      <w:proofErr w:type="spellEnd"/>
      <w:r w:rsidR="00230DC6" w:rsidRPr="00230DC6">
        <w:rPr>
          <w:rFonts w:eastAsia="Times New Roman"/>
          <w:color w:val="auto"/>
          <w:szCs w:val="24"/>
          <w:lang w:val="en-IN" w:eastAsia="en-IN"/>
        </w:rPr>
        <w:t>, 2024)</w:t>
      </w:r>
      <w:r>
        <w:t>.</w:t>
      </w:r>
      <w:r w:rsidR="00230DC6">
        <w:t xml:space="preserve"> </w:t>
      </w:r>
    </w:p>
    <w:p w14:paraId="080FCF80" w14:textId="7B31657D" w:rsidR="007E53D1" w:rsidRDefault="007E53D1" w:rsidP="007E53D1"/>
    <w:p w14:paraId="310F7575" w14:textId="7FEED1DB" w:rsidR="007E53D1" w:rsidRPr="001F2BBC" w:rsidRDefault="007E53D1" w:rsidP="007E53D1">
      <w:pPr>
        <w:rPr>
          <w:b/>
          <w:color w:val="FF0000"/>
        </w:rPr>
      </w:pPr>
      <w:r w:rsidRPr="001F2BBC">
        <w:rPr>
          <w:b/>
          <w:color w:val="FF0000"/>
        </w:rPr>
        <w:t>Action Plan</w:t>
      </w:r>
    </w:p>
    <w:p w14:paraId="6D22BE6C" w14:textId="77777777" w:rsidR="007E53D1" w:rsidRPr="001F2BBC" w:rsidRDefault="007E53D1" w:rsidP="007E53D1">
      <w:pPr>
        <w:rPr>
          <w:color w:val="FF0000"/>
          <w:u w:val="single"/>
        </w:rPr>
      </w:pPr>
      <w:r w:rsidRPr="001F2BBC">
        <w:rPr>
          <w:color w:val="FF0000"/>
          <w:u w:val="single"/>
        </w:rPr>
        <w:t>SMART Goal for Person-Centred Care:</w:t>
      </w:r>
    </w:p>
    <w:p w14:paraId="64A97DDF" w14:textId="78859F1F" w:rsidR="007E53D1" w:rsidRPr="001F2BBC" w:rsidRDefault="007E53D1" w:rsidP="007E53D1">
      <w:pPr>
        <w:rPr>
          <w:color w:val="FF0000"/>
        </w:rPr>
      </w:pPr>
      <w:r w:rsidRPr="001F2BBC">
        <w:rPr>
          <w:color w:val="FF0000"/>
        </w:rPr>
        <w:t>I will also undertake a course in augmented communication with dementia patients to become proficient in communication with the impaired patients. The course will be devoted to the non-verbal techniques of communication, including assistive technologies that will be utilized to use speech-generating devices and communication boards</w:t>
      </w:r>
      <w:r w:rsidR="008210CC" w:rsidRPr="001F2BBC">
        <w:rPr>
          <w:color w:val="FF0000"/>
        </w:rPr>
        <w:t xml:space="preserve"> (</w:t>
      </w:r>
      <w:proofErr w:type="spellStart"/>
      <w:r w:rsidR="008210CC" w:rsidRPr="001F2BBC">
        <w:rPr>
          <w:color w:val="FF0000"/>
        </w:rPr>
        <w:t>Elston</w:t>
      </w:r>
      <w:proofErr w:type="spellEnd"/>
      <w:r w:rsidR="008210CC" w:rsidRPr="001F2BBC">
        <w:rPr>
          <w:color w:val="FF0000"/>
        </w:rPr>
        <w:t xml:space="preserve"> et al., 2021)</w:t>
      </w:r>
      <w:r w:rsidRPr="001F2BBC">
        <w:rPr>
          <w:color w:val="FF0000"/>
        </w:rPr>
        <w:t>. This kind of training will enable me to gain a better insight into the issues in the scenario of the patients with dementia and will help me adjust my caring strategy to fit the specific conditions of the patients.</w:t>
      </w:r>
    </w:p>
    <w:p w14:paraId="554ED08B" w14:textId="77777777" w:rsidR="007E53D1" w:rsidRPr="001F2BBC" w:rsidRDefault="007E53D1" w:rsidP="007E53D1">
      <w:pPr>
        <w:rPr>
          <w:color w:val="FF0000"/>
        </w:rPr>
      </w:pPr>
    </w:p>
    <w:p w14:paraId="7F537A95" w14:textId="77777777" w:rsidR="007E53D1" w:rsidRPr="001F2BBC" w:rsidRDefault="007E53D1" w:rsidP="007E53D1">
      <w:pPr>
        <w:rPr>
          <w:color w:val="FF0000"/>
          <w:u w:val="single"/>
        </w:rPr>
      </w:pPr>
      <w:r w:rsidRPr="001F2BBC">
        <w:rPr>
          <w:color w:val="FF0000"/>
          <w:u w:val="single"/>
        </w:rPr>
        <w:t>SMART Goal for Partnership Working:</w:t>
      </w:r>
    </w:p>
    <w:p w14:paraId="51AC4EA1" w14:textId="6709D594" w:rsidR="007E53D1" w:rsidRPr="001F2BBC" w:rsidRDefault="007E53D1" w:rsidP="007E53D1">
      <w:pPr>
        <w:rPr>
          <w:color w:val="FF0000"/>
        </w:rPr>
      </w:pPr>
      <w:r w:rsidRPr="001F2BBC">
        <w:rPr>
          <w:color w:val="FF0000"/>
        </w:rPr>
        <w:t>An example of an event that will assist in improving collaboration and planning of patient care is a multi-disciplinary team meeting to which I will be a regular attendee every month. These will require joining forces with the medical staff body that comprises of physiotherapists, nurses, and social workers in order to set and implement comprehensive care programs. This will improve my understanding of different professional perspectives and help me deliver integrated care since I will be present at such meetings.</w:t>
      </w:r>
    </w:p>
    <w:p w14:paraId="5A514802" w14:textId="77777777" w:rsidR="007E53D1" w:rsidRPr="001F2BBC" w:rsidRDefault="007E53D1" w:rsidP="007E53D1">
      <w:pPr>
        <w:rPr>
          <w:color w:val="FF0000"/>
        </w:rPr>
      </w:pPr>
    </w:p>
    <w:p w14:paraId="19EADE07" w14:textId="215F8065" w:rsidR="007E53D1" w:rsidRPr="001F2BBC" w:rsidRDefault="007E53D1" w:rsidP="007E53D1">
      <w:pPr>
        <w:rPr>
          <w:color w:val="FF0000"/>
          <w:u w:val="single"/>
        </w:rPr>
      </w:pPr>
      <w:r w:rsidRPr="001F2BBC">
        <w:rPr>
          <w:color w:val="FF0000"/>
          <w:u w:val="single"/>
        </w:rPr>
        <w:t>SMART Goal for Ethical Decision-Making:</w:t>
      </w:r>
    </w:p>
    <w:p w14:paraId="07F5C895" w14:textId="41F81A55" w:rsidR="007E53D1" w:rsidRPr="001F2BBC" w:rsidRDefault="007E53D1" w:rsidP="007E53D1">
      <w:pPr>
        <w:rPr>
          <w:color w:val="FF0000"/>
        </w:rPr>
      </w:pPr>
      <w:r w:rsidRPr="001F2BBC">
        <w:rPr>
          <w:color w:val="FF0000"/>
        </w:rPr>
        <w:t>To gain a clearer understanding of how to apply the ethical principles in addressing different scenarios, I will go through at least 3 case studies of ethical decision-making in the field of healthcare</w:t>
      </w:r>
      <w:r w:rsidR="008210CC" w:rsidRPr="001F2BBC">
        <w:rPr>
          <w:color w:val="FF0000"/>
        </w:rPr>
        <w:t xml:space="preserve"> (Wang et al., 2020)</w:t>
      </w:r>
      <w:r w:rsidRPr="001F2BBC">
        <w:rPr>
          <w:color w:val="FF0000"/>
        </w:rPr>
        <w:t>. The prospects of these case studies will be based on some practical scenarios, such as the need to guarantee autonomy of patient versus the need to safeguard patients, and will be received in widely recognized academic journals and publications in the realm of healthcare ethics. The acquired lessons will allow me to escape ethical problems on my practice more securely.</w:t>
      </w:r>
    </w:p>
    <w:p w14:paraId="7042DF81" w14:textId="77777777" w:rsidR="007E53D1" w:rsidRPr="007E53D1" w:rsidRDefault="007E53D1" w:rsidP="007E53D1">
      <w:pPr>
        <w:rPr>
          <w:b/>
        </w:rPr>
      </w:pPr>
    </w:p>
    <w:p w14:paraId="56462395" w14:textId="77777777" w:rsidR="000D5F91" w:rsidRPr="00752C57" w:rsidRDefault="00E61475" w:rsidP="00C574D8">
      <w:pPr>
        <w:pStyle w:val="Nadpis1"/>
      </w:pPr>
      <w:r w:rsidRPr="00752C57">
        <w:br w:type="page"/>
      </w:r>
      <w:bookmarkStart w:id="4" w:name="_Toc219467516"/>
      <w:r w:rsidR="0082293E" w:rsidRPr="00752C57">
        <w:t>REFERENCES</w:t>
      </w:r>
      <w:bookmarkEnd w:id="4"/>
      <w:r w:rsidR="0082293E" w:rsidRPr="00752C57">
        <w:t xml:space="preserve"> </w:t>
      </w:r>
    </w:p>
    <w:p w14:paraId="0E2AFF53"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Alderwick</w:t>
      </w:r>
      <w:proofErr w:type="spellEnd"/>
      <w:r w:rsidRPr="00ED5B85">
        <w:rPr>
          <w:rFonts w:eastAsia="Times New Roman"/>
          <w:color w:val="auto"/>
          <w:szCs w:val="24"/>
          <w:lang w:val="en-IN" w:eastAsia="en-IN"/>
        </w:rPr>
        <w:t xml:space="preserve">, H., Hutchings, A., Briggs, A. and Mays, N. (2021). The Impacts of Collaboration between Local Health Care and non-health Care Organizations and Factors Shaping How They work: a Systematic Review of Reviews. </w:t>
      </w:r>
      <w:r w:rsidRPr="00ED5B85">
        <w:rPr>
          <w:rFonts w:eastAsia="Times New Roman"/>
          <w:i/>
          <w:iCs/>
          <w:color w:val="auto"/>
          <w:szCs w:val="24"/>
          <w:lang w:val="en-IN" w:eastAsia="en-IN"/>
        </w:rPr>
        <w:t>BioMed Central Public Health</w:t>
      </w:r>
      <w:r w:rsidRPr="00ED5B85">
        <w:rPr>
          <w:rFonts w:eastAsia="Times New Roman"/>
          <w:color w:val="auto"/>
          <w:szCs w:val="24"/>
          <w:lang w:val="en-IN" w:eastAsia="en-IN"/>
        </w:rPr>
        <w:t xml:space="preserve">, [online] 21(1), pp.1–16.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8" w:history="1">
        <w:r w:rsidRPr="009F567F">
          <w:rPr>
            <w:rStyle w:val="Hypertextovodkaz"/>
            <w:rFonts w:eastAsia="Times New Roman"/>
            <w:szCs w:val="24"/>
            <w:lang w:val="en-IN" w:eastAsia="en-IN"/>
          </w:rPr>
          <w:t>https://doi.org/10.1186/s12889-021-10630-1</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2291BFE3" w14:textId="77777777" w:rsidR="00B91AA5" w:rsidRPr="008210CC" w:rsidRDefault="00B91AA5" w:rsidP="008210CC">
      <w:pPr>
        <w:suppressAutoHyphens w:val="0"/>
        <w:spacing w:after="240" w:line="240" w:lineRule="auto"/>
        <w:rPr>
          <w:rFonts w:eastAsia="Times New Roman"/>
          <w:color w:val="auto"/>
          <w:szCs w:val="24"/>
          <w:lang w:val="en-IN" w:eastAsia="en-IN"/>
        </w:rPr>
      </w:pPr>
      <w:r w:rsidRPr="008210CC">
        <w:rPr>
          <w:rFonts w:eastAsia="Times New Roman"/>
          <w:color w:val="auto"/>
          <w:szCs w:val="24"/>
          <w:lang w:val="en-IN" w:eastAsia="en-IN"/>
        </w:rPr>
        <w:t xml:space="preserve">Black, B. (2022). </w:t>
      </w:r>
      <w:r w:rsidRPr="008210CC">
        <w:rPr>
          <w:rFonts w:eastAsia="Times New Roman"/>
          <w:i/>
          <w:iCs/>
          <w:color w:val="auto"/>
          <w:szCs w:val="24"/>
          <w:lang w:val="en-IN" w:eastAsia="en-IN"/>
        </w:rPr>
        <w:t>Professional Nursing - E-Book</w:t>
      </w:r>
      <w:r w:rsidRPr="008210CC">
        <w:rPr>
          <w:rFonts w:eastAsia="Times New Roman"/>
          <w:color w:val="auto"/>
          <w:szCs w:val="24"/>
          <w:lang w:val="en-IN" w:eastAsia="en-IN"/>
        </w:rPr>
        <w:t xml:space="preserve">. [online] Google Books. Available at: </w:t>
      </w:r>
      <w:hyperlink r:id="rId9" w:history="1">
        <w:r w:rsidRPr="00E41C80">
          <w:rPr>
            <w:rStyle w:val="Hypertextovodkaz"/>
            <w:rFonts w:eastAsia="Times New Roman"/>
            <w:szCs w:val="24"/>
            <w:lang w:val="en-IN" w:eastAsia="en-IN"/>
          </w:rPr>
          <w:t>https://books.google.com/books</w:t>
        </w:r>
      </w:hyperlink>
      <w:r>
        <w:rPr>
          <w:rFonts w:eastAsia="Times New Roman"/>
          <w:color w:val="auto"/>
          <w:szCs w:val="24"/>
          <w:lang w:val="en-IN" w:eastAsia="en-IN"/>
        </w:rPr>
        <w:t xml:space="preserve"> </w:t>
      </w:r>
      <w:r w:rsidRPr="008210CC">
        <w:rPr>
          <w:rFonts w:eastAsia="Times New Roman"/>
          <w:color w:val="auto"/>
          <w:szCs w:val="24"/>
          <w:lang w:val="en-IN" w:eastAsia="en-IN"/>
        </w:rPr>
        <w:t xml:space="preserve"> [Accessed 16 Jan. 2026].</w:t>
      </w:r>
    </w:p>
    <w:p w14:paraId="4C7B2BCD"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Bouchez, T., </w:t>
      </w:r>
      <w:proofErr w:type="spellStart"/>
      <w:r w:rsidRPr="00ED5B85">
        <w:rPr>
          <w:rFonts w:eastAsia="Times New Roman"/>
          <w:color w:val="auto"/>
          <w:szCs w:val="24"/>
          <w:lang w:val="en-IN" w:eastAsia="en-IN"/>
        </w:rPr>
        <w:t>Cagnon</w:t>
      </w:r>
      <w:proofErr w:type="spellEnd"/>
      <w:r w:rsidRPr="00ED5B85">
        <w:rPr>
          <w:rFonts w:eastAsia="Times New Roman"/>
          <w:color w:val="auto"/>
          <w:szCs w:val="24"/>
          <w:lang w:val="en-IN" w:eastAsia="en-IN"/>
        </w:rPr>
        <w:t xml:space="preserve">, C., </w:t>
      </w:r>
      <w:proofErr w:type="spellStart"/>
      <w:r w:rsidRPr="00ED5B85">
        <w:rPr>
          <w:rFonts w:eastAsia="Times New Roman"/>
          <w:color w:val="auto"/>
          <w:szCs w:val="24"/>
          <w:lang w:val="en-IN" w:eastAsia="en-IN"/>
        </w:rPr>
        <w:t>Hamouche</w:t>
      </w:r>
      <w:proofErr w:type="spellEnd"/>
      <w:r w:rsidRPr="00ED5B85">
        <w:rPr>
          <w:rFonts w:eastAsia="Times New Roman"/>
          <w:color w:val="auto"/>
          <w:szCs w:val="24"/>
          <w:lang w:val="en-IN" w:eastAsia="en-IN"/>
        </w:rPr>
        <w:t xml:space="preserve">, G., </w:t>
      </w:r>
      <w:proofErr w:type="spellStart"/>
      <w:r w:rsidRPr="00ED5B85">
        <w:rPr>
          <w:rFonts w:eastAsia="Times New Roman"/>
          <w:color w:val="auto"/>
          <w:szCs w:val="24"/>
          <w:lang w:val="en-IN" w:eastAsia="en-IN"/>
        </w:rPr>
        <w:t>Majdoub</w:t>
      </w:r>
      <w:proofErr w:type="spellEnd"/>
      <w:r w:rsidRPr="00ED5B85">
        <w:rPr>
          <w:rFonts w:eastAsia="Times New Roman"/>
          <w:color w:val="auto"/>
          <w:szCs w:val="24"/>
          <w:lang w:val="en-IN" w:eastAsia="en-IN"/>
        </w:rPr>
        <w:t xml:space="preserve">, M., </w:t>
      </w:r>
      <w:proofErr w:type="spellStart"/>
      <w:r w:rsidRPr="00ED5B85">
        <w:rPr>
          <w:rFonts w:eastAsia="Times New Roman"/>
          <w:color w:val="auto"/>
          <w:szCs w:val="24"/>
          <w:lang w:val="en-IN" w:eastAsia="en-IN"/>
        </w:rPr>
        <w:t>Charlet</w:t>
      </w:r>
      <w:proofErr w:type="spellEnd"/>
      <w:r w:rsidRPr="00ED5B85">
        <w:rPr>
          <w:rFonts w:eastAsia="Times New Roman"/>
          <w:color w:val="auto"/>
          <w:szCs w:val="24"/>
          <w:lang w:val="en-IN" w:eastAsia="en-IN"/>
        </w:rPr>
        <w:t xml:space="preserve">, J. and </w:t>
      </w:r>
      <w:proofErr w:type="spellStart"/>
      <w:r w:rsidRPr="00ED5B85">
        <w:rPr>
          <w:rFonts w:eastAsia="Times New Roman"/>
          <w:color w:val="auto"/>
          <w:szCs w:val="24"/>
          <w:lang w:val="en-IN" w:eastAsia="en-IN"/>
        </w:rPr>
        <w:t>Schuers</w:t>
      </w:r>
      <w:proofErr w:type="spellEnd"/>
      <w:r w:rsidRPr="00ED5B85">
        <w:rPr>
          <w:rFonts w:eastAsia="Times New Roman"/>
          <w:color w:val="auto"/>
          <w:szCs w:val="24"/>
          <w:lang w:val="en-IN" w:eastAsia="en-IN"/>
        </w:rPr>
        <w:t xml:space="preserve">, M. (2023). </w:t>
      </w:r>
      <w:proofErr w:type="spellStart"/>
      <w:r w:rsidRPr="00ED5B85">
        <w:rPr>
          <w:rFonts w:eastAsia="Times New Roman"/>
          <w:color w:val="auto"/>
          <w:szCs w:val="24"/>
          <w:lang w:val="en-IN" w:eastAsia="en-IN"/>
        </w:rPr>
        <w:t>Interprofessional</w:t>
      </w:r>
      <w:proofErr w:type="spellEnd"/>
      <w:r w:rsidRPr="00ED5B85">
        <w:rPr>
          <w:rFonts w:eastAsia="Times New Roman"/>
          <w:color w:val="auto"/>
          <w:szCs w:val="24"/>
          <w:lang w:val="en-IN" w:eastAsia="en-IN"/>
        </w:rPr>
        <w:t xml:space="preserve"> clinical decision‐making process in health: A scoping review. </w:t>
      </w:r>
      <w:r w:rsidRPr="00ED5B85">
        <w:rPr>
          <w:rFonts w:eastAsia="Times New Roman"/>
          <w:i/>
          <w:iCs/>
          <w:color w:val="auto"/>
          <w:szCs w:val="24"/>
          <w:lang w:val="en-IN" w:eastAsia="en-IN"/>
        </w:rPr>
        <w:t>Journal of Advanced Nursing</w:t>
      </w:r>
      <w:r w:rsidRPr="00ED5B85">
        <w:rPr>
          <w:rFonts w:eastAsia="Times New Roman"/>
          <w:color w:val="auto"/>
          <w:szCs w:val="24"/>
          <w:lang w:val="en-IN" w:eastAsia="en-IN"/>
        </w:rPr>
        <w:t xml:space="preserve">, 80(3).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0" w:history="1">
        <w:r w:rsidRPr="009F567F">
          <w:rPr>
            <w:rStyle w:val="Hypertextovodkaz"/>
            <w:rFonts w:eastAsia="Times New Roman"/>
            <w:szCs w:val="24"/>
            <w:lang w:val="en-IN" w:eastAsia="en-IN"/>
          </w:rPr>
          <w:t>https://doi.org/10.1111/jan.15865</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2C4C2420" w14:textId="77777777" w:rsidR="00B91AA5" w:rsidRPr="008210CC" w:rsidRDefault="00B91AA5" w:rsidP="008210CC">
      <w:pPr>
        <w:suppressAutoHyphens w:val="0"/>
        <w:spacing w:after="240" w:line="240" w:lineRule="auto"/>
        <w:rPr>
          <w:rFonts w:eastAsia="Times New Roman"/>
          <w:color w:val="auto"/>
          <w:szCs w:val="24"/>
          <w:lang w:val="en-IN" w:eastAsia="en-IN"/>
        </w:rPr>
      </w:pPr>
      <w:proofErr w:type="spellStart"/>
      <w:r w:rsidRPr="008210CC">
        <w:rPr>
          <w:rFonts w:eastAsia="Times New Roman"/>
          <w:color w:val="auto"/>
          <w:szCs w:val="24"/>
          <w:lang w:val="en-IN" w:eastAsia="en-IN"/>
        </w:rPr>
        <w:t>Cheon</w:t>
      </w:r>
      <w:proofErr w:type="spellEnd"/>
      <w:r w:rsidRPr="008210CC">
        <w:rPr>
          <w:rFonts w:eastAsia="Times New Roman"/>
          <w:color w:val="auto"/>
          <w:szCs w:val="24"/>
          <w:lang w:val="en-IN" w:eastAsia="en-IN"/>
        </w:rPr>
        <w:t xml:space="preserve">, C.Y., Tay, F.H.E., Choo, J. and Yap, P.L.K. (2021). Person-Centred Dementia Care in an Acute Hospital: Experiences from Nurses Working in a Specialized Dementia Unit. </w:t>
      </w:r>
      <w:r w:rsidRPr="008210CC">
        <w:rPr>
          <w:rFonts w:eastAsia="Times New Roman"/>
          <w:i/>
          <w:iCs/>
          <w:color w:val="auto"/>
          <w:szCs w:val="24"/>
          <w:lang w:val="en-IN" w:eastAsia="en-IN"/>
        </w:rPr>
        <w:t>Dementia and Geriatric Cognitive Disorders</w:t>
      </w:r>
      <w:r w:rsidRPr="008210CC">
        <w:rPr>
          <w:rFonts w:eastAsia="Times New Roman"/>
          <w:color w:val="auto"/>
          <w:szCs w:val="24"/>
          <w:lang w:val="en-IN" w:eastAsia="en-IN"/>
        </w:rPr>
        <w:t xml:space="preserve">, 50(3), pp.1–8.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11" w:history="1">
        <w:r w:rsidRPr="00E41C80">
          <w:rPr>
            <w:rStyle w:val="Hypertextovodkaz"/>
            <w:rFonts w:eastAsia="Times New Roman"/>
            <w:szCs w:val="24"/>
            <w:lang w:val="en-IN" w:eastAsia="en-IN"/>
          </w:rPr>
          <w:t>https://doi.org/10.1159/000517536</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0012B280"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Curreri</w:t>
      </w:r>
      <w:proofErr w:type="spellEnd"/>
      <w:r w:rsidRPr="00ED5B85">
        <w:rPr>
          <w:rFonts w:eastAsia="Times New Roman"/>
          <w:color w:val="auto"/>
          <w:szCs w:val="24"/>
          <w:lang w:val="en-IN" w:eastAsia="en-IN"/>
        </w:rPr>
        <w:t xml:space="preserve">, N.A. (2019). Partnership Working in Health and Social Care. </w:t>
      </w:r>
      <w:r w:rsidRPr="00ED5B85">
        <w:rPr>
          <w:rFonts w:eastAsia="Times New Roman"/>
          <w:i/>
          <w:iCs/>
          <w:color w:val="auto"/>
          <w:szCs w:val="24"/>
          <w:lang w:val="en-IN" w:eastAsia="en-IN"/>
        </w:rPr>
        <w:t>International Journal of Integrated Care</w:t>
      </w:r>
      <w:r w:rsidRPr="00ED5B85">
        <w:rPr>
          <w:rFonts w:eastAsia="Times New Roman"/>
          <w:color w:val="auto"/>
          <w:szCs w:val="24"/>
          <w:lang w:val="en-IN" w:eastAsia="en-IN"/>
        </w:rPr>
        <w:t xml:space="preserve">, [online] 19(2).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2" w:history="1">
        <w:r w:rsidRPr="009F567F">
          <w:rPr>
            <w:rStyle w:val="Hypertextovodkaz"/>
            <w:rFonts w:eastAsia="Times New Roman"/>
            <w:szCs w:val="24"/>
            <w:lang w:val="en-IN" w:eastAsia="en-IN"/>
          </w:rPr>
          <w:t>https://doi.org/10.5334/ijic.4722</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685687ED" w14:textId="77777777" w:rsidR="00B91AA5" w:rsidRPr="008210CC" w:rsidRDefault="00B91AA5" w:rsidP="008210CC">
      <w:pPr>
        <w:suppressAutoHyphens w:val="0"/>
        <w:spacing w:after="240" w:line="240" w:lineRule="auto"/>
        <w:rPr>
          <w:rFonts w:eastAsia="Times New Roman"/>
          <w:color w:val="auto"/>
          <w:szCs w:val="24"/>
          <w:lang w:val="en-IN" w:eastAsia="en-IN"/>
        </w:rPr>
      </w:pPr>
      <w:proofErr w:type="spellStart"/>
      <w:r w:rsidRPr="008210CC">
        <w:rPr>
          <w:rFonts w:eastAsia="Times New Roman"/>
          <w:color w:val="auto"/>
          <w:szCs w:val="24"/>
          <w:lang w:val="en-IN" w:eastAsia="en-IN"/>
        </w:rPr>
        <w:t>Damasceno</w:t>
      </w:r>
      <w:proofErr w:type="spellEnd"/>
      <w:r w:rsidRPr="008210CC">
        <w:rPr>
          <w:rFonts w:eastAsia="Times New Roman"/>
          <w:color w:val="auto"/>
          <w:szCs w:val="24"/>
          <w:lang w:val="en-IN" w:eastAsia="en-IN"/>
        </w:rPr>
        <w:t xml:space="preserve">, B. (2020). </w:t>
      </w:r>
      <w:r w:rsidRPr="008210CC">
        <w:rPr>
          <w:rFonts w:eastAsia="Times New Roman"/>
          <w:i/>
          <w:iCs/>
          <w:color w:val="auto"/>
          <w:szCs w:val="24"/>
          <w:lang w:val="en-IN" w:eastAsia="en-IN"/>
        </w:rPr>
        <w:t>Research on Cognition Disorders</w:t>
      </w:r>
      <w:r w:rsidRPr="008210CC">
        <w:rPr>
          <w:rFonts w:eastAsia="Times New Roman"/>
          <w:color w:val="auto"/>
          <w:szCs w:val="24"/>
          <w:lang w:val="en-IN" w:eastAsia="en-IN"/>
        </w:rPr>
        <w:t xml:space="preserve">. Cham: Springer International Publishing.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13" w:history="1">
        <w:r w:rsidRPr="00E41C80">
          <w:rPr>
            <w:rStyle w:val="Hypertextovodkaz"/>
            <w:rFonts w:eastAsia="Times New Roman"/>
            <w:szCs w:val="24"/>
            <w:lang w:val="en-IN" w:eastAsia="en-IN"/>
          </w:rPr>
          <w:t>https://doi.org/10.1007/978-3-030-57267-9</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5AA98E7A" w14:textId="77777777" w:rsidR="00B91AA5" w:rsidRPr="008210CC" w:rsidRDefault="00B91AA5" w:rsidP="008210CC">
      <w:pPr>
        <w:suppressAutoHyphens w:val="0"/>
        <w:spacing w:after="240" w:line="240" w:lineRule="auto"/>
        <w:rPr>
          <w:rFonts w:eastAsia="Times New Roman"/>
          <w:color w:val="auto"/>
          <w:szCs w:val="24"/>
          <w:lang w:val="en-IN" w:eastAsia="en-IN"/>
        </w:rPr>
      </w:pPr>
      <w:proofErr w:type="spellStart"/>
      <w:r w:rsidRPr="008210CC">
        <w:rPr>
          <w:rFonts w:eastAsia="Times New Roman"/>
          <w:color w:val="auto"/>
          <w:szCs w:val="24"/>
          <w:lang w:val="en-IN" w:eastAsia="en-IN"/>
        </w:rPr>
        <w:t>Elston</w:t>
      </w:r>
      <w:proofErr w:type="spellEnd"/>
      <w:r w:rsidRPr="008210CC">
        <w:rPr>
          <w:rFonts w:eastAsia="Times New Roman"/>
          <w:color w:val="auto"/>
          <w:szCs w:val="24"/>
          <w:lang w:val="en-IN" w:eastAsia="en-IN"/>
        </w:rPr>
        <w:t xml:space="preserve">, A., </w:t>
      </w:r>
      <w:proofErr w:type="spellStart"/>
      <w:r w:rsidRPr="008210CC">
        <w:rPr>
          <w:rFonts w:eastAsia="Times New Roman"/>
          <w:color w:val="auto"/>
          <w:szCs w:val="24"/>
          <w:lang w:val="en-IN" w:eastAsia="en-IN"/>
        </w:rPr>
        <w:t>Barnden</w:t>
      </w:r>
      <w:proofErr w:type="spellEnd"/>
      <w:r w:rsidRPr="008210CC">
        <w:rPr>
          <w:rFonts w:eastAsia="Times New Roman"/>
          <w:color w:val="auto"/>
          <w:szCs w:val="24"/>
          <w:lang w:val="en-IN" w:eastAsia="en-IN"/>
        </w:rPr>
        <w:t xml:space="preserve">, R., </w:t>
      </w:r>
      <w:proofErr w:type="spellStart"/>
      <w:r w:rsidRPr="008210CC">
        <w:rPr>
          <w:rFonts w:eastAsia="Times New Roman"/>
          <w:color w:val="auto"/>
          <w:szCs w:val="24"/>
          <w:lang w:val="en-IN" w:eastAsia="en-IN"/>
        </w:rPr>
        <w:t>Hersh</w:t>
      </w:r>
      <w:proofErr w:type="spellEnd"/>
      <w:r w:rsidRPr="008210CC">
        <w:rPr>
          <w:rFonts w:eastAsia="Times New Roman"/>
          <w:color w:val="auto"/>
          <w:szCs w:val="24"/>
          <w:lang w:val="en-IN" w:eastAsia="en-IN"/>
        </w:rPr>
        <w:t xml:space="preserve">, D., </w:t>
      </w:r>
      <w:proofErr w:type="spellStart"/>
      <w:r w:rsidRPr="008210CC">
        <w:rPr>
          <w:rFonts w:eastAsia="Times New Roman"/>
          <w:color w:val="auto"/>
          <w:szCs w:val="24"/>
          <w:lang w:val="en-IN" w:eastAsia="en-IN"/>
        </w:rPr>
        <w:t>Godecke</w:t>
      </w:r>
      <w:proofErr w:type="spellEnd"/>
      <w:r w:rsidRPr="008210CC">
        <w:rPr>
          <w:rFonts w:eastAsia="Times New Roman"/>
          <w:color w:val="auto"/>
          <w:szCs w:val="24"/>
          <w:lang w:val="en-IN" w:eastAsia="en-IN"/>
        </w:rPr>
        <w:t xml:space="preserve">, E., </w:t>
      </w:r>
      <w:proofErr w:type="spellStart"/>
      <w:r w:rsidRPr="008210CC">
        <w:rPr>
          <w:rFonts w:eastAsia="Times New Roman"/>
          <w:color w:val="auto"/>
          <w:szCs w:val="24"/>
          <w:lang w:val="en-IN" w:eastAsia="en-IN"/>
        </w:rPr>
        <w:t>Cadilhac</w:t>
      </w:r>
      <w:proofErr w:type="spellEnd"/>
      <w:r w:rsidRPr="008210CC">
        <w:rPr>
          <w:rFonts w:eastAsia="Times New Roman"/>
          <w:color w:val="auto"/>
          <w:szCs w:val="24"/>
          <w:lang w:val="en-IN" w:eastAsia="en-IN"/>
        </w:rPr>
        <w:t xml:space="preserve">, D.A., </w:t>
      </w:r>
      <w:proofErr w:type="spellStart"/>
      <w:r w:rsidRPr="008210CC">
        <w:rPr>
          <w:rFonts w:eastAsia="Times New Roman"/>
          <w:color w:val="auto"/>
          <w:szCs w:val="24"/>
          <w:lang w:val="en-IN" w:eastAsia="en-IN"/>
        </w:rPr>
        <w:t>Lannin</w:t>
      </w:r>
      <w:proofErr w:type="spellEnd"/>
      <w:r w:rsidRPr="008210CC">
        <w:rPr>
          <w:rFonts w:eastAsia="Times New Roman"/>
          <w:color w:val="auto"/>
          <w:szCs w:val="24"/>
          <w:lang w:val="en-IN" w:eastAsia="en-IN"/>
        </w:rPr>
        <w:t xml:space="preserve">, N.A., Kneebone, I. and Andrew, N.E. (2021). Developing person-centred goal setting resources with and for people with aphasia: a multi-phase qualitative study. </w:t>
      </w:r>
      <w:proofErr w:type="spellStart"/>
      <w:r w:rsidRPr="008210CC">
        <w:rPr>
          <w:rFonts w:eastAsia="Times New Roman"/>
          <w:i/>
          <w:iCs/>
          <w:color w:val="auto"/>
          <w:szCs w:val="24"/>
          <w:lang w:val="en-IN" w:eastAsia="en-IN"/>
        </w:rPr>
        <w:t>Aphasiology</w:t>
      </w:r>
      <w:proofErr w:type="spellEnd"/>
      <w:r w:rsidRPr="008210CC">
        <w:rPr>
          <w:rFonts w:eastAsia="Times New Roman"/>
          <w:color w:val="auto"/>
          <w:szCs w:val="24"/>
          <w:lang w:val="en-IN" w:eastAsia="en-IN"/>
        </w:rPr>
        <w:t xml:space="preserve">, 36(7), pp.1–20.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14" w:history="1">
        <w:r w:rsidRPr="00E41C80">
          <w:rPr>
            <w:rStyle w:val="Hypertextovodkaz"/>
            <w:rFonts w:eastAsia="Times New Roman"/>
            <w:szCs w:val="24"/>
            <w:lang w:val="en-IN" w:eastAsia="en-IN"/>
          </w:rPr>
          <w:t>https://doi.org/10.1080/02687038.2021.1907294</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35CBBDB4"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Giusti, A., </w:t>
      </w:r>
      <w:proofErr w:type="spellStart"/>
      <w:r w:rsidRPr="00ED5B85">
        <w:rPr>
          <w:rFonts w:eastAsia="Times New Roman"/>
          <w:color w:val="auto"/>
          <w:szCs w:val="24"/>
          <w:lang w:val="en-IN" w:eastAsia="en-IN"/>
        </w:rPr>
        <w:t>Nkhoma</w:t>
      </w:r>
      <w:proofErr w:type="spellEnd"/>
      <w:r w:rsidRPr="00ED5B85">
        <w:rPr>
          <w:rFonts w:eastAsia="Times New Roman"/>
          <w:color w:val="auto"/>
          <w:szCs w:val="24"/>
          <w:lang w:val="en-IN" w:eastAsia="en-IN"/>
        </w:rPr>
        <w:t xml:space="preserve">, K., Petrus, R., Petersen, I., </w:t>
      </w:r>
      <w:proofErr w:type="spellStart"/>
      <w:r w:rsidRPr="00ED5B85">
        <w:rPr>
          <w:rFonts w:eastAsia="Times New Roman"/>
          <w:color w:val="auto"/>
          <w:szCs w:val="24"/>
          <w:lang w:val="en-IN" w:eastAsia="en-IN"/>
        </w:rPr>
        <w:t>Gwyther</w:t>
      </w:r>
      <w:proofErr w:type="spellEnd"/>
      <w:r w:rsidRPr="00ED5B85">
        <w:rPr>
          <w:rFonts w:eastAsia="Times New Roman"/>
          <w:color w:val="auto"/>
          <w:szCs w:val="24"/>
          <w:lang w:val="en-IN" w:eastAsia="en-IN"/>
        </w:rPr>
        <w:t xml:space="preserve">, L., </w:t>
      </w:r>
      <w:proofErr w:type="spellStart"/>
      <w:r w:rsidRPr="00ED5B85">
        <w:rPr>
          <w:rFonts w:eastAsia="Times New Roman"/>
          <w:color w:val="auto"/>
          <w:szCs w:val="24"/>
          <w:lang w:val="en-IN" w:eastAsia="en-IN"/>
        </w:rPr>
        <w:t>Farrant</w:t>
      </w:r>
      <w:proofErr w:type="spellEnd"/>
      <w:r w:rsidRPr="00ED5B85">
        <w:rPr>
          <w:rFonts w:eastAsia="Times New Roman"/>
          <w:color w:val="auto"/>
          <w:szCs w:val="24"/>
          <w:lang w:val="en-IN" w:eastAsia="en-IN"/>
        </w:rPr>
        <w:t xml:space="preserve">, L., Venkatapuram, S. and Harding, R. (2020). The empirical evidence underpinning the concept and practice of person-centred care for serious illness: A systematic review. </w:t>
      </w:r>
      <w:r w:rsidRPr="00ED5B85">
        <w:rPr>
          <w:rFonts w:eastAsia="Times New Roman"/>
          <w:i/>
          <w:iCs/>
          <w:color w:val="auto"/>
          <w:szCs w:val="24"/>
          <w:lang w:val="en-IN" w:eastAsia="en-IN"/>
        </w:rPr>
        <w:t>BMJ Global Health</w:t>
      </w:r>
      <w:r w:rsidRPr="00ED5B85">
        <w:rPr>
          <w:rFonts w:eastAsia="Times New Roman"/>
          <w:color w:val="auto"/>
          <w:szCs w:val="24"/>
          <w:lang w:val="en-IN" w:eastAsia="en-IN"/>
        </w:rPr>
        <w:t xml:space="preserve">, [online] 5(12).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5" w:history="1">
        <w:r w:rsidRPr="009F567F">
          <w:rPr>
            <w:rStyle w:val="Hypertextovodkaz"/>
            <w:rFonts w:eastAsia="Times New Roman"/>
            <w:szCs w:val="24"/>
            <w:lang w:val="en-IN" w:eastAsia="en-IN"/>
          </w:rPr>
          <w:t>https://doi.org/10.1136/bmjgh-2020-003330</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643984FF" w14:textId="77777777" w:rsidR="00B91AA5" w:rsidRPr="008210CC" w:rsidRDefault="00B91AA5" w:rsidP="008210CC">
      <w:pPr>
        <w:suppressAutoHyphens w:val="0"/>
        <w:spacing w:after="240" w:line="240" w:lineRule="auto"/>
        <w:rPr>
          <w:rFonts w:eastAsia="Times New Roman"/>
          <w:color w:val="auto"/>
          <w:szCs w:val="24"/>
          <w:lang w:val="en-IN" w:eastAsia="en-IN"/>
        </w:rPr>
      </w:pPr>
      <w:r w:rsidRPr="008210CC">
        <w:rPr>
          <w:rFonts w:eastAsia="Times New Roman"/>
          <w:color w:val="auto"/>
          <w:szCs w:val="24"/>
          <w:lang w:val="en-IN" w:eastAsia="en-IN"/>
        </w:rPr>
        <w:t xml:space="preserve">Goodwin, N., Stein, V. and </w:t>
      </w:r>
      <w:proofErr w:type="spellStart"/>
      <w:r w:rsidRPr="008210CC">
        <w:rPr>
          <w:rFonts w:eastAsia="Times New Roman"/>
          <w:color w:val="auto"/>
          <w:szCs w:val="24"/>
          <w:lang w:val="en-IN" w:eastAsia="en-IN"/>
        </w:rPr>
        <w:t>Amelung</w:t>
      </w:r>
      <w:proofErr w:type="spellEnd"/>
      <w:r w:rsidRPr="008210CC">
        <w:rPr>
          <w:rFonts w:eastAsia="Times New Roman"/>
          <w:color w:val="auto"/>
          <w:szCs w:val="24"/>
          <w:lang w:val="en-IN" w:eastAsia="en-IN"/>
        </w:rPr>
        <w:t xml:space="preserve">, V. (2025). What Is Integrated Care? pp.1–23.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16" w:history="1">
        <w:r w:rsidRPr="00E41C80">
          <w:rPr>
            <w:rStyle w:val="Hypertextovodkaz"/>
            <w:rFonts w:eastAsia="Times New Roman"/>
            <w:szCs w:val="24"/>
            <w:lang w:val="en-IN" w:eastAsia="en-IN"/>
          </w:rPr>
          <w:t>https://doi.org/10.1007/978-3-031-25376-8_1-1</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0DB005FA" w14:textId="77777777" w:rsidR="00B91AA5" w:rsidRPr="008210CC" w:rsidRDefault="00B91AA5" w:rsidP="008210CC">
      <w:pPr>
        <w:suppressAutoHyphens w:val="0"/>
        <w:spacing w:after="240" w:line="240" w:lineRule="auto"/>
        <w:rPr>
          <w:rFonts w:eastAsia="Times New Roman"/>
          <w:color w:val="auto"/>
          <w:szCs w:val="24"/>
          <w:lang w:val="en-IN" w:eastAsia="en-IN"/>
        </w:rPr>
      </w:pPr>
      <w:r w:rsidRPr="008210CC">
        <w:rPr>
          <w:rFonts w:eastAsia="Times New Roman"/>
          <w:color w:val="auto"/>
          <w:szCs w:val="24"/>
          <w:lang w:val="en-IN" w:eastAsia="en-IN"/>
        </w:rPr>
        <w:t xml:space="preserve">Haywood, E. (2024). The magic of Makaton interaction throughout the school. </w:t>
      </w:r>
      <w:r w:rsidRPr="008210CC">
        <w:rPr>
          <w:rFonts w:eastAsia="Times New Roman"/>
          <w:i/>
          <w:iCs/>
          <w:color w:val="auto"/>
          <w:szCs w:val="24"/>
          <w:lang w:val="en-IN" w:eastAsia="en-IN"/>
        </w:rPr>
        <w:t>Routledge eBooks</w:t>
      </w:r>
      <w:r w:rsidRPr="008210CC">
        <w:rPr>
          <w:rFonts w:eastAsia="Times New Roman"/>
          <w:color w:val="auto"/>
          <w:szCs w:val="24"/>
          <w:lang w:val="en-IN" w:eastAsia="en-IN"/>
        </w:rPr>
        <w:t xml:space="preserve">, pp.48–60.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17" w:history="1">
        <w:r w:rsidRPr="00E41C80">
          <w:rPr>
            <w:rStyle w:val="Hypertextovodkaz"/>
            <w:rFonts w:eastAsia="Times New Roman"/>
            <w:szCs w:val="24"/>
            <w:lang w:val="en-IN" w:eastAsia="en-IN"/>
          </w:rPr>
          <w:t>https://doi.org/10.4324/9781003466550-5</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34E20B68" w14:textId="77777777" w:rsidR="00B91AA5" w:rsidRPr="008210CC" w:rsidRDefault="00B91AA5" w:rsidP="008210CC">
      <w:pPr>
        <w:suppressAutoHyphens w:val="0"/>
        <w:spacing w:after="240" w:line="240" w:lineRule="auto"/>
        <w:rPr>
          <w:rFonts w:eastAsia="Times New Roman"/>
          <w:color w:val="auto"/>
          <w:szCs w:val="24"/>
          <w:lang w:val="en-IN" w:eastAsia="en-IN"/>
        </w:rPr>
      </w:pPr>
      <w:r w:rsidRPr="008210CC">
        <w:rPr>
          <w:rFonts w:eastAsia="Times New Roman"/>
          <w:color w:val="auto"/>
          <w:szCs w:val="24"/>
          <w:lang w:val="en-IN" w:eastAsia="en-IN"/>
        </w:rPr>
        <w:t xml:space="preserve">Kong, E., Kim, H. and Kim, H. (2021). Nursing home staff’s perceptions of barriers and needs in implementing person‐centred care for people living with dementia: A qualitative study. </w:t>
      </w:r>
      <w:r w:rsidRPr="008210CC">
        <w:rPr>
          <w:rFonts w:eastAsia="Times New Roman"/>
          <w:i/>
          <w:iCs/>
          <w:color w:val="auto"/>
          <w:szCs w:val="24"/>
          <w:lang w:val="en-IN" w:eastAsia="en-IN"/>
        </w:rPr>
        <w:t>Journal of Clinical Nursing</w:t>
      </w:r>
      <w:r w:rsidRPr="008210CC">
        <w:rPr>
          <w:rFonts w:eastAsia="Times New Roman"/>
          <w:color w:val="auto"/>
          <w:szCs w:val="24"/>
          <w:lang w:val="en-IN" w:eastAsia="en-IN"/>
        </w:rPr>
        <w:t xml:space="preserve">, 31(13-14).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18" w:history="1">
        <w:r w:rsidRPr="00E41C80">
          <w:rPr>
            <w:rStyle w:val="Hypertextovodkaz"/>
            <w:rFonts w:eastAsia="Times New Roman"/>
            <w:szCs w:val="24"/>
            <w:lang w:val="en-IN" w:eastAsia="en-IN"/>
          </w:rPr>
          <w:t>https://doi.org/10.1111/jocn.15729</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5EDC6879"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Mahony</w:t>
      </w:r>
      <w:proofErr w:type="spellEnd"/>
      <w:r w:rsidRPr="00ED5B85">
        <w:rPr>
          <w:rFonts w:eastAsia="Times New Roman"/>
          <w:color w:val="auto"/>
          <w:szCs w:val="24"/>
          <w:lang w:val="en-IN" w:eastAsia="en-IN"/>
        </w:rPr>
        <w:t xml:space="preserve">, C. (2015). Robert Kilpatrick. </w:t>
      </w:r>
      <w:r w:rsidRPr="00ED5B85">
        <w:rPr>
          <w:rFonts w:eastAsia="Times New Roman"/>
          <w:i/>
          <w:iCs/>
          <w:color w:val="auto"/>
          <w:szCs w:val="24"/>
          <w:lang w:val="en-IN" w:eastAsia="en-IN"/>
        </w:rPr>
        <w:t>BMJ</w:t>
      </w:r>
      <w:r w:rsidRPr="00ED5B85">
        <w:rPr>
          <w:rFonts w:eastAsia="Times New Roman"/>
          <w:color w:val="auto"/>
          <w:szCs w:val="24"/>
          <w:lang w:val="en-IN" w:eastAsia="en-IN"/>
        </w:rPr>
        <w:t xml:space="preserve">, p.h5727.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9" w:history="1">
        <w:r w:rsidRPr="009F567F">
          <w:rPr>
            <w:rStyle w:val="Hypertextovodkaz"/>
            <w:rFonts w:eastAsia="Times New Roman"/>
            <w:szCs w:val="24"/>
            <w:lang w:val="en-IN" w:eastAsia="en-IN"/>
          </w:rPr>
          <w:t>https://doi.org/10.1136/bmj.h5727</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48A0E60A" w14:textId="77777777" w:rsidR="00B91AA5" w:rsidRPr="008210CC" w:rsidRDefault="00B91AA5" w:rsidP="008210CC">
      <w:pPr>
        <w:suppressAutoHyphens w:val="0"/>
        <w:spacing w:after="240" w:line="240" w:lineRule="auto"/>
        <w:rPr>
          <w:rFonts w:eastAsia="Times New Roman"/>
          <w:color w:val="auto"/>
          <w:szCs w:val="24"/>
          <w:lang w:val="en-IN" w:eastAsia="en-IN"/>
        </w:rPr>
      </w:pPr>
      <w:proofErr w:type="spellStart"/>
      <w:r w:rsidRPr="008210CC">
        <w:rPr>
          <w:rFonts w:eastAsia="Times New Roman"/>
          <w:color w:val="auto"/>
          <w:szCs w:val="24"/>
          <w:lang w:val="en-IN" w:eastAsia="en-IN"/>
        </w:rPr>
        <w:t>Marczak</w:t>
      </w:r>
      <w:proofErr w:type="spellEnd"/>
      <w:r w:rsidRPr="008210CC">
        <w:rPr>
          <w:rFonts w:eastAsia="Times New Roman"/>
          <w:color w:val="auto"/>
          <w:szCs w:val="24"/>
          <w:lang w:val="en-IN" w:eastAsia="en-IN"/>
        </w:rPr>
        <w:t xml:space="preserve">, J., Fernandez, J.-L., </w:t>
      </w:r>
      <w:proofErr w:type="spellStart"/>
      <w:r w:rsidRPr="008210CC">
        <w:rPr>
          <w:rFonts w:eastAsia="Times New Roman"/>
          <w:color w:val="auto"/>
          <w:szCs w:val="24"/>
          <w:lang w:val="en-IN" w:eastAsia="en-IN"/>
        </w:rPr>
        <w:t>Manthorpe</w:t>
      </w:r>
      <w:proofErr w:type="spellEnd"/>
      <w:r w:rsidRPr="008210CC">
        <w:rPr>
          <w:rFonts w:eastAsia="Times New Roman"/>
          <w:color w:val="auto"/>
          <w:szCs w:val="24"/>
          <w:lang w:val="en-IN" w:eastAsia="en-IN"/>
        </w:rPr>
        <w:t xml:space="preserve">, J., </w:t>
      </w:r>
      <w:proofErr w:type="spellStart"/>
      <w:r w:rsidRPr="008210CC">
        <w:rPr>
          <w:rFonts w:eastAsia="Times New Roman"/>
          <w:color w:val="auto"/>
          <w:szCs w:val="24"/>
          <w:lang w:val="en-IN" w:eastAsia="en-IN"/>
        </w:rPr>
        <w:t>Brimblecombe</w:t>
      </w:r>
      <w:proofErr w:type="spellEnd"/>
      <w:r w:rsidRPr="008210CC">
        <w:rPr>
          <w:rFonts w:eastAsia="Times New Roman"/>
          <w:color w:val="auto"/>
          <w:szCs w:val="24"/>
          <w:lang w:val="en-IN" w:eastAsia="en-IN"/>
        </w:rPr>
        <w:t xml:space="preserve">, N., Moriarty, J., Knapp, M. and Snell, T. (2021). How Have the Care Act 2014 Ambitions to Support Carers Translated into Local practice? Findings from a Process Evaluation Study of Local stakeholders’ Perceptions of Care Act Implementation. </w:t>
      </w:r>
      <w:r w:rsidRPr="008210CC">
        <w:rPr>
          <w:rFonts w:eastAsia="Times New Roman"/>
          <w:i/>
          <w:iCs/>
          <w:color w:val="auto"/>
          <w:szCs w:val="24"/>
          <w:lang w:val="en-IN" w:eastAsia="en-IN"/>
        </w:rPr>
        <w:t>Health &amp; Social Care in the Community</w:t>
      </w:r>
      <w:r w:rsidRPr="008210CC">
        <w:rPr>
          <w:rFonts w:eastAsia="Times New Roman"/>
          <w:color w:val="auto"/>
          <w:szCs w:val="24"/>
          <w:lang w:val="en-IN" w:eastAsia="en-IN"/>
        </w:rPr>
        <w:t xml:space="preserve">, 30(5).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20" w:history="1">
        <w:r w:rsidRPr="00E41C80">
          <w:rPr>
            <w:rStyle w:val="Hypertextovodkaz"/>
            <w:rFonts w:eastAsia="Times New Roman"/>
            <w:szCs w:val="24"/>
            <w:lang w:val="en-IN" w:eastAsia="en-IN"/>
          </w:rPr>
          <w:t>https://doi.org/10.1111/hsc.13599</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5FA5DFAD"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Moore, H., Watson, R., Farnworth, A., Giles, K., Tomson, D. and Thomson, R. (2023). Inclusion of person-centred care in UK postgraduate medical education curricula: Interviews and documentary analysis. </w:t>
      </w:r>
      <w:r w:rsidRPr="00ED5B85">
        <w:rPr>
          <w:rFonts w:eastAsia="Times New Roman"/>
          <w:i/>
          <w:iCs/>
          <w:color w:val="auto"/>
          <w:szCs w:val="24"/>
          <w:lang w:val="en-IN" w:eastAsia="en-IN"/>
        </w:rPr>
        <w:t>BMC Medical Education</w:t>
      </w:r>
      <w:r w:rsidRPr="00ED5B85">
        <w:rPr>
          <w:rFonts w:eastAsia="Times New Roman"/>
          <w:color w:val="auto"/>
          <w:szCs w:val="24"/>
          <w:lang w:val="en-IN" w:eastAsia="en-IN"/>
        </w:rPr>
        <w:t xml:space="preserve">, [online] 23(1).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21" w:history="1">
        <w:r w:rsidRPr="009F567F">
          <w:rPr>
            <w:rStyle w:val="Hypertextovodkaz"/>
            <w:rFonts w:eastAsia="Times New Roman"/>
            <w:szCs w:val="24"/>
            <w:lang w:val="en-IN" w:eastAsia="en-IN"/>
          </w:rPr>
          <w:t>https://doi.org/10.1186/s12909-023-04730-2</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7982EC13" w14:textId="77777777" w:rsidR="00B91AA5" w:rsidRPr="008210CC" w:rsidRDefault="00B91AA5" w:rsidP="008210CC">
      <w:pPr>
        <w:suppressAutoHyphens w:val="0"/>
        <w:spacing w:after="240" w:line="240" w:lineRule="auto"/>
        <w:rPr>
          <w:rFonts w:eastAsia="Times New Roman"/>
          <w:color w:val="auto"/>
          <w:szCs w:val="24"/>
          <w:lang w:val="en-IN" w:eastAsia="en-IN"/>
        </w:rPr>
      </w:pPr>
      <w:proofErr w:type="spellStart"/>
      <w:r w:rsidRPr="008210CC">
        <w:rPr>
          <w:rFonts w:eastAsia="Times New Roman"/>
          <w:color w:val="auto"/>
          <w:szCs w:val="24"/>
          <w:lang w:val="en-IN" w:eastAsia="en-IN"/>
        </w:rPr>
        <w:t>Ocloo</w:t>
      </w:r>
      <w:proofErr w:type="spellEnd"/>
      <w:r w:rsidRPr="008210CC">
        <w:rPr>
          <w:rFonts w:eastAsia="Times New Roman"/>
          <w:color w:val="auto"/>
          <w:szCs w:val="24"/>
          <w:lang w:val="en-IN" w:eastAsia="en-IN"/>
        </w:rPr>
        <w:t xml:space="preserve">, J., Garfield, S., Franklin, B.D. and Dawson, S. (2021). Exploring the theory, barriers and enablers for patient and public involvement across health, social care and patient safety: A systematic review of reviews. </w:t>
      </w:r>
      <w:r w:rsidRPr="008210CC">
        <w:rPr>
          <w:rFonts w:eastAsia="Times New Roman"/>
          <w:i/>
          <w:iCs/>
          <w:color w:val="auto"/>
          <w:szCs w:val="24"/>
          <w:lang w:val="en-IN" w:eastAsia="en-IN"/>
        </w:rPr>
        <w:t>Health Research Policy and Systems</w:t>
      </w:r>
      <w:r w:rsidRPr="008210CC">
        <w:rPr>
          <w:rFonts w:eastAsia="Times New Roman"/>
          <w:color w:val="auto"/>
          <w:szCs w:val="24"/>
          <w:lang w:val="en-IN" w:eastAsia="en-IN"/>
        </w:rPr>
        <w:t>, 19(1), pp.1–21.</w:t>
      </w:r>
    </w:p>
    <w:p w14:paraId="2EA79B40" w14:textId="77777777" w:rsidR="00B91AA5" w:rsidRPr="008210CC" w:rsidRDefault="00B91AA5" w:rsidP="008210CC">
      <w:pPr>
        <w:suppressAutoHyphens w:val="0"/>
        <w:spacing w:after="240" w:line="240" w:lineRule="auto"/>
        <w:rPr>
          <w:rFonts w:eastAsia="Times New Roman"/>
          <w:color w:val="auto"/>
          <w:szCs w:val="24"/>
          <w:lang w:val="en-IN" w:eastAsia="en-IN"/>
        </w:rPr>
      </w:pPr>
      <w:proofErr w:type="spellStart"/>
      <w:r w:rsidRPr="008210CC">
        <w:rPr>
          <w:rFonts w:eastAsia="Times New Roman"/>
          <w:color w:val="auto"/>
          <w:szCs w:val="24"/>
          <w:lang w:val="en-IN" w:eastAsia="en-IN"/>
        </w:rPr>
        <w:t>Ruvuna</w:t>
      </w:r>
      <w:proofErr w:type="spellEnd"/>
      <w:r w:rsidRPr="008210CC">
        <w:rPr>
          <w:rFonts w:eastAsia="Times New Roman"/>
          <w:color w:val="auto"/>
          <w:szCs w:val="24"/>
          <w:lang w:val="en-IN" w:eastAsia="en-IN"/>
        </w:rPr>
        <w:t xml:space="preserve">, L. and Sood, A. (2020). Epidemiology of Chronic Obstructive Pulmonary Disease. </w:t>
      </w:r>
      <w:r w:rsidRPr="008210CC">
        <w:rPr>
          <w:rFonts w:eastAsia="Times New Roman"/>
          <w:i/>
          <w:iCs/>
          <w:color w:val="auto"/>
          <w:szCs w:val="24"/>
          <w:lang w:val="en-IN" w:eastAsia="en-IN"/>
        </w:rPr>
        <w:t>Clinics in Chest Medicine</w:t>
      </w:r>
      <w:r w:rsidRPr="008210CC">
        <w:rPr>
          <w:rFonts w:eastAsia="Times New Roman"/>
          <w:color w:val="auto"/>
          <w:szCs w:val="24"/>
          <w:lang w:val="en-IN" w:eastAsia="en-IN"/>
        </w:rPr>
        <w:t xml:space="preserve">, 41(3), pp.315–327.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22" w:history="1">
        <w:r w:rsidRPr="00E41C80">
          <w:rPr>
            <w:rStyle w:val="Hypertextovodkaz"/>
            <w:rFonts w:eastAsia="Times New Roman"/>
            <w:szCs w:val="24"/>
            <w:lang w:val="en-IN" w:eastAsia="en-IN"/>
          </w:rPr>
          <w:t>https://doi.org/10.1016/j.ccm.2020.05.002</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6EFBB3F3"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Tietzova</w:t>
      </w:r>
      <w:proofErr w:type="spellEnd"/>
      <w:r w:rsidRPr="00ED5B85">
        <w:rPr>
          <w:rFonts w:eastAsia="Times New Roman"/>
          <w:color w:val="auto"/>
          <w:szCs w:val="24"/>
          <w:lang w:val="en-IN" w:eastAsia="en-IN"/>
        </w:rPr>
        <w:t xml:space="preserve">, I., </w:t>
      </w:r>
      <w:proofErr w:type="spellStart"/>
      <w:r w:rsidRPr="00ED5B85">
        <w:rPr>
          <w:rFonts w:eastAsia="Times New Roman"/>
          <w:color w:val="auto"/>
          <w:szCs w:val="24"/>
          <w:lang w:val="en-IN" w:eastAsia="en-IN"/>
        </w:rPr>
        <w:t>Buzgova</w:t>
      </w:r>
      <w:proofErr w:type="spellEnd"/>
      <w:r w:rsidRPr="00ED5B85">
        <w:rPr>
          <w:rFonts w:eastAsia="Times New Roman"/>
          <w:color w:val="auto"/>
          <w:szCs w:val="24"/>
          <w:lang w:val="en-IN" w:eastAsia="en-IN"/>
        </w:rPr>
        <w:t xml:space="preserve">, R. and </w:t>
      </w:r>
      <w:proofErr w:type="spellStart"/>
      <w:r w:rsidRPr="00ED5B85">
        <w:rPr>
          <w:rFonts w:eastAsia="Times New Roman"/>
          <w:color w:val="auto"/>
          <w:szCs w:val="24"/>
          <w:lang w:val="en-IN" w:eastAsia="en-IN"/>
        </w:rPr>
        <w:t>Kopecky</w:t>
      </w:r>
      <w:proofErr w:type="spellEnd"/>
      <w:r w:rsidRPr="00ED5B85">
        <w:rPr>
          <w:rFonts w:eastAsia="Times New Roman"/>
          <w:color w:val="auto"/>
          <w:szCs w:val="24"/>
          <w:lang w:val="en-IN" w:eastAsia="en-IN"/>
        </w:rPr>
        <w:t xml:space="preserve">, O. (2024). Decision-making and ethical dilemmas experienced by hospital physicians during the COVID-19 pandemic in the Czech Republic. </w:t>
      </w:r>
      <w:r w:rsidRPr="00ED5B85">
        <w:rPr>
          <w:rFonts w:eastAsia="Times New Roman"/>
          <w:i/>
          <w:iCs/>
          <w:color w:val="auto"/>
          <w:szCs w:val="24"/>
          <w:lang w:val="en-IN" w:eastAsia="en-IN"/>
        </w:rPr>
        <w:t>BMC Medical Ethics</w:t>
      </w:r>
      <w:r w:rsidRPr="00ED5B85">
        <w:rPr>
          <w:rFonts w:eastAsia="Times New Roman"/>
          <w:color w:val="auto"/>
          <w:szCs w:val="24"/>
          <w:lang w:val="en-IN" w:eastAsia="en-IN"/>
        </w:rPr>
        <w:t xml:space="preserve">, 25(1).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23" w:history="1">
        <w:r w:rsidRPr="009F567F">
          <w:rPr>
            <w:rStyle w:val="Hypertextovodkaz"/>
            <w:rFonts w:eastAsia="Times New Roman"/>
            <w:szCs w:val="24"/>
            <w:lang w:val="en-IN" w:eastAsia="en-IN"/>
          </w:rPr>
          <w:t>https://doi.org/10.1186/s12910-024-01133-w</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493358FA" w14:textId="77777777" w:rsidR="00B91AA5" w:rsidRPr="008210CC" w:rsidRDefault="00B91AA5" w:rsidP="008210CC">
      <w:pPr>
        <w:suppressAutoHyphens w:val="0"/>
        <w:spacing w:after="240" w:line="240" w:lineRule="auto"/>
        <w:rPr>
          <w:rFonts w:eastAsia="Times New Roman"/>
          <w:color w:val="auto"/>
          <w:szCs w:val="24"/>
          <w:lang w:val="en-IN" w:eastAsia="en-IN"/>
        </w:rPr>
      </w:pPr>
      <w:r w:rsidRPr="008210CC">
        <w:rPr>
          <w:rFonts w:eastAsia="Times New Roman"/>
          <w:color w:val="auto"/>
          <w:szCs w:val="24"/>
          <w:lang w:val="en-IN" w:eastAsia="en-IN"/>
        </w:rPr>
        <w:t xml:space="preserve">Wang, H., </w:t>
      </w:r>
      <w:proofErr w:type="spellStart"/>
      <w:r w:rsidRPr="008210CC">
        <w:rPr>
          <w:rFonts w:eastAsia="Times New Roman"/>
          <w:color w:val="auto"/>
          <w:szCs w:val="24"/>
          <w:lang w:val="en-IN" w:eastAsia="en-IN"/>
        </w:rPr>
        <w:t>Khajepour</w:t>
      </w:r>
      <w:proofErr w:type="spellEnd"/>
      <w:r w:rsidRPr="008210CC">
        <w:rPr>
          <w:rFonts w:eastAsia="Times New Roman"/>
          <w:color w:val="auto"/>
          <w:szCs w:val="24"/>
          <w:lang w:val="en-IN" w:eastAsia="en-IN"/>
        </w:rPr>
        <w:t xml:space="preserve">, A., Cao, D. and Liu, T. (2020). Ethical Decision Making in Autonomous Vehicles: Challenges and Research Progress. </w:t>
      </w:r>
      <w:r w:rsidRPr="008210CC">
        <w:rPr>
          <w:rFonts w:eastAsia="Times New Roman"/>
          <w:i/>
          <w:iCs/>
          <w:color w:val="auto"/>
          <w:szCs w:val="24"/>
          <w:lang w:val="en-IN" w:eastAsia="en-IN"/>
        </w:rPr>
        <w:t>IEEE Intelligent Transportation Systems Magazine</w:t>
      </w:r>
      <w:r w:rsidRPr="008210CC">
        <w:rPr>
          <w:rFonts w:eastAsia="Times New Roman"/>
          <w:color w:val="auto"/>
          <w:szCs w:val="24"/>
          <w:lang w:val="en-IN" w:eastAsia="en-IN"/>
        </w:rPr>
        <w:t xml:space="preserve">, 14(1). </w:t>
      </w:r>
      <w:proofErr w:type="spellStart"/>
      <w:r w:rsidRPr="008210CC">
        <w:rPr>
          <w:rFonts w:eastAsia="Times New Roman"/>
          <w:color w:val="auto"/>
          <w:szCs w:val="24"/>
          <w:lang w:val="en-IN" w:eastAsia="en-IN"/>
        </w:rPr>
        <w:t>doi</w:t>
      </w:r>
      <w:proofErr w:type="spellEnd"/>
      <w:r w:rsidRPr="008210CC">
        <w:rPr>
          <w:rFonts w:eastAsia="Times New Roman"/>
          <w:color w:val="auto"/>
          <w:szCs w:val="24"/>
          <w:lang w:val="en-IN" w:eastAsia="en-IN"/>
        </w:rPr>
        <w:t>:</w:t>
      </w:r>
      <w:r>
        <w:rPr>
          <w:rFonts w:eastAsia="Times New Roman"/>
          <w:color w:val="auto"/>
          <w:szCs w:val="24"/>
          <w:lang w:val="en-IN" w:eastAsia="en-IN"/>
        </w:rPr>
        <w:t xml:space="preserve"> </w:t>
      </w:r>
      <w:hyperlink r:id="rId24" w:history="1">
        <w:r w:rsidRPr="00E41C80">
          <w:rPr>
            <w:rStyle w:val="Hypertextovodkaz"/>
            <w:rFonts w:eastAsia="Times New Roman"/>
            <w:szCs w:val="24"/>
            <w:lang w:val="en-IN" w:eastAsia="en-IN"/>
          </w:rPr>
          <w:t>https://doi.org/10.1109/mits.2019.2953556</w:t>
        </w:r>
      </w:hyperlink>
      <w:r w:rsidRPr="008210CC">
        <w:rPr>
          <w:rFonts w:eastAsia="Times New Roman"/>
          <w:color w:val="auto"/>
          <w:szCs w:val="24"/>
          <w:lang w:val="en-IN" w:eastAsia="en-IN"/>
        </w:rPr>
        <w:t>.</w:t>
      </w:r>
      <w:r>
        <w:rPr>
          <w:rFonts w:eastAsia="Times New Roman"/>
          <w:color w:val="auto"/>
          <w:szCs w:val="24"/>
          <w:lang w:val="en-IN" w:eastAsia="en-IN"/>
        </w:rPr>
        <w:t xml:space="preserve"> </w:t>
      </w:r>
    </w:p>
    <w:p w14:paraId="51E957A5" w14:textId="77777777" w:rsidR="00B91AA5" w:rsidRPr="00ED5B85" w:rsidRDefault="00B91AA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Wasim, A., </w:t>
      </w:r>
      <w:proofErr w:type="spellStart"/>
      <w:r w:rsidRPr="00ED5B85">
        <w:rPr>
          <w:rFonts w:eastAsia="Times New Roman"/>
          <w:color w:val="auto"/>
          <w:szCs w:val="24"/>
          <w:lang w:val="en-IN" w:eastAsia="en-IN"/>
        </w:rPr>
        <w:t>Sajan</w:t>
      </w:r>
      <w:proofErr w:type="spellEnd"/>
      <w:r w:rsidRPr="00ED5B85">
        <w:rPr>
          <w:rFonts w:eastAsia="Times New Roman"/>
          <w:color w:val="auto"/>
          <w:szCs w:val="24"/>
          <w:lang w:val="en-IN" w:eastAsia="en-IN"/>
        </w:rPr>
        <w:t xml:space="preserve">, M. and Majid, U. (2023). </w:t>
      </w:r>
      <w:proofErr w:type="spellStart"/>
      <w:r w:rsidRPr="00ED5B85">
        <w:rPr>
          <w:rFonts w:eastAsia="Times New Roman"/>
          <w:color w:val="auto"/>
          <w:szCs w:val="24"/>
          <w:lang w:val="en-IN" w:eastAsia="en-IN"/>
        </w:rPr>
        <w:t>Patient-centered</w:t>
      </w:r>
      <w:proofErr w:type="spellEnd"/>
      <w:r w:rsidRPr="00ED5B85">
        <w:rPr>
          <w:rFonts w:eastAsia="Times New Roman"/>
          <w:color w:val="auto"/>
          <w:szCs w:val="24"/>
          <w:lang w:val="en-IN" w:eastAsia="en-IN"/>
        </w:rPr>
        <w:t xml:space="preserve"> care frameworks, models and approaches: An environmental scan. </w:t>
      </w:r>
      <w:r w:rsidRPr="00ED5B85">
        <w:rPr>
          <w:rFonts w:eastAsia="Times New Roman"/>
          <w:i/>
          <w:iCs/>
          <w:color w:val="auto"/>
          <w:szCs w:val="24"/>
          <w:lang w:val="en-IN" w:eastAsia="en-IN"/>
        </w:rPr>
        <w:t>Patient Experience Journal</w:t>
      </w:r>
      <w:r w:rsidRPr="00ED5B85">
        <w:rPr>
          <w:rFonts w:eastAsia="Times New Roman"/>
          <w:color w:val="auto"/>
          <w:szCs w:val="24"/>
          <w:lang w:val="en-IN" w:eastAsia="en-IN"/>
        </w:rPr>
        <w:t xml:space="preserve">, [online] 10(2), pp.14–22.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25" w:history="1">
        <w:r w:rsidRPr="009F567F">
          <w:rPr>
            <w:rStyle w:val="Hypertextovodkaz"/>
            <w:rFonts w:eastAsia="Times New Roman"/>
            <w:szCs w:val="24"/>
            <w:lang w:val="en-IN" w:eastAsia="en-IN"/>
          </w:rPr>
          <w:t>https://doi.org/10.35680/2372-0247.1806</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44EAFD9C" w14:textId="77777777" w:rsidR="0074789A" w:rsidRPr="00752C57" w:rsidRDefault="0074789A" w:rsidP="00ED5B85"/>
    <w:sectPr w:rsidR="0074789A" w:rsidRPr="00752C57">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DB321" w14:textId="77777777" w:rsidR="00D65581" w:rsidRDefault="00D65581" w:rsidP="00A87747">
      <w:pPr>
        <w:spacing w:line="240" w:lineRule="auto"/>
      </w:pPr>
      <w:r>
        <w:separator/>
      </w:r>
    </w:p>
  </w:endnote>
  <w:endnote w:type="continuationSeparator" w:id="0">
    <w:p w14:paraId="1DE20A30" w14:textId="77777777" w:rsidR="00D65581" w:rsidRDefault="00D65581"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02BB9" w14:textId="77777777" w:rsidR="003D0329" w:rsidRDefault="003D0329">
    <w:pPr>
      <w:pStyle w:val="Zpa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61732" w14:textId="6607370C" w:rsidR="00A87747" w:rsidRDefault="00A87747">
    <w:pPr>
      <w:pStyle w:val="Zpat"/>
      <w:jc w:val="center"/>
    </w:pPr>
    <w:r>
      <w:fldChar w:fldCharType="begin"/>
    </w:r>
    <w:r>
      <w:instrText xml:space="preserve"> PAGE   \* MERGEFORMAT </w:instrText>
    </w:r>
    <w:r>
      <w:fldChar w:fldCharType="separate"/>
    </w:r>
    <w:r w:rsidR="001F2BBC">
      <w:rPr>
        <w:noProof/>
      </w:rPr>
      <w:t>11</w:t>
    </w:r>
    <w:r>
      <w:rPr>
        <w:noProof/>
      </w:rPr>
      <w:fldChar w:fldCharType="end"/>
    </w:r>
  </w:p>
  <w:p w14:paraId="3656B9AB" w14:textId="77777777" w:rsidR="00A87747" w:rsidRDefault="00A87747">
    <w:pPr>
      <w:pStyle w:val="Zpa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F7E5F" w14:textId="77777777" w:rsidR="003D0329" w:rsidRDefault="003D0329">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258D2" w14:textId="77777777" w:rsidR="00D65581" w:rsidRDefault="00D65581" w:rsidP="00A87747">
      <w:pPr>
        <w:spacing w:line="240" w:lineRule="auto"/>
      </w:pPr>
      <w:r>
        <w:separator/>
      </w:r>
    </w:p>
  </w:footnote>
  <w:footnote w:type="continuationSeparator" w:id="0">
    <w:p w14:paraId="4BAE4036" w14:textId="77777777" w:rsidR="00D65581" w:rsidRDefault="00D65581"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BC4880" w14:textId="77777777" w:rsidR="003D0329" w:rsidRDefault="003D0329">
    <w:pPr>
      <w:pStyle w:val="Zhlav"/>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4E604" w14:textId="77777777" w:rsidR="003D0329" w:rsidRDefault="003D0329">
    <w:pPr>
      <w:pStyle w:val="Zhlav"/>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A9863" w14:textId="77777777" w:rsidR="003D0329" w:rsidRDefault="003D0329">
    <w:pPr>
      <w:pStyle w:val="Zhlav"/>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Nadpis1"/>
      <w:suff w:val="nothing"/>
      <w:lvlText w:val=""/>
      <w:lvlJc w:val="left"/>
      <w:pPr>
        <w:tabs>
          <w:tab w:val="num" w:pos="0"/>
        </w:tabs>
        <w:ind w:left="432" w:hanging="432"/>
      </w:pPr>
    </w:lvl>
    <w:lvl w:ilvl="1">
      <w:start w:val="1"/>
      <w:numFmt w:val="none"/>
      <w:pStyle w:val="Nadpis2"/>
      <w:suff w:val="nothing"/>
      <w:lvlText w:val=""/>
      <w:lvlJc w:val="left"/>
      <w:pPr>
        <w:tabs>
          <w:tab w:val="num" w:pos="0"/>
        </w:tabs>
        <w:ind w:left="576" w:hanging="576"/>
      </w:pPr>
    </w:lvl>
    <w:lvl w:ilvl="2">
      <w:start w:val="1"/>
      <w:numFmt w:val="none"/>
      <w:pStyle w:val="Nadpis3"/>
      <w:suff w:val="nothing"/>
      <w:lvlText w:val=""/>
      <w:lvlJc w:val="left"/>
      <w:pPr>
        <w:tabs>
          <w:tab w:val="num" w:pos="0"/>
        </w:tabs>
        <w:ind w:left="720" w:hanging="720"/>
      </w:pPr>
    </w:lvl>
    <w:lvl w:ilvl="3">
      <w:start w:val="1"/>
      <w:numFmt w:val="none"/>
      <w:pStyle w:val="Nadpis4"/>
      <w:suff w:val="nothing"/>
      <w:lvlText w:val=""/>
      <w:lvlJc w:val="left"/>
      <w:pPr>
        <w:tabs>
          <w:tab w:val="num" w:pos="0"/>
        </w:tabs>
        <w:ind w:left="864" w:hanging="864"/>
      </w:pPr>
    </w:lvl>
    <w:lvl w:ilvl="4">
      <w:start w:val="1"/>
      <w:numFmt w:val="none"/>
      <w:pStyle w:val="Nadpis5"/>
      <w:suff w:val="nothing"/>
      <w:lvlText w:val=""/>
      <w:lvlJc w:val="left"/>
      <w:pPr>
        <w:tabs>
          <w:tab w:val="num" w:pos="0"/>
        </w:tabs>
        <w:ind w:left="1008" w:hanging="1008"/>
      </w:pPr>
    </w:lvl>
    <w:lvl w:ilvl="5">
      <w:start w:val="1"/>
      <w:numFmt w:val="none"/>
      <w:pStyle w:val="Nadpis6"/>
      <w:suff w:val="nothing"/>
      <w:lvlText w:val=""/>
      <w:lvlJc w:val="left"/>
      <w:pPr>
        <w:tabs>
          <w:tab w:val="num" w:pos="0"/>
        </w:tabs>
        <w:ind w:left="1152" w:hanging="1152"/>
      </w:pPr>
    </w:lvl>
    <w:lvl w:ilvl="6">
      <w:start w:val="1"/>
      <w:numFmt w:val="none"/>
      <w:pStyle w:val="Nadpis7"/>
      <w:suff w:val="nothing"/>
      <w:lvlText w:val=""/>
      <w:lvlJc w:val="left"/>
      <w:pPr>
        <w:tabs>
          <w:tab w:val="num" w:pos="0"/>
        </w:tabs>
        <w:ind w:left="1296" w:hanging="1296"/>
      </w:pPr>
    </w:lvl>
    <w:lvl w:ilvl="7">
      <w:start w:val="1"/>
      <w:numFmt w:val="none"/>
      <w:pStyle w:val="Nadpis8"/>
      <w:suff w:val="nothing"/>
      <w:lvlText w:val=""/>
      <w:lvlJc w:val="left"/>
      <w:pPr>
        <w:tabs>
          <w:tab w:val="num" w:pos="0"/>
        </w:tabs>
        <w:ind w:left="1440" w:hanging="1440"/>
      </w:pPr>
    </w:lvl>
    <w:lvl w:ilvl="8">
      <w:start w:val="1"/>
      <w:numFmt w:val="none"/>
      <w:pStyle w:val="Nadpis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202203">
    <w:abstractNumId w:val="0"/>
  </w:num>
  <w:num w:numId="2" w16cid:durableId="1578326743">
    <w:abstractNumId w:val="1"/>
  </w:num>
  <w:num w:numId="3" w16cid:durableId="1541091715">
    <w:abstractNumId w:val="10"/>
  </w:num>
  <w:num w:numId="4" w16cid:durableId="1116487411">
    <w:abstractNumId w:val="24"/>
  </w:num>
  <w:num w:numId="5" w16cid:durableId="932324202">
    <w:abstractNumId w:val="9"/>
  </w:num>
  <w:num w:numId="6" w16cid:durableId="979848605">
    <w:abstractNumId w:val="23"/>
  </w:num>
  <w:num w:numId="7" w16cid:durableId="219632253">
    <w:abstractNumId w:val="27"/>
  </w:num>
  <w:num w:numId="8" w16cid:durableId="870919749">
    <w:abstractNumId w:val="19"/>
  </w:num>
  <w:num w:numId="9" w16cid:durableId="736709032">
    <w:abstractNumId w:val="6"/>
  </w:num>
  <w:num w:numId="10" w16cid:durableId="1173911525">
    <w:abstractNumId w:val="16"/>
  </w:num>
  <w:num w:numId="11" w16cid:durableId="1537964201">
    <w:abstractNumId w:val="20"/>
  </w:num>
  <w:num w:numId="12" w16cid:durableId="1084297150">
    <w:abstractNumId w:val="11"/>
  </w:num>
  <w:num w:numId="13" w16cid:durableId="771432943">
    <w:abstractNumId w:val="4"/>
  </w:num>
  <w:num w:numId="14" w16cid:durableId="1058477073">
    <w:abstractNumId w:val="17"/>
  </w:num>
  <w:num w:numId="15" w16cid:durableId="259916948">
    <w:abstractNumId w:val="5"/>
  </w:num>
  <w:num w:numId="16" w16cid:durableId="1337802442">
    <w:abstractNumId w:val="22"/>
  </w:num>
  <w:num w:numId="17" w16cid:durableId="1214125144">
    <w:abstractNumId w:val="3"/>
  </w:num>
  <w:num w:numId="18" w16cid:durableId="1343357263">
    <w:abstractNumId w:val="18"/>
  </w:num>
  <w:num w:numId="19" w16cid:durableId="304236780">
    <w:abstractNumId w:val="2"/>
  </w:num>
  <w:num w:numId="20" w16cid:durableId="1993487886">
    <w:abstractNumId w:val="26"/>
  </w:num>
  <w:num w:numId="21" w16cid:durableId="836194230">
    <w:abstractNumId w:val="13"/>
  </w:num>
  <w:num w:numId="22" w16cid:durableId="1225797648">
    <w:abstractNumId w:val="12"/>
  </w:num>
  <w:num w:numId="23" w16cid:durableId="515264645">
    <w:abstractNumId w:val="25"/>
  </w:num>
  <w:num w:numId="24" w16cid:durableId="1694377661">
    <w:abstractNumId w:val="28"/>
  </w:num>
  <w:num w:numId="25" w16cid:durableId="2143765461">
    <w:abstractNumId w:val="7"/>
  </w:num>
  <w:num w:numId="26" w16cid:durableId="2050908224">
    <w:abstractNumId w:val="15"/>
  </w:num>
  <w:num w:numId="27" w16cid:durableId="1541018926">
    <w:abstractNumId w:val="14"/>
  </w:num>
  <w:num w:numId="28" w16cid:durableId="1440754608">
    <w:abstractNumId w:val="21"/>
  </w:num>
  <w:num w:numId="29" w16cid:durableId="8298296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hyphenationZone w:val="425"/>
  <w:defaultTableStyle w:val="Normln"/>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sxqAbKCQ3wsAAAA"/>
  </w:docVars>
  <w:rsids>
    <w:rsidRoot w:val="008D09FF"/>
    <w:rsid w:val="000143B4"/>
    <w:rsid w:val="000157F7"/>
    <w:rsid w:val="000169FC"/>
    <w:rsid w:val="00026F62"/>
    <w:rsid w:val="0003210E"/>
    <w:rsid w:val="00033E1E"/>
    <w:rsid w:val="00043DD1"/>
    <w:rsid w:val="00044E03"/>
    <w:rsid w:val="000470B4"/>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24BDF"/>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BBC"/>
    <w:rsid w:val="001F2F9D"/>
    <w:rsid w:val="002037AB"/>
    <w:rsid w:val="00203ADA"/>
    <w:rsid w:val="00207BF7"/>
    <w:rsid w:val="0021152B"/>
    <w:rsid w:val="00214B85"/>
    <w:rsid w:val="002157B6"/>
    <w:rsid w:val="00230DC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C5059"/>
    <w:rsid w:val="003D0329"/>
    <w:rsid w:val="003D2B08"/>
    <w:rsid w:val="003D6472"/>
    <w:rsid w:val="003E3CE3"/>
    <w:rsid w:val="003F321A"/>
    <w:rsid w:val="003F58CF"/>
    <w:rsid w:val="003F652C"/>
    <w:rsid w:val="003F6A34"/>
    <w:rsid w:val="004001C6"/>
    <w:rsid w:val="00404F5C"/>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64B86"/>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3D1"/>
    <w:rsid w:val="007E5D62"/>
    <w:rsid w:val="007E61B3"/>
    <w:rsid w:val="007E79B8"/>
    <w:rsid w:val="007F543B"/>
    <w:rsid w:val="007F5B80"/>
    <w:rsid w:val="007F654B"/>
    <w:rsid w:val="00814EE5"/>
    <w:rsid w:val="008210CC"/>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B551D"/>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5453B"/>
    <w:rsid w:val="00A60F2E"/>
    <w:rsid w:val="00A62491"/>
    <w:rsid w:val="00A630B9"/>
    <w:rsid w:val="00A654E6"/>
    <w:rsid w:val="00A7011E"/>
    <w:rsid w:val="00A70CE1"/>
    <w:rsid w:val="00A73945"/>
    <w:rsid w:val="00A74816"/>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0718"/>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1AA5"/>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4D8"/>
    <w:rsid w:val="00C57D30"/>
    <w:rsid w:val="00C66F95"/>
    <w:rsid w:val="00C73ADD"/>
    <w:rsid w:val="00C74D7D"/>
    <w:rsid w:val="00C8669D"/>
    <w:rsid w:val="00C8743A"/>
    <w:rsid w:val="00C919FB"/>
    <w:rsid w:val="00CA59F2"/>
    <w:rsid w:val="00CC3413"/>
    <w:rsid w:val="00CC671B"/>
    <w:rsid w:val="00CD2539"/>
    <w:rsid w:val="00CE3569"/>
    <w:rsid w:val="00CE4E4E"/>
    <w:rsid w:val="00CE5BDB"/>
    <w:rsid w:val="00CF15D8"/>
    <w:rsid w:val="00CF5F42"/>
    <w:rsid w:val="00D20ECD"/>
    <w:rsid w:val="00D2166C"/>
    <w:rsid w:val="00D23569"/>
    <w:rsid w:val="00D30910"/>
    <w:rsid w:val="00D35421"/>
    <w:rsid w:val="00D4151E"/>
    <w:rsid w:val="00D444CD"/>
    <w:rsid w:val="00D50037"/>
    <w:rsid w:val="00D65581"/>
    <w:rsid w:val="00D73C7F"/>
    <w:rsid w:val="00D81130"/>
    <w:rsid w:val="00D942AF"/>
    <w:rsid w:val="00D9463B"/>
    <w:rsid w:val="00DA3189"/>
    <w:rsid w:val="00DA3A21"/>
    <w:rsid w:val="00DA5D0B"/>
    <w:rsid w:val="00DB19D0"/>
    <w:rsid w:val="00DB5216"/>
    <w:rsid w:val="00DC13DA"/>
    <w:rsid w:val="00DC1EDB"/>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5B85"/>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6143A"/>
    <w:rsid w:val="00F71CCB"/>
    <w:rsid w:val="00FA1905"/>
    <w:rsid w:val="00FA3835"/>
    <w:rsid w:val="00FB012C"/>
    <w:rsid w:val="00FB362D"/>
    <w:rsid w:val="00FB44DD"/>
    <w:rsid w:val="00FB5913"/>
    <w:rsid w:val="00FB636C"/>
    <w:rsid w:val="00FD08F7"/>
    <w:rsid w:val="00FE007F"/>
    <w:rsid w:val="00FE1106"/>
    <w:rsid w:val="00FE22D5"/>
    <w:rsid w:val="00FE2AD0"/>
    <w:rsid w:val="00FE3A7A"/>
    <w:rsid w:val="00FE5D8F"/>
    <w:rsid w:val="00FF574F"/>
    <w:rsid w:val="00FF5CDD"/>
    <w:rsid w:val="08F9C9DD"/>
    <w:rsid w:val="67F94E6B"/>
    <w:rsid w:val="6AE22B0F"/>
    <w:rsid w:val="7F1515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80E7478"/>
  <w15:chartTrackingRefBased/>
  <w15:docId w15:val="{9C56F966-BACD-42C7-9FEA-0C1D939DF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pPr>
      <w:suppressAutoHyphens/>
      <w:spacing w:line="360" w:lineRule="auto"/>
      <w:jc w:val="both"/>
    </w:pPr>
    <w:rPr>
      <w:rFonts w:eastAsia="Calibri"/>
      <w:color w:val="000000"/>
      <w:sz w:val="24"/>
      <w:szCs w:val="22"/>
      <w:lang w:val="en-GB" w:eastAsia="ar-SA"/>
    </w:rPr>
  </w:style>
  <w:style w:type="paragraph" w:styleId="Nadpis1">
    <w:name w:val="heading 1"/>
    <w:basedOn w:val="Normln"/>
    <w:next w:val="Normln"/>
    <w:qFormat/>
    <w:pPr>
      <w:keepNext/>
      <w:keepLines/>
      <w:numPr>
        <w:numId w:val="1"/>
      </w:numPr>
      <w:spacing w:before="113"/>
      <w:outlineLvl w:val="0"/>
    </w:pPr>
    <w:rPr>
      <w:rFonts w:eastAsia="Times New Roman"/>
      <w:b/>
      <w:bCs/>
      <w:sz w:val="28"/>
      <w:szCs w:val="28"/>
    </w:rPr>
  </w:style>
  <w:style w:type="paragraph" w:styleId="Nadpis2">
    <w:name w:val="heading 2"/>
    <w:basedOn w:val="Normln"/>
    <w:next w:val="Normln"/>
    <w:qFormat/>
    <w:pPr>
      <w:keepNext/>
      <w:keepLines/>
      <w:numPr>
        <w:ilvl w:val="1"/>
        <w:numId w:val="1"/>
      </w:numPr>
      <w:spacing w:before="113"/>
      <w:outlineLvl w:val="1"/>
    </w:pPr>
    <w:rPr>
      <w:rFonts w:eastAsia="Times New Roman"/>
      <w:bCs/>
      <w:szCs w:val="26"/>
      <w:u w:val="single"/>
    </w:rPr>
  </w:style>
  <w:style w:type="paragraph" w:styleId="Nadpis3">
    <w:name w:val="heading 3"/>
    <w:basedOn w:val="Heading"/>
    <w:next w:val="Zkladntext"/>
    <w:qFormat/>
    <w:pPr>
      <w:numPr>
        <w:ilvl w:val="2"/>
        <w:numId w:val="1"/>
      </w:numPr>
      <w:outlineLvl w:val="2"/>
    </w:pPr>
    <w:rPr>
      <w:b/>
      <w:bCs/>
    </w:rPr>
  </w:style>
  <w:style w:type="paragraph" w:styleId="Nadpis4">
    <w:name w:val="heading 4"/>
    <w:basedOn w:val="Heading"/>
    <w:next w:val="Zkladntext"/>
    <w:qFormat/>
    <w:pPr>
      <w:numPr>
        <w:ilvl w:val="3"/>
        <w:numId w:val="1"/>
      </w:numPr>
      <w:outlineLvl w:val="3"/>
    </w:pPr>
    <w:rPr>
      <w:b/>
      <w:bCs/>
      <w:i/>
      <w:iCs/>
      <w:sz w:val="24"/>
      <w:szCs w:val="24"/>
    </w:rPr>
  </w:style>
  <w:style w:type="paragraph" w:styleId="Nadpis5">
    <w:name w:val="heading 5"/>
    <w:basedOn w:val="Heading"/>
    <w:next w:val="Zkladntext"/>
    <w:qFormat/>
    <w:pPr>
      <w:numPr>
        <w:ilvl w:val="4"/>
        <w:numId w:val="1"/>
      </w:numPr>
      <w:outlineLvl w:val="4"/>
    </w:pPr>
    <w:rPr>
      <w:b/>
      <w:bCs/>
      <w:sz w:val="24"/>
      <w:szCs w:val="24"/>
    </w:rPr>
  </w:style>
  <w:style w:type="paragraph" w:styleId="Nadpis6">
    <w:name w:val="heading 6"/>
    <w:basedOn w:val="Heading"/>
    <w:next w:val="Zkladntext"/>
    <w:qFormat/>
    <w:pPr>
      <w:numPr>
        <w:ilvl w:val="5"/>
        <w:numId w:val="1"/>
      </w:numPr>
      <w:outlineLvl w:val="5"/>
    </w:pPr>
    <w:rPr>
      <w:b/>
      <w:bCs/>
      <w:sz w:val="21"/>
      <w:szCs w:val="21"/>
    </w:rPr>
  </w:style>
  <w:style w:type="paragraph" w:styleId="Nadpis7">
    <w:name w:val="heading 7"/>
    <w:basedOn w:val="Heading"/>
    <w:next w:val="Zkladntext"/>
    <w:qFormat/>
    <w:pPr>
      <w:numPr>
        <w:ilvl w:val="6"/>
        <w:numId w:val="1"/>
      </w:numPr>
      <w:outlineLvl w:val="6"/>
    </w:pPr>
    <w:rPr>
      <w:b/>
      <w:bCs/>
      <w:sz w:val="21"/>
      <w:szCs w:val="21"/>
    </w:rPr>
  </w:style>
  <w:style w:type="paragraph" w:styleId="Nadpis8">
    <w:name w:val="heading 8"/>
    <w:basedOn w:val="Heading"/>
    <w:next w:val="Zkladntext"/>
    <w:qFormat/>
    <w:pPr>
      <w:numPr>
        <w:ilvl w:val="7"/>
        <w:numId w:val="1"/>
      </w:numPr>
      <w:outlineLvl w:val="7"/>
    </w:pPr>
    <w:rPr>
      <w:b/>
      <w:bCs/>
      <w:sz w:val="21"/>
      <w:szCs w:val="21"/>
    </w:rPr>
  </w:style>
  <w:style w:type="paragraph" w:styleId="Nadpis9">
    <w:name w:val="heading 9"/>
    <w:basedOn w:val="Heading"/>
    <w:next w:val="Zkladntext"/>
    <w:qFormat/>
    <w:pPr>
      <w:numPr>
        <w:ilvl w:val="8"/>
        <w:numId w:val="1"/>
      </w:numPr>
      <w:outlineLvl w:val="8"/>
    </w:pPr>
    <w:rPr>
      <w:b/>
      <w:bCs/>
      <w:sz w:val="21"/>
      <w:szCs w:val="21"/>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DefaultParagraphFont0">
    <w:name w:val="Default Paragraph Font0"/>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textovodkaz">
    <w:name w:val="Hyperlink"/>
    <w:uiPriority w:val="99"/>
    <w:rPr>
      <w:color w:val="000080"/>
      <w:u w:val="single"/>
    </w:rPr>
  </w:style>
  <w:style w:type="character" w:styleId="Odkaznakoment">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iln">
    <w:name w:val="Strong"/>
    <w:uiPriority w:val="22"/>
    <w:qFormat/>
    <w:rPr>
      <w:b/>
      <w:bCs/>
    </w:rPr>
  </w:style>
  <w:style w:type="character" w:customStyle="1" w:styleId="FootnoteCharacters">
    <w:name w:val="Footnote Characters"/>
  </w:style>
  <w:style w:type="character" w:styleId="Znakapoznpodarou">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ln"/>
    <w:next w:val="Zkladntext"/>
    <w:pPr>
      <w:keepNext/>
      <w:spacing w:before="240" w:after="120"/>
    </w:pPr>
    <w:rPr>
      <w:rFonts w:ascii="Arial" w:eastAsia="Droid Sans" w:hAnsi="Arial" w:cs="DejaVu Sans"/>
      <w:sz w:val="28"/>
      <w:szCs w:val="28"/>
    </w:rPr>
  </w:style>
  <w:style w:type="paragraph" w:styleId="Zkladntext">
    <w:name w:val="Body Text"/>
    <w:basedOn w:val="Normln"/>
  </w:style>
  <w:style w:type="paragraph" w:styleId="Seznam">
    <w:name w:val="List"/>
    <w:basedOn w:val="Zkladntext"/>
    <w:rPr>
      <w:rFonts w:cs="DejaVu Sans"/>
    </w:rPr>
  </w:style>
  <w:style w:type="paragraph" w:styleId="Titulek">
    <w:name w:val="caption"/>
    <w:basedOn w:val="Normln"/>
    <w:qFormat/>
    <w:pPr>
      <w:suppressLineNumbers/>
      <w:spacing w:before="120" w:after="120"/>
    </w:pPr>
    <w:rPr>
      <w:rFonts w:cs="DejaVu Sans"/>
      <w:i/>
      <w:iCs/>
      <w:szCs w:val="24"/>
    </w:rPr>
  </w:style>
  <w:style w:type="paragraph" w:customStyle="1" w:styleId="Index">
    <w:name w:val="Index"/>
    <w:basedOn w:val="Normln"/>
    <w:pPr>
      <w:suppressLineNumbers/>
    </w:pPr>
    <w:rPr>
      <w:rFonts w:cs="DejaVu Sans"/>
    </w:rPr>
  </w:style>
  <w:style w:type="paragraph" w:styleId="Zhlav">
    <w:name w:val="header"/>
    <w:basedOn w:val="Normln"/>
    <w:pPr>
      <w:tabs>
        <w:tab w:val="center" w:pos="4680"/>
        <w:tab w:val="right" w:pos="9360"/>
      </w:tabs>
      <w:spacing w:line="240" w:lineRule="auto"/>
    </w:pPr>
  </w:style>
  <w:style w:type="paragraph" w:styleId="Zpat">
    <w:name w:val="footer"/>
    <w:basedOn w:val="Normln"/>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Bezmezer">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ln"/>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ln"/>
    <w:rPr>
      <w:rFonts w:ascii="DejaVu Sans Mono" w:eastAsia="Droid Sans" w:hAnsi="DejaVu Sans Mono" w:cs="DejaVu Sans Mono"/>
      <w:sz w:val="20"/>
      <w:szCs w:val="20"/>
    </w:rPr>
  </w:style>
  <w:style w:type="paragraph" w:styleId="Odstavecseseznamem">
    <w:name w:val="List Paragraph"/>
    <w:basedOn w:val="Normln"/>
    <w:qFormat/>
  </w:style>
  <w:style w:type="paragraph" w:styleId="Obsah1">
    <w:name w:val="toc 1"/>
    <w:basedOn w:val="Index"/>
    <w:uiPriority w:val="39"/>
    <w:pPr>
      <w:tabs>
        <w:tab w:val="right" w:leader="dot" w:pos="9360"/>
      </w:tabs>
    </w:pPr>
  </w:style>
  <w:style w:type="paragraph" w:styleId="Obsah2">
    <w:name w:val="toc 2"/>
    <w:basedOn w:val="Index"/>
    <w:uiPriority w:val="39"/>
    <w:pPr>
      <w:tabs>
        <w:tab w:val="right" w:leader="dot" w:pos="9077"/>
      </w:tabs>
      <w:ind w:left="283"/>
    </w:pPr>
  </w:style>
  <w:style w:type="paragraph" w:styleId="Obsah3">
    <w:name w:val="toc 3"/>
    <w:basedOn w:val="Index"/>
    <w:pPr>
      <w:tabs>
        <w:tab w:val="right" w:leader="dot" w:pos="9072"/>
      </w:tabs>
      <w:ind w:left="566"/>
    </w:pPr>
  </w:style>
  <w:style w:type="paragraph" w:styleId="Obsah4">
    <w:name w:val="toc 4"/>
    <w:basedOn w:val="Index"/>
    <w:pPr>
      <w:tabs>
        <w:tab w:val="right" w:leader="dot" w:pos="8789"/>
      </w:tabs>
      <w:ind w:left="849"/>
    </w:pPr>
  </w:style>
  <w:style w:type="paragraph" w:styleId="Obsah5">
    <w:name w:val="toc 5"/>
    <w:basedOn w:val="Index"/>
    <w:pPr>
      <w:tabs>
        <w:tab w:val="right" w:leader="dot" w:pos="8506"/>
      </w:tabs>
      <w:ind w:left="1132"/>
    </w:pPr>
  </w:style>
  <w:style w:type="paragraph" w:styleId="Obsah6">
    <w:name w:val="toc 6"/>
    <w:basedOn w:val="Index"/>
    <w:pPr>
      <w:tabs>
        <w:tab w:val="right" w:leader="dot" w:pos="8223"/>
      </w:tabs>
      <w:ind w:left="1415"/>
    </w:pPr>
  </w:style>
  <w:style w:type="paragraph" w:styleId="Obsah7">
    <w:name w:val="toc 7"/>
    <w:basedOn w:val="Index"/>
    <w:pPr>
      <w:tabs>
        <w:tab w:val="right" w:leader="dot" w:pos="7940"/>
      </w:tabs>
      <w:ind w:left="1698"/>
    </w:pPr>
  </w:style>
  <w:style w:type="paragraph" w:styleId="Obsah8">
    <w:name w:val="toc 8"/>
    <w:basedOn w:val="Index"/>
    <w:pPr>
      <w:tabs>
        <w:tab w:val="right" w:leader="dot" w:pos="7657"/>
      </w:tabs>
      <w:ind w:left="1981"/>
    </w:pPr>
  </w:style>
  <w:style w:type="paragraph" w:styleId="Obsah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poznpodarou">
    <w:name w:val="footnote text"/>
    <w:basedOn w:val="Normln"/>
    <w:pPr>
      <w:suppressLineNumbers/>
      <w:ind w:left="283" w:hanging="283"/>
    </w:pPr>
    <w:rPr>
      <w:sz w:val="20"/>
      <w:szCs w:val="20"/>
    </w:rPr>
  </w:style>
  <w:style w:type="paragraph" w:styleId="Nzev">
    <w:name w:val="Title"/>
    <w:basedOn w:val="Normln"/>
    <w:next w:val="Normln"/>
    <w:qFormat/>
    <w:pPr>
      <w:spacing w:before="240" w:after="60"/>
      <w:jc w:val="center"/>
    </w:pPr>
    <w:rPr>
      <w:rFonts w:ascii="Cambria" w:eastAsia="Times New Roman" w:hAnsi="Cambria"/>
      <w:b/>
      <w:bCs/>
      <w:kern w:val="1"/>
      <w:sz w:val="32"/>
      <w:szCs w:val="32"/>
    </w:rPr>
  </w:style>
  <w:style w:type="paragraph" w:styleId="Podnadpis">
    <w:name w:val="Subtitle"/>
    <w:basedOn w:val="Heading"/>
    <w:next w:val="Zkladntext"/>
    <w:qFormat/>
    <w:pPr>
      <w:jc w:val="center"/>
    </w:pPr>
    <w:rPr>
      <w:i/>
      <w:iCs/>
    </w:rPr>
  </w:style>
  <w:style w:type="paragraph" w:styleId="Normlnweb">
    <w:name w:val="Normal (Web)"/>
    <w:basedOn w:val="Normln"/>
    <w:uiPriority w:val="99"/>
    <w:pPr>
      <w:spacing w:line="100" w:lineRule="atLeast"/>
    </w:pPr>
    <w:rPr>
      <w:szCs w:val="24"/>
    </w:rPr>
  </w:style>
  <w:style w:type="paragraph" w:customStyle="1" w:styleId="Heading10">
    <w:name w:val="Heading 10"/>
    <w:basedOn w:val="Heading"/>
    <w:next w:val="Zkladntext"/>
    <w:pPr>
      <w:numPr>
        <w:numId w:val="2"/>
      </w:numPr>
    </w:pPr>
    <w:rPr>
      <w:b/>
      <w:bCs/>
      <w:sz w:val="21"/>
      <w:szCs w:val="21"/>
    </w:rPr>
  </w:style>
  <w:style w:type="table" w:styleId="Mkatabulky">
    <w:name w:val="Table Grid"/>
    <w:basedOn w:val="Normlntabulka"/>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rosttabulka1">
    <w:name w:val="Plain Table 1"/>
    <w:basedOn w:val="Normlntabulka"/>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Zdraznn">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Nevyeenzmnka1">
    <w:name w:val="Nevyřešená zmínka1"/>
    <w:uiPriority w:val="99"/>
    <w:semiHidden/>
    <w:unhideWhenUsed/>
    <w:rsid w:val="003F6A34"/>
    <w:rPr>
      <w:color w:val="605E5C"/>
      <w:shd w:val="clear" w:color="auto" w:fill="E1DFDD"/>
    </w:rPr>
  </w:style>
  <w:style w:type="paragraph" w:styleId="Seznamobrzk">
    <w:name w:val="table of figures"/>
    <w:basedOn w:val="Normln"/>
    <w:next w:val="Normln"/>
    <w:uiPriority w:val="99"/>
    <w:unhideWhenUsed/>
    <w:rsid w:val="00DE64C4"/>
  </w:style>
  <w:style w:type="character" w:styleId="Sledovanodkaz">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8973910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05972250">
      <w:bodyDiv w:val="1"/>
      <w:marLeft w:val="0"/>
      <w:marRight w:val="0"/>
      <w:marTop w:val="0"/>
      <w:marBottom w:val="0"/>
      <w:divBdr>
        <w:top w:val="none" w:sz="0" w:space="0" w:color="auto"/>
        <w:left w:val="none" w:sz="0" w:space="0" w:color="auto"/>
        <w:bottom w:val="none" w:sz="0" w:space="0" w:color="auto"/>
        <w:right w:val="none" w:sz="0" w:space="0" w:color="auto"/>
      </w:divBdr>
    </w:div>
    <w:div w:id="127011425">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23567916">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5829319">
      <w:bodyDiv w:val="1"/>
      <w:marLeft w:val="0"/>
      <w:marRight w:val="0"/>
      <w:marTop w:val="0"/>
      <w:marBottom w:val="0"/>
      <w:divBdr>
        <w:top w:val="none" w:sz="0" w:space="0" w:color="auto"/>
        <w:left w:val="none" w:sz="0" w:space="0" w:color="auto"/>
        <w:bottom w:val="none" w:sz="0" w:space="0" w:color="auto"/>
        <w:right w:val="none" w:sz="0" w:space="0" w:color="auto"/>
      </w:divBdr>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15388356">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84423549">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881136635">
      <w:bodyDiv w:val="1"/>
      <w:marLeft w:val="0"/>
      <w:marRight w:val="0"/>
      <w:marTop w:val="0"/>
      <w:marBottom w:val="0"/>
      <w:divBdr>
        <w:top w:val="none" w:sz="0" w:space="0" w:color="auto"/>
        <w:left w:val="none" w:sz="0" w:space="0" w:color="auto"/>
        <w:bottom w:val="none" w:sz="0" w:space="0" w:color="auto"/>
        <w:right w:val="none" w:sz="0" w:space="0" w:color="auto"/>
      </w:divBdr>
      <w:divsChild>
        <w:div w:id="1124156659">
          <w:marLeft w:val="0"/>
          <w:marRight w:val="0"/>
          <w:marTop w:val="0"/>
          <w:marBottom w:val="0"/>
          <w:divBdr>
            <w:top w:val="none" w:sz="0" w:space="0" w:color="auto"/>
            <w:left w:val="none" w:sz="0" w:space="0" w:color="auto"/>
            <w:bottom w:val="none" w:sz="0" w:space="0" w:color="auto"/>
            <w:right w:val="none" w:sz="0" w:space="0" w:color="auto"/>
          </w:divBdr>
        </w:div>
      </w:divsChild>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798643736">
      <w:bodyDiv w:val="1"/>
      <w:marLeft w:val="0"/>
      <w:marRight w:val="0"/>
      <w:marTop w:val="0"/>
      <w:marBottom w:val="0"/>
      <w:divBdr>
        <w:top w:val="none" w:sz="0" w:space="0" w:color="auto"/>
        <w:left w:val="none" w:sz="0" w:space="0" w:color="auto"/>
        <w:bottom w:val="none" w:sz="0" w:space="0" w:color="auto"/>
        <w:right w:val="none" w:sz="0" w:space="0" w:color="auto"/>
      </w:divBdr>
      <w:divsChild>
        <w:div w:id="1445229729">
          <w:marLeft w:val="0"/>
          <w:marRight w:val="0"/>
          <w:marTop w:val="0"/>
          <w:marBottom w:val="0"/>
          <w:divBdr>
            <w:top w:val="none" w:sz="0" w:space="0" w:color="auto"/>
            <w:left w:val="none" w:sz="0" w:space="0" w:color="auto"/>
            <w:bottom w:val="none" w:sz="0" w:space="0" w:color="auto"/>
            <w:right w:val="none" w:sz="0" w:space="0" w:color="auto"/>
          </w:divBdr>
        </w:div>
      </w:divsChild>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037923564">
      <w:bodyDiv w:val="1"/>
      <w:marLeft w:val="0"/>
      <w:marRight w:val="0"/>
      <w:marTop w:val="0"/>
      <w:marBottom w:val="0"/>
      <w:divBdr>
        <w:top w:val="none" w:sz="0" w:space="0" w:color="auto"/>
        <w:left w:val="none" w:sz="0" w:space="0" w:color="auto"/>
        <w:bottom w:val="none" w:sz="0" w:space="0" w:color="auto"/>
        <w:right w:val="none" w:sz="0" w:space="0" w:color="auto"/>
      </w:divBdr>
    </w:div>
    <w:div w:id="2107076014">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0-57267-9" TargetMode="External"/><Relationship Id="rId18" Type="http://schemas.openxmlformats.org/officeDocument/2006/relationships/hyperlink" Target="https://doi.org/10.1111/jocn.15729"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186/s12909-023-04730-2" TargetMode="External"/><Relationship Id="rId7" Type="http://schemas.openxmlformats.org/officeDocument/2006/relationships/endnotes" Target="endnotes.xml"/><Relationship Id="rId12" Type="http://schemas.openxmlformats.org/officeDocument/2006/relationships/hyperlink" Target="https://doi.org/10.5334/ijic.4722" TargetMode="External"/><Relationship Id="rId17" Type="http://schemas.openxmlformats.org/officeDocument/2006/relationships/hyperlink" Target="https://doi.org/10.4324/9781003466550-5" TargetMode="External"/><Relationship Id="rId25" Type="http://schemas.openxmlformats.org/officeDocument/2006/relationships/hyperlink" Target="https://doi.org/10.35680/2372-0247.180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978-3-031-25376-8_1-1" TargetMode="External"/><Relationship Id="rId20" Type="http://schemas.openxmlformats.org/officeDocument/2006/relationships/hyperlink" Target="https://doi.org/10.1111/hsc.13599"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59/000517536" TargetMode="External"/><Relationship Id="rId24" Type="http://schemas.openxmlformats.org/officeDocument/2006/relationships/hyperlink" Target="https://doi.org/10.1109/mits.2019.295355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bmjgh-2020-003330" TargetMode="External"/><Relationship Id="rId23" Type="http://schemas.openxmlformats.org/officeDocument/2006/relationships/hyperlink" Target="https://doi.org/10.1186/s12910-024-01133-w" TargetMode="External"/><Relationship Id="rId28" Type="http://schemas.openxmlformats.org/officeDocument/2006/relationships/footer" Target="footer1.xml"/><Relationship Id="rId10" Type="http://schemas.openxmlformats.org/officeDocument/2006/relationships/hyperlink" Target="https://doi.org/10.1111/jan.15865" TargetMode="External"/><Relationship Id="rId19" Type="http://schemas.openxmlformats.org/officeDocument/2006/relationships/hyperlink" Target="https://doi.org/10.1136/bmj.h5727"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books.google.com/books" TargetMode="External"/><Relationship Id="rId14" Type="http://schemas.openxmlformats.org/officeDocument/2006/relationships/hyperlink" Target="https://doi.org/10.1080/02687038.2021.1907294" TargetMode="External"/><Relationship Id="rId22" Type="http://schemas.openxmlformats.org/officeDocument/2006/relationships/hyperlink" Target="https://doi.org/10.1016/j.ccm.2020.05.002"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doi.org/10.1186/s12889-021-106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D9E4A-432A-4C26-A0E5-2481FFC47A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2954</Words>
  <Characters>17434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Karin Tokarova (2414165)</cp:lastModifiedBy>
  <cp:revision>2</cp:revision>
  <cp:lastPrinted>1900-01-01T08:00:00Z</cp:lastPrinted>
  <dcterms:created xsi:type="dcterms:W3CDTF">2026-02-11T15:13:00Z</dcterms:created>
  <dcterms:modified xsi:type="dcterms:W3CDTF">2026-02-11T15:13:00Z</dcterms:modified>
</cp:coreProperties>
</file>