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22"/>
          <w:szCs w:val="22"/>
        </w:rPr>
      </w:pPr>
      <w:bookmarkStart w:colFirst="0" w:colLast="0" w:name="_vx7m2ko2yajq" w:id="0"/>
      <w:bookmarkEnd w:id="0"/>
      <w:r w:rsidDel="00000000" w:rsidR="00000000" w:rsidRPr="00000000">
        <w:rPr>
          <w:b w:val="1"/>
          <w:bCs w:val="1"/>
          <w:sz w:val="22"/>
          <w:szCs w:val="22"/>
          <w:rtl w:val="0"/>
        </w:rPr>
        <w:t xml:space="preserve">What was Troeltsch’s central theological problem, and why did he find it so difficult to resolve?</w:t>
      </w:r>
    </w:p>
    <w:p w:rsidR="00000000" w:rsidDel="00000000" w:rsidP="00000000" w:rsidRDefault="00000000" w:rsidRPr="00000000" w14:paraId="00000002">
      <w:pPr>
        <w:pStyle w:val="Heading2"/>
        <w:keepNext w:val="0"/>
        <w:keepLines w:val="0"/>
        <w:spacing w:after="80" w:lineRule="auto"/>
        <w:rPr>
          <w:b w:val="1"/>
          <w:bCs w:val="1"/>
          <w:sz w:val="22"/>
          <w:szCs w:val="22"/>
        </w:rPr>
      </w:pPr>
      <w:bookmarkStart w:colFirst="0" w:colLast="0" w:name="_ywbrg0fyd08k" w:id="1"/>
      <w:bookmarkEnd w:id="1"/>
      <w:r w:rsidDel="00000000" w:rsidR="00000000" w:rsidRPr="00000000">
        <w:rPr>
          <w:b w:val="1"/>
          <w:bCs w:val="1"/>
          <w:sz w:val="22"/>
          <w:szCs w:val="22"/>
          <w:rtl w:val="0"/>
        </w:rPr>
        <w:t xml:space="preserve">Introduction</w:t>
      </w:r>
    </w:p>
    <w:p w:rsidR="00000000" w:rsidDel="00000000" w:rsidP="00000000" w:rsidRDefault="00000000" w:rsidRPr="00000000" w14:paraId="00000003">
      <w:pPr>
        <w:spacing w:after="240" w:before="240" w:lineRule="auto"/>
        <w:rPr/>
      </w:pPr>
      <w:r w:rsidDel="00000000" w:rsidR="00000000" w:rsidRPr="00000000">
        <w:rPr>
          <w:rtl w:val="0"/>
        </w:rPr>
        <w:t xml:space="preserve">The theology of Ernst Troeltsch (1865–1923) occupies a crucial position in the development of modern Protestant thought because it confronted one of the most significant intellectual challenges facing Christianity in the modern period: how Christianity could continue to claim truth and authority in an age shaped by historical criticism, religious pluralism, and modern scientific approaches to knowledge. The nineteenth century had witnessed a profound transformation in the understanding of history. The Bible, religious institutions, and Christian doctrines increasingly came to be examined as historical phenomena rather than simply as expressions of divine revelation. For Troeltsch, this transformation could not be ignored or resisted. Theology had to acknowledge that Christianity existed within history and was subject to historical investigation.</w:t>
      </w:r>
    </w:p>
    <w:p w:rsidR="00000000" w:rsidDel="00000000" w:rsidP="00000000" w:rsidRDefault="00000000" w:rsidRPr="00000000" w14:paraId="00000004">
      <w:pPr>
        <w:spacing w:after="240" w:before="240" w:lineRule="auto"/>
        <w:rPr/>
      </w:pPr>
      <w:r w:rsidDel="00000000" w:rsidR="00000000" w:rsidRPr="00000000">
        <w:rPr>
          <w:rtl w:val="0"/>
        </w:rPr>
        <w:t xml:space="preserve">Troeltsch’s central theological problem was therefore the reconciliation of Christian normativity with modern historical consciousness. He sought to answer the question of how Christianity could remain a meaningful and authoritative faith once the traditional foundations of Christian certainty had been undermined by historicism. If Christianity was historically conditioned like every other religion, on what basis could it claim superiority or universal significance? Yet if Christianity abandoned its claim to theological truth altogether, it would cease to function as a religious tradition capable of guiding human life.</w:t>
      </w:r>
    </w:p>
    <w:p w:rsidR="00000000" w:rsidDel="00000000" w:rsidP="00000000" w:rsidRDefault="00000000" w:rsidRPr="00000000" w14:paraId="00000005">
      <w:pPr>
        <w:spacing w:after="240" w:before="240" w:lineRule="auto"/>
        <w:rPr/>
      </w:pPr>
      <w:r w:rsidDel="00000000" w:rsidR="00000000" w:rsidRPr="00000000">
        <w:rPr>
          <w:rtl w:val="0"/>
        </w:rPr>
        <w:t xml:space="preserve">This essay argues that Troeltsch found this problem difficult to resolve because he attempted to preserve three commitments that were in constant tension with one another. First, he accepted the authority of historical criticism and refused to exempt theology from modern methods of inquiry. Secondly, he maintained that Christianity possessed a distinctive and normative religious value. Thirdly, he insisted that faith must be intellectually responsible and could not depend upon unquestioned dogmatic assumptions. Troeltsch’s importance lies not in offering a final solution to this dilemma but in identifying one of the fundamental problems of modern theology: how a historically situated religion can make claims about universal truth.</w:t>
      </w:r>
    </w:p>
    <w:p w:rsidR="00000000" w:rsidDel="00000000" w:rsidP="00000000" w:rsidRDefault="00000000" w:rsidRPr="00000000" w14:paraId="00000006">
      <w:pPr>
        <w:pStyle w:val="Heading2"/>
        <w:keepNext w:val="0"/>
        <w:keepLines w:val="0"/>
        <w:spacing w:after="80" w:lineRule="auto"/>
        <w:rPr>
          <w:b w:val="1"/>
          <w:bCs w:val="1"/>
          <w:sz w:val="22"/>
          <w:szCs w:val="22"/>
        </w:rPr>
      </w:pPr>
      <w:bookmarkStart w:colFirst="0" w:colLast="0" w:name="_mwdvhql4683p" w:id="2"/>
      <w:bookmarkEnd w:id="2"/>
      <w:r w:rsidDel="00000000" w:rsidR="00000000" w:rsidRPr="00000000">
        <w:rPr>
          <w:b w:val="1"/>
          <w:bCs w:val="1"/>
          <w:sz w:val="22"/>
          <w:szCs w:val="22"/>
          <w:rtl w:val="0"/>
        </w:rPr>
        <w:t xml:space="preserve">Historicism and the Crisis of Theology</w:t>
      </w:r>
    </w:p>
    <w:p w:rsidR="00000000" w:rsidDel="00000000" w:rsidP="00000000" w:rsidRDefault="00000000" w:rsidRPr="00000000" w14:paraId="00000007">
      <w:pPr>
        <w:spacing w:after="240" w:before="240" w:lineRule="auto"/>
        <w:rPr/>
      </w:pPr>
      <w:r w:rsidDel="00000000" w:rsidR="00000000" w:rsidRPr="00000000">
        <w:rPr>
          <w:rtl w:val="0"/>
        </w:rPr>
        <w:t xml:space="preserve">The starting point for understanding Troeltsch’s theological problem is his engagement with historicism. Historicism represented more than an interest in historical study; it involved a fundamental change in the way human beings understood knowledge itself. Human beliefs, institutions, moral systems, and religious traditions came to be interpreted as products of particular historical contexts rather than as timeless realities existing independently of history.</w:t>
      </w:r>
    </w:p>
    <w:p w:rsidR="00000000" w:rsidDel="00000000" w:rsidP="00000000" w:rsidRDefault="00000000" w:rsidRPr="00000000" w14:paraId="00000008">
      <w:pPr>
        <w:spacing w:after="240" w:before="240" w:lineRule="auto"/>
        <w:rPr/>
      </w:pPr>
      <w:r w:rsidDel="00000000" w:rsidR="00000000" w:rsidRPr="00000000">
        <w:rPr>
          <w:rtl w:val="0"/>
        </w:rPr>
        <w:t xml:space="preserve">Troeltsch believed that this historical perspective had become unavoidable. Theology could no longer operate according to assumptions inherited from earlier periods because modern historical consciousness had transformed the intellectual landscape. In his essay ‘On Historical and Dogmatic Method in Theology’, he argued that theology must acknowledge the same historical principles that governed other academic disciplines.</w:t>
      </w:r>
      <w:r w:rsidDel="00000000" w:rsidR="00000000" w:rsidRPr="00000000">
        <w:rPr>
          <w:vertAlign w:val="superscript"/>
        </w:rPr>
        <w:footnoteReference w:customMarkFollows="0" w:id="0"/>
      </w:r>
      <w:r w:rsidDel="00000000" w:rsidR="00000000" w:rsidRPr="00000000">
        <w:rPr>
          <w:rtl w:val="0"/>
        </w:rPr>
        <w:t xml:space="preserve"> Religious claims could not simply be accepted because they had been traditionally affirmed by the church; they required critical examination.</w:t>
      </w:r>
    </w:p>
    <w:p w:rsidR="00000000" w:rsidDel="00000000" w:rsidP="00000000" w:rsidRDefault="00000000" w:rsidRPr="00000000" w14:paraId="00000009">
      <w:pPr>
        <w:spacing w:after="240" w:before="240" w:lineRule="auto"/>
        <w:rPr/>
      </w:pPr>
      <w:r w:rsidDel="00000000" w:rsidR="00000000" w:rsidRPr="00000000">
        <w:rPr>
          <w:rtl w:val="0"/>
        </w:rPr>
        <w:t xml:space="preserve">Troeltsch identified three principles that shaped historical investigation: criticism, analogy, and correlation. Historical criticism meant that conclusions about the past could never achieve absolute certainty but remained open to revision. The principle of analogy suggested that historical events should be interpreted through comparison with experiences known in the present. Correlation emphasised that events must be understood within networks of historical causes and developments rather than as isolated occurrences.</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rtl w:val="0"/>
        </w:rPr>
        <w:t xml:space="preserve">These principles created serious difficulties for traditional Christian theology. Classical accounts of revelation often depended upon the belief that God had acted uniquely within history through events such as the incarnation and resurrection of Christ. However, historical criticism appeared to place these claims within the same framework used to study any other historical event. Christianity could no longer claim an automatic exemption from historical analysis.</w:t>
      </w:r>
    </w:p>
    <w:p w:rsidR="00000000" w:rsidDel="00000000" w:rsidP="00000000" w:rsidRDefault="00000000" w:rsidRPr="00000000" w14:paraId="0000000B">
      <w:pPr>
        <w:spacing w:after="240" w:before="240" w:lineRule="auto"/>
        <w:rPr/>
      </w:pPr>
      <w:r w:rsidDel="00000000" w:rsidR="00000000" w:rsidRPr="00000000">
        <w:rPr>
          <w:rtl w:val="0"/>
        </w:rPr>
        <w:t xml:space="preserve">Troeltsch did not regard this development as a threat that theology should avoid. Instead, he believed that a theology unwilling to engage with modern historical consciousness would lose intellectual credibility. As Mark D. Chapman argues, Troeltsch saw historical criticism not as an enemy of faith but as the defining intellectual achievement with which modern theology had to come to terms.</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t xml:space="preserve">However, accepting historicism created a fundamental theological crisis. If Christianity was historically conditioned, then it appeared to be one religion among many rather than a uniquely revealed truth. The historical study of religion had demonstrated that other traditions possessed profound philosophical, ethical, and spiritual achievements. Christianity could no longer defend its uniqueness simply by appealing to ignorance of alternative religions.</w:t>
      </w:r>
    </w:p>
    <w:p w:rsidR="00000000" w:rsidDel="00000000" w:rsidP="00000000" w:rsidRDefault="00000000" w:rsidRPr="00000000" w14:paraId="0000000D">
      <w:pPr>
        <w:spacing w:after="240" w:before="240" w:lineRule="auto"/>
        <w:rPr/>
      </w:pPr>
      <w:r w:rsidDel="00000000" w:rsidR="00000000" w:rsidRPr="00000000">
        <w:rPr>
          <w:rtl w:val="0"/>
        </w:rPr>
        <w:t xml:space="preserve">The problem was therefore not merely whether Christianity was historically true but whether history itself could provide a foundation for theological judgement. Troeltsch had to explain how Christianity could possess significance without appealing to an absolute position outside history.</w:t>
      </w:r>
    </w:p>
    <w:p w:rsidR="00000000" w:rsidDel="00000000" w:rsidP="00000000" w:rsidRDefault="00000000" w:rsidRPr="00000000" w14:paraId="0000000E">
      <w:pPr>
        <w:pStyle w:val="Heading2"/>
        <w:keepNext w:val="0"/>
        <w:keepLines w:val="0"/>
        <w:spacing w:after="80" w:lineRule="auto"/>
        <w:rPr>
          <w:b w:val="1"/>
          <w:bCs w:val="1"/>
          <w:sz w:val="22"/>
          <w:szCs w:val="22"/>
        </w:rPr>
      </w:pPr>
      <w:bookmarkStart w:colFirst="0" w:colLast="0" w:name="_f1zu3n11jrep" w:id="3"/>
      <w:bookmarkEnd w:id="3"/>
      <w:r w:rsidDel="00000000" w:rsidR="00000000" w:rsidRPr="00000000">
        <w:rPr>
          <w:b w:val="1"/>
          <w:bCs w:val="1"/>
          <w:sz w:val="22"/>
          <w:szCs w:val="22"/>
          <w:rtl w:val="0"/>
        </w:rPr>
        <w:t xml:space="preserve">The Problem of the Absoluteness of Christianity</w:t>
      </w:r>
    </w:p>
    <w:p w:rsidR="00000000" w:rsidDel="00000000" w:rsidP="00000000" w:rsidRDefault="00000000" w:rsidRPr="00000000" w14:paraId="0000000F">
      <w:pPr>
        <w:spacing w:after="240" w:before="240" w:lineRule="auto"/>
        <w:rPr/>
      </w:pPr>
      <w:r w:rsidDel="00000000" w:rsidR="00000000" w:rsidRPr="00000000">
        <w:rPr>
          <w:rtl w:val="0"/>
        </w:rPr>
        <w:t xml:space="preserve">Troeltsch addressed this question most directly in his influential work </w:t>
      </w:r>
      <w:r w:rsidDel="00000000" w:rsidR="00000000" w:rsidRPr="00000000">
        <w:rPr>
          <w:i w:val="1"/>
          <w:iCs w:val="1"/>
          <w:rtl w:val="0"/>
        </w:rPr>
        <w:t xml:space="preserve">The Absoluteness of Christianity and the History of Religions</w:t>
      </w:r>
      <w:r w:rsidDel="00000000" w:rsidR="00000000" w:rsidRPr="00000000">
        <w:rPr>
          <w:rtl w:val="0"/>
        </w:rPr>
        <w:t xml:space="preserve">. The title itself reveals the central tension of his theological project. Christianity had traditionally claimed absoluteness because it was believed to represent God’s final revelation. However, the development of comparative religion made such a claim increasingly difficult to defend.</w:t>
      </w:r>
    </w:p>
    <w:p w:rsidR="00000000" w:rsidDel="00000000" w:rsidP="00000000" w:rsidRDefault="00000000" w:rsidRPr="00000000" w14:paraId="00000010">
      <w:pPr>
        <w:spacing w:after="240" w:before="240" w:lineRule="auto"/>
        <w:rPr/>
      </w:pPr>
      <w:r w:rsidDel="00000000" w:rsidR="00000000" w:rsidRPr="00000000">
        <w:rPr>
          <w:rtl w:val="0"/>
        </w:rPr>
        <w:t xml:space="preserve">Troeltsch recognised that Christianity could not simply ignore the religious traditions of the wider world. The discovery and study of religions such as Hinduism, Buddhism, and Islam demonstrated that religious experience was not limited to Christianity. Other traditions contained sophisticated ethical teachings and profound accounts of human existence. The assumption that Christianity possessed an obvious and uncontested superiority was no longer intellectually sustainable.</w:t>
      </w:r>
    </w:p>
    <w:p w:rsidR="00000000" w:rsidDel="00000000" w:rsidP="00000000" w:rsidRDefault="00000000" w:rsidRPr="00000000" w14:paraId="00000011">
      <w:pPr>
        <w:spacing w:after="240" w:before="240" w:lineRule="auto"/>
        <w:rPr/>
      </w:pPr>
      <w:r w:rsidDel="00000000" w:rsidR="00000000" w:rsidRPr="00000000">
        <w:rPr>
          <w:rtl w:val="0"/>
        </w:rPr>
        <w:t xml:space="preserve">Traditional theological approaches responded by arguing that Christianity was unique because it was based upon supernatural revelation. Troeltsch rejected this solution because it relied upon precisely the kind of absolute claim that historical consciousness had challenged. A historical theologian could not simply assume the truth of revelation without examining how that revelation was encountered and interpreted within history.</w:t>
      </w:r>
    </w:p>
    <w:p w:rsidR="00000000" w:rsidDel="00000000" w:rsidP="00000000" w:rsidRDefault="00000000" w:rsidRPr="00000000" w14:paraId="00000012">
      <w:pPr>
        <w:spacing w:after="240" w:before="240" w:lineRule="auto"/>
        <w:rPr/>
      </w:pPr>
      <w:r w:rsidDel="00000000" w:rsidR="00000000" w:rsidRPr="00000000">
        <w:rPr>
          <w:rtl w:val="0"/>
        </w:rPr>
        <w:t xml:space="preserve">Instead, Troeltsch proposed a historical understanding of Christian absoluteness. Christianity was not absolute in the sense of being detached from history; rather, it was absolute as the highest religious achievement discovered within historical development.</w:t>
      </w:r>
      <w:r w:rsidDel="00000000" w:rsidR="00000000" w:rsidRPr="00000000">
        <w:rPr>
          <w:vertAlign w:val="superscript"/>
        </w:rPr>
        <w:footnoteReference w:customMarkFollows="0" w:id="3"/>
      </w:r>
      <w:r w:rsidDel="00000000" w:rsidR="00000000" w:rsidRPr="00000000">
        <w:rPr>
          <w:rtl w:val="0"/>
        </w:rPr>
        <w:t xml:space="preserve"> Christianity’s significance was found in its ethical and spiritual contribution, especially its emphasis on personalism, universal moral responsibility, and the transformation of human relationships.</w:t>
      </w:r>
    </w:p>
    <w:p w:rsidR="00000000" w:rsidDel="00000000" w:rsidP="00000000" w:rsidRDefault="00000000" w:rsidRPr="00000000" w14:paraId="00000013">
      <w:pPr>
        <w:spacing w:after="240" w:before="240" w:lineRule="auto"/>
        <w:rPr/>
      </w:pPr>
      <w:r w:rsidDel="00000000" w:rsidR="00000000" w:rsidRPr="00000000">
        <w:rPr>
          <w:rtl w:val="0"/>
        </w:rPr>
        <w:t xml:space="preserve">This was a radical reinterpretation of Christian uniqueness. Troeltsch replaced a metaphysical claim with a historical judgement. Christianity was not superior because it existed outside history but because, within history, it represented the fullest development of religious consciousness.</w:t>
      </w:r>
    </w:p>
    <w:p w:rsidR="00000000" w:rsidDel="00000000" w:rsidP="00000000" w:rsidRDefault="00000000" w:rsidRPr="00000000" w14:paraId="00000014">
      <w:pPr>
        <w:spacing w:after="240" w:before="240" w:lineRule="auto"/>
        <w:rPr/>
      </w:pPr>
      <w:r w:rsidDel="00000000" w:rsidR="00000000" w:rsidRPr="00000000">
        <w:rPr>
          <w:rtl w:val="0"/>
        </w:rPr>
        <w:t xml:space="preserve">However, this solution immediately produced another difficulty. If Christianity was historically superior rather than absolutely true, then its authority remained relative. Another culture might interpret its own religious tradition as the highest expression of human spiritual development. Troeltsch therefore preserved Christian significance but weakened the traditional claim that Christianity possessed universal authority.</w:t>
      </w:r>
    </w:p>
    <w:p w:rsidR="00000000" w:rsidDel="00000000" w:rsidP="00000000" w:rsidRDefault="00000000" w:rsidRPr="00000000" w14:paraId="00000015">
      <w:pPr>
        <w:spacing w:after="240" w:before="240" w:lineRule="auto"/>
        <w:rPr/>
      </w:pPr>
      <w:r w:rsidDel="00000000" w:rsidR="00000000" w:rsidRPr="00000000">
        <w:rPr>
          <w:rtl w:val="0"/>
        </w:rPr>
        <w:t xml:space="preserve">Arie Molendijk has noted that Troeltsch’s approach transformed the meaning of absoluteness itself. Rather than describing an eternal quality belonging to Christianity alone, absoluteness became a historical and evaluative category.</w:t>
      </w:r>
      <w:r w:rsidDel="00000000" w:rsidR="00000000" w:rsidRPr="00000000">
        <w:rPr>
          <w:vertAlign w:val="superscript"/>
        </w:rPr>
        <w:footnoteReference w:customMarkFollows="0" w:id="4"/>
      </w:r>
      <w:r w:rsidDel="00000000" w:rsidR="00000000" w:rsidRPr="00000000">
        <w:rPr>
          <w:rtl w:val="0"/>
        </w:rPr>
        <w:t xml:space="preserve"> Christianity could be regarded as the most significant religious tradition without claiming exclusive possession of truth.</w:t>
      </w:r>
    </w:p>
    <w:p w:rsidR="00000000" w:rsidDel="00000000" w:rsidP="00000000" w:rsidRDefault="00000000" w:rsidRPr="00000000" w14:paraId="00000016">
      <w:pPr>
        <w:spacing w:after="240" w:before="240" w:lineRule="auto"/>
        <w:rPr/>
      </w:pPr>
      <w:r w:rsidDel="00000000" w:rsidR="00000000" w:rsidRPr="00000000">
        <w:rPr>
          <w:rtl w:val="0"/>
        </w:rPr>
        <w:t xml:space="preserve">This approach anticipated later forms of religious pluralism, but it also exposed the unresolved tension within Troeltsch’s theology. The more he accepted the historical equality of religions, the more difficult it became to justify Christianity’s superiority. Yet abandoning Christianity’s normative significance would have undermined the purpose of his theological work.</w:t>
      </w:r>
    </w:p>
    <w:p w:rsidR="00000000" w:rsidDel="00000000" w:rsidP="00000000" w:rsidRDefault="00000000" w:rsidRPr="00000000" w14:paraId="00000017">
      <w:pPr>
        <w:pStyle w:val="Heading2"/>
        <w:keepNext w:val="0"/>
        <w:keepLines w:val="0"/>
        <w:spacing w:after="80" w:lineRule="auto"/>
        <w:rPr>
          <w:b w:val="1"/>
          <w:bCs w:val="1"/>
          <w:sz w:val="22"/>
          <w:szCs w:val="22"/>
        </w:rPr>
      </w:pPr>
      <w:bookmarkStart w:colFirst="0" w:colLast="0" w:name="_vud7siwyrrb8" w:id="4"/>
      <w:bookmarkEnd w:id="4"/>
      <w:r w:rsidDel="00000000" w:rsidR="00000000" w:rsidRPr="00000000">
        <w:rPr>
          <w:b w:val="1"/>
          <w:bCs w:val="1"/>
          <w:sz w:val="22"/>
          <w:szCs w:val="22"/>
          <w:rtl w:val="0"/>
        </w:rPr>
        <w:t xml:space="preserve">Revelation, History, and Theological Normativity</w:t>
      </w:r>
    </w:p>
    <w:p w:rsidR="00000000" w:rsidDel="00000000" w:rsidP="00000000" w:rsidRDefault="00000000" w:rsidRPr="00000000" w14:paraId="00000018">
      <w:pPr>
        <w:spacing w:after="240" w:before="240" w:lineRule="auto"/>
        <w:rPr/>
      </w:pPr>
      <w:r w:rsidDel="00000000" w:rsidR="00000000" w:rsidRPr="00000000">
        <w:rPr>
          <w:rtl w:val="0"/>
        </w:rPr>
        <w:t xml:space="preserve">The difficulty of Troeltsch’s theological position becomes even clearer when considering his understanding of revelation. Traditional Christian theology generally understood revelation as God’s self-disclosure, an act originating from beyond human history. Revelation provided theology with its foundation because it established a divine source of truth independent of human judgement. Troeltsch, however, believed that this understanding was impossible to maintain after the rise of historical consciousness. Human beings only encountered revelation through particular historical circumstances, languages, cultures, and communities.</w:t>
      </w:r>
    </w:p>
    <w:p w:rsidR="00000000" w:rsidDel="00000000" w:rsidP="00000000" w:rsidRDefault="00000000" w:rsidRPr="00000000" w14:paraId="00000019">
      <w:pPr>
        <w:spacing w:after="240" w:before="240" w:lineRule="auto"/>
        <w:rPr/>
      </w:pPr>
      <w:r w:rsidDel="00000000" w:rsidR="00000000" w:rsidRPr="00000000">
        <w:rPr>
          <w:rtl w:val="0"/>
        </w:rPr>
        <w:t xml:space="preserve">Troeltsch therefore did not reject revelation, but he reinterpreted it. Revelation was not a supernatural interruption that stood outside historical processes; rather, it was experienced through history. Christianity’s revelation was mediated through the historical figure of Jesus Christ and through the continuing historical life of the Christian community. The meaning of Christ could not be separated from historical interpretation.</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t xml:space="preserve">This position allowed Troeltsch to preserve the importance of revelation while accepting the conclusions of historical scholarship. However, it also created a significant theological difficulty. If revelation was historically mediated, then how could it possess authority over other interpretations of human existence? If theology could no longer appeal to an unquestionable divine foundation, it had to explain why Christian interpretation was more than simply one historical perspective among many.</w:t>
      </w:r>
    </w:p>
    <w:p w:rsidR="00000000" w:rsidDel="00000000" w:rsidP="00000000" w:rsidRDefault="00000000" w:rsidRPr="00000000" w14:paraId="0000001B">
      <w:pPr>
        <w:spacing w:after="240" w:before="240" w:lineRule="auto"/>
        <w:rPr/>
      </w:pPr>
      <w:r w:rsidDel="00000000" w:rsidR="00000000" w:rsidRPr="00000000">
        <w:rPr>
          <w:rtl w:val="0"/>
        </w:rPr>
        <w:t xml:space="preserve">Troeltsch attempted to address this by distinguishing between historical explanation and religious evaluation. Historical scholarship could not prove Christianity’s absolute truth in the manner of a scientific demonstration. However, historical reflection could show that Christianity represented a uniquely significant religious achievement. Faith therefore involved a responsible judgement made within history rather than certainty based upon a foundation beyond history.</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t xml:space="preserve">This was one of Troeltsch’s most important contributions to modern theology. He recognised that modern believers could no longer simply inherit religious certainty from tradition. Faith required engagement with critical reason. Christianity had to become intellectually responsible by acknowledging the historical conditions through which it had developed.</w:t>
      </w:r>
    </w:p>
    <w:p w:rsidR="00000000" w:rsidDel="00000000" w:rsidP="00000000" w:rsidRDefault="00000000" w:rsidRPr="00000000" w14:paraId="0000001D">
      <w:pPr>
        <w:spacing w:after="240" w:before="240" w:lineRule="auto"/>
        <w:rPr/>
      </w:pPr>
      <w:r w:rsidDel="00000000" w:rsidR="00000000" w:rsidRPr="00000000">
        <w:rPr>
          <w:rtl w:val="0"/>
        </w:rPr>
        <w:t xml:space="preserve">Nevertheless, the problem remained unresolved. Troeltsch’s approach preserved the possibility of faith, but it changed the nature of theological certainty. Christianity could be defended as historically meaningful, but not as an absolutely demonstrated truth. Theological commitment became a decision shaped by historical judgement rather than a conclusion forced upon human beings by undeniable revelation.</w:t>
      </w:r>
    </w:p>
    <w:p w:rsidR="00000000" w:rsidDel="00000000" w:rsidP="00000000" w:rsidRDefault="00000000" w:rsidRPr="00000000" w14:paraId="0000001E">
      <w:pPr>
        <w:pStyle w:val="Heading2"/>
        <w:keepNext w:val="0"/>
        <w:keepLines w:val="0"/>
        <w:spacing w:after="80" w:lineRule="auto"/>
        <w:rPr>
          <w:b w:val="1"/>
          <w:bCs w:val="1"/>
          <w:sz w:val="22"/>
          <w:szCs w:val="22"/>
        </w:rPr>
      </w:pPr>
      <w:bookmarkStart w:colFirst="0" w:colLast="0" w:name="_lc40gg65zylx" w:id="5"/>
      <w:bookmarkEnd w:id="5"/>
      <w:r w:rsidDel="00000000" w:rsidR="00000000" w:rsidRPr="00000000">
        <w:rPr>
          <w:b w:val="1"/>
          <w:bCs w:val="1"/>
          <w:sz w:val="22"/>
          <w:szCs w:val="22"/>
          <w:rtl w:val="0"/>
        </w:rPr>
        <w:t xml:space="preserve">Historicism, Relativism, and Ethical Foundations</w:t>
      </w:r>
    </w:p>
    <w:p w:rsidR="00000000" w:rsidDel="00000000" w:rsidP="00000000" w:rsidRDefault="00000000" w:rsidRPr="00000000" w14:paraId="0000001F">
      <w:pPr>
        <w:spacing w:after="240" w:before="240" w:lineRule="auto"/>
        <w:rPr/>
      </w:pPr>
      <w:r w:rsidDel="00000000" w:rsidR="00000000" w:rsidRPr="00000000">
        <w:rPr>
          <w:rtl w:val="0"/>
        </w:rPr>
        <w:t xml:space="preserve">Troeltsch’s theological concerns were closely connected to his wider philosophical concern about historicism and relativism. If all human beliefs developed within particular historical contexts, then it appeared that no moral or religious claim could possess universal validity. This problem extended beyond theology because it challenged the foundations of modern ethics and culture.</w:t>
      </w:r>
    </w:p>
    <w:p w:rsidR="00000000" w:rsidDel="00000000" w:rsidP="00000000" w:rsidRDefault="00000000" w:rsidRPr="00000000" w14:paraId="00000020">
      <w:pPr>
        <w:spacing w:after="240" w:before="240" w:lineRule="auto"/>
        <w:rPr/>
      </w:pPr>
      <w:r w:rsidDel="00000000" w:rsidR="00000000" w:rsidRPr="00000000">
        <w:rPr>
          <w:rtl w:val="0"/>
        </w:rPr>
        <w:t xml:space="preserve">Troeltsch recognised this danger. Historicism could lead to the conclusion that all beliefs were merely products of their time and therefore equally limited. If this were true, then theology would have no basis for making meaningful judgements between competing traditions. Christianity would become simply one historical phenomenon among others.</w:t>
      </w:r>
    </w:p>
    <w:p w:rsidR="00000000" w:rsidDel="00000000" w:rsidP="00000000" w:rsidRDefault="00000000" w:rsidRPr="00000000" w14:paraId="00000021">
      <w:pPr>
        <w:spacing w:after="240" w:before="240" w:lineRule="auto"/>
        <w:rPr/>
      </w:pPr>
      <w:r w:rsidDel="00000000" w:rsidR="00000000" w:rsidRPr="00000000">
        <w:rPr>
          <w:rtl w:val="0"/>
        </w:rPr>
        <w:t xml:space="preserve">However, Troeltsch rejected this form of relativism. He argued that historical conditioning does not mean that all traditions are equally valuable. Human beings can compare historical developments and evaluate different forms of religious and ethical life. History does not eliminate judgement; rather, it changes the basis upon which judgement occurs.</w:t>
      </w:r>
    </w:p>
    <w:p w:rsidR="00000000" w:rsidDel="00000000" w:rsidP="00000000" w:rsidRDefault="00000000" w:rsidRPr="00000000" w14:paraId="00000022">
      <w:pPr>
        <w:spacing w:after="240" w:before="240" w:lineRule="auto"/>
        <w:rPr/>
      </w:pPr>
      <w:r w:rsidDel="00000000" w:rsidR="00000000" w:rsidRPr="00000000">
        <w:rPr>
          <w:rtl w:val="0"/>
        </w:rPr>
        <w:t xml:space="preserve">In his wider sociological work, particularly </w:t>
      </w:r>
      <w:r w:rsidDel="00000000" w:rsidR="00000000" w:rsidRPr="00000000">
        <w:rPr>
          <w:i w:val="1"/>
          <w:iCs w:val="1"/>
          <w:rtl w:val="0"/>
        </w:rPr>
        <w:t xml:space="preserve">The Social Teaching of the Christian Churches</w:t>
      </w:r>
      <w:r w:rsidDel="00000000" w:rsidR="00000000" w:rsidRPr="00000000">
        <w:rPr>
          <w:rtl w:val="0"/>
        </w:rPr>
        <w:t xml:space="preserve">, Troeltsch argued that Christianity had made a distinctive contribution to modern ideas of human dignity, social responsibility, and individual freedom.</w:t>
      </w:r>
      <w:r w:rsidDel="00000000" w:rsidR="00000000" w:rsidRPr="00000000">
        <w:rPr>
          <w:vertAlign w:val="superscript"/>
        </w:rPr>
        <w:footnoteReference w:customMarkFollows="0" w:id="7"/>
      </w:r>
      <w:r w:rsidDel="00000000" w:rsidR="00000000" w:rsidRPr="00000000">
        <w:rPr>
          <w:rtl w:val="0"/>
        </w:rPr>
        <w:t xml:space="preserve"> The Christian tradition had played a major role in shaping modern ethical consciousness, particularly through its emphasis upon the value of each individual person.</w:t>
      </w:r>
    </w:p>
    <w:p w:rsidR="00000000" w:rsidDel="00000000" w:rsidP="00000000" w:rsidRDefault="00000000" w:rsidRPr="00000000" w14:paraId="00000023">
      <w:pPr>
        <w:spacing w:after="240" w:before="240" w:lineRule="auto"/>
        <w:rPr/>
      </w:pPr>
      <w:r w:rsidDel="00000000" w:rsidR="00000000" w:rsidRPr="00000000">
        <w:rPr>
          <w:rtl w:val="0"/>
        </w:rPr>
        <w:t xml:space="preserve">Yet this argument also revealed a weakness in Troeltsch’s position. The standards by which Christianity was evaluated were themselves deeply influenced by Christian history. When Troeltsch argued that Christianity was superior because of its universal ethical vision, critics could question whether these standards were genuinely neutral or whether they simply represented Christian values expressed in modern philosophical language.</w:t>
      </w:r>
    </w:p>
    <w:p w:rsidR="00000000" w:rsidDel="00000000" w:rsidP="00000000" w:rsidRDefault="00000000" w:rsidRPr="00000000" w14:paraId="00000024">
      <w:pPr>
        <w:spacing w:after="240" w:before="240" w:lineRule="auto"/>
        <w:rPr/>
      </w:pPr>
      <w:r w:rsidDel="00000000" w:rsidR="00000000" w:rsidRPr="00000000">
        <w:rPr>
          <w:rtl w:val="0"/>
        </w:rPr>
        <w:t xml:space="preserve">This created a circular problem. Troeltsch used historical reasoning to defend Christianity, but the criteria used for that defence were partly derived from Christianity itself. He could not completely escape the historical tradition that he was attempting to analyse objectively.</w:t>
      </w:r>
    </w:p>
    <w:p w:rsidR="00000000" w:rsidDel="00000000" w:rsidP="00000000" w:rsidRDefault="00000000" w:rsidRPr="00000000" w14:paraId="00000025">
      <w:pPr>
        <w:spacing w:after="240" w:before="240" w:lineRule="auto"/>
        <w:rPr/>
      </w:pPr>
      <w:r w:rsidDel="00000000" w:rsidR="00000000" w:rsidRPr="00000000">
        <w:rPr>
          <w:rtl w:val="0"/>
        </w:rPr>
        <w:t xml:space="preserve">This tension explains why Troeltsch’s theological project remained incomplete. He demonstrated that historical consciousness could not simply be rejected, but he also showed that history alone could not provide an absolute foundation for faith. Modern theology therefore had to exist within a space of uncertainty, where commitment remained possible but certainty was limited.</w:t>
      </w:r>
    </w:p>
    <w:p w:rsidR="00000000" w:rsidDel="00000000" w:rsidP="00000000" w:rsidRDefault="00000000" w:rsidRPr="00000000" w14:paraId="00000026">
      <w:pPr>
        <w:pStyle w:val="Heading2"/>
        <w:keepNext w:val="0"/>
        <w:keepLines w:val="0"/>
        <w:spacing w:after="80" w:lineRule="auto"/>
        <w:rPr>
          <w:b w:val="1"/>
          <w:bCs w:val="1"/>
          <w:sz w:val="22"/>
          <w:szCs w:val="22"/>
        </w:rPr>
      </w:pPr>
      <w:bookmarkStart w:colFirst="0" w:colLast="0" w:name="_5qzn5j5t8uj5" w:id="6"/>
      <w:bookmarkEnd w:id="6"/>
      <w:r w:rsidDel="00000000" w:rsidR="00000000" w:rsidRPr="00000000">
        <w:rPr>
          <w:b w:val="1"/>
          <w:bCs w:val="1"/>
          <w:sz w:val="22"/>
          <w:szCs w:val="22"/>
          <w:rtl w:val="0"/>
        </w:rPr>
        <w:t xml:space="preserve">Troeltsch and the Critique of Dialectical Theology</w:t>
      </w:r>
    </w:p>
    <w:p w:rsidR="00000000" w:rsidDel="00000000" w:rsidP="00000000" w:rsidRDefault="00000000" w:rsidRPr="00000000" w14:paraId="00000027">
      <w:pPr>
        <w:spacing w:after="240" w:before="240" w:lineRule="auto"/>
        <w:rPr/>
      </w:pPr>
      <w:r w:rsidDel="00000000" w:rsidR="00000000" w:rsidRPr="00000000">
        <w:rPr>
          <w:rtl w:val="0"/>
        </w:rPr>
        <w:t xml:space="preserve">The unresolved nature of Troeltsch’s theology became particularly visible in the criticism offered by Karl Barth and other representatives of dialectical theology. After the First World War, Barth rejected the confidence of liberal theology that Christianity could be harmonised with modern culture. For Barth, Troeltsch’s approach reduced revelation to a product of human historical development and therefore failed to recognise the transcendence of God.</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t xml:space="preserve">Barth’s criticism focused directly on Troeltsch’s central problem. If Christianity was interpreted entirely through historical categories, then theology appeared unable to speak about God as an objective reality. Christianity risked becoming merely a record of human religious experience rather than a revelation of divine truth.</w:t>
      </w:r>
    </w:p>
    <w:p w:rsidR="00000000" w:rsidDel="00000000" w:rsidP="00000000" w:rsidRDefault="00000000" w:rsidRPr="00000000" w14:paraId="00000029">
      <w:pPr>
        <w:spacing w:after="240" w:before="240" w:lineRule="auto"/>
        <w:rPr/>
      </w:pPr>
      <w:r w:rsidDel="00000000" w:rsidR="00000000" w:rsidRPr="00000000">
        <w:rPr>
          <w:rtl w:val="0"/>
        </w:rPr>
        <w:t xml:space="preserve">Troeltsch would have rejected Barth’s solution because it appeared to abandon the achievements of modern historical scholarship. A theology that simply returned to supernatural claims without engaging historical criticism could no longer answer the intellectual questions of the modern world.</w:t>
      </w:r>
    </w:p>
    <w:p w:rsidR="00000000" w:rsidDel="00000000" w:rsidP="00000000" w:rsidRDefault="00000000" w:rsidRPr="00000000" w14:paraId="0000002A">
      <w:pPr>
        <w:spacing w:after="240" w:before="240" w:lineRule="auto"/>
        <w:rPr/>
      </w:pPr>
      <w:r w:rsidDel="00000000" w:rsidR="00000000" w:rsidRPr="00000000">
        <w:rPr>
          <w:rtl w:val="0"/>
        </w:rPr>
        <w:t xml:space="preserve">Nevertheless, Barth identified a genuine weakness in Troeltsch’s approach. By locating Christian authority within historical development, Troeltsch struggled to explain why Christianity should possess binding theological significance. His method preserved intellectual honesty but appeared to weaken the possibility of speaking about God’s objective action.</w:t>
      </w:r>
    </w:p>
    <w:p w:rsidR="00000000" w:rsidDel="00000000" w:rsidP="00000000" w:rsidRDefault="00000000" w:rsidRPr="00000000" w14:paraId="0000002B">
      <w:pPr>
        <w:spacing w:after="240" w:before="240" w:lineRule="auto"/>
        <w:rPr/>
      </w:pPr>
      <w:r w:rsidDel="00000000" w:rsidR="00000000" w:rsidRPr="00000000">
        <w:rPr>
          <w:rtl w:val="0"/>
        </w:rPr>
        <w:t xml:space="preserve">Modern scholarship has therefore offered more sympathetic interpretations of Troeltsch. Rather than viewing him merely as a representative of a failed liberal tradition, scholars such as Evan F. Kuehn argue that Troeltsch should be understood as a thinker who recognised the permanent challenge of historicism for theology.</w:t>
      </w:r>
      <w:r w:rsidDel="00000000" w:rsidR="00000000" w:rsidRPr="00000000">
        <w:rPr>
          <w:vertAlign w:val="superscript"/>
        </w:rPr>
        <w:footnoteReference w:customMarkFollows="0" w:id="9"/>
      </w:r>
      <w:r w:rsidDel="00000000" w:rsidR="00000000" w:rsidRPr="00000000">
        <w:rPr>
          <w:rtl w:val="0"/>
        </w:rPr>
        <w:t xml:space="preserve"> His significance lies in showing that modern Christianity cannot simply return to pre-critical certainty but must find ways of speaking about faith within historical limitation.</w:t>
      </w:r>
    </w:p>
    <w:p w:rsidR="00000000" w:rsidDel="00000000" w:rsidP="00000000" w:rsidRDefault="00000000" w:rsidRPr="00000000" w14:paraId="0000002C">
      <w:pPr>
        <w:spacing w:after="240" w:before="240" w:lineRule="auto"/>
        <w:rPr/>
      </w:pPr>
      <w:r w:rsidDel="00000000" w:rsidR="00000000" w:rsidRPr="00000000">
        <w:rPr>
          <w:rtl w:val="0"/>
        </w:rPr>
        <w:t xml:space="preserve">Troeltsch’s unfinished project is therefore not simply a failure but an expression of the complexity of modern theological existence. He identified a dilemma that later theologians continued to address: how can a tradition that exists within history make claims about realities that transcend history?</w:t>
      </w:r>
    </w:p>
    <w:p w:rsidR="00000000" w:rsidDel="00000000" w:rsidP="00000000" w:rsidRDefault="00000000" w:rsidRPr="00000000" w14:paraId="0000002D">
      <w:pPr>
        <w:pStyle w:val="Heading2"/>
        <w:keepNext w:val="0"/>
        <w:keepLines w:val="0"/>
        <w:spacing w:after="80" w:lineRule="auto"/>
        <w:rPr>
          <w:b w:val="1"/>
          <w:bCs w:val="1"/>
          <w:sz w:val="22"/>
          <w:szCs w:val="22"/>
        </w:rPr>
      </w:pPr>
      <w:bookmarkStart w:colFirst="0" w:colLast="0" w:name="_t97cxfyg1xbl" w:id="7"/>
      <w:bookmarkEnd w:id="7"/>
      <w:r w:rsidDel="00000000" w:rsidR="00000000" w:rsidRPr="00000000">
        <w:rPr>
          <w:b w:val="1"/>
          <w:bCs w:val="1"/>
          <w:sz w:val="22"/>
          <w:szCs w:val="22"/>
          <w:rtl w:val="0"/>
        </w:rPr>
        <w:t xml:space="preserve">Why Troeltsch Found His Problem So Difficult to Resolve</w:t>
      </w:r>
    </w:p>
    <w:p w:rsidR="00000000" w:rsidDel="00000000" w:rsidP="00000000" w:rsidRDefault="00000000" w:rsidRPr="00000000" w14:paraId="0000002E">
      <w:pPr>
        <w:spacing w:after="240" w:before="240" w:lineRule="auto"/>
        <w:rPr/>
      </w:pPr>
      <w:r w:rsidDel="00000000" w:rsidR="00000000" w:rsidRPr="00000000">
        <w:rPr>
          <w:rtl w:val="0"/>
        </w:rPr>
        <w:t xml:space="preserve">Troeltsch’s central theological problem proved difficult to resolve because his own commitments continually produced tensions that could not easily be overcome.</w:t>
      </w:r>
    </w:p>
    <w:p w:rsidR="00000000" w:rsidDel="00000000" w:rsidP="00000000" w:rsidRDefault="00000000" w:rsidRPr="00000000" w14:paraId="0000002F">
      <w:pPr>
        <w:spacing w:after="240" w:before="240" w:lineRule="auto"/>
        <w:rPr/>
      </w:pPr>
      <w:r w:rsidDel="00000000" w:rsidR="00000000" w:rsidRPr="00000000">
        <w:rPr>
          <w:rtl w:val="0"/>
        </w:rPr>
        <w:t xml:space="preserve">First, his acceptance of historicism undermined traditional claims of Christian absoluteness. Once Christianity was recognised as historically conditioned, it became difficult to defend it as uniquely and universally true.</w:t>
      </w:r>
    </w:p>
    <w:p w:rsidR="00000000" w:rsidDel="00000000" w:rsidP="00000000" w:rsidRDefault="00000000" w:rsidRPr="00000000" w14:paraId="00000030">
      <w:pPr>
        <w:spacing w:after="240" w:before="240" w:lineRule="auto"/>
        <w:rPr/>
      </w:pPr>
      <w:r w:rsidDel="00000000" w:rsidR="00000000" w:rsidRPr="00000000">
        <w:rPr>
          <w:rtl w:val="0"/>
        </w:rPr>
        <w:t xml:space="preserve">Secondly, his reinterpretation of revelation preserved Christian meaning but weakened the traditional foundation of theological authority. Revelation became something encountered within history rather than a certainty imposed upon history.</w:t>
      </w:r>
    </w:p>
    <w:p w:rsidR="00000000" w:rsidDel="00000000" w:rsidP="00000000" w:rsidRDefault="00000000" w:rsidRPr="00000000" w14:paraId="00000031">
      <w:pPr>
        <w:spacing w:after="240" w:before="240" w:lineRule="auto"/>
        <w:rPr/>
      </w:pPr>
      <w:r w:rsidDel="00000000" w:rsidR="00000000" w:rsidRPr="00000000">
        <w:rPr>
          <w:rtl w:val="0"/>
        </w:rPr>
        <w:t xml:space="preserve">Thirdly, his attempt to defend Christianity through historical evaluation created difficulties because the criteria of evaluation were themselves historically shaped. Christianity was judged according to values that had emerged partly from Christian civilisation.</w:t>
      </w:r>
    </w:p>
    <w:p w:rsidR="00000000" w:rsidDel="00000000" w:rsidP="00000000" w:rsidRDefault="00000000" w:rsidRPr="00000000" w14:paraId="00000032">
      <w:pPr>
        <w:spacing w:after="240" w:before="240" w:lineRule="auto"/>
        <w:rPr/>
      </w:pPr>
      <w:r w:rsidDel="00000000" w:rsidR="00000000" w:rsidRPr="00000000">
        <w:rPr>
          <w:rtl w:val="0"/>
        </w:rPr>
        <w:t xml:space="preserve">These tensions explain why Troeltsch never produced a final resolution to his theological problem. However, this does not diminish his importance. His achievement was to identify the central challenge facing modern theology with exceptional clarity. He demonstrated that the modern theologian must confront the reality of history without abandoning the possibility of faith.</w:t>
      </w:r>
    </w:p>
    <w:p w:rsidR="00000000" w:rsidDel="00000000" w:rsidP="00000000" w:rsidRDefault="00000000" w:rsidRPr="00000000" w14:paraId="00000033">
      <w:pPr>
        <w:pStyle w:val="Heading2"/>
        <w:keepNext w:val="0"/>
        <w:keepLines w:val="0"/>
        <w:spacing w:after="80" w:lineRule="auto"/>
        <w:rPr>
          <w:b w:val="1"/>
          <w:bCs w:val="1"/>
          <w:sz w:val="22"/>
          <w:szCs w:val="22"/>
        </w:rPr>
      </w:pPr>
      <w:bookmarkStart w:colFirst="0" w:colLast="0" w:name="_lrf7o8sk8t4" w:id="8"/>
      <w:bookmarkEnd w:id="8"/>
      <w:r w:rsidDel="00000000" w:rsidR="00000000" w:rsidRPr="00000000">
        <w:rPr>
          <w:b w:val="1"/>
          <w:bCs w:val="1"/>
          <w:sz w:val="22"/>
          <w:szCs w:val="22"/>
          <w:rtl w:val="0"/>
        </w:rPr>
        <w:t xml:space="preserve">Conclusion</w:t>
      </w:r>
    </w:p>
    <w:p w:rsidR="00000000" w:rsidDel="00000000" w:rsidP="00000000" w:rsidRDefault="00000000" w:rsidRPr="00000000" w14:paraId="00000034">
      <w:pPr>
        <w:spacing w:after="240" w:before="240" w:lineRule="auto"/>
        <w:rPr/>
      </w:pPr>
      <w:r w:rsidDel="00000000" w:rsidR="00000000" w:rsidRPr="00000000">
        <w:rPr>
          <w:rtl w:val="0"/>
        </w:rPr>
        <w:t xml:space="preserve">Ernst Troeltsch’s central theological problem was the attempt to reconcile Christian truth claims with the consequences of modern historical consciousness. He recognised that Christianity could no longer rely upon traditional assumptions of absolute revelation because historical criticism had shown that all religious traditions existed within particular historical contexts. Yet he also refused to accept that Christianity was merely one cultural phenomenon among many without any distinctive significance.</w:t>
      </w:r>
    </w:p>
    <w:p w:rsidR="00000000" w:rsidDel="00000000" w:rsidP="00000000" w:rsidRDefault="00000000" w:rsidRPr="00000000" w14:paraId="00000035">
      <w:pPr>
        <w:spacing w:after="240" w:before="240" w:lineRule="auto"/>
        <w:rPr/>
      </w:pPr>
      <w:r w:rsidDel="00000000" w:rsidR="00000000" w:rsidRPr="00000000">
        <w:rPr>
          <w:rtl w:val="0"/>
        </w:rPr>
        <w:t xml:space="preserve">Troeltsch therefore sought a middle path between dogmatic certainty and historical relativism. He argued that Christianity remained uniquely valuable because of its ethical and spiritual contribution, particularly its emphasis upon personal freedom and universal responsibility. However, because this defence depended upon historical judgement rather than absolute revelation, it could never fully restore the certainty of traditional theology.</w:t>
      </w:r>
    </w:p>
    <w:p w:rsidR="00000000" w:rsidDel="00000000" w:rsidP="00000000" w:rsidRDefault="00000000" w:rsidRPr="00000000" w14:paraId="00000036">
      <w:pPr>
        <w:spacing w:after="240" w:before="240" w:lineRule="auto"/>
        <w:rPr/>
      </w:pPr>
      <w:r w:rsidDel="00000000" w:rsidR="00000000" w:rsidRPr="00000000">
        <w:rPr>
          <w:rtl w:val="0"/>
        </w:rPr>
        <w:t xml:space="preserve">The difficulty of resolving Troeltsch’s problem arose precisely because he attempted to maintain commitments that pulled theology in different directions. He accepted historical criticism while defending Christian normativity; he embraced modern intellectual autonomy while maintaining religious commitment; and he rejected both supernaturalism and relativism. The tensions produced by these commitments could not be completely overcome.</w:t>
      </w:r>
    </w:p>
    <w:p w:rsidR="00000000" w:rsidDel="00000000" w:rsidP="00000000" w:rsidRDefault="00000000" w:rsidRPr="00000000" w14:paraId="00000037">
      <w:pPr>
        <w:spacing w:after="240" w:before="240" w:lineRule="auto"/>
        <w:rPr/>
      </w:pPr>
      <w:r w:rsidDel="00000000" w:rsidR="00000000" w:rsidRPr="00000000">
        <w:rPr>
          <w:rtl w:val="0"/>
        </w:rPr>
        <w:t xml:space="preserve">Nevertheless, Troeltsch’s importance lies in his refusal to avoid the problem. He understood that modern theology had entered a new intellectual situation in which faith could no longer depend upon unquestioned foundations. His work remains significant because it continues to raise a fundamental question for Christianity: how can a historically conditioned faith speak meaningfully about universal truth?</w:t>
      </w:r>
    </w:p>
    <w:p w:rsidR="00000000" w:rsidDel="00000000" w:rsidP="00000000" w:rsidRDefault="00000000" w:rsidRPr="00000000" w14:paraId="00000038">
      <w:pPr>
        <w:pStyle w:val="Heading2"/>
        <w:keepNext w:val="0"/>
        <w:keepLines w:val="0"/>
        <w:spacing w:after="80" w:lineRule="auto"/>
        <w:rPr>
          <w:b w:val="1"/>
          <w:bCs w:val="1"/>
          <w:sz w:val="22"/>
          <w:szCs w:val="22"/>
        </w:rPr>
      </w:pPr>
      <w:bookmarkStart w:colFirst="0" w:colLast="0" w:name="_izdrkcmwg8ys" w:id="9"/>
      <w:bookmarkEnd w:id="9"/>
      <w:r w:rsidDel="00000000" w:rsidR="00000000" w:rsidRPr="00000000">
        <w:rPr>
          <w:b w:val="1"/>
          <w:bCs w:val="1"/>
          <w:sz w:val="22"/>
          <w:szCs w:val="22"/>
          <w:rtl w:val="0"/>
        </w:rPr>
        <w:t xml:space="preserve">Bibliography</w:t>
      </w:r>
    </w:p>
    <w:p w:rsidR="00000000" w:rsidDel="00000000" w:rsidP="00000000" w:rsidRDefault="00000000" w:rsidRPr="00000000" w14:paraId="00000039">
      <w:pPr>
        <w:spacing w:after="240" w:before="240" w:lineRule="auto"/>
        <w:rPr/>
      </w:pPr>
      <w:r w:rsidDel="00000000" w:rsidR="00000000" w:rsidRPr="00000000">
        <w:rPr>
          <w:rtl w:val="0"/>
        </w:rPr>
        <w:t xml:space="preserve">Barth, Karl, </w:t>
      </w:r>
      <w:r w:rsidDel="00000000" w:rsidR="00000000" w:rsidRPr="00000000">
        <w:rPr>
          <w:i w:val="1"/>
          <w:iCs w:val="1"/>
          <w:rtl w:val="0"/>
        </w:rPr>
        <w:t xml:space="preserve">The Epistle to the Romans</w:t>
      </w:r>
      <w:r w:rsidDel="00000000" w:rsidR="00000000" w:rsidRPr="00000000">
        <w:rPr>
          <w:rtl w:val="0"/>
        </w:rPr>
        <w:t xml:space="preserve">, trans. by Edwyn C. Hoskyns, 6th edn (Oxford: Oxford University Press, 1968)</w:t>
      </w:r>
    </w:p>
    <w:p w:rsidR="00000000" w:rsidDel="00000000" w:rsidP="00000000" w:rsidRDefault="00000000" w:rsidRPr="00000000" w14:paraId="0000003A">
      <w:pPr>
        <w:spacing w:after="240" w:before="240" w:lineRule="auto"/>
        <w:rPr/>
      </w:pPr>
      <w:r w:rsidDel="00000000" w:rsidR="00000000" w:rsidRPr="00000000">
        <w:rPr>
          <w:rtl w:val="0"/>
        </w:rPr>
        <w:t xml:space="preserve">Chapman, Mark D., </w:t>
      </w:r>
      <w:r w:rsidDel="00000000" w:rsidR="00000000" w:rsidRPr="00000000">
        <w:rPr>
          <w:i w:val="1"/>
          <w:iCs w:val="1"/>
          <w:rtl w:val="0"/>
        </w:rPr>
        <w:t xml:space="preserve">Ernst Troeltsch and Liberal Theology: Religion and Cultural Synthesis in Wilhelmine Germany</w:t>
      </w:r>
      <w:r w:rsidDel="00000000" w:rsidR="00000000" w:rsidRPr="00000000">
        <w:rPr>
          <w:rtl w:val="0"/>
        </w:rPr>
        <w:t xml:space="preserve"> (Oxford: Oxford University Press, 2001)</w:t>
      </w:r>
    </w:p>
    <w:p w:rsidR="00000000" w:rsidDel="00000000" w:rsidP="00000000" w:rsidRDefault="00000000" w:rsidRPr="00000000" w14:paraId="0000003B">
      <w:pPr>
        <w:spacing w:after="240" w:before="240" w:lineRule="auto"/>
        <w:rPr/>
      </w:pPr>
      <w:r w:rsidDel="00000000" w:rsidR="00000000" w:rsidRPr="00000000">
        <w:rPr>
          <w:rtl w:val="0"/>
        </w:rPr>
        <w:t xml:space="preserve">Kuehn, Evan F., ‘Ernst Troeltsch and the Problem of Historicism’, in </w:t>
      </w:r>
      <w:r w:rsidDel="00000000" w:rsidR="00000000" w:rsidRPr="00000000">
        <w:rPr>
          <w:i w:val="1"/>
          <w:iCs w:val="1"/>
          <w:rtl w:val="0"/>
        </w:rPr>
        <w:t xml:space="preserve">The Cambridge Companion to Christian Theology</w:t>
      </w:r>
      <w:r w:rsidDel="00000000" w:rsidR="00000000" w:rsidRPr="00000000">
        <w:rPr>
          <w:rtl w:val="0"/>
        </w:rPr>
        <w:t xml:space="preserve">, ed. by David Fergusson and Karen Kilby (Cambridge: Cambridge University Press, 2013), pp. 181–199</w:t>
      </w:r>
    </w:p>
    <w:p w:rsidR="00000000" w:rsidDel="00000000" w:rsidP="00000000" w:rsidRDefault="00000000" w:rsidRPr="00000000" w14:paraId="0000003C">
      <w:pPr>
        <w:spacing w:after="240" w:before="240" w:lineRule="auto"/>
        <w:rPr/>
      </w:pPr>
      <w:r w:rsidDel="00000000" w:rsidR="00000000" w:rsidRPr="00000000">
        <w:rPr>
          <w:rtl w:val="0"/>
        </w:rPr>
        <w:t xml:space="preserve">Molendijk, Arie L., </w:t>
      </w:r>
      <w:r w:rsidDel="00000000" w:rsidR="00000000" w:rsidRPr="00000000">
        <w:rPr>
          <w:i w:val="1"/>
          <w:iCs w:val="1"/>
          <w:rtl w:val="0"/>
        </w:rPr>
        <w:t xml:space="preserve">The Emergence of the Science of Religion in the Netherlands</w:t>
      </w:r>
      <w:r w:rsidDel="00000000" w:rsidR="00000000" w:rsidRPr="00000000">
        <w:rPr>
          <w:rtl w:val="0"/>
        </w:rPr>
        <w:t xml:space="preserve"> (Leiden: Brill, 2005)</w:t>
      </w:r>
    </w:p>
    <w:p w:rsidR="00000000" w:rsidDel="00000000" w:rsidP="00000000" w:rsidRDefault="00000000" w:rsidRPr="00000000" w14:paraId="0000003D">
      <w:pPr>
        <w:spacing w:after="240" w:before="240" w:lineRule="auto"/>
        <w:rPr/>
      </w:pPr>
      <w:r w:rsidDel="00000000" w:rsidR="00000000" w:rsidRPr="00000000">
        <w:rPr>
          <w:rtl w:val="0"/>
        </w:rPr>
        <w:t xml:space="preserve">Rendtorff, Trutz, ‘L’actuel renouveau d’intérêt pour l’œuvre de Troeltsch’, </w:t>
      </w:r>
      <w:r w:rsidDel="00000000" w:rsidR="00000000" w:rsidRPr="00000000">
        <w:rPr>
          <w:i w:val="1"/>
          <w:iCs w:val="1"/>
          <w:rtl w:val="0"/>
        </w:rPr>
        <w:t xml:space="preserve">Revue de l’histoire des religions</w:t>
      </w:r>
      <w:r w:rsidDel="00000000" w:rsidR="00000000" w:rsidRPr="00000000">
        <w:rPr>
          <w:rtl w:val="0"/>
        </w:rPr>
        <w:t xml:space="preserve">, 214.2 (1997), pp. 133–152. </w:t>
      </w:r>
    </w:p>
    <w:p w:rsidR="00000000" w:rsidDel="00000000" w:rsidP="00000000" w:rsidRDefault="00000000" w:rsidRPr="00000000" w14:paraId="0000003E">
      <w:pPr>
        <w:spacing w:after="240" w:before="240" w:lineRule="auto"/>
        <w:rPr/>
      </w:pPr>
      <w:r w:rsidDel="00000000" w:rsidR="00000000" w:rsidRPr="00000000">
        <w:rPr>
          <w:rtl w:val="0"/>
        </w:rPr>
        <w:t xml:space="preserve">Troeltsch, Ernst, </w:t>
      </w:r>
      <w:r w:rsidDel="00000000" w:rsidR="00000000" w:rsidRPr="00000000">
        <w:rPr>
          <w:i w:val="1"/>
          <w:iCs w:val="1"/>
          <w:rtl w:val="0"/>
        </w:rPr>
        <w:t xml:space="preserve">The Absoluteness of Christianity and the History of Religions</w:t>
      </w:r>
      <w:r w:rsidDel="00000000" w:rsidR="00000000" w:rsidRPr="00000000">
        <w:rPr>
          <w:rtl w:val="0"/>
        </w:rPr>
        <w:t xml:space="preserve">, trans. by David Reid (Louisville, KY: Westminster John Knox Press, 2005)</w:t>
      </w:r>
    </w:p>
    <w:p w:rsidR="00000000" w:rsidDel="00000000" w:rsidP="00000000" w:rsidRDefault="00000000" w:rsidRPr="00000000" w14:paraId="0000003F">
      <w:pPr>
        <w:spacing w:after="240" w:before="240" w:lineRule="auto"/>
        <w:rPr/>
      </w:pPr>
      <w:r w:rsidDel="00000000" w:rsidR="00000000" w:rsidRPr="00000000">
        <w:rPr>
          <w:rtl w:val="0"/>
        </w:rPr>
        <w:t xml:space="preserve">Troeltsch, Ernst, </w:t>
      </w:r>
      <w:r w:rsidDel="00000000" w:rsidR="00000000" w:rsidRPr="00000000">
        <w:rPr>
          <w:i w:val="1"/>
          <w:iCs w:val="1"/>
          <w:rtl w:val="0"/>
        </w:rPr>
        <w:t xml:space="preserve">Religion in History: The Gifford Lectures Delivered in the University of Glasgow in 1922</w:t>
      </w:r>
      <w:r w:rsidDel="00000000" w:rsidR="00000000" w:rsidRPr="00000000">
        <w:rPr>
          <w:rtl w:val="0"/>
        </w:rPr>
        <w:t xml:space="preserve">, trans. by James Luther Adams and Walter F. Bense (Minneapolis: Fortress Press, 1991)</w:t>
      </w:r>
    </w:p>
    <w:p w:rsidR="00000000" w:rsidDel="00000000" w:rsidP="00000000" w:rsidRDefault="00000000" w:rsidRPr="00000000" w14:paraId="00000040">
      <w:pPr>
        <w:spacing w:after="240" w:before="240" w:lineRule="auto"/>
        <w:rPr/>
      </w:pPr>
      <w:r w:rsidDel="00000000" w:rsidR="00000000" w:rsidRPr="00000000">
        <w:rPr>
          <w:rtl w:val="0"/>
        </w:rPr>
        <w:t xml:space="preserve">Troeltsch, Ernst, </w:t>
      </w:r>
      <w:r w:rsidDel="00000000" w:rsidR="00000000" w:rsidRPr="00000000">
        <w:rPr>
          <w:i w:val="1"/>
          <w:iCs w:val="1"/>
          <w:rtl w:val="0"/>
        </w:rPr>
        <w:t xml:space="preserve">The Social Teaching of the Christian Churches</w:t>
      </w:r>
      <w:r w:rsidDel="00000000" w:rsidR="00000000" w:rsidRPr="00000000">
        <w:rPr>
          <w:rtl w:val="0"/>
        </w:rPr>
        <w:t xml:space="preserve">, trans. by Olive Wyon, 2 vols (London: George Allen &amp; Unwin, 1931)</w:t>
      </w:r>
    </w:p>
    <w:p w:rsidR="00000000" w:rsidDel="00000000" w:rsidP="00000000" w:rsidRDefault="00000000" w:rsidRPr="00000000" w14:paraId="00000041">
      <w:pPr>
        <w:spacing w:after="240" w:before="240" w:lineRule="auto"/>
        <w:rPr/>
      </w:pPr>
      <w:r w:rsidDel="00000000" w:rsidR="00000000" w:rsidRPr="00000000">
        <w:rPr>
          <w:rtl w:val="0"/>
        </w:rPr>
        <w:t xml:space="preserve">Troeltsch, Ernst, </w:t>
      </w:r>
      <w:r w:rsidDel="00000000" w:rsidR="00000000" w:rsidRPr="00000000">
        <w:rPr>
          <w:i w:val="1"/>
          <w:iCs w:val="1"/>
          <w:rtl w:val="0"/>
        </w:rPr>
        <w:t xml:space="preserve">The Christian Faith</w:t>
      </w:r>
      <w:r w:rsidDel="00000000" w:rsidR="00000000" w:rsidRPr="00000000">
        <w:rPr>
          <w:rtl w:val="0"/>
        </w:rPr>
        <w:t xml:space="preserve">, trans. by Garrett Green (Minneapolis: Fortress Press, 1991)</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Ernst Troeltsch, </w:t>
      </w:r>
      <w:r w:rsidDel="00000000" w:rsidR="00000000" w:rsidRPr="00000000">
        <w:rPr>
          <w:i w:val="1"/>
          <w:iCs w:val="1"/>
          <w:sz w:val="20"/>
          <w:szCs w:val="20"/>
          <w:rtl w:val="0"/>
        </w:rPr>
        <w:t xml:space="preserve">The Absoluteness of Christianity and the History of Religions</w:t>
      </w:r>
      <w:r w:rsidDel="00000000" w:rsidR="00000000" w:rsidRPr="00000000">
        <w:rPr>
          <w:sz w:val="20"/>
          <w:szCs w:val="20"/>
          <w:rtl w:val="0"/>
        </w:rPr>
        <w:t xml:space="preserve">, trans. by David Reid (Louisville, KY: Westminster John Knox Press, 2005), pp. 15–68. </w:t>
      </w:r>
    </w:p>
  </w:footnote>
  <w:footnote w:id="1">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Ernst Troeltsch, ‘On Historical and Dogmatic Method in Theology’, in </w:t>
      </w:r>
      <w:r w:rsidDel="00000000" w:rsidR="00000000" w:rsidRPr="00000000">
        <w:rPr>
          <w:i w:val="1"/>
          <w:iCs w:val="1"/>
          <w:sz w:val="20"/>
          <w:szCs w:val="20"/>
          <w:rtl w:val="0"/>
        </w:rPr>
        <w:t xml:space="preserve">Religion in History: The Gifford Lectures Delivered in the University of Glasgow in 1922</w:t>
      </w:r>
      <w:r w:rsidDel="00000000" w:rsidR="00000000" w:rsidRPr="00000000">
        <w:rPr>
          <w:sz w:val="20"/>
          <w:szCs w:val="20"/>
          <w:rtl w:val="0"/>
        </w:rPr>
        <w:t xml:space="preserve">, trans. by James Luther Adams and Walter F. Bense (Minneapolis: Fortress Press, 1991), pp. 1–32. </w:t>
      </w:r>
    </w:p>
  </w:footnote>
  <w:footnote w:id="2">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Mark D. Chapman, </w:t>
      </w:r>
      <w:r w:rsidDel="00000000" w:rsidR="00000000" w:rsidRPr="00000000">
        <w:rPr>
          <w:i w:val="1"/>
          <w:iCs w:val="1"/>
          <w:sz w:val="20"/>
          <w:szCs w:val="20"/>
          <w:rtl w:val="0"/>
        </w:rPr>
        <w:t xml:space="preserve">Ernst Troeltsch and Liberal Theology: Religion and Cultural Synthesis in Wilhelmine Germany</w:t>
      </w:r>
      <w:r w:rsidDel="00000000" w:rsidR="00000000" w:rsidRPr="00000000">
        <w:rPr>
          <w:sz w:val="20"/>
          <w:szCs w:val="20"/>
          <w:rtl w:val="0"/>
        </w:rPr>
        <w:t xml:space="preserve"> (Oxford: Oxford University Press, 2001), pp. 3–95. </w:t>
      </w:r>
    </w:p>
  </w:footnote>
  <w:footnote w:id="3">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Troeltsch, </w:t>
      </w:r>
      <w:r w:rsidDel="00000000" w:rsidR="00000000" w:rsidRPr="00000000">
        <w:rPr>
          <w:i w:val="1"/>
          <w:iCs w:val="1"/>
          <w:sz w:val="20"/>
          <w:szCs w:val="20"/>
          <w:rtl w:val="0"/>
        </w:rPr>
        <w:t xml:space="preserve">The Absoluteness of Christianity</w:t>
      </w:r>
      <w:r w:rsidDel="00000000" w:rsidR="00000000" w:rsidRPr="00000000">
        <w:rPr>
          <w:sz w:val="20"/>
          <w:szCs w:val="20"/>
          <w:rtl w:val="0"/>
        </w:rPr>
        <w:t xml:space="preserve">, pp. 47–131. </w:t>
      </w:r>
    </w:p>
  </w:footnote>
  <w:footnote w:id="4">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Arie L. Molendijk, </w:t>
      </w:r>
      <w:r w:rsidDel="00000000" w:rsidR="00000000" w:rsidRPr="00000000">
        <w:rPr>
          <w:i w:val="1"/>
          <w:iCs w:val="1"/>
          <w:sz w:val="20"/>
          <w:szCs w:val="20"/>
          <w:rtl w:val="0"/>
        </w:rPr>
        <w:t xml:space="preserve">The Emergence of the Science of Religion in the Netherlands</w:t>
      </w:r>
      <w:r w:rsidDel="00000000" w:rsidR="00000000" w:rsidRPr="00000000">
        <w:rPr>
          <w:sz w:val="20"/>
          <w:szCs w:val="20"/>
          <w:rtl w:val="0"/>
        </w:rPr>
        <w:t xml:space="preserve"> (Leiden: Brill, 2005), pp. 109–218. </w:t>
      </w:r>
    </w:p>
  </w:footnote>
  <w:footnote w:id="5">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Ernst Troeltsch, </w:t>
      </w:r>
      <w:r w:rsidDel="00000000" w:rsidR="00000000" w:rsidRPr="00000000">
        <w:rPr>
          <w:i w:val="1"/>
          <w:iCs w:val="1"/>
          <w:sz w:val="20"/>
          <w:szCs w:val="20"/>
          <w:rtl w:val="0"/>
        </w:rPr>
        <w:t xml:space="preserve">The Social Teaching of the Christian Churches</w:t>
      </w:r>
      <w:r w:rsidDel="00000000" w:rsidR="00000000" w:rsidRPr="00000000">
        <w:rPr>
          <w:sz w:val="20"/>
          <w:szCs w:val="20"/>
          <w:rtl w:val="0"/>
        </w:rPr>
        <w:t xml:space="preserve">, trans. by Olive Wyon, 2 vols (London: George Allen &amp; Unwin, 1931), I, pp. 803–1005. </w:t>
      </w:r>
    </w:p>
  </w:footnote>
  <w:footnote w:id="6">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Karl Barth, </w:t>
      </w:r>
      <w:r w:rsidDel="00000000" w:rsidR="00000000" w:rsidRPr="00000000">
        <w:rPr>
          <w:i w:val="1"/>
          <w:iCs w:val="1"/>
          <w:sz w:val="20"/>
          <w:szCs w:val="20"/>
          <w:rtl w:val="0"/>
        </w:rPr>
        <w:t xml:space="preserve">The Epistle to the Romans</w:t>
      </w:r>
      <w:r w:rsidDel="00000000" w:rsidR="00000000" w:rsidRPr="00000000">
        <w:rPr>
          <w:sz w:val="20"/>
          <w:szCs w:val="20"/>
          <w:rtl w:val="0"/>
        </w:rPr>
        <w:t xml:space="preserve">, trans. by Edwyn C. Hoskyns, 6th edn (Oxford: Oxford University Press, 1968), pp. 5–120. </w:t>
      </w:r>
    </w:p>
  </w:footnote>
  <w:footnote w:id="7">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Evan F. Kuehn, ‘Ernst Troeltsch and the Problem of Historicism’, in </w:t>
      </w:r>
      <w:r w:rsidDel="00000000" w:rsidR="00000000" w:rsidRPr="00000000">
        <w:rPr>
          <w:i w:val="1"/>
          <w:iCs w:val="1"/>
          <w:sz w:val="20"/>
          <w:szCs w:val="20"/>
          <w:rtl w:val="0"/>
        </w:rPr>
        <w:t xml:space="preserve">The Cambridge Companion to Christian Theology</w:t>
      </w:r>
      <w:r w:rsidDel="00000000" w:rsidR="00000000" w:rsidRPr="00000000">
        <w:rPr>
          <w:sz w:val="20"/>
          <w:szCs w:val="20"/>
          <w:rtl w:val="0"/>
        </w:rPr>
        <w:t xml:space="preserve">, ed. by David Fergusson and Karen Kilby (Cambridge: Cambridge University Press, 2013), pp. 121–199. </w:t>
      </w:r>
    </w:p>
  </w:footnote>
  <w:footnote w:id="8">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Trutz Rendtorff, ‘L’actuel renouveau d’intérêt pour l’œuvre de Troeltsch’, </w:t>
      </w:r>
      <w:r w:rsidDel="00000000" w:rsidR="00000000" w:rsidRPr="00000000">
        <w:rPr>
          <w:i w:val="1"/>
          <w:iCs w:val="1"/>
          <w:sz w:val="20"/>
          <w:szCs w:val="20"/>
          <w:rtl w:val="0"/>
        </w:rPr>
        <w:t xml:space="preserve">Revue de l’histoire des religions</w:t>
      </w:r>
      <w:r w:rsidDel="00000000" w:rsidR="00000000" w:rsidRPr="00000000">
        <w:rPr>
          <w:sz w:val="20"/>
          <w:szCs w:val="20"/>
          <w:rtl w:val="0"/>
        </w:rPr>
        <w:t xml:space="preserve">, 214.2 (1997), pp. 133–152 . </w:t>
      </w:r>
    </w:p>
  </w:footnote>
  <w:footnote w:id="9">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Chapman, </w:t>
      </w:r>
      <w:r w:rsidDel="00000000" w:rsidR="00000000" w:rsidRPr="00000000">
        <w:rPr>
          <w:i w:val="1"/>
          <w:iCs w:val="1"/>
          <w:sz w:val="20"/>
          <w:szCs w:val="20"/>
          <w:rtl w:val="0"/>
        </w:rPr>
        <w:t xml:space="preserve">Ernst Troeltsch and Liberal Theology</w:t>
      </w:r>
      <w:r w:rsidDel="00000000" w:rsidR="00000000" w:rsidRPr="00000000">
        <w:rPr>
          <w:sz w:val="20"/>
          <w:szCs w:val="20"/>
          <w:rtl w:val="0"/>
        </w:rPr>
        <w:t xml:space="preserve">, pp. 1–50.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