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086858" w14:textId="77777777" w:rsidR="0083351E" w:rsidRDefault="0083351E">
      <w:pPr>
        <w:rPr>
          <w:rFonts w:ascii="Arial" w:hAnsi="Arial" w:cs="Arial"/>
        </w:rPr>
      </w:pPr>
      <w:r>
        <w:rPr>
          <w:rFonts w:ascii="Arial" w:hAnsi="Arial" w:cs="Arial"/>
        </w:rPr>
        <w:t>Running Head: ESSAY</w:t>
      </w:r>
    </w:p>
    <w:p w14:paraId="3E9BE5F5" w14:textId="77777777" w:rsidR="0083351E" w:rsidRDefault="0083351E">
      <w:pPr>
        <w:rPr>
          <w:rFonts w:ascii="Arial" w:hAnsi="Arial" w:cs="Arial"/>
        </w:rPr>
      </w:pPr>
    </w:p>
    <w:p w14:paraId="7259D4E6" w14:textId="77777777" w:rsidR="0083351E" w:rsidRDefault="0083351E">
      <w:pPr>
        <w:rPr>
          <w:rFonts w:ascii="Arial" w:hAnsi="Arial" w:cs="Arial"/>
        </w:rPr>
      </w:pPr>
    </w:p>
    <w:p w14:paraId="49E1B878" w14:textId="77777777" w:rsidR="0083351E" w:rsidRDefault="0083351E">
      <w:pPr>
        <w:rPr>
          <w:rFonts w:ascii="Arial" w:hAnsi="Arial" w:cs="Arial"/>
        </w:rPr>
      </w:pPr>
    </w:p>
    <w:p w14:paraId="78A145C0" w14:textId="77777777" w:rsidR="0083351E" w:rsidRDefault="0083351E">
      <w:pPr>
        <w:rPr>
          <w:rFonts w:ascii="Arial" w:hAnsi="Arial" w:cs="Arial"/>
        </w:rPr>
      </w:pPr>
    </w:p>
    <w:p w14:paraId="37F6F4C4" w14:textId="77777777" w:rsidR="0083351E" w:rsidRDefault="0083351E">
      <w:pPr>
        <w:rPr>
          <w:rFonts w:ascii="Arial" w:hAnsi="Arial" w:cs="Arial"/>
        </w:rPr>
      </w:pPr>
    </w:p>
    <w:p w14:paraId="0A1EC09D" w14:textId="77777777" w:rsidR="0083351E" w:rsidRDefault="0083351E">
      <w:pPr>
        <w:rPr>
          <w:rFonts w:ascii="Arial" w:hAnsi="Arial" w:cs="Arial"/>
        </w:rPr>
      </w:pPr>
    </w:p>
    <w:p w14:paraId="6E09A1F0" w14:textId="77777777" w:rsidR="0083351E" w:rsidRDefault="0083351E">
      <w:pPr>
        <w:rPr>
          <w:rFonts w:ascii="Arial" w:hAnsi="Arial" w:cs="Arial"/>
        </w:rPr>
      </w:pPr>
    </w:p>
    <w:p w14:paraId="5DDFB5F9" w14:textId="77777777" w:rsidR="0083351E" w:rsidRDefault="0083351E">
      <w:pPr>
        <w:rPr>
          <w:rFonts w:ascii="Arial" w:hAnsi="Arial" w:cs="Arial"/>
        </w:rPr>
      </w:pPr>
    </w:p>
    <w:p w14:paraId="5771C42C" w14:textId="77777777" w:rsidR="0083351E" w:rsidRDefault="0083351E">
      <w:pPr>
        <w:rPr>
          <w:rFonts w:ascii="Arial" w:hAnsi="Arial" w:cs="Arial"/>
        </w:rPr>
      </w:pPr>
    </w:p>
    <w:p w14:paraId="6548407F" w14:textId="77777777" w:rsidR="0083351E" w:rsidRDefault="0083351E" w:rsidP="0083351E">
      <w:pPr>
        <w:spacing w:after="0" w:line="360" w:lineRule="auto"/>
        <w:contextualSpacing/>
        <w:jc w:val="center"/>
        <w:rPr>
          <w:rFonts w:ascii="Arial" w:hAnsi="Arial" w:cs="Arial"/>
          <w:rtl/>
        </w:rPr>
      </w:pPr>
      <w:r w:rsidRPr="0083351E">
        <w:rPr>
          <w:rFonts w:ascii="Arial" w:hAnsi="Arial" w:cs="Arial"/>
        </w:rPr>
        <w:t>Discuss the impact of social media on mental health in adolescence</w:t>
      </w:r>
    </w:p>
    <w:p w14:paraId="77AA478A" w14:textId="55CF1B85" w:rsidR="00662A95" w:rsidRPr="00765E91" w:rsidRDefault="001B4DAE" w:rsidP="0083351E">
      <w:pPr>
        <w:spacing w:after="0" w:line="360" w:lineRule="auto"/>
        <w:contextualSpacing/>
        <w:jc w:val="center"/>
        <w:rPr>
          <w:rFonts w:ascii="Arial" w:hAnsi="Arial" w:cs="Arial"/>
          <w:b/>
          <w:bCs/>
          <w:sz w:val="28"/>
          <w:szCs w:val="28"/>
        </w:rPr>
      </w:pPr>
      <w:r w:rsidRPr="00765E91">
        <w:rPr>
          <w:rFonts w:ascii="Arial" w:hAnsi="Arial" w:cs="Arial"/>
          <w:b/>
          <w:bCs/>
          <w:sz w:val="28"/>
          <w:szCs w:val="28"/>
        </w:rPr>
        <w:t>Psychology</w:t>
      </w:r>
      <w:r w:rsidRPr="00765E91">
        <w:rPr>
          <w:rFonts w:ascii="Arial" w:hAnsi="Arial" w:cs="Arial" w:hint="cs"/>
          <w:b/>
          <w:bCs/>
          <w:sz w:val="28"/>
          <w:szCs w:val="28"/>
        </w:rPr>
        <w:t xml:space="preserve"> in health and </w:t>
      </w:r>
      <w:r w:rsidRPr="00765E91">
        <w:rPr>
          <w:rFonts w:ascii="Arial" w:hAnsi="Arial" w:cs="Arial"/>
          <w:b/>
          <w:bCs/>
          <w:sz w:val="28"/>
          <w:szCs w:val="28"/>
        </w:rPr>
        <w:t>social care</w:t>
      </w:r>
    </w:p>
    <w:p w14:paraId="722EDADD" w14:textId="5C6FB942" w:rsidR="0083351E" w:rsidRDefault="00E4542C" w:rsidP="0083351E">
      <w:pPr>
        <w:spacing w:after="0" w:line="360" w:lineRule="auto"/>
        <w:contextualSpacing/>
        <w:jc w:val="center"/>
        <w:rPr>
          <w:rFonts w:ascii="Arial" w:hAnsi="Arial" w:cs="Arial"/>
          <w:rtl/>
        </w:rPr>
      </w:pPr>
      <w:r>
        <w:rPr>
          <w:rFonts w:ascii="Arial" w:hAnsi="Arial" w:cs="Arial"/>
        </w:rPr>
        <w:t>Student</w:t>
      </w:r>
      <w:r w:rsidR="008939C5">
        <w:rPr>
          <w:rFonts w:ascii="Arial" w:hAnsi="Arial" w:cs="Arial" w:hint="cs"/>
        </w:rPr>
        <w:t xml:space="preserve"> name:</w:t>
      </w:r>
      <w:r w:rsidR="00EF0B34">
        <w:rPr>
          <w:rFonts w:ascii="Arial" w:hAnsi="Arial" w:cs="Arial" w:hint="cs"/>
        </w:rPr>
        <w:t xml:space="preserve"> </w:t>
      </w:r>
      <w:r w:rsidR="001A0297">
        <w:rPr>
          <w:rFonts w:ascii="Arial" w:hAnsi="Arial" w:cs="Arial" w:hint="cs"/>
        </w:rPr>
        <w:t>Zahra Al-</w:t>
      </w:r>
      <w:proofErr w:type="spellStart"/>
      <w:r w:rsidR="001A0297">
        <w:rPr>
          <w:rFonts w:ascii="Arial" w:hAnsi="Arial" w:cs="Arial" w:hint="cs"/>
        </w:rPr>
        <w:t>Saabri</w:t>
      </w:r>
      <w:proofErr w:type="spellEnd"/>
    </w:p>
    <w:p w14:paraId="692675AA" w14:textId="67B8C95C" w:rsidR="008939C5" w:rsidRDefault="008939C5" w:rsidP="0083351E">
      <w:pPr>
        <w:spacing w:after="0" w:line="360" w:lineRule="auto"/>
        <w:contextualSpacing/>
        <w:jc w:val="center"/>
        <w:rPr>
          <w:rFonts w:ascii="Arial" w:hAnsi="Arial" w:cs="Arial"/>
          <w:rtl/>
        </w:rPr>
      </w:pPr>
      <w:r>
        <w:rPr>
          <w:rFonts w:ascii="Arial" w:hAnsi="Arial" w:cs="Arial" w:hint="cs"/>
        </w:rPr>
        <w:t>Student id</w:t>
      </w:r>
      <w:r w:rsidR="00EF0B34">
        <w:rPr>
          <w:rFonts w:ascii="Arial" w:hAnsi="Arial" w:cs="Arial" w:hint="cs"/>
        </w:rPr>
        <w:t xml:space="preserve">: </w:t>
      </w:r>
      <w:r>
        <w:rPr>
          <w:rFonts w:ascii="Arial" w:hAnsi="Arial" w:cs="Arial" w:hint="cs"/>
        </w:rPr>
        <w:t>2441066</w:t>
      </w:r>
    </w:p>
    <w:p w14:paraId="0F083326" w14:textId="2A9BD113" w:rsidR="00217932" w:rsidRDefault="00217932" w:rsidP="0083351E">
      <w:pPr>
        <w:spacing w:after="0" w:line="360" w:lineRule="auto"/>
        <w:contextualSpacing/>
        <w:jc w:val="center"/>
        <w:rPr>
          <w:rFonts w:ascii="Arial" w:hAnsi="Arial" w:cs="Arial"/>
          <w:rtl/>
        </w:rPr>
      </w:pPr>
      <w:r>
        <w:rPr>
          <w:rFonts w:ascii="Arial" w:hAnsi="Arial" w:cs="Arial" w:hint="cs"/>
        </w:rPr>
        <w:t>Model code:</w:t>
      </w:r>
      <w:r w:rsidR="002C58F2">
        <w:rPr>
          <w:rFonts w:ascii="Arial" w:hAnsi="Arial" w:cs="Arial" w:hint="cs"/>
        </w:rPr>
        <w:t>L</w:t>
      </w:r>
      <w:r w:rsidR="0082286B">
        <w:rPr>
          <w:rFonts w:ascii="Arial" w:hAnsi="Arial" w:cs="Arial" w:hint="cs"/>
        </w:rPr>
        <w:t>CSH</w:t>
      </w:r>
      <w:r w:rsidR="00E4542C">
        <w:rPr>
          <w:rFonts w:ascii="Arial" w:hAnsi="Arial" w:cs="Arial" w:hint="cs"/>
        </w:rPr>
        <w:t>4010</w:t>
      </w:r>
    </w:p>
    <w:p w14:paraId="3E25A4D8" w14:textId="7DF499B9" w:rsidR="00EF0B34" w:rsidRDefault="00EF0B34" w:rsidP="0083351E">
      <w:pPr>
        <w:spacing w:after="0" w:line="360" w:lineRule="auto"/>
        <w:contextualSpacing/>
        <w:jc w:val="center"/>
        <w:rPr>
          <w:rFonts w:ascii="Arial" w:hAnsi="Arial" w:cs="Arial"/>
        </w:rPr>
      </w:pPr>
      <w:r>
        <w:rPr>
          <w:rFonts w:ascii="Arial" w:hAnsi="Arial" w:cs="Arial" w:hint="cs"/>
        </w:rPr>
        <w:t>Lecture name: Angel</w:t>
      </w:r>
      <w:r w:rsidR="00D41DE9">
        <w:rPr>
          <w:rFonts w:ascii="Arial" w:hAnsi="Arial" w:cs="Arial" w:hint="cs"/>
        </w:rPr>
        <w:t>a</w:t>
      </w:r>
      <w:r>
        <w:rPr>
          <w:rFonts w:ascii="Arial" w:hAnsi="Arial" w:cs="Arial" w:hint="cs"/>
        </w:rPr>
        <w:t xml:space="preserve"> wells</w:t>
      </w:r>
    </w:p>
    <w:p w14:paraId="71132523" w14:textId="00DA0BBB" w:rsidR="0083351E" w:rsidRDefault="0083351E" w:rsidP="0083351E">
      <w:pPr>
        <w:spacing w:after="0" w:line="360" w:lineRule="auto"/>
        <w:contextualSpacing/>
        <w:jc w:val="center"/>
        <w:rPr>
          <w:rFonts w:ascii="Arial" w:hAnsi="Arial" w:cs="Arial"/>
        </w:rPr>
      </w:pPr>
      <w:r>
        <w:rPr>
          <w:rFonts w:ascii="Arial" w:hAnsi="Arial" w:cs="Arial"/>
        </w:rPr>
        <w:br w:type="page"/>
      </w:r>
    </w:p>
    <w:sdt>
      <w:sdtPr>
        <w:rPr>
          <w:rFonts w:ascii="Arial" w:eastAsiaTheme="minorHAnsi" w:hAnsi="Arial" w:cs="Arial"/>
          <w:b/>
          <w:bCs/>
          <w:color w:val="auto"/>
          <w:kern w:val="2"/>
          <w:sz w:val="24"/>
          <w:szCs w:val="24"/>
          <w14:ligatures w14:val="standardContextual"/>
        </w:rPr>
        <w:id w:val="368581766"/>
        <w:docPartObj>
          <w:docPartGallery w:val="Table of Contents"/>
          <w:docPartUnique/>
        </w:docPartObj>
      </w:sdtPr>
      <w:sdtEndPr>
        <w:rPr>
          <w:noProof/>
        </w:rPr>
      </w:sdtEndPr>
      <w:sdtContent>
        <w:p w14:paraId="7EA6516B" w14:textId="6227CB89" w:rsidR="0083351E" w:rsidRDefault="0083351E" w:rsidP="0083351E">
          <w:pPr>
            <w:pStyle w:val="TOCHeading"/>
            <w:jc w:val="center"/>
            <w:rPr>
              <w:rFonts w:ascii="Arial" w:hAnsi="Arial" w:cs="Arial"/>
              <w:b/>
              <w:bCs/>
              <w:color w:val="auto"/>
              <w:sz w:val="24"/>
              <w:szCs w:val="24"/>
            </w:rPr>
          </w:pPr>
          <w:r w:rsidRPr="0083351E">
            <w:rPr>
              <w:rFonts w:ascii="Arial" w:hAnsi="Arial" w:cs="Arial"/>
              <w:b/>
              <w:bCs/>
              <w:color w:val="auto"/>
              <w:sz w:val="24"/>
              <w:szCs w:val="24"/>
            </w:rPr>
            <w:t>Table of Contents</w:t>
          </w:r>
        </w:p>
        <w:p w14:paraId="34E4EB8D" w14:textId="77777777" w:rsidR="0083351E" w:rsidRPr="0083351E" w:rsidRDefault="0083351E" w:rsidP="0083351E"/>
        <w:p w14:paraId="61EE2403" w14:textId="370BD172" w:rsidR="0083351E" w:rsidRPr="0083351E" w:rsidRDefault="0083351E">
          <w:pPr>
            <w:pStyle w:val="TOC1"/>
            <w:tabs>
              <w:tab w:val="right" w:leader="dot" w:pos="9350"/>
            </w:tabs>
            <w:rPr>
              <w:rFonts w:ascii="Arial" w:hAnsi="Arial" w:cs="Arial"/>
              <w:noProof/>
            </w:rPr>
          </w:pPr>
          <w:r w:rsidRPr="0083351E">
            <w:rPr>
              <w:rFonts w:ascii="Arial" w:hAnsi="Arial" w:cs="Arial"/>
            </w:rPr>
            <w:fldChar w:fldCharType="begin"/>
          </w:r>
          <w:r w:rsidRPr="0083351E">
            <w:rPr>
              <w:rFonts w:ascii="Arial" w:hAnsi="Arial" w:cs="Arial"/>
            </w:rPr>
            <w:instrText xml:space="preserve"> TOC \o "1-3" \h \z \u </w:instrText>
          </w:r>
          <w:r w:rsidRPr="0083351E">
            <w:rPr>
              <w:rFonts w:ascii="Arial" w:hAnsi="Arial" w:cs="Arial"/>
            </w:rPr>
            <w:fldChar w:fldCharType="separate"/>
          </w:r>
          <w:hyperlink w:anchor="_Toc237886301" w:history="1">
            <w:r w:rsidRPr="0083351E">
              <w:rPr>
                <w:rStyle w:val="Hyperlink"/>
                <w:rFonts w:ascii="Arial" w:hAnsi="Arial" w:cs="Arial"/>
                <w:noProof/>
                <w:color w:val="auto"/>
              </w:rPr>
              <w:t>Introduction</w:t>
            </w:r>
            <w:r w:rsidRPr="0083351E">
              <w:rPr>
                <w:rFonts w:ascii="Arial" w:hAnsi="Arial" w:cs="Arial"/>
                <w:noProof/>
                <w:webHidden/>
              </w:rPr>
              <w:tab/>
            </w:r>
            <w:r w:rsidRPr="0083351E">
              <w:rPr>
                <w:rFonts w:ascii="Arial" w:hAnsi="Arial" w:cs="Arial"/>
                <w:noProof/>
                <w:webHidden/>
              </w:rPr>
              <w:fldChar w:fldCharType="begin"/>
            </w:r>
            <w:r w:rsidRPr="0083351E">
              <w:rPr>
                <w:rFonts w:ascii="Arial" w:hAnsi="Arial" w:cs="Arial"/>
                <w:noProof/>
                <w:webHidden/>
              </w:rPr>
              <w:instrText xml:space="preserve"> PAGEREF _Toc237886301 \h </w:instrText>
            </w:r>
            <w:r w:rsidRPr="0083351E">
              <w:rPr>
                <w:rFonts w:ascii="Arial" w:hAnsi="Arial" w:cs="Arial"/>
                <w:noProof/>
                <w:webHidden/>
              </w:rPr>
            </w:r>
            <w:r w:rsidRPr="0083351E">
              <w:rPr>
                <w:rFonts w:ascii="Arial" w:hAnsi="Arial" w:cs="Arial"/>
                <w:noProof/>
                <w:webHidden/>
              </w:rPr>
              <w:fldChar w:fldCharType="separate"/>
            </w:r>
            <w:r w:rsidRPr="0083351E">
              <w:rPr>
                <w:rFonts w:ascii="Arial" w:hAnsi="Arial" w:cs="Arial"/>
                <w:noProof/>
                <w:webHidden/>
              </w:rPr>
              <w:t>3</w:t>
            </w:r>
            <w:r w:rsidRPr="0083351E">
              <w:rPr>
                <w:rFonts w:ascii="Arial" w:hAnsi="Arial" w:cs="Arial"/>
                <w:noProof/>
                <w:webHidden/>
              </w:rPr>
              <w:fldChar w:fldCharType="end"/>
            </w:r>
          </w:hyperlink>
        </w:p>
        <w:p w14:paraId="07E86A60" w14:textId="4341869C" w:rsidR="0083351E" w:rsidRPr="0083351E" w:rsidRDefault="0083351E">
          <w:pPr>
            <w:pStyle w:val="TOC1"/>
            <w:tabs>
              <w:tab w:val="right" w:leader="dot" w:pos="9350"/>
            </w:tabs>
            <w:rPr>
              <w:rFonts w:ascii="Arial" w:hAnsi="Arial" w:cs="Arial"/>
              <w:noProof/>
            </w:rPr>
          </w:pPr>
          <w:hyperlink w:anchor="_Toc237886302" w:history="1">
            <w:r w:rsidRPr="0083351E">
              <w:rPr>
                <w:rStyle w:val="Hyperlink"/>
                <w:rFonts w:ascii="Arial" w:hAnsi="Arial" w:cs="Arial"/>
                <w:noProof/>
                <w:color w:val="auto"/>
              </w:rPr>
              <w:t>Main Body</w:t>
            </w:r>
            <w:r w:rsidRPr="0083351E">
              <w:rPr>
                <w:rFonts w:ascii="Arial" w:hAnsi="Arial" w:cs="Arial"/>
                <w:noProof/>
                <w:webHidden/>
              </w:rPr>
              <w:tab/>
            </w:r>
            <w:r w:rsidRPr="0083351E">
              <w:rPr>
                <w:rFonts w:ascii="Arial" w:hAnsi="Arial" w:cs="Arial"/>
                <w:noProof/>
                <w:webHidden/>
              </w:rPr>
              <w:fldChar w:fldCharType="begin"/>
            </w:r>
            <w:r w:rsidRPr="0083351E">
              <w:rPr>
                <w:rFonts w:ascii="Arial" w:hAnsi="Arial" w:cs="Arial"/>
                <w:noProof/>
                <w:webHidden/>
              </w:rPr>
              <w:instrText xml:space="preserve"> PAGEREF _Toc237886302 \h </w:instrText>
            </w:r>
            <w:r w:rsidRPr="0083351E">
              <w:rPr>
                <w:rFonts w:ascii="Arial" w:hAnsi="Arial" w:cs="Arial"/>
                <w:noProof/>
                <w:webHidden/>
              </w:rPr>
            </w:r>
            <w:r w:rsidRPr="0083351E">
              <w:rPr>
                <w:rFonts w:ascii="Arial" w:hAnsi="Arial" w:cs="Arial"/>
                <w:noProof/>
                <w:webHidden/>
              </w:rPr>
              <w:fldChar w:fldCharType="separate"/>
            </w:r>
            <w:r w:rsidRPr="0083351E">
              <w:rPr>
                <w:rFonts w:ascii="Arial" w:hAnsi="Arial" w:cs="Arial"/>
                <w:noProof/>
                <w:webHidden/>
              </w:rPr>
              <w:t>3</w:t>
            </w:r>
            <w:r w:rsidRPr="0083351E">
              <w:rPr>
                <w:rFonts w:ascii="Arial" w:hAnsi="Arial" w:cs="Arial"/>
                <w:noProof/>
                <w:webHidden/>
              </w:rPr>
              <w:fldChar w:fldCharType="end"/>
            </w:r>
          </w:hyperlink>
        </w:p>
        <w:p w14:paraId="7A458BD6" w14:textId="00205CF2" w:rsidR="0083351E" w:rsidRPr="0083351E" w:rsidRDefault="0083351E">
          <w:pPr>
            <w:pStyle w:val="TOC1"/>
            <w:tabs>
              <w:tab w:val="right" w:leader="dot" w:pos="9350"/>
            </w:tabs>
            <w:rPr>
              <w:rFonts w:ascii="Arial" w:hAnsi="Arial" w:cs="Arial"/>
              <w:noProof/>
            </w:rPr>
          </w:pPr>
          <w:hyperlink w:anchor="_Toc237886303" w:history="1">
            <w:r w:rsidRPr="0083351E">
              <w:rPr>
                <w:rStyle w:val="Hyperlink"/>
                <w:rFonts w:ascii="Arial" w:hAnsi="Arial" w:cs="Arial"/>
                <w:noProof/>
                <w:color w:val="auto"/>
              </w:rPr>
              <w:t>Conclusion</w:t>
            </w:r>
            <w:r w:rsidRPr="0083351E">
              <w:rPr>
                <w:rFonts w:ascii="Arial" w:hAnsi="Arial" w:cs="Arial"/>
                <w:noProof/>
                <w:webHidden/>
              </w:rPr>
              <w:tab/>
            </w:r>
            <w:r w:rsidRPr="0083351E">
              <w:rPr>
                <w:rFonts w:ascii="Arial" w:hAnsi="Arial" w:cs="Arial"/>
                <w:noProof/>
                <w:webHidden/>
              </w:rPr>
              <w:fldChar w:fldCharType="begin"/>
            </w:r>
            <w:r w:rsidRPr="0083351E">
              <w:rPr>
                <w:rFonts w:ascii="Arial" w:hAnsi="Arial" w:cs="Arial"/>
                <w:noProof/>
                <w:webHidden/>
              </w:rPr>
              <w:instrText xml:space="preserve"> PAGEREF _Toc237886303 \h </w:instrText>
            </w:r>
            <w:r w:rsidRPr="0083351E">
              <w:rPr>
                <w:rFonts w:ascii="Arial" w:hAnsi="Arial" w:cs="Arial"/>
                <w:noProof/>
                <w:webHidden/>
              </w:rPr>
            </w:r>
            <w:r w:rsidRPr="0083351E">
              <w:rPr>
                <w:rFonts w:ascii="Arial" w:hAnsi="Arial" w:cs="Arial"/>
                <w:noProof/>
                <w:webHidden/>
              </w:rPr>
              <w:fldChar w:fldCharType="separate"/>
            </w:r>
            <w:r w:rsidRPr="0083351E">
              <w:rPr>
                <w:rFonts w:ascii="Arial" w:hAnsi="Arial" w:cs="Arial"/>
                <w:noProof/>
                <w:webHidden/>
              </w:rPr>
              <w:t>6</w:t>
            </w:r>
            <w:r w:rsidRPr="0083351E">
              <w:rPr>
                <w:rFonts w:ascii="Arial" w:hAnsi="Arial" w:cs="Arial"/>
                <w:noProof/>
                <w:webHidden/>
              </w:rPr>
              <w:fldChar w:fldCharType="end"/>
            </w:r>
          </w:hyperlink>
        </w:p>
        <w:p w14:paraId="59127BF7" w14:textId="641A0B86" w:rsidR="0083351E" w:rsidRPr="0083351E" w:rsidRDefault="0083351E">
          <w:pPr>
            <w:pStyle w:val="TOC1"/>
            <w:tabs>
              <w:tab w:val="right" w:leader="dot" w:pos="9350"/>
            </w:tabs>
            <w:rPr>
              <w:rFonts w:ascii="Arial" w:hAnsi="Arial" w:cs="Arial"/>
              <w:noProof/>
            </w:rPr>
          </w:pPr>
          <w:hyperlink w:anchor="_Toc237886304" w:history="1">
            <w:r w:rsidRPr="0083351E">
              <w:rPr>
                <w:rStyle w:val="Hyperlink"/>
                <w:rFonts w:ascii="Arial" w:hAnsi="Arial" w:cs="Arial"/>
                <w:noProof/>
                <w:color w:val="auto"/>
              </w:rPr>
              <w:t>References</w:t>
            </w:r>
            <w:r w:rsidRPr="0083351E">
              <w:rPr>
                <w:rFonts w:ascii="Arial" w:hAnsi="Arial" w:cs="Arial"/>
                <w:noProof/>
                <w:webHidden/>
              </w:rPr>
              <w:tab/>
            </w:r>
            <w:r w:rsidRPr="0083351E">
              <w:rPr>
                <w:rFonts w:ascii="Arial" w:hAnsi="Arial" w:cs="Arial"/>
                <w:noProof/>
                <w:webHidden/>
              </w:rPr>
              <w:fldChar w:fldCharType="begin"/>
            </w:r>
            <w:r w:rsidRPr="0083351E">
              <w:rPr>
                <w:rFonts w:ascii="Arial" w:hAnsi="Arial" w:cs="Arial"/>
                <w:noProof/>
                <w:webHidden/>
              </w:rPr>
              <w:instrText xml:space="preserve"> PAGEREF _Toc237886304 \h </w:instrText>
            </w:r>
            <w:r w:rsidRPr="0083351E">
              <w:rPr>
                <w:rFonts w:ascii="Arial" w:hAnsi="Arial" w:cs="Arial"/>
                <w:noProof/>
                <w:webHidden/>
              </w:rPr>
            </w:r>
            <w:r w:rsidRPr="0083351E">
              <w:rPr>
                <w:rFonts w:ascii="Arial" w:hAnsi="Arial" w:cs="Arial"/>
                <w:noProof/>
                <w:webHidden/>
              </w:rPr>
              <w:fldChar w:fldCharType="separate"/>
            </w:r>
            <w:r w:rsidRPr="0083351E">
              <w:rPr>
                <w:rFonts w:ascii="Arial" w:hAnsi="Arial" w:cs="Arial"/>
                <w:noProof/>
                <w:webHidden/>
              </w:rPr>
              <w:t>8</w:t>
            </w:r>
            <w:r w:rsidRPr="0083351E">
              <w:rPr>
                <w:rFonts w:ascii="Arial" w:hAnsi="Arial" w:cs="Arial"/>
                <w:noProof/>
                <w:webHidden/>
              </w:rPr>
              <w:fldChar w:fldCharType="end"/>
            </w:r>
          </w:hyperlink>
        </w:p>
        <w:p w14:paraId="4D8E6224" w14:textId="5638F54F" w:rsidR="0083351E" w:rsidRDefault="0083351E">
          <w:r w:rsidRPr="0083351E">
            <w:rPr>
              <w:rFonts w:ascii="Arial" w:hAnsi="Arial" w:cs="Arial"/>
              <w:b/>
              <w:bCs/>
              <w:noProof/>
            </w:rPr>
            <w:fldChar w:fldCharType="end"/>
          </w:r>
        </w:p>
      </w:sdtContent>
    </w:sdt>
    <w:p w14:paraId="2A49A889" w14:textId="77777777" w:rsidR="0083351E" w:rsidRDefault="0083351E">
      <w:pPr>
        <w:rPr>
          <w:rFonts w:ascii="Arial" w:hAnsi="Arial" w:cs="Arial"/>
        </w:rPr>
      </w:pPr>
      <w:r>
        <w:rPr>
          <w:rFonts w:ascii="Arial" w:hAnsi="Arial" w:cs="Arial"/>
        </w:rPr>
        <w:br w:type="page"/>
      </w:r>
    </w:p>
    <w:p w14:paraId="734C6FE3" w14:textId="0684A8BA" w:rsidR="0083351E" w:rsidRPr="0083351E" w:rsidRDefault="0083351E" w:rsidP="0083351E">
      <w:pPr>
        <w:spacing w:after="0" w:line="360" w:lineRule="auto"/>
        <w:contextualSpacing/>
        <w:jc w:val="center"/>
        <w:rPr>
          <w:rFonts w:ascii="Arial" w:hAnsi="Arial" w:cs="Arial"/>
        </w:rPr>
      </w:pPr>
      <w:r w:rsidRPr="0083351E">
        <w:rPr>
          <w:rFonts w:ascii="Arial" w:hAnsi="Arial" w:cs="Arial"/>
        </w:rPr>
        <w:t>Discuss the impact of social media on mental health in adolescence</w:t>
      </w:r>
    </w:p>
    <w:p w14:paraId="1A1A9D60" w14:textId="1DA8E456" w:rsidR="0083351E" w:rsidRPr="0083351E" w:rsidRDefault="0083351E" w:rsidP="0083351E">
      <w:pPr>
        <w:pStyle w:val="Heading1"/>
        <w:spacing w:before="0" w:after="0" w:line="360" w:lineRule="auto"/>
        <w:contextualSpacing/>
      </w:pPr>
      <w:bookmarkStart w:id="0" w:name="_Toc237886301"/>
      <w:r w:rsidRPr="0083351E">
        <w:t>Introduction</w:t>
      </w:r>
      <w:bookmarkEnd w:id="0"/>
    </w:p>
    <w:p w14:paraId="2131430D" w14:textId="7203E2A4"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Social media is now the core of middle and high school life, giving adolescents a platform to communicate, entertain, express themselves and build their knowledge. But, because of its popular use, there are concerns regarding the impact of it on mental well-being. Adolescence is a critical development stage, where youth face an increased risk of emotional, psychological and social changes, which create a need for peer approval, identity and social interaction. However, some studies have linked use of social media to anxiety, depression, low self-esteem, sleep disorders and psychological distress—in varying degrees among users. Valkenburg et al. (2022) discuss the complicated and murky issue of social media and adolescent mental health, suggesting that this new media platform can negatively impact the mental health of some youth, while offering social benefits for others. This essay will look at the effects of social media on the adolescent mental health based on the psychoanalytic theory of Sigmund Freud and attachment theory of Bowlby. Theories used by adolescents to explain the way that the unconscious psychological process, feelings of emotional security, and interpersonal relationships might affect the way adolescents interact with social media. The usefulness of both theories for promoting health in people in social care settings for the elderly is also discussed critically.</w:t>
      </w:r>
    </w:p>
    <w:p w14:paraId="7A1707A6" w14:textId="77777777" w:rsidR="0083351E" w:rsidRPr="0083351E" w:rsidRDefault="0083351E" w:rsidP="0083351E">
      <w:pPr>
        <w:spacing w:after="0" w:line="360" w:lineRule="auto"/>
        <w:contextualSpacing/>
        <w:jc w:val="both"/>
        <w:rPr>
          <w:rFonts w:ascii="Arial" w:hAnsi="Arial" w:cs="Arial"/>
        </w:rPr>
      </w:pPr>
    </w:p>
    <w:p w14:paraId="2AD85DC4" w14:textId="3A4C56C0" w:rsidR="0083351E" w:rsidRPr="0083351E" w:rsidRDefault="0083351E" w:rsidP="0083351E">
      <w:pPr>
        <w:pStyle w:val="Heading1"/>
        <w:spacing w:before="0" w:after="0" w:line="360" w:lineRule="auto"/>
        <w:contextualSpacing/>
      </w:pPr>
      <w:bookmarkStart w:id="1" w:name="_Toc237886302"/>
      <w:r w:rsidRPr="0083351E">
        <w:t>Main Body</w:t>
      </w:r>
      <w:bookmarkEnd w:id="1"/>
    </w:p>
    <w:p w14:paraId="79E61925" w14:textId="603285FE"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 xml:space="preserve">Not just time spent online, but research has shown that the effects of social media are not a linear function. In a systematic review conducted by Khalaf et al. (2023), social media use was correlated with mental health issues such as depression, anxiety and sleep-related problems, especially if it is excessive or problematic. Also, Gupta et al. (2022) mention social comparison and cyberbullying and addictive usage patterns as two serious issues that impact youth and teens. More recently Agyapong-Opoku, Agyapong-Opoku and </w:t>
      </w:r>
      <w:proofErr w:type="spellStart"/>
      <w:r w:rsidRPr="0083351E">
        <w:rPr>
          <w:rFonts w:ascii="Arial" w:hAnsi="Arial" w:cs="Arial"/>
        </w:rPr>
        <w:t>Greenshaw</w:t>
      </w:r>
      <w:proofErr w:type="spellEnd"/>
      <w:r w:rsidRPr="0083351E">
        <w:rPr>
          <w:rFonts w:ascii="Arial" w:hAnsi="Arial" w:cs="Arial"/>
        </w:rPr>
        <w:t xml:space="preserve"> (2025) </w:t>
      </w:r>
      <w:proofErr w:type="spellStart"/>
      <w:r w:rsidRPr="0083351E">
        <w:rPr>
          <w:rFonts w:ascii="Arial" w:hAnsi="Arial" w:cs="Arial"/>
        </w:rPr>
        <w:t>analy</w:t>
      </w:r>
      <w:r>
        <w:rPr>
          <w:rFonts w:ascii="Arial" w:hAnsi="Arial" w:cs="Arial"/>
        </w:rPr>
        <w:t>s</w:t>
      </w:r>
      <w:r w:rsidRPr="0083351E">
        <w:rPr>
          <w:rFonts w:ascii="Arial" w:hAnsi="Arial" w:cs="Arial"/>
        </w:rPr>
        <w:t>ed</w:t>
      </w:r>
      <w:proofErr w:type="spellEnd"/>
      <w:r w:rsidRPr="0083351E">
        <w:rPr>
          <w:rFonts w:ascii="Arial" w:hAnsi="Arial" w:cs="Arial"/>
        </w:rPr>
        <w:t xml:space="preserve"> evidence regarding the use of social media among the youth and found some potential risks facing their psychological wellbeing. Other researchers, however, make evident the idea of individual differences since the social media usage does not impact all teenagers in the same way, as mentioned by </w:t>
      </w:r>
      <w:proofErr w:type="spellStart"/>
      <w:r w:rsidRPr="0083351E">
        <w:rPr>
          <w:rFonts w:ascii="Arial" w:hAnsi="Arial" w:cs="Arial"/>
        </w:rPr>
        <w:t>Valkenburg</w:t>
      </w:r>
      <w:proofErr w:type="spellEnd"/>
      <w:r w:rsidRPr="0083351E">
        <w:rPr>
          <w:rFonts w:ascii="Arial" w:hAnsi="Arial" w:cs="Arial"/>
        </w:rPr>
        <w:t xml:space="preserve">, Meier and </w:t>
      </w:r>
      <w:proofErr w:type="spellStart"/>
      <w:r w:rsidRPr="0083351E">
        <w:rPr>
          <w:rFonts w:ascii="Arial" w:hAnsi="Arial" w:cs="Arial"/>
        </w:rPr>
        <w:t>Beyens</w:t>
      </w:r>
      <w:proofErr w:type="spellEnd"/>
      <w:r w:rsidRPr="0083351E">
        <w:rPr>
          <w:rFonts w:ascii="Arial" w:hAnsi="Arial" w:cs="Arial"/>
        </w:rPr>
        <w:t xml:space="preserve"> (2022). Thus, the psychophysical condition of the person must be taken into account in understanding its effects, which are continuous in a personal and relational way.</w:t>
      </w:r>
    </w:p>
    <w:p w14:paraId="0B5F8EF7" w14:textId="77777777"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 xml:space="preserve">A first perspective on the emotional effects of the social media as can be found in Freud's psychoanalytical theory. Freud's theory is based on unconscious processes, inner conflict and the interplay between the id, ego and superego. The id represents the drive of immediate gratification, the superego is the incorporation of moral and social norms or expectations, while the ego attempts to regulate these competing claims with regard to reality. Freudian ideas are tantamount to comprehending the intricacy of human activity and the unconscious factors at play within it, according to </w:t>
      </w:r>
      <w:proofErr w:type="spellStart"/>
      <w:r w:rsidRPr="0083351E">
        <w:rPr>
          <w:rFonts w:ascii="Arial" w:hAnsi="Arial" w:cs="Arial"/>
        </w:rPr>
        <w:t>Thurschwell</w:t>
      </w:r>
      <w:proofErr w:type="spellEnd"/>
      <w:r w:rsidRPr="0083351E">
        <w:rPr>
          <w:rFonts w:ascii="Arial" w:hAnsi="Arial" w:cs="Arial"/>
        </w:rPr>
        <w:t xml:space="preserve"> (2009). Despite having was preceded by the advent of modern digital technology, Ferrar's theories can be used to examine the emotional impact of social media on adolescents.</w:t>
      </w:r>
    </w:p>
    <w:p w14:paraId="6BFC4A35" w14:textId="680DBC76"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 xml:space="preserve">Using social media often leads to instant gratification—such as ‘likes,' ‘comment' or ‘followers' and ‘notifications. The rewards may fulfill a need to be noticed and accepted from a Freudian viewpoint. Adolescents might check their accounts on a regular basis looking for positive feedback to be repeated. But they can be vulnerable to rejection, criticism or lack of engagement, as well, through social media. The Ego will then have to make compromises between the urge for approval and negative social experiences. </w:t>
      </w:r>
    </w:p>
    <w:p w14:paraId="48B7C119" w14:textId="40BD3464"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 xml:space="preserve">Freud's theory also serves to explain social comparisons. Adolescents will receive </w:t>
      </w:r>
      <w:proofErr w:type="spellStart"/>
      <w:r w:rsidRPr="0083351E">
        <w:rPr>
          <w:rFonts w:ascii="Arial" w:hAnsi="Arial" w:cs="Arial"/>
        </w:rPr>
        <w:t>idealised</w:t>
      </w:r>
      <w:proofErr w:type="spellEnd"/>
      <w:r w:rsidRPr="0083351E">
        <w:rPr>
          <w:rFonts w:ascii="Arial" w:hAnsi="Arial" w:cs="Arial"/>
        </w:rPr>
        <w:t xml:space="preserve"> representations of success, popularity, and beauty, which might set a non-realistic expectation. According to Anwar (2024), social media plays an important role in adolescents' identity formation through its opportunities for self-expression as well as influences on pedestals that are related to appearance and social acceptance. These pressures can be seen as a tension between what we would like to do and what is ingrained in us. </w:t>
      </w:r>
    </w:p>
    <w:p w14:paraId="4C77C103" w14:textId="5D277A47"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Additionally, social media can be employed as a means of coping with the overwhelming feeling. Adolescents who feel lonely, stressed or insecure may seek distraction or reassurance using an online activity. Loneliness, stress or insecurity could cause an adolescent to go online to get distracted or some brief sense of reassurance. Psychologically, this could relate to defense mechanisms that help to alleviate emotional discomfort. However, overreliance on on-line validation can make it tough for individuals to not be able to work with actual concerns. This is a concern indirectly referenced by Agyapong-Opoku et al. (2025) when they discuss the negative health consequences of problematic social media usage and its links to poor mental health. It is this theory that can be used to explain why, within the mind, people can experience repeated or compulsive use, as they develop their psychological processes within their mind.</w:t>
      </w:r>
    </w:p>
    <w:p w14:paraId="29345D45" w14:textId="1AA8F364"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 xml:space="preserve">However, Freud's theory has some drawbacks. Unconscious conflicts are not well suited for scientific testing, and elements of technology (algorithms, cyberbullying, online networks) are not easily explained by psychoanalytical theory. Hence, Freud's methods should be </w:t>
      </w:r>
      <w:proofErr w:type="spellStart"/>
      <w:r w:rsidRPr="0083351E">
        <w:rPr>
          <w:rFonts w:ascii="Arial" w:hAnsi="Arial" w:cs="Arial"/>
        </w:rPr>
        <w:t>utili</w:t>
      </w:r>
      <w:r>
        <w:rPr>
          <w:rFonts w:ascii="Arial" w:hAnsi="Arial" w:cs="Arial"/>
        </w:rPr>
        <w:t>s</w:t>
      </w:r>
      <w:r w:rsidRPr="0083351E">
        <w:rPr>
          <w:rFonts w:ascii="Arial" w:hAnsi="Arial" w:cs="Arial"/>
        </w:rPr>
        <w:t>ed</w:t>
      </w:r>
      <w:proofErr w:type="spellEnd"/>
      <w:r w:rsidRPr="0083351E">
        <w:rPr>
          <w:rFonts w:ascii="Arial" w:hAnsi="Arial" w:cs="Arial"/>
        </w:rPr>
        <w:t xml:space="preserve"> along with a modern study and not taken as a full explanation. Most important, it offers insight into how the needs for gratification and emotional protection and approval might dictate social media usage.</w:t>
      </w:r>
    </w:p>
    <w:p w14:paraId="58EAD6FD" w14:textId="77777777"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 xml:space="preserve">The second explanation is from Bowlby's attachment theory. According to Bowlby (1979) attachment is an important </w:t>
      </w:r>
      <w:proofErr w:type="spellStart"/>
      <w:r w:rsidRPr="0083351E">
        <w:rPr>
          <w:rFonts w:ascii="Arial" w:hAnsi="Arial" w:cs="Arial"/>
        </w:rPr>
        <w:t>behaviour</w:t>
      </w:r>
      <w:proofErr w:type="spellEnd"/>
      <w:r w:rsidRPr="0083351E">
        <w:rPr>
          <w:rFonts w:ascii="Arial" w:hAnsi="Arial" w:cs="Arial"/>
        </w:rPr>
        <w:t xml:space="preserve"> system that is aimed at gaining emotional security and closeness to others. Developing relationships shape internal working models, which affect experiences of trust, support and relationships. Bowlby and Ainsworth (2013) have traced the evolution of attachment theory to the understanding of the significance of early relationships for social and emotional development.</w:t>
      </w:r>
    </w:p>
    <w:p w14:paraId="44468738" w14:textId="77777777"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This theory could serve as a possible explanation to the different effects of social media for adolescents. Young people with secure relationships can use social media to support existing friendships and be able to communicate without becoming overly reliant for any type of acceptance. They might have supportive relationships that support dealing with the adverse experiences online. The insecurely attached adolescent, however, may be more susceptible to his or her need to seek reassurance and fear of rejection. When dealing with a restricted post or no reply messages received, or a delay in posting, it can be perceived as abandonment. This can, therefore, cause exacerbation of already existing issues within social media relating to acceptance and belonging.</w:t>
      </w:r>
    </w:p>
    <w:p w14:paraId="60BE4AFB" w14:textId="30BD9CA8"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The attachment theory can also be used to help understand cyberbullying and online exclusion. According to Khalaf et al. (2023), potentially negative online experiences might lead to general negative mental health outcomes. In the absence of robust sources of emotional support, an adolescent can find it hard to deal with rejection or bullying on-line. Whereas supportive relationships with family, friends or trusted adult can offer emotional security and a mitigating effect of negative experiences. In that regard, Bowlby's theory shows that social media cannot be a standalone phenomenon to be taken out of active adolescent relationships.</w:t>
      </w:r>
    </w:p>
    <w:p w14:paraId="7F4F5EA4" w14:textId="77777777"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Social media can simultaneously be beneficial, though. It can help teens keep up friendships and find positive communities and people who get it. However, Gupta et al. (2022) suggest that social media has positive and negative implications that change based on the manner of its use. In terms of attachment, online communication can be positive to wellbeing when this type of communication helps to build deeper relationships; attachments do not replace the others with fragile expressions of acceptance.</w:t>
      </w:r>
    </w:p>
    <w:p w14:paraId="22EEA327" w14:textId="77777777"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However, Bowlby's theory does have limitations, as the emphasis is placed on early life relationships and it can be a slight assumption that peers, culture and wider social circumstances play a lesser role than they do. Early attachment experiences cannot account for all that is involved in modern environments of social media. This does not imply, however, that insecure attachment always leads to socially problematic use of social media or mental health issues.</w:t>
      </w:r>
    </w:p>
    <w:p w14:paraId="37F5E676" w14:textId="77777777" w:rsidR="0083351E" w:rsidRPr="0083351E" w:rsidRDefault="0083351E" w:rsidP="0083351E">
      <w:pPr>
        <w:spacing w:after="0" w:line="360" w:lineRule="auto"/>
        <w:ind w:firstLine="720"/>
        <w:contextualSpacing/>
        <w:jc w:val="both"/>
        <w:rPr>
          <w:rFonts w:ascii="Arial" w:hAnsi="Arial" w:cs="Arial"/>
        </w:rPr>
      </w:pPr>
      <w:r w:rsidRPr="0083351E">
        <w:rPr>
          <w:rFonts w:ascii="Arial" w:hAnsi="Arial" w:cs="Arial"/>
        </w:rPr>
        <w:t xml:space="preserve">These theories are applicable to older people in health and social care. Freud's theory can stimulate practitioners to think that emotional responses might have additional, personal significance related to previous experiences, loss or concerns about dependence. But practitioners must not make blanket </w:t>
      </w:r>
      <w:proofErr w:type="spellStart"/>
      <w:r w:rsidRPr="0083351E">
        <w:rPr>
          <w:rFonts w:ascii="Arial" w:hAnsi="Arial" w:cs="Arial"/>
        </w:rPr>
        <w:t>generalisations</w:t>
      </w:r>
      <w:proofErr w:type="spellEnd"/>
      <w:r w:rsidRPr="0083351E">
        <w:rPr>
          <w:rFonts w:ascii="Arial" w:hAnsi="Arial" w:cs="Arial"/>
        </w:rPr>
        <w:t xml:space="preserve"> about motives below the level of consciousness. Bowlby's theory is especially relevant to older people, for older people bereaved may experience </w:t>
      </w:r>
      <w:proofErr w:type="spellStart"/>
      <w:r w:rsidRPr="0083351E">
        <w:rPr>
          <w:rFonts w:ascii="Arial" w:hAnsi="Arial" w:cs="Arial"/>
        </w:rPr>
        <w:t>hospitalisation</w:t>
      </w:r>
      <w:proofErr w:type="spellEnd"/>
      <w:r w:rsidRPr="0083351E">
        <w:rPr>
          <w:rFonts w:ascii="Arial" w:hAnsi="Arial" w:cs="Arial"/>
        </w:rPr>
        <w:t xml:space="preserve"> and/or transitions to a care setting that threaten to break up established relationships. Relationships with key staff in care settings may, therefore, provide some emotional security when these are secure and consistent. Critically, both theories need to be adapted to person </w:t>
      </w:r>
      <w:proofErr w:type="spellStart"/>
      <w:r w:rsidRPr="0083351E">
        <w:rPr>
          <w:rFonts w:ascii="Arial" w:hAnsi="Arial" w:cs="Arial"/>
        </w:rPr>
        <w:t>centred</w:t>
      </w:r>
      <w:proofErr w:type="spellEnd"/>
      <w:r w:rsidRPr="0083351E">
        <w:rPr>
          <w:rFonts w:ascii="Arial" w:hAnsi="Arial" w:cs="Arial"/>
        </w:rPr>
        <w:t xml:space="preserve"> approaches and have to be used in conjunction with an understanding of current situations, culture and personal preferences.</w:t>
      </w:r>
    </w:p>
    <w:p w14:paraId="3E57CB02" w14:textId="77777777" w:rsidR="0083351E" w:rsidRPr="0083351E" w:rsidRDefault="0083351E" w:rsidP="0083351E">
      <w:pPr>
        <w:spacing w:after="0" w:line="360" w:lineRule="auto"/>
        <w:contextualSpacing/>
        <w:jc w:val="both"/>
        <w:rPr>
          <w:rFonts w:ascii="Arial" w:hAnsi="Arial" w:cs="Arial"/>
        </w:rPr>
      </w:pPr>
    </w:p>
    <w:p w14:paraId="18D11A94" w14:textId="35BAC876" w:rsidR="0083351E" w:rsidRPr="0083351E" w:rsidRDefault="0083351E" w:rsidP="0083351E">
      <w:pPr>
        <w:pStyle w:val="Heading1"/>
        <w:spacing w:before="0" w:after="0" w:line="360" w:lineRule="auto"/>
        <w:contextualSpacing/>
      </w:pPr>
      <w:bookmarkStart w:id="2" w:name="_Toc237886303"/>
      <w:r w:rsidRPr="0083351E">
        <w:t>Conclusion</w:t>
      </w:r>
      <w:bookmarkEnd w:id="2"/>
    </w:p>
    <w:p w14:paraId="27A86FC1" w14:textId="13EE17FB" w:rsidR="00835243" w:rsidRPr="00835243" w:rsidRDefault="0083351E" w:rsidP="0083351E">
      <w:pPr>
        <w:spacing w:after="0" w:line="360" w:lineRule="auto"/>
        <w:ind w:firstLine="720"/>
        <w:contextualSpacing/>
        <w:jc w:val="both"/>
        <w:rPr>
          <w:rFonts w:ascii="Arial" w:hAnsi="Arial" w:cs="Arial"/>
        </w:rPr>
      </w:pPr>
      <w:r w:rsidRPr="0083351E">
        <w:rPr>
          <w:rFonts w:ascii="Arial" w:hAnsi="Arial" w:cs="Arial"/>
        </w:rPr>
        <w:t xml:space="preserve">In conclusion, adolescents’ health can be swayed by social media in the following ways: through social comparison, cyberbullying, online validation and modifying the nature of relationships. Freud's theory helps to understand the mechanisms by which the need to be gratified, </w:t>
      </w:r>
      <w:proofErr w:type="spellStart"/>
      <w:r w:rsidRPr="0083351E">
        <w:rPr>
          <w:rFonts w:ascii="Arial" w:hAnsi="Arial" w:cs="Arial"/>
        </w:rPr>
        <w:t>internalised</w:t>
      </w:r>
      <w:proofErr w:type="spellEnd"/>
      <w:r w:rsidRPr="0083351E">
        <w:rPr>
          <w:rFonts w:ascii="Arial" w:hAnsi="Arial" w:cs="Arial"/>
        </w:rPr>
        <w:t xml:space="preserve"> ideals and emotional incongruities, which might come from the subconscious, can lead to anxiety and troubling self-esteem. Bowlby's attachment theory highlights the relationship of emotional security with its expectations and relationships with the adoption and rejection response in online relationships. However, research indicates that the impact of social media is not uniform for all adolescents, depending on the problems which might impact a person and their association with others (</w:t>
      </w:r>
      <w:proofErr w:type="spellStart"/>
      <w:r w:rsidRPr="0083351E">
        <w:rPr>
          <w:rFonts w:ascii="Arial" w:hAnsi="Arial" w:cs="Arial"/>
        </w:rPr>
        <w:t>Valkenburg</w:t>
      </w:r>
      <w:proofErr w:type="spellEnd"/>
      <w:r w:rsidRPr="0083351E">
        <w:rPr>
          <w:rFonts w:ascii="Arial" w:hAnsi="Arial" w:cs="Arial"/>
        </w:rPr>
        <w:t xml:space="preserve">, Meier and </w:t>
      </w:r>
      <w:proofErr w:type="spellStart"/>
      <w:r w:rsidRPr="0083351E">
        <w:rPr>
          <w:rFonts w:ascii="Arial" w:hAnsi="Arial" w:cs="Arial"/>
        </w:rPr>
        <w:t>Beyens</w:t>
      </w:r>
      <w:proofErr w:type="spellEnd"/>
      <w:r w:rsidRPr="0083351E">
        <w:rPr>
          <w:rFonts w:ascii="Arial" w:hAnsi="Arial" w:cs="Arial"/>
        </w:rPr>
        <w:t>, 2022). Whil</w:t>
      </w:r>
      <w:r>
        <w:rPr>
          <w:rFonts w:ascii="Arial" w:hAnsi="Arial" w:cs="Arial"/>
        </w:rPr>
        <w:t>st</w:t>
      </w:r>
      <w:r w:rsidRPr="0083351E">
        <w:rPr>
          <w:rFonts w:ascii="Arial" w:hAnsi="Arial" w:cs="Arial"/>
        </w:rPr>
        <w:t xml:space="preserve"> both theories have drawbacks, they offer informative interpretations in conjunction with current research information. They are also still relevant to health and social care, thus showing the reasons for the need to have an understanding of emotional needs, relationships and individual experiences throughout the lifespan</w:t>
      </w:r>
      <w:r w:rsidR="00835243" w:rsidRPr="00835243">
        <w:rPr>
          <w:rFonts w:ascii="Arial" w:hAnsi="Arial" w:cs="Arial"/>
        </w:rPr>
        <w:t>.</w:t>
      </w:r>
    </w:p>
    <w:p w14:paraId="28025F49" w14:textId="77777777" w:rsidR="00835243" w:rsidRPr="0083351E" w:rsidRDefault="00835243" w:rsidP="0083351E">
      <w:pPr>
        <w:spacing w:after="0" w:line="360" w:lineRule="auto"/>
        <w:contextualSpacing/>
        <w:jc w:val="both"/>
        <w:rPr>
          <w:rFonts w:ascii="Arial" w:hAnsi="Arial" w:cs="Arial"/>
        </w:rPr>
      </w:pPr>
      <w:r w:rsidRPr="0083351E">
        <w:rPr>
          <w:rFonts w:ascii="Arial" w:hAnsi="Arial" w:cs="Arial"/>
        </w:rPr>
        <w:br w:type="page"/>
      </w:r>
    </w:p>
    <w:p w14:paraId="575BF04C" w14:textId="3FE468FA" w:rsidR="0083351E" w:rsidRPr="0083351E" w:rsidRDefault="0083351E" w:rsidP="0083351E">
      <w:pPr>
        <w:pStyle w:val="Heading1"/>
        <w:spacing w:before="0" w:after="0" w:line="360" w:lineRule="auto"/>
        <w:contextualSpacing/>
      </w:pPr>
      <w:bookmarkStart w:id="3" w:name="_Toc237886304"/>
      <w:r w:rsidRPr="0083351E">
        <w:t>References</w:t>
      </w:r>
      <w:bookmarkEnd w:id="3"/>
    </w:p>
    <w:p w14:paraId="4992FB8B" w14:textId="77777777" w:rsidR="0083351E" w:rsidRPr="0083351E" w:rsidRDefault="0083351E" w:rsidP="0083351E">
      <w:pPr>
        <w:spacing w:after="0" w:line="360" w:lineRule="auto"/>
        <w:ind w:left="720" w:hanging="720"/>
        <w:contextualSpacing/>
        <w:jc w:val="both"/>
        <w:rPr>
          <w:rFonts w:ascii="Arial" w:hAnsi="Arial" w:cs="Arial"/>
        </w:rPr>
      </w:pPr>
      <w:r w:rsidRPr="0083351E">
        <w:rPr>
          <w:rFonts w:ascii="Arial" w:hAnsi="Arial" w:cs="Arial"/>
        </w:rPr>
        <w:t>Agyapong-Opoku, N., Agyapong-Opoku, F., &amp; Greenshaw, A. J. (2025). Effects of social media use on youth and adolescent mental health: A scoping review of reviews. </w:t>
      </w:r>
      <w:r w:rsidRPr="0083351E">
        <w:rPr>
          <w:rFonts w:ascii="Arial" w:hAnsi="Arial" w:cs="Arial"/>
          <w:i/>
          <w:iCs/>
        </w:rPr>
        <w:t>Behavioral Sciences</w:t>
      </w:r>
      <w:r w:rsidRPr="0083351E">
        <w:rPr>
          <w:rFonts w:ascii="Arial" w:hAnsi="Arial" w:cs="Arial"/>
        </w:rPr>
        <w:t>, </w:t>
      </w:r>
      <w:r w:rsidRPr="0083351E">
        <w:rPr>
          <w:rFonts w:ascii="Arial" w:hAnsi="Arial" w:cs="Arial"/>
          <w:i/>
          <w:iCs/>
        </w:rPr>
        <w:t>15</w:t>
      </w:r>
      <w:r w:rsidRPr="0083351E">
        <w:rPr>
          <w:rFonts w:ascii="Arial" w:hAnsi="Arial" w:cs="Arial"/>
        </w:rPr>
        <w:t>(5), 574.</w:t>
      </w:r>
    </w:p>
    <w:p w14:paraId="26C8E461" w14:textId="77777777" w:rsidR="0083351E" w:rsidRPr="0083351E" w:rsidRDefault="0083351E" w:rsidP="0083351E">
      <w:pPr>
        <w:spacing w:after="0" w:line="360" w:lineRule="auto"/>
        <w:ind w:left="720" w:hanging="720"/>
        <w:contextualSpacing/>
        <w:jc w:val="both"/>
        <w:rPr>
          <w:rFonts w:ascii="Arial" w:hAnsi="Arial" w:cs="Arial"/>
        </w:rPr>
      </w:pPr>
      <w:r w:rsidRPr="0083351E">
        <w:rPr>
          <w:rFonts w:ascii="Arial" w:hAnsi="Arial" w:cs="Arial"/>
        </w:rPr>
        <w:t>Anwar, M. (2024). The impact of social media on adolescent identity formation and mental health: Opportunities, risks, and policy implications. </w:t>
      </w:r>
      <w:proofErr w:type="spellStart"/>
      <w:r w:rsidRPr="0083351E">
        <w:rPr>
          <w:rFonts w:ascii="Arial" w:hAnsi="Arial" w:cs="Arial"/>
          <w:i/>
          <w:iCs/>
        </w:rPr>
        <w:t>Sinergi</w:t>
      </w:r>
      <w:proofErr w:type="spellEnd"/>
      <w:r w:rsidRPr="0083351E">
        <w:rPr>
          <w:rFonts w:ascii="Arial" w:hAnsi="Arial" w:cs="Arial"/>
          <w:i/>
          <w:iCs/>
        </w:rPr>
        <w:t xml:space="preserve"> International Journal of Psychology</w:t>
      </w:r>
      <w:r w:rsidRPr="0083351E">
        <w:rPr>
          <w:rFonts w:ascii="Arial" w:hAnsi="Arial" w:cs="Arial"/>
        </w:rPr>
        <w:t>, </w:t>
      </w:r>
      <w:r w:rsidRPr="0083351E">
        <w:rPr>
          <w:rFonts w:ascii="Arial" w:hAnsi="Arial" w:cs="Arial"/>
          <w:i/>
          <w:iCs/>
        </w:rPr>
        <w:t>2</w:t>
      </w:r>
      <w:r w:rsidRPr="0083351E">
        <w:rPr>
          <w:rFonts w:ascii="Arial" w:hAnsi="Arial" w:cs="Arial"/>
        </w:rPr>
        <w:t>(2), 66-79.</w:t>
      </w:r>
    </w:p>
    <w:p w14:paraId="03EE31C3" w14:textId="77777777" w:rsidR="0083351E" w:rsidRPr="0083351E" w:rsidRDefault="0083351E" w:rsidP="0083351E">
      <w:pPr>
        <w:spacing w:after="0" w:line="360" w:lineRule="auto"/>
        <w:ind w:left="720" w:hanging="720"/>
        <w:contextualSpacing/>
        <w:jc w:val="both"/>
        <w:rPr>
          <w:rFonts w:ascii="Arial" w:hAnsi="Arial" w:cs="Arial"/>
        </w:rPr>
      </w:pPr>
      <w:r w:rsidRPr="0083351E">
        <w:rPr>
          <w:rFonts w:ascii="Arial" w:hAnsi="Arial" w:cs="Arial"/>
        </w:rPr>
        <w:t xml:space="preserve">Bowlby, J. (1979). The </w:t>
      </w:r>
      <w:proofErr w:type="spellStart"/>
      <w:r w:rsidRPr="0083351E">
        <w:rPr>
          <w:rFonts w:ascii="Arial" w:hAnsi="Arial" w:cs="Arial"/>
        </w:rPr>
        <w:t>bowlby-ainsworth</w:t>
      </w:r>
      <w:proofErr w:type="spellEnd"/>
      <w:r w:rsidRPr="0083351E">
        <w:rPr>
          <w:rFonts w:ascii="Arial" w:hAnsi="Arial" w:cs="Arial"/>
        </w:rPr>
        <w:t xml:space="preserve"> attachment theory. </w:t>
      </w:r>
      <w:r w:rsidRPr="0083351E">
        <w:rPr>
          <w:rFonts w:ascii="Arial" w:hAnsi="Arial" w:cs="Arial"/>
          <w:i/>
          <w:iCs/>
        </w:rPr>
        <w:t>Behavioral and brain sciences</w:t>
      </w:r>
      <w:r w:rsidRPr="0083351E">
        <w:rPr>
          <w:rFonts w:ascii="Arial" w:hAnsi="Arial" w:cs="Arial"/>
        </w:rPr>
        <w:t>, </w:t>
      </w:r>
      <w:r w:rsidRPr="0083351E">
        <w:rPr>
          <w:rFonts w:ascii="Arial" w:hAnsi="Arial" w:cs="Arial"/>
          <w:i/>
          <w:iCs/>
        </w:rPr>
        <w:t>2</w:t>
      </w:r>
      <w:r w:rsidRPr="0083351E">
        <w:rPr>
          <w:rFonts w:ascii="Arial" w:hAnsi="Arial" w:cs="Arial"/>
        </w:rPr>
        <w:t>(4), 637-638.</w:t>
      </w:r>
    </w:p>
    <w:p w14:paraId="63F7B51E" w14:textId="77777777" w:rsidR="0083351E" w:rsidRPr="0083351E" w:rsidRDefault="0083351E" w:rsidP="0083351E">
      <w:pPr>
        <w:spacing w:after="0" w:line="360" w:lineRule="auto"/>
        <w:ind w:left="720" w:hanging="720"/>
        <w:contextualSpacing/>
        <w:jc w:val="both"/>
        <w:rPr>
          <w:rFonts w:ascii="Arial" w:hAnsi="Arial" w:cs="Arial"/>
        </w:rPr>
      </w:pPr>
      <w:r w:rsidRPr="0083351E">
        <w:rPr>
          <w:rFonts w:ascii="Arial" w:hAnsi="Arial" w:cs="Arial"/>
        </w:rPr>
        <w:t>Bowlby, J., &amp; Ainsworth, M. (2013). The origins of attachment theory. </w:t>
      </w:r>
      <w:r w:rsidRPr="0083351E">
        <w:rPr>
          <w:rFonts w:ascii="Arial" w:hAnsi="Arial" w:cs="Arial"/>
          <w:i/>
          <w:iCs/>
        </w:rPr>
        <w:t>Attachment theory: Social, developmental, and clinical perspectives</w:t>
      </w:r>
      <w:r w:rsidRPr="0083351E">
        <w:rPr>
          <w:rFonts w:ascii="Arial" w:hAnsi="Arial" w:cs="Arial"/>
        </w:rPr>
        <w:t>, </w:t>
      </w:r>
      <w:r w:rsidRPr="0083351E">
        <w:rPr>
          <w:rFonts w:ascii="Arial" w:hAnsi="Arial" w:cs="Arial"/>
          <w:i/>
          <w:iCs/>
        </w:rPr>
        <w:t>45</w:t>
      </w:r>
      <w:r w:rsidRPr="0083351E">
        <w:rPr>
          <w:rFonts w:ascii="Arial" w:hAnsi="Arial" w:cs="Arial"/>
        </w:rPr>
        <w:t>(28), 759-775.</w:t>
      </w:r>
    </w:p>
    <w:p w14:paraId="30EC3157" w14:textId="77777777" w:rsidR="0083351E" w:rsidRPr="0083351E" w:rsidRDefault="0083351E" w:rsidP="0083351E">
      <w:pPr>
        <w:spacing w:after="0" w:line="360" w:lineRule="auto"/>
        <w:ind w:left="720" w:hanging="720"/>
        <w:contextualSpacing/>
        <w:jc w:val="both"/>
        <w:rPr>
          <w:rFonts w:ascii="Arial" w:hAnsi="Arial" w:cs="Arial"/>
        </w:rPr>
      </w:pPr>
      <w:r w:rsidRPr="0083351E">
        <w:rPr>
          <w:rFonts w:ascii="Arial" w:hAnsi="Arial" w:cs="Arial"/>
        </w:rPr>
        <w:t>Gupta, C., Jogdand, S., Kumar, M., GUPTA, C., &amp; Jogdand, S. D. (2022). Reviewing the impact of social media on the mental health of adolescents and young adults. </w:t>
      </w:r>
      <w:r w:rsidRPr="0083351E">
        <w:rPr>
          <w:rFonts w:ascii="Arial" w:hAnsi="Arial" w:cs="Arial"/>
          <w:i/>
          <w:iCs/>
        </w:rPr>
        <w:t>Cureus</w:t>
      </w:r>
      <w:r w:rsidRPr="0083351E">
        <w:rPr>
          <w:rFonts w:ascii="Arial" w:hAnsi="Arial" w:cs="Arial"/>
        </w:rPr>
        <w:t>, </w:t>
      </w:r>
      <w:r w:rsidRPr="0083351E">
        <w:rPr>
          <w:rFonts w:ascii="Arial" w:hAnsi="Arial" w:cs="Arial"/>
          <w:i/>
          <w:iCs/>
        </w:rPr>
        <w:t>14</w:t>
      </w:r>
      <w:r w:rsidRPr="0083351E">
        <w:rPr>
          <w:rFonts w:ascii="Arial" w:hAnsi="Arial" w:cs="Arial"/>
        </w:rPr>
        <w:t>(10).</w:t>
      </w:r>
    </w:p>
    <w:p w14:paraId="702DB097" w14:textId="77777777" w:rsidR="0083351E" w:rsidRPr="0083351E" w:rsidRDefault="0083351E" w:rsidP="0083351E">
      <w:pPr>
        <w:spacing w:after="0" w:line="360" w:lineRule="auto"/>
        <w:ind w:left="720" w:hanging="720"/>
        <w:contextualSpacing/>
        <w:jc w:val="both"/>
        <w:rPr>
          <w:rFonts w:ascii="Arial" w:hAnsi="Arial" w:cs="Arial"/>
        </w:rPr>
      </w:pPr>
      <w:r w:rsidRPr="0083351E">
        <w:rPr>
          <w:rFonts w:ascii="Arial" w:hAnsi="Arial" w:cs="Arial"/>
        </w:rPr>
        <w:t xml:space="preserve">Khalaf, A. M., </w:t>
      </w:r>
      <w:proofErr w:type="spellStart"/>
      <w:r w:rsidRPr="0083351E">
        <w:rPr>
          <w:rFonts w:ascii="Arial" w:hAnsi="Arial" w:cs="Arial"/>
        </w:rPr>
        <w:t>Alubied</w:t>
      </w:r>
      <w:proofErr w:type="spellEnd"/>
      <w:r w:rsidRPr="0083351E">
        <w:rPr>
          <w:rFonts w:ascii="Arial" w:hAnsi="Arial" w:cs="Arial"/>
        </w:rPr>
        <w:t xml:space="preserve">, A. A., Khalaf, A. M., </w:t>
      </w:r>
      <w:proofErr w:type="spellStart"/>
      <w:r w:rsidRPr="0083351E">
        <w:rPr>
          <w:rFonts w:ascii="Arial" w:hAnsi="Arial" w:cs="Arial"/>
        </w:rPr>
        <w:t>Rifaey</w:t>
      </w:r>
      <w:proofErr w:type="spellEnd"/>
      <w:r w:rsidRPr="0083351E">
        <w:rPr>
          <w:rFonts w:ascii="Arial" w:hAnsi="Arial" w:cs="Arial"/>
        </w:rPr>
        <w:t xml:space="preserve">, A. A., </w:t>
      </w:r>
      <w:proofErr w:type="spellStart"/>
      <w:r w:rsidRPr="0083351E">
        <w:rPr>
          <w:rFonts w:ascii="Arial" w:hAnsi="Arial" w:cs="Arial"/>
        </w:rPr>
        <w:t>Alubied</w:t>
      </w:r>
      <w:proofErr w:type="spellEnd"/>
      <w:r w:rsidRPr="0083351E">
        <w:rPr>
          <w:rFonts w:ascii="Arial" w:hAnsi="Arial" w:cs="Arial"/>
        </w:rPr>
        <w:t xml:space="preserve">, A., &amp; </w:t>
      </w:r>
      <w:proofErr w:type="spellStart"/>
      <w:r w:rsidRPr="0083351E">
        <w:rPr>
          <w:rFonts w:ascii="Arial" w:hAnsi="Arial" w:cs="Arial"/>
        </w:rPr>
        <w:t>Rifaey</w:t>
      </w:r>
      <w:proofErr w:type="spellEnd"/>
      <w:r w:rsidRPr="0083351E">
        <w:rPr>
          <w:rFonts w:ascii="Arial" w:hAnsi="Arial" w:cs="Arial"/>
        </w:rPr>
        <w:t>, A. (2023). The impact of social media on the mental health of adolescents and young adults: a systematic review. </w:t>
      </w:r>
      <w:r w:rsidRPr="0083351E">
        <w:rPr>
          <w:rFonts w:ascii="Arial" w:hAnsi="Arial" w:cs="Arial"/>
          <w:i/>
          <w:iCs/>
        </w:rPr>
        <w:t>Cureus</w:t>
      </w:r>
      <w:r w:rsidRPr="0083351E">
        <w:rPr>
          <w:rFonts w:ascii="Arial" w:hAnsi="Arial" w:cs="Arial"/>
        </w:rPr>
        <w:t>, </w:t>
      </w:r>
      <w:r w:rsidRPr="0083351E">
        <w:rPr>
          <w:rFonts w:ascii="Arial" w:hAnsi="Arial" w:cs="Arial"/>
          <w:i/>
          <w:iCs/>
        </w:rPr>
        <w:t>15</w:t>
      </w:r>
      <w:r w:rsidRPr="0083351E">
        <w:rPr>
          <w:rFonts w:ascii="Arial" w:hAnsi="Arial" w:cs="Arial"/>
        </w:rPr>
        <w:t>(8).</w:t>
      </w:r>
    </w:p>
    <w:p w14:paraId="23DC96D4" w14:textId="77777777" w:rsidR="0083351E" w:rsidRPr="0083351E" w:rsidRDefault="0083351E" w:rsidP="0083351E">
      <w:pPr>
        <w:spacing w:after="0" w:line="360" w:lineRule="auto"/>
        <w:ind w:left="720" w:hanging="720"/>
        <w:contextualSpacing/>
        <w:jc w:val="both"/>
        <w:rPr>
          <w:rFonts w:ascii="Arial" w:hAnsi="Arial" w:cs="Arial"/>
        </w:rPr>
      </w:pPr>
      <w:proofErr w:type="spellStart"/>
      <w:r w:rsidRPr="0083351E">
        <w:rPr>
          <w:rFonts w:ascii="Arial" w:hAnsi="Arial" w:cs="Arial"/>
        </w:rPr>
        <w:t>Thurschwell</w:t>
      </w:r>
      <w:proofErr w:type="spellEnd"/>
      <w:r w:rsidRPr="0083351E">
        <w:rPr>
          <w:rFonts w:ascii="Arial" w:hAnsi="Arial" w:cs="Arial"/>
        </w:rPr>
        <w:t>, P. (2009). </w:t>
      </w:r>
      <w:r w:rsidRPr="0083351E">
        <w:rPr>
          <w:rFonts w:ascii="Arial" w:hAnsi="Arial" w:cs="Arial"/>
          <w:i/>
          <w:iCs/>
        </w:rPr>
        <w:t>Sigmund Freud</w:t>
      </w:r>
      <w:r w:rsidRPr="0083351E">
        <w:rPr>
          <w:rFonts w:ascii="Arial" w:hAnsi="Arial" w:cs="Arial"/>
        </w:rPr>
        <w:t>. Routledge.</w:t>
      </w:r>
    </w:p>
    <w:p w14:paraId="60931429" w14:textId="77777777" w:rsidR="0083351E" w:rsidRPr="0083351E" w:rsidRDefault="0083351E" w:rsidP="0083351E">
      <w:pPr>
        <w:spacing w:after="0" w:line="360" w:lineRule="auto"/>
        <w:ind w:left="720" w:hanging="720"/>
        <w:contextualSpacing/>
        <w:jc w:val="both"/>
        <w:rPr>
          <w:rFonts w:ascii="Arial" w:hAnsi="Arial" w:cs="Arial"/>
        </w:rPr>
      </w:pPr>
      <w:r w:rsidRPr="0083351E">
        <w:rPr>
          <w:rFonts w:ascii="Arial" w:hAnsi="Arial" w:cs="Arial"/>
        </w:rPr>
        <w:t xml:space="preserve">Valkenburg, P. M., Meier, A., &amp; </w:t>
      </w:r>
      <w:proofErr w:type="spellStart"/>
      <w:r w:rsidRPr="0083351E">
        <w:rPr>
          <w:rFonts w:ascii="Arial" w:hAnsi="Arial" w:cs="Arial"/>
        </w:rPr>
        <w:t>Beyens</w:t>
      </w:r>
      <w:proofErr w:type="spellEnd"/>
      <w:r w:rsidRPr="0083351E">
        <w:rPr>
          <w:rFonts w:ascii="Arial" w:hAnsi="Arial" w:cs="Arial"/>
        </w:rPr>
        <w:t>, I. (2022). Social media use and its impact on adolescent mental health: An umbrella review of the evidence. </w:t>
      </w:r>
      <w:r w:rsidRPr="0083351E">
        <w:rPr>
          <w:rFonts w:ascii="Arial" w:hAnsi="Arial" w:cs="Arial"/>
          <w:i/>
          <w:iCs/>
        </w:rPr>
        <w:t>Current opinion in psychology</w:t>
      </w:r>
      <w:r w:rsidRPr="0083351E">
        <w:rPr>
          <w:rFonts w:ascii="Arial" w:hAnsi="Arial" w:cs="Arial"/>
        </w:rPr>
        <w:t>, </w:t>
      </w:r>
      <w:r w:rsidRPr="0083351E">
        <w:rPr>
          <w:rFonts w:ascii="Arial" w:hAnsi="Arial" w:cs="Arial"/>
          <w:i/>
          <w:iCs/>
        </w:rPr>
        <w:t>44</w:t>
      </w:r>
      <w:r w:rsidRPr="0083351E">
        <w:rPr>
          <w:rFonts w:ascii="Arial" w:hAnsi="Arial" w:cs="Arial"/>
        </w:rPr>
        <w:t>, 58-68.</w:t>
      </w:r>
    </w:p>
    <w:sectPr w:rsidR="0083351E" w:rsidRPr="008335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243"/>
    <w:rsid w:val="001A0297"/>
    <w:rsid w:val="001B4DAE"/>
    <w:rsid w:val="00217932"/>
    <w:rsid w:val="002C58F2"/>
    <w:rsid w:val="003266E2"/>
    <w:rsid w:val="00432455"/>
    <w:rsid w:val="00596F09"/>
    <w:rsid w:val="00662A95"/>
    <w:rsid w:val="00716F16"/>
    <w:rsid w:val="00765E91"/>
    <w:rsid w:val="0082286B"/>
    <w:rsid w:val="0083351E"/>
    <w:rsid w:val="00835243"/>
    <w:rsid w:val="00876804"/>
    <w:rsid w:val="008939C5"/>
    <w:rsid w:val="009116FE"/>
    <w:rsid w:val="00BF208A"/>
    <w:rsid w:val="00D41DE9"/>
    <w:rsid w:val="00E4542C"/>
    <w:rsid w:val="00EF0B3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5319C"/>
  <w15:chartTrackingRefBased/>
  <w15:docId w15:val="{ED3BC9F4-6418-4CB7-91C2-681A509BC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51E"/>
    <w:pPr>
      <w:keepNext/>
      <w:keepLines/>
      <w:spacing w:before="360" w:after="80"/>
      <w:jc w:val="center"/>
      <w:outlineLvl w:val="0"/>
    </w:pPr>
    <w:rPr>
      <w:rFonts w:ascii="Arial" w:eastAsiaTheme="majorEastAsia" w:hAnsi="Arial" w:cs="Arial"/>
      <w:b/>
      <w:bCs/>
    </w:rPr>
  </w:style>
  <w:style w:type="paragraph" w:styleId="Heading2">
    <w:name w:val="heading 2"/>
    <w:basedOn w:val="Normal"/>
    <w:next w:val="Normal"/>
    <w:link w:val="Heading2Char"/>
    <w:uiPriority w:val="9"/>
    <w:semiHidden/>
    <w:unhideWhenUsed/>
    <w:qFormat/>
    <w:rsid w:val="008352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2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2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2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2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2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2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2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51E"/>
    <w:rPr>
      <w:rFonts w:ascii="Arial" w:eastAsiaTheme="majorEastAsia" w:hAnsi="Arial" w:cs="Arial"/>
      <w:b/>
      <w:bCs/>
    </w:rPr>
  </w:style>
  <w:style w:type="character" w:customStyle="1" w:styleId="Heading2Char">
    <w:name w:val="Heading 2 Char"/>
    <w:basedOn w:val="DefaultParagraphFont"/>
    <w:link w:val="Heading2"/>
    <w:uiPriority w:val="9"/>
    <w:semiHidden/>
    <w:rsid w:val="008352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2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2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2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2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2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2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243"/>
    <w:rPr>
      <w:rFonts w:eastAsiaTheme="majorEastAsia" w:cstheme="majorBidi"/>
      <w:color w:val="272727" w:themeColor="text1" w:themeTint="D8"/>
    </w:rPr>
  </w:style>
  <w:style w:type="paragraph" w:styleId="Title">
    <w:name w:val="Title"/>
    <w:basedOn w:val="Normal"/>
    <w:next w:val="Normal"/>
    <w:link w:val="TitleChar"/>
    <w:uiPriority w:val="10"/>
    <w:qFormat/>
    <w:rsid w:val="008352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2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2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2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243"/>
    <w:pPr>
      <w:spacing w:before="160"/>
      <w:jc w:val="center"/>
    </w:pPr>
    <w:rPr>
      <w:i/>
      <w:iCs/>
      <w:color w:val="404040" w:themeColor="text1" w:themeTint="BF"/>
    </w:rPr>
  </w:style>
  <w:style w:type="character" w:customStyle="1" w:styleId="QuoteChar">
    <w:name w:val="Quote Char"/>
    <w:basedOn w:val="DefaultParagraphFont"/>
    <w:link w:val="Quote"/>
    <w:uiPriority w:val="29"/>
    <w:rsid w:val="00835243"/>
    <w:rPr>
      <w:i/>
      <w:iCs/>
      <w:color w:val="404040" w:themeColor="text1" w:themeTint="BF"/>
    </w:rPr>
  </w:style>
  <w:style w:type="paragraph" w:styleId="ListParagraph">
    <w:name w:val="List Paragraph"/>
    <w:basedOn w:val="Normal"/>
    <w:uiPriority w:val="34"/>
    <w:qFormat/>
    <w:rsid w:val="00835243"/>
    <w:pPr>
      <w:ind w:left="720"/>
      <w:contextualSpacing/>
    </w:pPr>
  </w:style>
  <w:style w:type="character" w:styleId="IntenseEmphasis">
    <w:name w:val="Intense Emphasis"/>
    <w:basedOn w:val="DefaultParagraphFont"/>
    <w:uiPriority w:val="21"/>
    <w:qFormat/>
    <w:rsid w:val="00835243"/>
    <w:rPr>
      <w:i/>
      <w:iCs/>
      <w:color w:val="0F4761" w:themeColor="accent1" w:themeShade="BF"/>
    </w:rPr>
  </w:style>
  <w:style w:type="paragraph" w:styleId="IntenseQuote">
    <w:name w:val="Intense Quote"/>
    <w:basedOn w:val="Normal"/>
    <w:next w:val="Normal"/>
    <w:link w:val="IntenseQuoteChar"/>
    <w:uiPriority w:val="30"/>
    <w:qFormat/>
    <w:rsid w:val="008352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243"/>
    <w:rPr>
      <w:i/>
      <w:iCs/>
      <w:color w:val="0F4761" w:themeColor="accent1" w:themeShade="BF"/>
    </w:rPr>
  </w:style>
  <w:style w:type="character" w:styleId="IntenseReference">
    <w:name w:val="Intense Reference"/>
    <w:basedOn w:val="DefaultParagraphFont"/>
    <w:uiPriority w:val="32"/>
    <w:qFormat/>
    <w:rsid w:val="00835243"/>
    <w:rPr>
      <w:b/>
      <w:bCs/>
      <w:smallCaps/>
      <w:color w:val="0F4761" w:themeColor="accent1" w:themeShade="BF"/>
      <w:spacing w:val="5"/>
    </w:rPr>
  </w:style>
  <w:style w:type="paragraph" w:styleId="NoSpacing">
    <w:name w:val="No Spacing"/>
    <w:uiPriority w:val="1"/>
    <w:qFormat/>
    <w:rsid w:val="0083351E"/>
    <w:pPr>
      <w:spacing w:after="0" w:line="240" w:lineRule="auto"/>
    </w:pPr>
  </w:style>
  <w:style w:type="paragraph" w:styleId="TOCHeading">
    <w:name w:val="TOC Heading"/>
    <w:basedOn w:val="Heading1"/>
    <w:next w:val="Normal"/>
    <w:uiPriority w:val="39"/>
    <w:unhideWhenUsed/>
    <w:qFormat/>
    <w:rsid w:val="0083351E"/>
    <w:pPr>
      <w:spacing w:before="240" w:after="0" w:line="259" w:lineRule="auto"/>
      <w:jc w:val="left"/>
      <w:outlineLvl w:val="9"/>
    </w:pPr>
    <w:rPr>
      <w:rFonts w:asciiTheme="majorHAnsi"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83351E"/>
    <w:pPr>
      <w:spacing w:after="100"/>
    </w:pPr>
  </w:style>
  <w:style w:type="character" w:styleId="Hyperlink">
    <w:name w:val="Hyperlink"/>
    <w:basedOn w:val="DefaultParagraphFont"/>
    <w:uiPriority w:val="99"/>
    <w:unhideWhenUsed/>
    <w:rsid w:val="0083351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065FD-FA6C-4FA2-A9F6-B20FF137CE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1879</Words>
  <Characters>10715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Zahra Al-saabri</cp:lastModifiedBy>
  <cp:revision>2</cp:revision>
  <dcterms:created xsi:type="dcterms:W3CDTF">2026-08-25T09:07:00Z</dcterms:created>
  <dcterms:modified xsi:type="dcterms:W3CDTF">2026-08-25T09:07:00Z</dcterms:modified>
</cp:coreProperties>
</file>