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nts/font7.odttf" ContentType="application/vnd.openxmlformats-officedocument.obfuscatedFont"/>
  <Override PartName="/word/fonts/font8.odttf" ContentType="application/vnd.openxmlformats-officedocument.obfuscatedFont"/>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747A4F3">
      <w:pPr>
        <w:jc w:val="center"/>
        <w:rPr>
          <w:sz w:val="36"/>
          <w:szCs w:val="36"/>
        </w:rPr>
      </w:pPr>
    </w:p>
    <w:p w14:paraId="328FB49A">
      <w:pPr>
        <w:jc w:val="center"/>
        <w:rPr>
          <w:sz w:val="36"/>
          <w:szCs w:val="36"/>
        </w:rPr>
      </w:pPr>
    </w:p>
    <w:p w14:paraId="4E1045DF">
      <w:pPr>
        <w:jc w:val="center"/>
        <w:rPr>
          <w:sz w:val="36"/>
          <w:szCs w:val="36"/>
        </w:rPr>
      </w:pPr>
    </w:p>
    <w:p w14:paraId="61555241">
      <w:pPr>
        <w:jc w:val="center"/>
        <w:rPr>
          <w:sz w:val="36"/>
          <w:szCs w:val="36"/>
        </w:rPr>
      </w:pPr>
    </w:p>
    <w:p w14:paraId="21416414">
      <w:pPr>
        <w:jc w:val="center"/>
        <w:rPr>
          <w:sz w:val="36"/>
          <w:szCs w:val="36"/>
        </w:rPr>
      </w:pPr>
    </w:p>
    <w:p w14:paraId="64A90C49">
      <w:pPr>
        <w:jc w:val="center"/>
        <w:rPr>
          <w:sz w:val="36"/>
          <w:szCs w:val="36"/>
        </w:rPr>
      </w:pPr>
    </w:p>
    <w:p w14:paraId="44492F20">
      <w:pPr>
        <w:jc w:val="center"/>
        <w:rPr>
          <w:sz w:val="36"/>
          <w:szCs w:val="36"/>
        </w:rPr>
      </w:pPr>
    </w:p>
    <w:p w14:paraId="46A1B9F6">
      <w:pPr>
        <w:jc w:val="center"/>
        <w:rPr>
          <w:sz w:val="36"/>
          <w:szCs w:val="36"/>
        </w:rPr>
      </w:pPr>
    </w:p>
    <w:p w14:paraId="4567FC51">
      <w:pPr>
        <w:jc w:val="center"/>
        <w:rPr>
          <w:sz w:val="36"/>
          <w:szCs w:val="36"/>
        </w:rPr>
      </w:pPr>
    </w:p>
    <w:p w14:paraId="4147831F">
      <w:pPr>
        <w:jc w:val="center"/>
        <w:rPr>
          <w:sz w:val="36"/>
          <w:szCs w:val="36"/>
        </w:rPr>
      </w:pPr>
      <w:r>
        <w:rPr>
          <w:sz w:val="36"/>
          <w:szCs w:val="36"/>
        </w:rPr>
        <w:t xml:space="preserve">Module: Sustainable Hospitality &amp; Tourism Management </w:t>
      </w:r>
    </w:p>
    <w:p w14:paraId="6F7E11FA">
      <w:pPr>
        <w:jc w:val="center"/>
        <w:rPr>
          <w:sz w:val="36"/>
          <w:szCs w:val="36"/>
        </w:rPr>
      </w:pPr>
      <w:r>
        <w:rPr>
          <w:sz w:val="36"/>
          <w:szCs w:val="36"/>
        </w:rPr>
        <w:t xml:space="preserve">Module code: BMIH5006 </w:t>
      </w:r>
    </w:p>
    <w:p w14:paraId="0E764593">
      <w:pPr>
        <w:jc w:val="center"/>
        <w:rPr>
          <w:rFonts w:hint="default"/>
          <w:sz w:val="36"/>
          <w:szCs w:val="36"/>
          <w:lang w:val="en-GB"/>
        </w:rPr>
      </w:pPr>
      <w:bookmarkStart w:id="2" w:name="_GoBack"/>
      <w:r>
        <w:rPr>
          <w:sz w:val="36"/>
          <w:szCs w:val="36"/>
        </w:rPr>
        <w:t xml:space="preserve">Lecturer: </w:t>
      </w:r>
      <w:r>
        <w:rPr>
          <w:rFonts w:hint="default"/>
          <w:sz w:val="36"/>
          <w:szCs w:val="36"/>
          <w:lang w:val="en-GB"/>
        </w:rPr>
        <w:t>Antoinette Milne</w:t>
      </w:r>
    </w:p>
    <w:bookmarkEnd w:id="2"/>
    <w:p w14:paraId="7EE82707">
      <w:pPr>
        <w:jc w:val="center"/>
        <w:rPr>
          <w:rFonts w:hint="default"/>
          <w:lang w:val="en-GB"/>
        </w:rPr>
      </w:pPr>
      <w:r>
        <w:rPr>
          <w:rFonts w:hint="default"/>
        </w:rPr>
        <w:t xml:space="preserve">Student name: </w:t>
      </w:r>
      <w:r>
        <w:rPr>
          <w:rFonts w:hint="default"/>
          <w:lang w:val="en-GB"/>
        </w:rPr>
        <w:t xml:space="preserve">Lidia Leva </w:t>
      </w:r>
    </w:p>
    <w:p w14:paraId="22DADD6E">
      <w:pPr>
        <w:jc w:val="center"/>
        <w:rPr>
          <w:rFonts w:hint="default"/>
          <w:lang w:val="en-GB"/>
        </w:rPr>
      </w:pPr>
      <w:r>
        <w:rPr>
          <w:rFonts w:hint="default"/>
        </w:rPr>
        <w:t>Student number:</w:t>
      </w:r>
      <w:r>
        <w:rPr>
          <w:rFonts w:hint="default"/>
          <w:lang w:val="en-GB"/>
        </w:rPr>
        <w:t xml:space="preserve"> 2242891 </w:t>
      </w:r>
    </w:p>
    <w:p w14:paraId="61609248">
      <w:pPr>
        <w:spacing w:line="360" w:lineRule="auto"/>
        <w:jc w:val="center"/>
        <w:rPr>
          <w:rFonts w:hint="default" w:eastAsia="Times New Roman"/>
          <w:sz w:val="16"/>
          <w:szCs w:val="16"/>
          <w:lang w:val="en-GB"/>
        </w:rPr>
      </w:pPr>
    </w:p>
    <w:p w14:paraId="7C8C25C3">
      <w:pPr>
        <w:spacing w:line="360" w:lineRule="auto"/>
        <w:jc w:val="center"/>
        <w:rPr>
          <w:rFonts w:hint="default" w:eastAsia="Times New Roman"/>
          <w:sz w:val="16"/>
          <w:szCs w:val="16"/>
          <w:lang w:val="en-GB"/>
        </w:rPr>
      </w:pPr>
    </w:p>
    <w:p w14:paraId="02F8473D">
      <w:pPr>
        <w:spacing w:line="360" w:lineRule="auto"/>
        <w:jc w:val="center"/>
        <w:rPr>
          <w:rFonts w:hint="default" w:eastAsia="Times New Roman"/>
          <w:sz w:val="16"/>
          <w:szCs w:val="16"/>
          <w:lang w:val="en-GB"/>
        </w:rPr>
      </w:pPr>
      <w:r>
        <w:rPr>
          <w:rFonts w:hint="default" w:eastAsia="Times New Roman"/>
          <w:sz w:val="16"/>
          <w:szCs w:val="16"/>
          <w:lang w:val="en-GB"/>
        </w:rPr>
        <w:t>I confirm that I have not used any AI tools in the research and creation of this</w:t>
      </w:r>
    </w:p>
    <w:p w14:paraId="63EAA3B4">
      <w:pPr>
        <w:spacing w:line="360" w:lineRule="auto"/>
        <w:jc w:val="center"/>
        <w:rPr>
          <w:rFonts w:hint="default" w:eastAsia="Times New Roman"/>
          <w:sz w:val="16"/>
          <w:szCs w:val="16"/>
          <w:lang w:val="en-GB"/>
        </w:rPr>
      </w:pPr>
      <w:r>
        <w:rPr>
          <w:rFonts w:hint="default" w:eastAsia="Times New Roman"/>
          <w:sz w:val="16"/>
          <w:szCs w:val="16"/>
          <w:lang w:val="en-GB"/>
        </w:rPr>
        <w:t>assignment. I confirm that I have not presented any AI generated materials as my own</w:t>
      </w:r>
    </w:p>
    <w:p w14:paraId="41683EEE">
      <w:pPr>
        <w:spacing w:line="360" w:lineRule="auto"/>
        <w:jc w:val="center"/>
        <w:rPr>
          <w:rFonts w:hint="default" w:eastAsia="Times New Roman"/>
          <w:sz w:val="16"/>
          <w:szCs w:val="16"/>
          <w:lang w:val="en-GB"/>
        </w:rPr>
      </w:pPr>
      <w:r>
        <w:rPr>
          <w:rFonts w:hint="default" w:eastAsia="Times New Roman"/>
          <w:sz w:val="16"/>
          <w:szCs w:val="16"/>
          <w:lang w:val="en-GB"/>
        </w:rPr>
        <w:t>work. I confirm I have copies of my drafts, notes, and other resources I used, which I may be asked to provide in evidence.</w:t>
      </w:r>
    </w:p>
    <w:p w14:paraId="1561010C">
      <w:pPr>
        <w:jc w:val="both"/>
        <w:rPr>
          <w:b/>
          <w:color w:val="000000"/>
          <w:sz w:val="22"/>
          <w:szCs w:val="22"/>
        </w:rPr>
      </w:pPr>
      <w:sdt>
        <w:sdtPr>
          <w:id w:val="-2116507114"/>
          <w:showingPlcHdr/>
          <w:docPartObj>
            <w:docPartGallery w:val="Table of Contents"/>
            <w:docPartUnique/>
          </w:docPartObj>
        </w:sdtPr>
        <w:sdtContent>
          <w:r>
            <w:rPr>
              <w:lang w:val="en-GB"/>
            </w:rPr>
            <w:t xml:space="preserve">     </w:t>
          </w:r>
        </w:sdtContent>
      </w:sdt>
    </w:p>
    <w:p w14:paraId="3D1D84CF">
      <w:pPr>
        <w:pStyle w:val="3"/>
      </w:pPr>
      <w:r>
        <w:br w:type="page"/>
      </w:r>
    </w:p>
    <w:p w14:paraId="307CD9EF">
      <w:r>
        <w:t xml:space="preserve">Companies in the hospitality sector have observed a vital transformation in green practices across global platforms. Businesses in the international tourism and hospitality sector have already initiated various strategies to increase their sustainability concerns by considering different green practices, including waste management, reducing carbon footprint utilisation of bio-degradable bags instead of single-use plastic bags and other advanced sustainability initiatives. Based on the perspective of Prakash </w:t>
      </w:r>
      <w:r>
        <w:rPr>
          <w:i/>
        </w:rPr>
        <w:t xml:space="preserve">et al. </w:t>
      </w:r>
      <w:r>
        <w:t xml:space="preserve">(2023), it has been identified that with effective, sustainable practices, companies are able to foster their CSR strategies to attract more customers from a wider range of marketplaces. The purpose of this study is to define the idea of green practices in the tourism sector along with an in-depth analysis of the implementation of sustainability practices in the broader industrial areas by these findings. This research considers the case study of Premier Inn in the UK and its issues of waste management to determine the most effective green practices for the company for betterment. Premier Inn is a UK-based hotel chain company that owns over 800 hotels across the UK and Germany with more than 80,000 rooms (Premierinn, 2024). The company holds nearly 10% market value in the UK economy and its revenue exceeded £ 02 billion in the last year (Premierinn, 2024). Due to over-operation, the company is facing issues in its waste management activities which creates a sustainability gap in its operations. This study will cover the best green strategies for the company to meet sustainability concerns and overcome operational issues accordingly. </w:t>
      </w:r>
    </w:p>
    <w:p w14:paraId="659CA7D4"/>
    <w:p w14:paraId="5768AFAA">
      <w:r>
        <w:t>To promote sustainability, the implementation of green practices through waste management becomes essential for Premier Inn. According to the research work of Statista, it has been identified that every year, UK-based hotel companies produce a huge amount of food waste, which denotes the misuse of resources of national property. In 2023, nearly 1.5 tonnes of food and beverage items were wasted across the country (Statista, 2023). From the same study, has also identified that after taking various governmental as well as non-governmental initiatives, the amount of waste production in the UK hotel sector is decreasing now which indicates a positive transformation of the industry. Based on these findings, it can be analysed that due to increasing demands for sustainability approaches in the hotel and hospitality sector, the consideration of food waste management becomes relevant and appropriate for companies. At this current time, Premier Inn has faced challenges in maintaining effective food waste management practices in the UK market. On the other hand, based on the perspective of Haski-Leventhal (2018), it can be argued that food waste management technologies with innovative approaches need a huge amount of money which might pose financial pressure for the company. After having this argument, it can be also mentioned that to obtain sustainability approaches in the UK tourism industry, considering food waste management is essential and appropriate.</w:t>
      </w:r>
    </w:p>
    <w:p w14:paraId="6627FD73">
      <w:r>
        <w:t xml:space="preserve">Food waste management approaches have become popular among different companies across the UK hotel sector. Companies in this sector have made strides in several areas of green practices, including food waste management, alternated manufacturing processes and recycling practices through effective operational approaches. Savoy Hotel implements Orbisk, an AI-powered food waste monitoring system that easily tracks food waste and helps to manufacture biofuel for kitchen operational purposes (thesavoylondon.com, 2021). On the other side, it is also identified that Leanpath, another popular UK-based hotel, initiates smart kitchen solutions to reduce food waste in food production units. Based on this finding, it can be analysed that the popularity of food waste management has increased in the past 03-05 years with advanced technological practices. In this circumstance, Premier Inn needs to consider food waste management strategies for enhancing its green practices strategies. However, from the perspective of  Salama and Abdelsalam (2021), it can be argued that by implementing effective green strategies with food waste management, many companies in the UK market face challenges with its complex interphases. However, after having this issue, it is also evident that companies in the UK hotel sector feel interested in developing their practices with innovative techniques and consider essential strategies to overcome limitations regarding this area. Thus, it can be stated that apart from Premier Inn, food waste management strategies are essential for other competitors in the same marketplace. </w:t>
      </w:r>
    </w:p>
    <w:p w14:paraId="273305D0">
      <w:r>
        <w:t xml:space="preserve">Like other competitors in the UK hotel market, Premier Inn has also implemented some efficient strategies to meet green practices via food waste management initiatives. Throughout UK hotels, Premier Inn has implemented several food waste management programs to reduce waste. In collaboration with Too Good To Go, the company develops a strategic program where waste food is recycled and rotten food is used for biogas production (Premierinn, 2024). Additionally, the company has also initiated the FareShare program to distribute leftover food among needy people to meet social responsibilities (Premierinn, 2024). However, based on the perspective of Amicarelli </w:t>
      </w:r>
      <w:r>
        <w:rPr>
          <w:i/>
        </w:rPr>
        <w:t xml:space="preserve">et al. </w:t>
      </w:r>
      <w:r>
        <w:t xml:space="preserve">(2022), it can be argued that these initiatives of the company are not regularly used in the UK market. After having this argument, it is most important to mention that the company has already started its sustainability initiatives with food waste management programs, which can help the firm enhance its sustainability approaches. It is anticipated that these sustainability initiatives bring opportunities for the firm to obtain competitive success in green practices. Moreover, it can also be deduced that with effective upgradation of these sustainable strategies, the company can expand its sustainability approaches to develop effective operations in the marketplace which can help to obtain competitive advantages accordingly. </w:t>
      </w:r>
    </w:p>
    <w:p w14:paraId="147B62FD">
      <w:r>
        <w:t xml:space="preserve">Implementing a proper Food Waste Management at Premier inn presents some of the several challenges. A very significant obstacle is the initial investment required for the purpose of tracking software, composting infrastructure, as well as establishing logistics for the food donations. Research by World Wildlife (2023) indicates that nearly 90% of hotels were able to keep their actual total investment below $20,000, which changed into much less than 1% of income on average. (World Wildlife, 2023) This indicates that at the same time as the in-advance charges are notably modest, they could nonetheless be a barrier for some institutions. However, the lengthy-term financial savings from reduced food waste can offset these initial fees, making the funding financially feasible over time. Another project is the want for comprehensive personnel schooling and engagement. Employees should be educated on new meal waste reduction tactics, which require time and assets (New governance and management in touristic destinations, 2020). A look at focusing on the inn enterprise in Jakarta recognized that demanding situations in Food Waste Management (FWM) include unpredictable sales fluctuations, lack of client attention, and meal wastage (ResearchGate, 2022) Encouraging visitor participation in waste discount efforts also can be hard. Guests may be acquainted with certain element sizes and dining habits, making it hard to put into effect adjustments without affecting their level. Regulatory and logistical hurdles in redistributing surplus food to charities may also create operational complexities, as meal safety requirements must be strictly followed. A case study from Accor's Planet 21 software highlights the significance of making sure that unused foodstuffs may be donated to food banks or institutions, or sold at less expensive expenses to local people. (Organization. Accor, 2022) </w:t>
      </w:r>
    </w:p>
    <w:p w14:paraId="5C913630"/>
    <w:p w14:paraId="49D8A4B5">
      <w:r>
        <w:t xml:space="preserve">Implementing a Food Waste Management in different hotels is very cost-effective. A study analysing about 42 hotels across 15 countries found that for every $1 invested in reducing kitchen food waste, resorts saved a median of $7 in operating expenses. These savings have been completed through decreased meal buying fees, as much less food was wasted, and decreased waste control charges. Additionally, some hotels generated revenue by means of creating new menu objects from components that might have otherwise been discarded. (Champions 123. 2022) This proof shows that the initial prices of enforcing such applications may be quickly recouped, regularly in the first 12 months (Konstancja </w:t>
      </w:r>
      <w:r>
        <w:rPr>
          <w:i/>
        </w:rPr>
        <w:t xml:space="preserve">et al., </w:t>
      </w:r>
      <w:r>
        <w:t>2021). The financial benefits aren't the handiest giant however, additionally sustainable through the years, making the investment financially possible. Moreover, by lowering food waste, resorts can enhance their corporate social responsibility profiles, doubtlessly attracting eco-conscious clients and increasing revenue through superb brand belief. (champions123, 2021) While the preliminary setup expenses and efforts to enforce a Food Waste Management may pose challenges, the long-term financial and reputational benefits make it a worthwhile investment for hotels aiming to improve sustainability and profitability.</w:t>
      </w:r>
    </w:p>
    <w:p w14:paraId="1733825B"/>
    <w:p w14:paraId="2E1CA54A">
      <w:r>
        <w:t>Implementing a Food Waste Management in hotels is both realistic as well as achievable with proper planning and execution. Many establishments worldwide have successfully followed comparable projects, demonstrating their feasibility. For example, Scandic Hotels collaborated with virtual resellers to promote 155,000 portions of leftover food, resulting in a 280 kg discount in CO</w:t>
      </w:r>
      <w:r>
        <w:rPr>
          <w:rFonts w:ascii="Cambria Math" w:hAnsi="Cambria Math" w:eastAsia="Cambria Math" w:cs="Cambria Math"/>
        </w:rPr>
        <w:t>₂</w:t>
      </w:r>
      <w:r>
        <w:t xml:space="preserve"> emissions in 2019 alone. This example illustrates that with the right techniques, hotels can effectively manage and decrease meal waste. The availability of generation-driven solutions, inclusive of AI-powered food waste Management systems, in addition, helps the practicality of implementing such programs (Sustainable Hospitality Alliance, 2022). Companies like Winnow have advanced AI tools that help cooks monitor and decrease food waste, leading to extensive value financial savings and better sustainability. Moreover, the developing regulatory and consumer strain on corporations to undertake sustainable practices aligns with the goals of food waste reduction initiatives (Edgell, 2020). Governments and customers are increasingly advocating for environmental responsibility, making such packages now not simplest possible but additionally critical for staying aggressive in the hospitality enterprise.</w:t>
      </w:r>
    </w:p>
    <w:p w14:paraId="1BFDE59F"/>
    <w:p w14:paraId="765EC127">
      <w:r>
        <w:t xml:space="preserve">Implementing a Food Waste Management at Premier inn offers various substantial environmental benefits. By decreasing food waste, the lodge can drastically lower greenhouse gasoline emissions, conserve precious assets, and sell biodiversity. Food waste is a chief contributor to greenhouse gasoline emissions, accounting for approximately 6% of general international emissions (Our World in Data. 2020). When food decomposes in landfills, it produces methane, a strong greenhouse fuel with over eighty instances of the warming energy of carbon dioxide. By enforcing food waste reduction software, Premier inn can decrease the quantity of waste sent to landfills, thereby lowering methane emissions and contributing to weather alternate mitigation. Additionally, reducing food waste conserves sources such as water, strength, and land used in meal production (Batabya </w:t>
      </w:r>
      <w:r>
        <w:rPr>
          <w:i/>
        </w:rPr>
        <w:t xml:space="preserve">et al., </w:t>
      </w:r>
      <w:r>
        <w:t xml:space="preserve">2020). The U.S. Environmental Protection Agency (EPA) highlights that preventing food waste can keep energy and resources related to growing, making ready, and transporting food, inclusive of land and water use (U.S. Environmental Protection Agency,2024). By decreasing the demand for food manufacturing, the lodge can assist in maintaining those sources and reduce the environmental effects associated with agricultural sports </w:t>
      </w:r>
    </w:p>
    <w:p w14:paraId="44FAC78E">
      <w:bookmarkStart w:id="0" w:name="_heading=h.z337ya" w:colFirst="0" w:colLast="0"/>
      <w:bookmarkEnd w:id="0"/>
    </w:p>
    <w:p w14:paraId="2F849BDA">
      <w:r>
        <w:t>Therefore, it can be concluded that, implementing effective food waste management practices is very much essential for Premier Inn as well as the broader UK hospitality industry in order to enhance sustainability efforts as well as meet growing environmental expectations. While Premier Inn has initiated numerous techniques, consisting of taking part with Too Good To Go and the FareShare program, challenges continue to be in making sure these tasks are continually carried out and optimized. The financial investment as well as resource allocation required for the purpose of technology, infrastructure, and employee training can be seen as the barriers, yet the long-term savings coming from the reduced food waste, in addition to the positive environmental impacts, overcomes these initial costs. Additionally, the reputational as well as the competitive advantages obtained through sustainable practices can catch the attention of eco-conscious consumers and enhance brand image. As demonstrated via industry examples, the financial and social advantages of meals waste control, including price savings and more suitable CSR profiles, prove that it is a valid investment for businesses aiming to enhance their sustainability practices. With further development as well as commitment to these form of green strategies, Premier Inn has the main potential to significantly reduce its actual sustainability gap as well as create a stronger competitive position within the  market.</w:t>
      </w:r>
    </w:p>
    <w:p w14:paraId="2C24DE72">
      <w:r>
        <w:br w:type="page"/>
      </w:r>
    </w:p>
    <w:p w14:paraId="1D7676D6">
      <w:pPr>
        <w:pStyle w:val="2"/>
      </w:pPr>
      <w:bookmarkStart w:id="1" w:name="_Toc189693999"/>
      <w:r>
        <w:t>Reference list</w:t>
      </w:r>
      <w:bookmarkEnd w:id="1"/>
    </w:p>
    <w:p w14:paraId="64B9A4CA">
      <w:pPr>
        <w:rPr>
          <w:u w:val="single"/>
        </w:rPr>
      </w:pPr>
      <w:r>
        <w:t xml:space="preserve">Accor. (2024, March 15). </w:t>
      </w:r>
      <w:r>
        <w:rPr>
          <w:i/>
        </w:rPr>
        <w:t>Local Initiatives Combating Food Waste with Global Impact</w:t>
      </w:r>
      <w:r>
        <w:t xml:space="preserve">. </w:t>
      </w:r>
    </w:p>
    <w:p w14:paraId="40F3CA4D">
      <w:pPr>
        <w:rPr>
          <w:u w:val="single"/>
        </w:rPr>
      </w:pPr>
      <w:r>
        <w:t xml:space="preserve">Aditya, A., &amp; Muriwai. (2023). </w:t>
      </w:r>
      <w:r>
        <w:rPr>
          <w:i/>
        </w:rPr>
        <w:t>Food Waste Management Challenges and Strategies in The Hotel Industry in Jakarta</w:t>
      </w:r>
      <w:r>
        <w:t xml:space="preserve">. </w:t>
      </w:r>
      <w:r>
        <w:rPr>
          <w:i/>
        </w:rPr>
        <w:t>International Journal of Scientific Research</w:t>
      </w:r>
      <w:r>
        <w:t xml:space="preserve">, 2(9), 2983-2989. </w:t>
      </w:r>
    </w:p>
    <w:p w14:paraId="63A4BB8B">
      <w:pPr>
        <w:rPr>
          <w:u w:val="single"/>
        </w:rPr>
      </w:pPr>
      <w:r>
        <w:t xml:space="preserve">Hilton. (2023, August 30). </w:t>
      </w:r>
      <w:r>
        <w:rPr>
          <w:i/>
        </w:rPr>
        <w:t>Hilton Continues Food Waste Reduction Efforts with Launch of Green Breakfast Initiative</w:t>
      </w:r>
      <w:r>
        <w:t xml:space="preserve">. </w:t>
      </w:r>
    </w:p>
    <w:p w14:paraId="41BBBFF4">
      <w:r>
        <w:t xml:space="preserve">Our World in Data (2020). </w:t>
      </w:r>
      <w:r>
        <w:rPr>
          <w:i/>
        </w:rPr>
        <w:t>Food waste is responsible for 6% of global greenhouse gas emissions</w:t>
      </w:r>
      <w:r>
        <w:t>.</w:t>
      </w:r>
    </w:p>
    <w:p w14:paraId="5ABFC22A">
      <w:r>
        <w:t xml:space="preserve">Sustainable Hospitality Alliance (2021). </w:t>
      </w:r>
      <w:r>
        <w:rPr>
          <w:i/>
        </w:rPr>
        <w:t>Food Waste Factsheet</w:t>
      </w:r>
      <w:r>
        <w:t xml:space="preserve">. Available at: Winnow Solutions. </w:t>
      </w:r>
      <w:r>
        <w:rPr>
          <w:i/>
        </w:rPr>
        <w:t>Commercial Food Waste Solutions</w:t>
      </w:r>
      <w:r>
        <w:t xml:space="preserve">. </w:t>
      </w:r>
    </w:p>
    <w:p w14:paraId="0988ACE3">
      <w:r>
        <w:t xml:space="preserve">U.S. Environmental Protection Agency (2024). </w:t>
      </w:r>
      <w:r>
        <w:rPr>
          <w:i/>
        </w:rPr>
        <w:t>Prevent Wasted Food Through Source Reduction</w:t>
      </w:r>
      <w:r>
        <w:t xml:space="preserve">. </w:t>
      </w:r>
    </w:p>
    <w:p w14:paraId="5B5D3BF5">
      <w:r>
        <w:t xml:space="preserve">World Resources Institute (2023). </w:t>
      </w:r>
      <w:r>
        <w:rPr>
          <w:i/>
        </w:rPr>
        <w:t>The Global Benefits of Reducing Food Waste — and How to Do It</w:t>
      </w:r>
      <w:r>
        <w:t xml:space="preserve">. </w:t>
      </w:r>
    </w:p>
    <w:p w14:paraId="22D20863">
      <w:r>
        <w:t xml:space="preserve">World Wildlife Fund. (n.d.). </w:t>
      </w:r>
      <w:r>
        <w:rPr>
          <w:i/>
        </w:rPr>
        <w:t>Fighting Food Waste in Hospitality and Food Service</w:t>
      </w:r>
      <w:r>
        <w:t xml:space="preserve">. </w:t>
      </w:r>
    </w:p>
    <w:p w14:paraId="6C1C0D00">
      <w:pPr>
        <w:rPr>
          <w:rFonts w:ascii="Quattrocento Sans" w:hAnsi="Quattrocento Sans" w:eastAsia="Quattrocento Sans" w:cs="Quattrocento Sans"/>
        </w:rPr>
      </w:pPr>
      <w:r>
        <w:t xml:space="preserve">Konstancja, George, B., &amp; Nedelea, A. (2020). Strategies for promoting sustainable hospitality and tourism services. IGI Global. </w:t>
      </w:r>
    </w:p>
    <w:p w14:paraId="0B2BB203">
      <w:pPr>
        <w:rPr>
          <w:rFonts w:ascii="Quattrocento Sans" w:hAnsi="Quattrocento Sans" w:eastAsia="Quattrocento Sans" w:cs="Quattrocento Sans"/>
        </w:rPr>
      </w:pPr>
      <w:r>
        <w:t xml:space="preserve">Edgell. (2020). Managing sustainable tourism: a legacy for the future (Third edition). Routledge. </w:t>
      </w:r>
    </w:p>
    <w:p w14:paraId="2658DE0E">
      <w:pPr>
        <w:rPr>
          <w:rFonts w:ascii="Quattrocento Sans" w:hAnsi="Quattrocento Sans" w:eastAsia="Quattrocento Sans" w:cs="Quattrocento Sans"/>
        </w:rPr>
      </w:pPr>
      <w:r>
        <w:t xml:space="preserve">Sustainable tourism: breakthroughs in research and practice. (2019). IGI Global. </w:t>
      </w:r>
    </w:p>
    <w:p w14:paraId="3A4B8512">
      <w:pPr>
        <w:rPr>
          <w:rFonts w:ascii="Quattrocento Sans" w:hAnsi="Quattrocento Sans" w:eastAsia="Quattrocento Sans" w:cs="Quattrocento Sans"/>
        </w:rPr>
      </w:pPr>
      <w:r>
        <w:t xml:space="preserve">Atayal. (2018). Managing Sustainable Tourism Resources. IGI Global. </w:t>
      </w:r>
    </w:p>
    <w:p w14:paraId="7E3CD00A">
      <w:r>
        <w:t>New governance and management in touristic destinations. (2022). IGI Global.</w:t>
      </w:r>
    </w:p>
    <w:p w14:paraId="7E05FAED">
      <w:r>
        <w:t xml:space="preserve">Statista, 2023, ‘Volume of food waste produced’, available at: </w:t>
      </w:r>
      <w:r>
        <w:fldChar w:fldCharType="begin"/>
      </w:r>
      <w:r>
        <w:instrText xml:space="preserve"> HYPERLINK "https://www.statista.com/statistics/492184/cooperative-group-food-waste-united-kingdom-uk/" \h </w:instrText>
      </w:r>
      <w:r>
        <w:fldChar w:fldCharType="separate"/>
      </w:r>
      <w:r>
        <w:rPr>
          <w:color w:val="1155CC"/>
          <w:u w:val="single"/>
        </w:rPr>
        <w:t>https://www.statista.com/statistics/492184/cooperative-group-food-waste-united-kingdom-uk/</w:t>
      </w:r>
      <w:r>
        <w:rPr>
          <w:color w:val="1155CC"/>
          <w:u w:val="single"/>
        </w:rPr>
        <w:fldChar w:fldCharType="end"/>
      </w:r>
      <w:r>
        <w:t xml:space="preserve"> accessed on: 05-02-2025</w:t>
      </w:r>
    </w:p>
    <w:p w14:paraId="46785A7F">
      <w:r>
        <w:t xml:space="preserve">Prakash, S., Sharma, V.P., Singh, R. and Vijayvargy, L., 2023. Adopting green and sustainable practices in the hotel industry operations-an analysis of critical performance indicators for improved environmental quality. </w:t>
      </w:r>
      <w:r>
        <w:rPr>
          <w:i/>
        </w:rPr>
        <w:t>Management of Environmental Quality: An International Journal</w:t>
      </w:r>
      <w:r>
        <w:t xml:space="preserve">, </w:t>
      </w:r>
      <w:r>
        <w:rPr>
          <w:i/>
        </w:rPr>
        <w:t>34</w:t>
      </w:r>
      <w:r>
        <w:t>(4), pp.1057-1076.</w:t>
      </w:r>
    </w:p>
    <w:p w14:paraId="1234927B">
      <w:r>
        <w:t>Haski-Leventhal, D. (2018) Strategic corporate social responsibility : tools &amp; theories for responsible management. London: SAGE</w:t>
      </w:r>
    </w:p>
    <w:p w14:paraId="05E43215">
      <w:r>
        <w:t xml:space="preserve">Premierinn, 2024, ‘About Us’, available at: </w:t>
      </w:r>
      <w:r>
        <w:fldChar w:fldCharType="begin"/>
      </w:r>
      <w:r>
        <w:instrText xml:space="preserve"> HYPERLINK "https://www.premierinn.com/gb/en/" \h </w:instrText>
      </w:r>
      <w:r>
        <w:fldChar w:fldCharType="separate"/>
      </w:r>
      <w:r>
        <w:rPr>
          <w:color w:val="1155CC"/>
          <w:u w:val="single"/>
        </w:rPr>
        <w:t>https://www.premierinn.com/gb/en/</w:t>
      </w:r>
      <w:r>
        <w:rPr>
          <w:color w:val="1155CC"/>
          <w:u w:val="single"/>
        </w:rPr>
        <w:fldChar w:fldCharType="end"/>
      </w:r>
      <w:r>
        <w:t xml:space="preserve"> accessed on: 05-02-2025</w:t>
      </w:r>
    </w:p>
    <w:p w14:paraId="1E62085A">
      <w:r>
        <w:t xml:space="preserve">thesavoylondon.com (2021) </w:t>
      </w:r>
      <w:r>
        <w:rPr>
          <w:i/>
        </w:rPr>
        <w:t>The Savoy London</w:t>
      </w:r>
      <w:r>
        <w:t xml:space="preserve">. Available at: </w:t>
      </w:r>
      <w:r>
        <w:fldChar w:fldCharType="begin"/>
      </w:r>
      <w:r>
        <w:instrText xml:space="preserve"> HYPERLINK "https://www.thesavoylondon.com/about-us-2/sustainability-initiatives/" \h </w:instrText>
      </w:r>
      <w:r>
        <w:fldChar w:fldCharType="separate"/>
      </w:r>
      <w:r>
        <w:rPr>
          <w:color w:val="1155CC"/>
          <w:u w:val="single"/>
        </w:rPr>
        <w:t>https://www.thesavoylondon.com/about-us-2/sustainability-initiatives/</w:t>
      </w:r>
      <w:r>
        <w:rPr>
          <w:color w:val="1155CC"/>
          <w:u w:val="single"/>
        </w:rPr>
        <w:fldChar w:fldCharType="end"/>
      </w:r>
      <w:r>
        <w:t xml:space="preserve"> Accessed: 05-02-2025</w:t>
      </w:r>
    </w:p>
    <w:p w14:paraId="31E72B6E">
      <w:r>
        <w:t xml:space="preserve">Salama, W. and Abdelsalam, E., 2021. Impact of hotel guests’ trends to recycle food waste to obtain bioenergy. </w:t>
      </w:r>
      <w:r>
        <w:rPr>
          <w:i/>
        </w:rPr>
        <w:t>Sustainability</w:t>
      </w:r>
      <w:r>
        <w:t xml:space="preserve">, </w:t>
      </w:r>
      <w:r>
        <w:rPr>
          <w:i/>
        </w:rPr>
        <w:t>13</w:t>
      </w:r>
      <w:r>
        <w:t>(6), p.3094.</w:t>
      </w:r>
    </w:p>
    <w:p w14:paraId="0C79E06C">
      <w:r>
        <w:t xml:space="preserve">Premierinn, 2024, ‘We Force Good’, Available at: </w:t>
      </w:r>
      <w:r>
        <w:fldChar w:fldCharType="begin"/>
      </w:r>
      <w:r>
        <w:instrText xml:space="preserve"> HYPERLINK "https://www.premierinn.com/gb/en/why/force-for-good.html" \h </w:instrText>
      </w:r>
      <w:r>
        <w:fldChar w:fldCharType="separate"/>
      </w:r>
      <w:r>
        <w:rPr>
          <w:color w:val="1155CC"/>
          <w:u w:val="single"/>
        </w:rPr>
        <w:t>https://www.premierinn.com/gb/en/why/force-for-good.html</w:t>
      </w:r>
      <w:r>
        <w:rPr>
          <w:color w:val="1155CC"/>
          <w:u w:val="single"/>
        </w:rPr>
        <w:fldChar w:fldCharType="end"/>
      </w:r>
      <w:r>
        <w:t xml:space="preserve"> Accessed: 05-02-2025</w:t>
      </w:r>
    </w:p>
    <w:p w14:paraId="3AA35152">
      <w:r>
        <w:t xml:space="preserve">Amicarelli, V., Aluculesei, A.C., Lagioia, G., Pamfilie, R. and Bux, C., 2022. How to manage and minimize food waste in the hotel industry: An exploratory research. </w:t>
      </w:r>
      <w:r>
        <w:rPr>
          <w:i/>
        </w:rPr>
        <w:t>International Journal of Culture, Tourism and Hospitality Research</w:t>
      </w:r>
      <w:r>
        <w:t xml:space="preserve">, </w:t>
      </w:r>
      <w:r>
        <w:rPr>
          <w:i/>
        </w:rPr>
        <w:t>16</w:t>
      </w:r>
      <w:r>
        <w:t>(1), pp.152-167.</w:t>
      </w:r>
    </w:p>
    <w:p w14:paraId="26739893"/>
    <w:p w14:paraId="3BB0F474"/>
    <w:p w14:paraId="0E9ED0B3"/>
    <w:p w14:paraId="7DB90C3C"/>
    <w:p w14:paraId="3F175641"/>
    <w:p w14:paraId="7D2584F3"/>
    <w:sectPr>
      <w:pgSz w:w="12240" w:h="15840"/>
      <w:pgMar w:top="1440" w:right="1440" w:bottom="1440" w:left="1440" w:header="720" w:footer="720"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86"/>
    <w:family w:val="swiss"/>
    <w:pitch w:val="default"/>
    <w:sig w:usb0="E0002EFF" w:usb1="C000785B" w:usb2="00000009" w:usb3="00000000" w:csb0="400001FF" w:csb1="FFFF0000"/>
    <w:embedRegular r:id="rId1" w:fontKey="{8DD685C0-C940-4895-9954-D4A5C823CBAD}"/>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2" w:fontKey="{A6F77C7A-D002-46A5-80A5-7845A453C669}"/>
  </w:font>
  <w:font w:name="Wingdings">
    <w:panose1 w:val="05000000000000000000"/>
    <w:charset w:val="02"/>
    <w:family w:val="auto"/>
    <w:pitch w:val="default"/>
    <w:sig w:usb0="00000000" w:usb1="00000000" w:usb2="00000000" w:usb3="00000000" w:csb0="80000000" w:csb1="00000000"/>
    <w:embedRegular r:id="rId3" w:fontKey="{8582CDFC-0B46-43CD-B2FD-C9D8813B1448}"/>
  </w:font>
  <w:font w:name="Calibri">
    <w:panose1 w:val="020F0502020204030204"/>
    <w:charset w:val="00"/>
    <w:family w:val="swiss"/>
    <w:pitch w:val="default"/>
    <w:sig w:usb0="E4002EFF" w:usb1="C200247B" w:usb2="00000009" w:usb3="00000000" w:csb0="200001FF" w:csb1="00000000"/>
    <w:embedRegular r:id="rId4" w:fontKey="{635D3DB6-A806-408D-A461-EAEFF03028B6}"/>
  </w:font>
  <w:font w:name="等线">
    <w:altName w:val="Microsoft YaHei"/>
    <w:panose1 w:val="00000000000000000000"/>
    <w:charset w:val="86"/>
    <w:family w:val="auto"/>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embedRegular r:id="rId5" w:fontKey="{0F4E5952-AB50-44E3-8C42-85CD28A31843}"/>
  </w:font>
  <w:font w:name="Cambria">
    <w:panose1 w:val="02040503050406030204"/>
    <w:charset w:val="00"/>
    <w:family w:val="roman"/>
    <w:pitch w:val="default"/>
    <w:sig w:usb0="E00006FF" w:usb1="420024FF" w:usb2="02000000" w:usb3="00000000" w:csb0="2000019F" w:csb1="00000000"/>
    <w:embedRegular r:id="rId6" w:fontKey="{026A073D-241E-4739-891F-A77E0A52AC3D}"/>
  </w:font>
  <w:font w:name="Cambria Math">
    <w:panose1 w:val="02040503050406030204"/>
    <w:charset w:val="00"/>
    <w:family w:val="roman"/>
    <w:pitch w:val="default"/>
    <w:sig w:usb0="E00006FF" w:usb1="420024FF" w:usb2="02000000" w:usb3="00000000" w:csb0="2000019F" w:csb1="00000000"/>
    <w:embedRegular r:id="rId7" w:fontKey="{5DD30F78-CB15-4235-9964-8A2085B1B3EA}"/>
  </w:font>
  <w:font w:name="Quattrocento Sans">
    <w:panose1 w:val="020B0502050000020003"/>
    <w:charset w:val="00"/>
    <w:family w:val="swiss"/>
    <w:pitch w:val="default"/>
    <w:sig w:usb0="800000BF" w:usb1="4000005B" w:usb2="00000000" w:usb3="00000000" w:csb0="00000001" w:csb1="00000000"/>
    <w:embedRegular r:id="rId8" w:fontKey="{15F054FB-DD7C-41FC-9321-C68D6EBC1FAA}"/>
  </w:font>
  <w:font w:name="Microsoft YaHei">
    <w:panose1 w:val="020B0503020204020204"/>
    <w:charset w:val="86"/>
    <w:family w:val="auto"/>
    <w:pitch w:val="default"/>
    <w:sig w:usb0="80000287" w:usb1="2ACF3C50" w:usb2="00000016" w:usb3="00000000" w:csb0="0004001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TrueTypeFont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4B50"/>
    <w:rsid w:val="00174C20"/>
    <w:rsid w:val="002847AC"/>
    <w:rsid w:val="00C14B50"/>
    <w:rsid w:val="00D327F1"/>
    <w:rsid w:val="00D546AD"/>
    <w:rsid w:val="00E43EDD"/>
    <w:rsid w:val="00FC5CC5"/>
    <w:rsid w:val="24CF78FB"/>
    <w:rsid w:val="67DA4E6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Arial" w:hAnsi="Arial" w:eastAsia="Arial" w:cs="Arial"/>
      <w:sz w:val="24"/>
      <w:szCs w:val="24"/>
      <w:lang w:val="en-IN" w:eastAsia="en-IN" w:bidi="ar-SA"/>
    </w:rPr>
  </w:style>
  <w:style w:type="paragraph" w:styleId="2">
    <w:name w:val="heading 1"/>
    <w:basedOn w:val="1"/>
    <w:next w:val="1"/>
    <w:qFormat/>
    <w:uiPriority w:val="9"/>
    <w:pPr>
      <w:keepNext/>
      <w:keepLines/>
      <w:outlineLvl w:val="0"/>
    </w:pPr>
    <w:rPr>
      <w:b/>
      <w:sz w:val="28"/>
      <w:szCs w:val="28"/>
    </w:rPr>
  </w:style>
  <w:style w:type="paragraph" w:styleId="3">
    <w:name w:val="heading 2"/>
    <w:basedOn w:val="1"/>
    <w:next w:val="1"/>
    <w:unhideWhenUsed/>
    <w:qFormat/>
    <w:uiPriority w:val="9"/>
    <w:pPr>
      <w:keepNext/>
      <w:keepLines/>
      <w:outlineLvl w:val="1"/>
    </w:pPr>
    <w:rPr>
      <w:b/>
    </w:rPr>
  </w:style>
  <w:style w:type="paragraph" w:styleId="4">
    <w:name w:val="heading 3"/>
    <w:basedOn w:val="1"/>
    <w:next w:val="1"/>
    <w:unhideWhenUsed/>
    <w:qFormat/>
    <w:uiPriority w:val="9"/>
    <w:pPr>
      <w:keepNext/>
      <w:keepLines/>
      <w:outlineLvl w:val="2"/>
    </w:pPr>
    <w:rPr>
      <w:b/>
    </w:rPr>
  </w:style>
  <w:style w:type="paragraph" w:styleId="5">
    <w:name w:val="heading 4"/>
    <w:basedOn w:val="1"/>
    <w:next w:val="1"/>
    <w:semiHidden/>
    <w:unhideWhenUsed/>
    <w:qFormat/>
    <w:uiPriority w:val="9"/>
    <w:pPr>
      <w:keepNext/>
      <w:keepLines/>
      <w:spacing w:before="280" w:after="80"/>
      <w:outlineLvl w:val="3"/>
    </w:pPr>
    <w:rPr>
      <w:color w:val="666666"/>
    </w:rPr>
  </w:style>
  <w:style w:type="paragraph" w:styleId="6">
    <w:name w:val="heading 5"/>
    <w:basedOn w:val="1"/>
    <w:next w:val="1"/>
    <w:semiHidden/>
    <w:unhideWhenUsed/>
    <w:qFormat/>
    <w:uiPriority w:val="9"/>
    <w:pPr>
      <w:keepNext/>
      <w:keepLines/>
      <w:spacing w:before="240" w:after="80"/>
      <w:outlineLvl w:val="4"/>
    </w:pPr>
    <w:rPr>
      <w:color w:val="666666"/>
      <w:sz w:val="22"/>
      <w:szCs w:val="22"/>
    </w:rPr>
  </w:style>
  <w:style w:type="paragraph" w:styleId="7">
    <w:name w:val="heading 6"/>
    <w:basedOn w:val="1"/>
    <w:next w:val="1"/>
    <w:semiHidden/>
    <w:unhideWhenUsed/>
    <w:qFormat/>
    <w:uiPriority w:val="9"/>
    <w:pPr>
      <w:keepNext/>
      <w:keepLines/>
      <w:spacing w:before="240" w:after="80"/>
      <w:outlineLvl w:val="5"/>
    </w:pPr>
    <w:rPr>
      <w:i/>
      <w:color w:val="666666"/>
      <w:sz w:val="22"/>
      <w:szCs w:val="22"/>
    </w:rPr>
  </w:style>
  <w:style w:type="character" w:default="1" w:styleId="8">
    <w:name w:val="Default Paragraph Font"/>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10">
    <w:name w:val="Balloon Text"/>
    <w:basedOn w:val="1"/>
    <w:link w:val="26"/>
    <w:semiHidden/>
    <w:unhideWhenUsed/>
    <w:qFormat/>
    <w:uiPriority w:val="99"/>
    <w:pPr>
      <w:spacing w:line="240" w:lineRule="auto"/>
    </w:pPr>
    <w:rPr>
      <w:rFonts w:ascii="Tahoma" w:hAnsi="Tahoma" w:cs="Tahoma"/>
      <w:sz w:val="16"/>
      <w:szCs w:val="16"/>
    </w:rPr>
  </w:style>
  <w:style w:type="character" w:styleId="11">
    <w:name w:val="annotation reference"/>
    <w:basedOn w:val="8"/>
    <w:semiHidden/>
    <w:unhideWhenUsed/>
    <w:qFormat/>
    <w:uiPriority w:val="99"/>
    <w:rPr>
      <w:sz w:val="16"/>
      <w:szCs w:val="16"/>
    </w:rPr>
  </w:style>
  <w:style w:type="paragraph" w:styleId="12">
    <w:name w:val="annotation text"/>
    <w:basedOn w:val="1"/>
    <w:link w:val="21"/>
    <w:semiHidden/>
    <w:unhideWhenUsed/>
    <w:uiPriority w:val="99"/>
    <w:pPr>
      <w:spacing w:line="240" w:lineRule="auto"/>
    </w:pPr>
    <w:rPr>
      <w:sz w:val="20"/>
      <w:szCs w:val="20"/>
    </w:rPr>
  </w:style>
  <w:style w:type="paragraph" w:styleId="13">
    <w:name w:val="footer"/>
    <w:basedOn w:val="1"/>
    <w:link w:val="23"/>
    <w:unhideWhenUsed/>
    <w:qFormat/>
    <w:uiPriority w:val="99"/>
    <w:pPr>
      <w:tabs>
        <w:tab w:val="center" w:pos="4513"/>
        <w:tab w:val="right" w:pos="9026"/>
      </w:tabs>
      <w:spacing w:line="240" w:lineRule="auto"/>
    </w:pPr>
  </w:style>
  <w:style w:type="paragraph" w:styleId="14">
    <w:name w:val="header"/>
    <w:basedOn w:val="1"/>
    <w:link w:val="22"/>
    <w:unhideWhenUsed/>
    <w:uiPriority w:val="99"/>
    <w:pPr>
      <w:tabs>
        <w:tab w:val="center" w:pos="4513"/>
        <w:tab w:val="right" w:pos="9026"/>
      </w:tabs>
      <w:spacing w:line="240" w:lineRule="auto"/>
    </w:pPr>
  </w:style>
  <w:style w:type="character" w:styleId="15">
    <w:name w:val="Hyperlink"/>
    <w:basedOn w:val="8"/>
    <w:unhideWhenUsed/>
    <w:qFormat/>
    <w:uiPriority w:val="99"/>
    <w:rPr>
      <w:color w:val="0000FF" w:themeColor="hyperlink"/>
      <w:u w:val="single"/>
      <w14:textFill>
        <w14:solidFill>
          <w14:schemeClr w14:val="hlink"/>
        </w14:solidFill>
      </w14:textFill>
    </w:rPr>
  </w:style>
  <w:style w:type="paragraph" w:styleId="16">
    <w:name w:val="Subtitle"/>
    <w:basedOn w:val="1"/>
    <w:next w:val="1"/>
    <w:qFormat/>
    <w:uiPriority w:val="11"/>
    <w:pPr>
      <w:keepNext/>
      <w:keepLines/>
      <w:spacing w:after="320"/>
    </w:pPr>
    <w:rPr>
      <w:color w:val="666666"/>
      <w:sz w:val="30"/>
      <w:szCs w:val="30"/>
    </w:rPr>
  </w:style>
  <w:style w:type="paragraph" w:styleId="17">
    <w:name w:val="Title"/>
    <w:basedOn w:val="1"/>
    <w:next w:val="1"/>
    <w:qFormat/>
    <w:uiPriority w:val="10"/>
    <w:pPr>
      <w:keepNext/>
      <w:keepLines/>
      <w:spacing w:after="60"/>
    </w:pPr>
    <w:rPr>
      <w:sz w:val="52"/>
      <w:szCs w:val="52"/>
    </w:rPr>
  </w:style>
  <w:style w:type="paragraph" w:styleId="18">
    <w:name w:val="toc 1"/>
    <w:basedOn w:val="1"/>
    <w:next w:val="1"/>
    <w:autoRedefine/>
    <w:unhideWhenUsed/>
    <w:uiPriority w:val="39"/>
    <w:pPr>
      <w:spacing w:after="100"/>
    </w:pPr>
  </w:style>
  <w:style w:type="paragraph" w:styleId="19">
    <w:name w:val="toc 2"/>
    <w:basedOn w:val="1"/>
    <w:next w:val="1"/>
    <w:autoRedefine/>
    <w:unhideWhenUsed/>
    <w:uiPriority w:val="39"/>
    <w:pPr>
      <w:spacing w:after="100"/>
      <w:ind w:left="240"/>
    </w:pPr>
  </w:style>
  <w:style w:type="paragraph" w:styleId="20">
    <w:name w:val="toc 3"/>
    <w:basedOn w:val="1"/>
    <w:next w:val="1"/>
    <w:autoRedefine/>
    <w:unhideWhenUsed/>
    <w:uiPriority w:val="39"/>
    <w:pPr>
      <w:spacing w:after="100"/>
      <w:ind w:left="480"/>
    </w:pPr>
  </w:style>
  <w:style w:type="character" w:customStyle="1" w:styleId="21">
    <w:name w:val="Comment Text Char"/>
    <w:basedOn w:val="8"/>
    <w:link w:val="12"/>
    <w:semiHidden/>
    <w:uiPriority w:val="99"/>
    <w:rPr>
      <w:sz w:val="20"/>
      <w:szCs w:val="20"/>
    </w:rPr>
  </w:style>
  <w:style w:type="character" w:customStyle="1" w:styleId="22">
    <w:name w:val="Header Char"/>
    <w:basedOn w:val="8"/>
    <w:link w:val="14"/>
    <w:uiPriority w:val="99"/>
  </w:style>
  <w:style w:type="character" w:customStyle="1" w:styleId="23">
    <w:name w:val="Footer Char"/>
    <w:basedOn w:val="8"/>
    <w:link w:val="13"/>
    <w:qFormat/>
    <w:uiPriority w:val="99"/>
  </w:style>
  <w:style w:type="character" w:customStyle="1" w:styleId="24">
    <w:name w:val="Unresolved Mention1"/>
    <w:basedOn w:val="8"/>
    <w:semiHidden/>
    <w:unhideWhenUsed/>
    <w:uiPriority w:val="99"/>
    <w:rPr>
      <w:color w:val="605E5C"/>
      <w:shd w:val="clear" w:color="auto" w:fill="E1DFDD"/>
    </w:rPr>
  </w:style>
  <w:style w:type="paragraph" w:customStyle="1" w:styleId="25">
    <w:name w:val="TOC Heading"/>
    <w:basedOn w:val="2"/>
    <w:next w:val="1"/>
    <w:unhideWhenUsed/>
    <w:qFormat/>
    <w:uiPriority w:val="39"/>
    <w:pPr>
      <w:spacing w:before="240" w:line="259" w:lineRule="auto"/>
      <w:jc w:val="left"/>
      <w:outlineLvl w:val="9"/>
    </w:pPr>
    <w:rPr>
      <w:rFonts w:asciiTheme="majorHAnsi" w:hAnsiTheme="majorHAnsi" w:eastAsiaTheme="majorEastAsia" w:cstheme="majorBidi"/>
      <w:b w:val="0"/>
      <w:color w:val="376092" w:themeColor="accent1" w:themeShade="BF"/>
      <w:sz w:val="32"/>
      <w:szCs w:val="32"/>
      <w:lang w:val="en-US" w:eastAsia="en-US"/>
    </w:rPr>
  </w:style>
  <w:style w:type="character" w:customStyle="1" w:styleId="26">
    <w:name w:val="Balloon Text Char"/>
    <w:basedOn w:val="8"/>
    <w:link w:val="10"/>
    <w:semiHidden/>
    <w:qFormat/>
    <w:uiPriority w:val="99"/>
    <w:rPr>
      <w:rFonts w:ascii="Tahoma" w:hAnsi="Tahoma" w:cs="Tahoma"/>
      <w:sz w:val="16"/>
      <w:szCs w:val="16"/>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7" Type="http://schemas.openxmlformats.org/officeDocument/2006/relationships/font" Target="fonts/font7.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1sJEV38kxEp3a6ddpICVZ9Cjq6A==">CgMxLjAyCWguNDRzaW5pbzINaC5vemxwd2t2MDAzazIOaC5rOHl3c3p3ZXcyc3EyCWguMmp4c3hxaDIIaC56MzM3eWEyCWguM2oycXFtMzIJaC4xeTgxMHR3MgloLjRpN29qaHAyCWguMnhjeXRwaTIJaC4xY2k5M3hiMgloLjN3aHdtbDQyCWguMmJuNndzeDIIaC5xc2g3MHEyCGgudHlqY3d0MgloLjNhczRwb2oyCWguMXB4ZXp3YzIJaC40OXgyaWs1MgloLjJwMmNzcnkyCWguMTQ3bjJ6cjIJaC4zbzdhbG5rMgloLjIzY2t2dmQyCGguaWh2NjM2MgloLjMyaGlvcXoyCWguMWhtc3l5czIJaC40MW1naG1sOAByITFCNHI3LVBURGF5X3lIa3dlbjZlZUZ0VWt4eHphNWFpOQ==</go:docsCustomData>
</go:gDocsCustomXmlDataStorage>
</file>

<file path=customXml/itemProps1.xml><?xml version="1.0" encoding="utf-8"?>
<ds:datastoreItem xmlns:ds="http://schemas.openxmlformats.org/officeDocument/2006/customXml" ds:itemID="{11111111-1234-1234-1234-123412341234}">
  <ds:schemaRefs/>
</ds:datastoreItem>
</file>

<file path=docProps/app.xml><?xml version="1.0" encoding="utf-8"?>
<Properties xmlns="http://schemas.openxmlformats.org/officeDocument/2006/extended-properties" xmlns:vt="http://schemas.openxmlformats.org/officeDocument/2006/docPropsVTypes">
  <Template>Normal</Template>
  <Pages>9</Pages>
  <Words>5142</Words>
  <Characters>29312</Characters>
  <Lines>244</Lines>
  <Paragraphs>68</Paragraphs>
  <TotalTime>11</TotalTime>
  <ScaleCrop>false</ScaleCrop>
  <LinksUpToDate>false</LinksUpToDate>
  <CharactersWithSpaces>34386</CharactersWithSpaces>
  <Application>WPS Office_12.2.0.19805_F1E327BC-269C-435d-A152-05C5408002CA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2025-02-05T12:19:00Z</dcterms:created>
  <dc:creator>Alina</dc:creator>
  <cp:lastModifiedBy>i study</cp:lastModifiedBy>
  <dcterms:modified xsi:type="dcterms:W3CDTF">2025-02-06T14:04:35Z</dcterms:modified>
  <cp:revision>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145ab8ff127ce343b416a14660a1c697926b6a3a583646b54f03133e84bfa0a2</vt:lpwstr>
  </property>
  <property fmtid="{D5CDD505-2E9C-101B-9397-08002B2CF9AE}" pid="3" name="KSOProductBuildVer">
    <vt:lpwstr>2057-12.2.0.19805</vt:lpwstr>
  </property>
  <property fmtid="{D5CDD505-2E9C-101B-9397-08002B2CF9AE}" pid="4" name="ICV">
    <vt:lpwstr>444E4F768CD24E559D3610B1D0CA03AF_12</vt:lpwstr>
  </property>
</Properties>
</file>