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1040D5" w14:textId="77777777" w:rsidR="007508CB" w:rsidRDefault="00242A13">
      <w:pPr>
        <w:spacing w:line="480" w:lineRule="auto"/>
        <w:rPr>
          <w:rFonts w:ascii="Times New Roman" w:eastAsia="Times New Roman" w:hAnsi="Times New Roman" w:cs="Times New Roman"/>
        </w:rPr>
      </w:pPr>
      <w:r>
        <w:rPr>
          <w:rFonts w:ascii="Times New Roman" w:eastAsia="Times New Roman" w:hAnsi="Times New Roman" w:cs="Times New Roman"/>
          <w:b/>
          <w:bCs/>
        </w:rPr>
        <w:t xml:space="preserve">INTRODUCTION </w:t>
      </w:r>
    </w:p>
    <w:p w14:paraId="789408E3" w14:textId="77777777" w:rsidR="007508CB" w:rsidRDefault="00242A1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According to WHO, mental health is the state in which an individual recognizes their abilities, copes with life stresses, works productively, and contributes to their community. The 'No Health without Mental Health' policy defines it as a positive state of mind and body, feeling safe, coping well, and having connections with people and the environment. Mental Health Conditions (MHC) is the umbrella word that encompass various disorders causing significant disturbances in cognition, emotions, or behavior. This paper explores the historical evolution of mental health Acts, policies, and laws to the present day. It also examines the classification and diagnosis of mental disorders in the ICD-11. Finally, it analyzes the current support and provisions' impacts, influences, and outcomes.</w:t>
      </w:r>
    </w:p>
    <w:p w14:paraId="6225E0AD" w14:textId="77777777" w:rsidR="007508CB" w:rsidRDefault="007508CB">
      <w:pPr>
        <w:spacing w:line="480" w:lineRule="auto"/>
        <w:rPr>
          <w:rFonts w:ascii="Times New Roman" w:eastAsia="Times New Roman" w:hAnsi="Times New Roman" w:cs="Times New Roman"/>
          <w:sz w:val="24"/>
        </w:rPr>
      </w:pPr>
    </w:p>
    <w:p w14:paraId="6229428F" w14:textId="77777777" w:rsidR="007508CB" w:rsidRDefault="00242A13">
      <w:pPr>
        <w:spacing w:line="480" w:lineRule="auto"/>
        <w:rPr>
          <w:rFonts w:ascii="Times New Roman" w:eastAsia="Times New Roman" w:hAnsi="Times New Roman" w:cs="Times New Roman"/>
          <w:sz w:val="24"/>
        </w:rPr>
      </w:pPr>
      <w:r>
        <w:rPr>
          <w:rFonts w:ascii="Times New Roman" w:eastAsia="Times New Roman" w:hAnsi="Times New Roman" w:cs="Times New Roman"/>
          <w:b/>
          <w:bCs/>
          <w:sz w:val="24"/>
        </w:rPr>
        <w:t>ANCIENT BELIEFS AND PRACTICES</w:t>
      </w:r>
    </w:p>
    <w:p w14:paraId="63EB4F80" w14:textId="77777777" w:rsidR="007508CB" w:rsidRDefault="007508CB">
      <w:pPr>
        <w:spacing w:line="480" w:lineRule="auto"/>
        <w:rPr>
          <w:rFonts w:ascii="Times New Roman" w:eastAsia="Times New Roman" w:hAnsi="Times New Roman" w:cs="Times New Roman"/>
          <w:sz w:val="24"/>
        </w:rPr>
      </w:pPr>
    </w:p>
    <w:p w14:paraId="5555BC63" w14:textId="485619C3" w:rsidR="007508CB" w:rsidRDefault="00242A13">
      <w:pPr>
        <w:widowControl/>
        <w:spacing w:line="480" w:lineRule="auto"/>
        <w:rPr>
          <w:rFonts w:ascii="Times New Roman" w:eastAsia="Times New Roman" w:hAnsi="Times New Roman" w:cs="Times New Roman"/>
          <w:sz w:val="24"/>
        </w:rPr>
      </w:pPr>
      <w:r>
        <w:rPr>
          <w:rFonts w:ascii="Times New Roman" w:eastAsia="Times New Roman" w:hAnsi="Times New Roman" w:cs="Times New Roman"/>
          <w:sz w:val="24"/>
        </w:rPr>
        <w:t>Ancient civilizations often attributed mental illness to supernatural causes, such as evil spirits or divine punishment. There were no specific legislative acts guiding mental health care during this period (Smith, 2005).</w:t>
      </w:r>
      <w:r w:rsidR="00932169">
        <w:rPr>
          <w:rFonts w:ascii="Times New Roman" w:eastAsia="Times New Roman" w:hAnsi="Times New Roman" w:cs="Times New Roman"/>
          <w:sz w:val="24"/>
        </w:rPr>
        <w:t xml:space="preserve"> According to Kathleen Jones</w:t>
      </w:r>
      <w:r w:rsidR="00871889">
        <w:rPr>
          <w:rFonts w:ascii="Times New Roman" w:eastAsia="Times New Roman" w:hAnsi="Times New Roman" w:cs="Times New Roman"/>
          <w:sz w:val="24"/>
        </w:rPr>
        <w:t xml:space="preserve"> (1972/2023) </w:t>
      </w:r>
      <w:r w:rsidR="00932169">
        <w:rPr>
          <w:rFonts w:ascii="Times New Roman" w:eastAsia="Times New Roman" w:hAnsi="Times New Roman" w:cs="Times New Roman"/>
          <w:sz w:val="24"/>
        </w:rPr>
        <w:t>, ‘There was no cl</w:t>
      </w:r>
      <w:r w:rsidR="00AC7D73">
        <w:rPr>
          <w:rFonts w:ascii="Times New Roman" w:eastAsia="Times New Roman" w:hAnsi="Times New Roman" w:cs="Times New Roman"/>
          <w:sz w:val="24"/>
        </w:rPr>
        <w:t xml:space="preserve">ear </w:t>
      </w:r>
      <w:r w:rsidR="00932169">
        <w:rPr>
          <w:rFonts w:ascii="Times New Roman" w:eastAsia="Times New Roman" w:hAnsi="Times New Roman" w:cs="Times New Roman"/>
          <w:sz w:val="24"/>
        </w:rPr>
        <w:t>definition of what mental disorder was, and certainly no recognition of the mentally ill or handicapped as a category requiring distinct form of treatment.</w:t>
      </w:r>
      <w:r w:rsidR="00871889">
        <w:rPr>
          <w:rFonts w:ascii="Times New Roman" w:eastAsia="Times New Roman" w:hAnsi="Times New Roman" w:cs="Times New Roman"/>
          <w:sz w:val="24"/>
        </w:rPr>
        <w:t>’</w:t>
      </w:r>
    </w:p>
    <w:p w14:paraId="55290877" w14:textId="68C8BE56" w:rsidR="007508CB" w:rsidRDefault="00871889">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Consequently, t</w:t>
      </w:r>
      <w:r w:rsidR="00242A13">
        <w:rPr>
          <w:rFonts w:ascii="Times New Roman" w:eastAsia="Times New Roman" w:hAnsi="Times New Roman" w:cs="Times New Roman"/>
          <w:sz w:val="24"/>
        </w:rPr>
        <w:t>reatments involved violent methods like chaining or flogging to expel these spirits. Rituals, prayers, and exorcisms were also common, including the consumption of foul-tasting potions. In the United Kingdom, ancient beliefs, including the concept of "wyrd" or fate, influenced perceptions of mental health, sometimes leading to fatalistic acceptance rather than intervention. Families were responsible for caring for the mentally ill and seeking treatment from shamans or priests. Matthew Thompson's work on the history of mental health care in the UK highlights the enduring impact of ancient beliefs on early approaches to mental health. These beliefs, rooted in superstition and cultural norms, contributed to stigma and limited access to treatment until more scientific and compassionate approaches emerged later in history.</w:t>
      </w:r>
    </w:p>
    <w:p w14:paraId="2236A9A7" w14:textId="77777777" w:rsidR="007508CB" w:rsidRDefault="007508CB">
      <w:pPr>
        <w:spacing w:line="480" w:lineRule="auto"/>
        <w:rPr>
          <w:rFonts w:ascii="Times New Roman" w:eastAsia="Times New Roman" w:hAnsi="Times New Roman" w:cs="Times New Roman"/>
          <w:sz w:val="24"/>
        </w:rPr>
      </w:pPr>
    </w:p>
    <w:p w14:paraId="26173F24" w14:textId="77777777" w:rsidR="007508CB" w:rsidRDefault="00242A13">
      <w:pPr>
        <w:spacing w:line="480" w:lineRule="auto"/>
        <w:rPr>
          <w:rFonts w:ascii="Times New Roman" w:eastAsia="Times New Roman" w:hAnsi="Times New Roman" w:cs="Times New Roman"/>
          <w:sz w:val="24"/>
        </w:rPr>
      </w:pPr>
      <w:r>
        <w:rPr>
          <w:rFonts w:ascii="Times New Roman" w:eastAsia="Times New Roman" w:hAnsi="Times New Roman" w:cs="Times New Roman"/>
          <w:b/>
          <w:bCs/>
          <w:sz w:val="24"/>
        </w:rPr>
        <w:t xml:space="preserve">MIDDLE AGES TO RENAISSANCE PERIOD </w:t>
      </w:r>
    </w:p>
    <w:p w14:paraId="1356A974" w14:textId="77777777" w:rsidR="00B37007" w:rsidRDefault="00242A13" w:rsidP="00B37007">
      <w:pPr>
        <w:widowControl/>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During the Middle Ages, the lens through which mental illness was perceived was significantly shaped by religious doctrines. Mental disorders were commonly construed as manifestations of demonic possession or divine retribution for moral transgressions. Consequently, those afflicted were subjected to stigmatization, labelled as 'dangerous' or 'unclean,' and systematically ostracised from mainstream society. </w:t>
      </w:r>
      <w:r>
        <w:rPr>
          <w:rFonts w:ascii="Times New Roman" w:eastAsia="Times New Roman" w:hAnsi="Times New Roman" w:cs="Times New Roman"/>
          <w:color w:val="000000"/>
          <w:kern w:val="0"/>
          <w:sz w:val="24"/>
          <w:lang w:bidi="ar"/>
        </w:rPr>
        <w:t xml:space="preserve">For example, those suffering from conditions such as depression or anxiety might have been labeled as "possessed by melancholy" or "afflicted with melancholia," further reinforcing the belief that mental illness was a punishment for moral transgressions. </w:t>
      </w:r>
      <w:r w:rsidR="00B37007">
        <w:rPr>
          <w:rFonts w:ascii="Times New Roman" w:eastAsia="Times New Roman" w:hAnsi="Times New Roman" w:cs="Times New Roman"/>
          <w:sz w:val="24"/>
        </w:rPr>
        <w:t xml:space="preserve">Consequently, mental health care was provided by religious institutions like convents and monasteries. However, there was no formal legislative acts specifically addressing mental health care during this time (Butler, 1985). </w:t>
      </w:r>
    </w:p>
    <w:p w14:paraId="0423D978" w14:textId="01E2DFFA" w:rsidR="007508CB" w:rsidRDefault="00E2672E">
      <w:pPr>
        <w:widowControl/>
        <w:spacing w:line="480" w:lineRule="auto"/>
        <w:rPr>
          <w:rFonts w:ascii="Times New Roman" w:eastAsia="Times New Roman" w:hAnsi="Times New Roman" w:cs="Times New Roman"/>
          <w:i/>
          <w:iCs/>
          <w:color w:val="000000"/>
          <w:kern w:val="0"/>
          <w:sz w:val="24"/>
          <w:lang w:bidi="ar"/>
        </w:rPr>
      </w:pPr>
      <w:r>
        <w:rPr>
          <w:rFonts w:ascii="Times New Roman" w:eastAsia="Times New Roman" w:hAnsi="Times New Roman" w:cs="Times New Roman"/>
          <w:color w:val="000000"/>
          <w:kern w:val="0"/>
          <w:sz w:val="24"/>
          <w:lang w:bidi="ar"/>
        </w:rPr>
        <w:t xml:space="preserve">In his book, </w:t>
      </w:r>
      <w:r w:rsidRPr="00E2672E">
        <w:rPr>
          <w:rFonts w:ascii="Times New Roman" w:eastAsia="Times New Roman" w:hAnsi="Times New Roman" w:cs="Times New Roman"/>
          <w:i/>
          <w:iCs/>
          <w:color w:val="000000"/>
          <w:kern w:val="0"/>
          <w:sz w:val="24"/>
          <w:lang w:bidi="ar"/>
        </w:rPr>
        <w:t>Chapters in the History of the Insane</w:t>
      </w:r>
      <w:r>
        <w:rPr>
          <w:rFonts w:ascii="Times New Roman" w:eastAsia="Times New Roman" w:hAnsi="Times New Roman" w:cs="Times New Roman"/>
          <w:i/>
          <w:iCs/>
          <w:color w:val="000000"/>
          <w:kern w:val="0"/>
          <w:sz w:val="24"/>
          <w:lang w:bidi="ar"/>
        </w:rPr>
        <w:t xml:space="preserve"> in the British Isles</w:t>
      </w:r>
      <w:r w:rsidRPr="00E2672E">
        <w:rPr>
          <w:rFonts w:ascii="Times New Roman" w:eastAsia="Times New Roman" w:hAnsi="Times New Roman" w:cs="Times New Roman"/>
          <w:i/>
          <w:iCs/>
          <w:color w:val="000000"/>
          <w:kern w:val="0"/>
          <w:sz w:val="24"/>
          <w:lang w:bidi="ar"/>
        </w:rPr>
        <w:t>,</w:t>
      </w:r>
      <w:r>
        <w:rPr>
          <w:rFonts w:ascii="Times New Roman" w:eastAsia="Times New Roman" w:hAnsi="Times New Roman" w:cs="Times New Roman"/>
          <w:color w:val="000000"/>
          <w:kern w:val="0"/>
          <w:sz w:val="24"/>
          <w:lang w:bidi="ar"/>
        </w:rPr>
        <w:t xml:space="preserve"> D.H. Tuke </w:t>
      </w:r>
      <w:r w:rsidR="00B37007">
        <w:rPr>
          <w:rFonts w:ascii="Times New Roman" w:eastAsia="Times New Roman" w:hAnsi="Times New Roman" w:cs="Times New Roman"/>
          <w:color w:val="000000"/>
          <w:kern w:val="0"/>
          <w:sz w:val="24"/>
          <w:lang w:bidi="ar"/>
        </w:rPr>
        <w:t>describes</w:t>
      </w:r>
      <w:r>
        <w:rPr>
          <w:rFonts w:ascii="Times New Roman" w:eastAsia="Times New Roman" w:hAnsi="Times New Roman" w:cs="Times New Roman"/>
          <w:color w:val="000000"/>
          <w:kern w:val="0"/>
          <w:sz w:val="24"/>
          <w:lang w:bidi="ar"/>
        </w:rPr>
        <w:t xml:space="preserve"> how the mentally ‘insane’ are dunked in </w:t>
      </w:r>
      <w:r w:rsidR="002E61AE">
        <w:rPr>
          <w:rFonts w:ascii="Times New Roman" w:eastAsia="Times New Roman" w:hAnsi="Times New Roman" w:cs="Times New Roman"/>
          <w:color w:val="000000"/>
          <w:kern w:val="0"/>
          <w:sz w:val="24"/>
          <w:lang w:bidi="ar"/>
        </w:rPr>
        <w:t xml:space="preserve">a </w:t>
      </w:r>
      <w:r>
        <w:rPr>
          <w:rFonts w:ascii="Times New Roman" w:eastAsia="Times New Roman" w:hAnsi="Times New Roman" w:cs="Times New Roman"/>
          <w:color w:val="000000"/>
          <w:kern w:val="0"/>
          <w:sz w:val="24"/>
          <w:lang w:bidi="ar"/>
        </w:rPr>
        <w:t>well</w:t>
      </w:r>
      <w:r w:rsidR="002E61AE">
        <w:rPr>
          <w:rFonts w:ascii="Times New Roman" w:eastAsia="Times New Roman" w:hAnsi="Times New Roman" w:cs="Times New Roman"/>
          <w:color w:val="000000"/>
          <w:kern w:val="0"/>
          <w:sz w:val="24"/>
          <w:lang w:bidi="ar"/>
        </w:rPr>
        <w:t xml:space="preserve"> in Altarnun called St. Nun Pool</w:t>
      </w:r>
      <w:r>
        <w:rPr>
          <w:rFonts w:ascii="Times New Roman" w:eastAsia="Times New Roman" w:hAnsi="Times New Roman" w:cs="Times New Roman"/>
          <w:color w:val="000000"/>
          <w:kern w:val="0"/>
          <w:sz w:val="24"/>
          <w:lang w:bidi="ar"/>
        </w:rPr>
        <w:t xml:space="preserve"> till they almost drowned then taken back to the church were certain mass and rites are read over them till they show signs of improvement. If there is no improvement the process is repeated again.</w:t>
      </w:r>
      <w:r w:rsidR="00B37007">
        <w:rPr>
          <w:rFonts w:ascii="Times New Roman" w:eastAsia="Times New Roman" w:hAnsi="Times New Roman" w:cs="Times New Roman"/>
          <w:color w:val="000000"/>
          <w:kern w:val="0"/>
          <w:sz w:val="24"/>
          <w:lang w:bidi="ar"/>
        </w:rPr>
        <w:t xml:space="preserve"> This ritual was called </w:t>
      </w:r>
      <w:r w:rsidR="00B37007" w:rsidRPr="00B37007">
        <w:rPr>
          <w:rFonts w:ascii="Times New Roman" w:eastAsia="Times New Roman" w:hAnsi="Times New Roman" w:cs="Times New Roman"/>
          <w:i/>
          <w:iCs/>
          <w:color w:val="000000"/>
          <w:kern w:val="0"/>
          <w:sz w:val="24"/>
          <w:lang w:bidi="ar"/>
        </w:rPr>
        <w:t>bowssenning</w:t>
      </w:r>
      <w:r w:rsidR="00B37007">
        <w:rPr>
          <w:rFonts w:ascii="Times New Roman" w:eastAsia="Times New Roman" w:hAnsi="Times New Roman" w:cs="Times New Roman"/>
          <w:i/>
          <w:iCs/>
          <w:color w:val="000000"/>
          <w:kern w:val="0"/>
          <w:sz w:val="24"/>
          <w:lang w:bidi="ar"/>
        </w:rPr>
        <w:t>.</w:t>
      </w:r>
    </w:p>
    <w:p w14:paraId="2675FF82" w14:textId="2E0F2EC1" w:rsidR="00B37007" w:rsidRPr="00E2672E" w:rsidRDefault="00B37007" w:rsidP="00B37007">
      <w:pPr>
        <w:widowControl/>
        <w:spacing w:line="480" w:lineRule="auto"/>
        <w:rPr>
          <w:rFonts w:ascii="Times New Roman" w:eastAsia="Times New Roman" w:hAnsi="Times New Roman" w:cs="Times New Roman"/>
          <w:sz w:val="24"/>
        </w:rPr>
      </w:pPr>
      <w:r>
        <w:rPr>
          <w:rFonts w:ascii="Times New Roman" w:eastAsia="Times New Roman" w:hAnsi="Times New Roman" w:cs="Times New Roman"/>
          <w:color w:val="000000"/>
          <w:kern w:val="0"/>
          <w:sz w:val="24"/>
          <w:lang w:bidi="ar"/>
        </w:rPr>
        <w:t xml:space="preserve">This renaissance period saw the </w:t>
      </w:r>
      <w:r w:rsidR="002E61AE">
        <w:rPr>
          <w:rFonts w:ascii="Times New Roman" w:eastAsia="Times New Roman" w:hAnsi="Times New Roman" w:cs="Times New Roman"/>
          <w:color w:val="000000"/>
          <w:kern w:val="0"/>
          <w:sz w:val="24"/>
          <w:lang w:bidi="ar"/>
        </w:rPr>
        <w:t>emergence</w:t>
      </w:r>
      <w:r>
        <w:rPr>
          <w:rFonts w:ascii="Times New Roman" w:eastAsia="Times New Roman" w:hAnsi="Times New Roman" w:cs="Times New Roman"/>
          <w:color w:val="000000"/>
          <w:kern w:val="0"/>
          <w:sz w:val="24"/>
          <w:lang w:bidi="ar"/>
        </w:rPr>
        <w:t xml:space="preserve"> of asylums to provide shelter for those deemed "insane." However, these early asylums were more akin to prisons than hospitals, and conditions within them were often deplorable. One of these was Bedlam, founded in London in 1247 but became a part of the NHS in 1948. (Jones,1972)  Patients were subjected to neglect, abuse, and inhumane treatment, reflecting the prevailing attitudes towards mental illness at the time.</w:t>
      </w:r>
    </w:p>
    <w:p w14:paraId="4E9E3577" w14:textId="77777777" w:rsidR="00B37007" w:rsidRDefault="00B37007">
      <w:pPr>
        <w:widowControl/>
        <w:spacing w:line="480" w:lineRule="auto"/>
        <w:rPr>
          <w:rFonts w:ascii="Times New Roman" w:eastAsia="Times New Roman" w:hAnsi="Times New Roman" w:cs="Times New Roman"/>
          <w:sz w:val="24"/>
        </w:rPr>
      </w:pPr>
    </w:p>
    <w:p w14:paraId="40DB90BE"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bCs/>
          <w:color w:val="000000"/>
        </w:rPr>
        <w:t>18TH AND 19TH CENTURY: THE RISE OF ASYLUMS</w:t>
      </w:r>
    </w:p>
    <w:p w14:paraId="424CA5A3" w14:textId="685F64E4" w:rsidR="007508CB" w:rsidRDefault="00242A1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During the 18th and 19th centuries, the United Kingdom witnessed a proliferation of asylums, aimed at providing care for individuals with mental disorders. However, these institutions quickly became overcrowded, understaffed, and underfunded, leading to inhumane conditions for patients, including confinement, restraint, and isolation. Extreme measures such as locking patients in cages or subjecting them to spinning chairs till they were sedated or calm enough were not uncommon. </w:t>
      </w:r>
      <w:r w:rsidR="004331D9">
        <w:rPr>
          <w:rFonts w:ascii="Times New Roman" w:eastAsia="Times New Roman" w:hAnsi="Times New Roman" w:cs="Times New Roman"/>
          <w:sz w:val="24"/>
        </w:rPr>
        <w:t xml:space="preserve">At the Bethan </w:t>
      </w:r>
      <w:r w:rsidR="00D22F2A">
        <w:rPr>
          <w:rFonts w:ascii="Times New Roman" w:eastAsia="Times New Roman" w:hAnsi="Times New Roman" w:cs="Times New Roman"/>
          <w:sz w:val="24"/>
        </w:rPr>
        <w:t>Green A</w:t>
      </w:r>
      <w:r w:rsidR="004331D9">
        <w:rPr>
          <w:rFonts w:ascii="Times New Roman" w:eastAsia="Times New Roman" w:hAnsi="Times New Roman" w:cs="Times New Roman"/>
          <w:sz w:val="24"/>
        </w:rPr>
        <w:t>sylum</w:t>
      </w:r>
      <w:r w:rsidR="00D22F2A">
        <w:rPr>
          <w:rFonts w:ascii="Times New Roman" w:eastAsia="Times New Roman" w:hAnsi="Times New Roman" w:cs="Times New Roman"/>
          <w:sz w:val="24"/>
        </w:rPr>
        <w:t>, ‘several of the pauper women were chained to their bedsteads, naked, and only covered with a hempen rug’ (D.H Tuke, 1882)</w:t>
      </w:r>
      <w:r w:rsidR="004331D9">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Electroconvulsive therapy </w:t>
      </w:r>
      <w:r w:rsidR="002A700B">
        <w:rPr>
          <w:rFonts w:ascii="Times New Roman" w:eastAsia="Times New Roman" w:hAnsi="Times New Roman" w:cs="Times New Roman"/>
          <w:sz w:val="24"/>
        </w:rPr>
        <w:t xml:space="preserve">(ECT) </w:t>
      </w:r>
      <w:r>
        <w:rPr>
          <w:rFonts w:ascii="Times New Roman" w:eastAsia="Times New Roman" w:hAnsi="Times New Roman" w:cs="Times New Roman"/>
          <w:sz w:val="24"/>
        </w:rPr>
        <w:t xml:space="preserve">emerged as a treatment method, despite its inhumane and unsafe nature. It involved passing large amounts of current through patients’ brains to induce seizure in a bid to cure the mental condition of patients to induce shocks in a bid to calm them down. </w:t>
      </w:r>
      <w:r w:rsidR="002A700B">
        <w:rPr>
          <w:rFonts w:ascii="Times New Roman" w:eastAsia="Times New Roman" w:hAnsi="Times New Roman" w:cs="Times New Roman"/>
          <w:sz w:val="24"/>
        </w:rPr>
        <w:t xml:space="preserve">However, Edward and David </w:t>
      </w:r>
      <w:r w:rsidR="00813336">
        <w:rPr>
          <w:rFonts w:ascii="Times New Roman" w:eastAsia="Times New Roman" w:hAnsi="Times New Roman" w:cs="Times New Roman"/>
          <w:sz w:val="24"/>
        </w:rPr>
        <w:t xml:space="preserve">(2007) </w:t>
      </w:r>
      <w:r w:rsidR="002A700B">
        <w:rPr>
          <w:rFonts w:ascii="Times New Roman" w:eastAsia="Times New Roman" w:hAnsi="Times New Roman" w:cs="Times New Roman"/>
          <w:sz w:val="24"/>
        </w:rPr>
        <w:t>in their book, A History of Electroconvulsive Treatment in Mental Illness argue otherwise. They posit that the term is a ECT is highly effective suicidal ideation, works quickly to yield results</w:t>
      </w:r>
      <w:r w:rsidR="00813336">
        <w:rPr>
          <w:rFonts w:ascii="Times New Roman" w:eastAsia="Times New Roman" w:hAnsi="Times New Roman" w:cs="Times New Roman"/>
          <w:sz w:val="24"/>
        </w:rPr>
        <w:t xml:space="preserve"> </w:t>
      </w:r>
      <w:r w:rsidR="002A700B">
        <w:rPr>
          <w:rFonts w:ascii="Times New Roman" w:eastAsia="Times New Roman" w:hAnsi="Times New Roman" w:cs="Times New Roman"/>
          <w:sz w:val="24"/>
        </w:rPr>
        <w:t xml:space="preserve">and is safe. They claimed that the charge of brain damage from ECT is an urban myth. </w:t>
      </w:r>
      <w:r w:rsidR="00813336">
        <w:rPr>
          <w:rFonts w:ascii="Times New Roman" w:eastAsia="Times New Roman" w:hAnsi="Times New Roman" w:cs="Times New Roman"/>
          <w:sz w:val="24"/>
        </w:rPr>
        <w:t>In spite of the negative publicity the ECT garnered over the years</w:t>
      </w:r>
      <w:r>
        <w:rPr>
          <w:rFonts w:ascii="Times New Roman" w:eastAsia="Times New Roman" w:hAnsi="Times New Roman" w:cs="Times New Roman"/>
          <w:sz w:val="24"/>
        </w:rPr>
        <w:t>, it laid the groundwork for modern electroshock therapy. In response to these challenges, the 19th century saw the emergence of a reform movement advocating for more humane treatment, increased funding, and better oversight within asylums. This period also witnessed the beginnings of drug treatment for mental health issues, shaping the trajectory of mental health care in the UK. The Lunacy Act of 1845 was established in the UK to establish procedures for the certification and detention of individuals with mental illness. The act empowered justices of peace to order the confinement of mentally ill individuals in asylums</w:t>
      </w:r>
      <w:r w:rsidR="00813336">
        <w:rPr>
          <w:rFonts w:ascii="Times New Roman" w:eastAsia="Times New Roman" w:hAnsi="Times New Roman" w:cs="Times New Roman"/>
          <w:sz w:val="24"/>
        </w:rPr>
        <w:t xml:space="preserve">. </w:t>
      </w:r>
      <w:r>
        <w:rPr>
          <w:rFonts w:ascii="Times New Roman" w:eastAsia="Times New Roman" w:hAnsi="Times New Roman" w:cs="Times New Roman"/>
          <w:sz w:val="24"/>
        </w:rPr>
        <w:t>According to an article in The National Archive terminologies such as “Lunatic” and “Idiots” were used to classify inmates according the nature of their mental state. “Lunatic” was used to describe someone whose memory and understanding was good sometimes and sometimes bad. While “Idiot” classified “natural fools from birth”</w:t>
      </w:r>
    </w:p>
    <w:p w14:paraId="117B252D" w14:textId="77777777" w:rsidR="007508CB" w:rsidRDefault="007508CB">
      <w:pPr>
        <w:spacing w:line="480" w:lineRule="auto"/>
        <w:rPr>
          <w:rFonts w:ascii="Times New Roman" w:eastAsia="Times New Roman" w:hAnsi="Times New Roman" w:cs="Times New Roman"/>
          <w:sz w:val="24"/>
        </w:rPr>
      </w:pPr>
    </w:p>
    <w:p w14:paraId="3C4DE359" w14:textId="77777777" w:rsidR="007508CB" w:rsidRDefault="00242A13">
      <w:pPr>
        <w:widowControl/>
        <w:spacing w:line="480" w:lineRule="auto"/>
        <w:rPr>
          <w:sz w:val="24"/>
        </w:rPr>
      </w:pPr>
      <w:r>
        <w:rPr>
          <w:rFonts w:ascii="Times New Roman" w:eastAsia="SimSun" w:hAnsi="Times New Roman" w:cs="Times New Roman"/>
          <w:b/>
          <w:color w:val="000000"/>
          <w:kern w:val="0"/>
          <w:sz w:val="24"/>
          <w:lang w:bidi="ar"/>
        </w:rPr>
        <w:t>20th Century: Mental Health Legislation and Deinstitutionalization:  </w:t>
      </w:r>
    </w:p>
    <w:p w14:paraId="1317A96C" w14:textId="77777777" w:rsidR="007508CB" w:rsidRDefault="007508CB">
      <w:pPr>
        <w:spacing w:line="480" w:lineRule="auto"/>
        <w:rPr>
          <w:rFonts w:ascii="Times New Roman" w:eastAsia="Times New Roman" w:hAnsi="Times New Roman" w:cs="Times New Roman"/>
          <w:sz w:val="24"/>
        </w:rPr>
      </w:pPr>
    </w:p>
    <w:p w14:paraId="0DCB50C8" w14:textId="16E91C1A" w:rsidR="007508CB" w:rsidRDefault="00242A13">
      <w:pPr>
        <w:widowControl/>
        <w:spacing w:line="480" w:lineRule="auto"/>
        <w:rPr>
          <w:rFonts w:ascii="Times New Roman" w:eastAsia="Times New Roman" w:hAnsi="Times New Roman" w:cs="Times New Roman"/>
          <w:sz w:val="24"/>
        </w:rPr>
      </w:pPr>
      <w:r>
        <w:rPr>
          <w:rFonts w:ascii="Times New Roman" w:eastAsia="Times New Roman" w:hAnsi="Times New Roman" w:cs="Times New Roman"/>
          <w:sz w:val="24"/>
        </w:rPr>
        <w:t>In the early 20th century, there was a growing acknowledgment of the necessity to address the substandard conditions within mental health institutions and enhance care for those with mental illness. Consequently, various laws were enacted to improve mental health care standards and safeguard patients' rights. A notable legislation from this era was the Mental Deficiency Act of 1913 in the United Kingdom. This legislation aimed to enhance the care and treatment of individuals with learning disabilities and mental illness by establishing specialized institutions for their welfare. These legal reforms prompted alterations in the language used to refer to mental health patients, transitioning from asylums to hospitals and from victims to users. While the act signaled an emerging recognition of the necessity for tailored care for individuals with mental disorders, it also perpetuated the segregation and institutionalization of people with disabilities. Also</w:t>
      </w:r>
      <w:r w:rsidR="0096266B">
        <w:rPr>
          <w:rFonts w:ascii="Times New Roman" w:eastAsia="Times New Roman" w:hAnsi="Times New Roman" w:cs="Times New Roman"/>
          <w:sz w:val="24"/>
        </w:rPr>
        <w:t>,</w:t>
      </w:r>
      <w:r>
        <w:rPr>
          <w:rFonts w:ascii="Times New Roman" w:eastAsia="Times New Roman" w:hAnsi="Times New Roman" w:cs="Times New Roman"/>
          <w:sz w:val="24"/>
        </w:rPr>
        <w:t xml:space="preserve"> The Mental Treatment Act of 1930 amended previous legislation and introduced voluntary admissions to mental hospital in the UK The Mental Treatment Act of 1930 amended previous legislation and introduced voluntary admission to mental hospitals in the UK. It allowed individuals to be admitted for treatment without certification (Great Britain, 1930). Later in 1959, The Mental Health Act of 1959 replaced previous mental health laws in the UK and introduced significant reforms. It established Mental Health Review Tribunals to review the cases of detained patients and provided for the voluntary admission of patients to mental hospitals (Great Britain, 1959).</w:t>
      </w:r>
    </w:p>
    <w:p w14:paraId="4BE6B324" w14:textId="77777777" w:rsidR="007508CB" w:rsidRDefault="007508CB">
      <w:pPr>
        <w:spacing w:line="480" w:lineRule="auto"/>
        <w:rPr>
          <w:rFonts w:ascii="Times New Roman" w:eastAsia="Times New Roman" w:hAnsi="Times New Roman" w:cs="Times New Roman"/>
          <w:sz w:val="24"/>
        </w:rPr>
      </w:pPr>
    </w:p>
    <w:p w14:paraId="6C73458A"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color w:val="000000"/>
        </w:rPr>
        <w:t>Mid-20th Century: Deinstitutionalization and Community Mental Health Services</w:t>
      </w:r>
    </w:p>
    <w:p w14:paraId="1D3FBAB1" w14:textId="5AB66165"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The mid-20th century witnessed a significant shift in mental health policy towards deinstitutionalization, spurred by</w:t>
      </w:r>
      <w:r w:rsidR="0096266B">
        <w:rPr>
          <w:rFonts w:eastAsia="Times New Roman"/>
          <w:color w:val="000000"/>
        </w:rPr>
        <w:t xml:space="preserve"> the scandals that rocked the mental health care system,</w:t>
      </w:r>
      <w:r>
        <w:rPr>
          <w:rFonts w:eastAsia="Times New Roman"/>
          <w:color w:val="000000"/>
        </w:rPr>
        <w:t xml:space="preserve"> advancements in psychiatric medications and changing attitudes towards mental illness. </w:t>
      </w:r>
      <w:r w:rsidR="0096266B">
        <w:rPr>
          <w:rFonts w:eastAsia="Times New Roman"/>
          <w:color w:val="000000"/>
        </w:rPr>
        <w:t>T</w:t>
      </w:r>
      <w:r w:rsidR="0096266B" w:rsidRPr="0096266B">
        <w:rPr>
          <w:rFonts w:eastAsia="Times New Roman"/>
          <w:color w:val="000000"/>
        </w:rPr>
        <w:t>he White Paper titled “Better Services” (Department of Health, 1971) set the agenda for deinstitutionalization in the UK</w:t>
      </w:r>
      <w:r w:rsidR="0096266B">
        <w:rPr>
          <w:rFonts w:eastAsia="Times New Roman"/>
          <w:color w:val="000000"/>
        </w:rPr>
        <w:t xml:space="preserve"> (</w:t>
      </w:r>
      <w:r>
        <w:rPr>
          <w:rFonts w:eastAsia="Times New Roman"/>
          <w:color w:val="000000"/>
        </w:rPr>
        <w:t>Hamlin</w:t>
      </w:r>
      <w:r w:rsidR="0096266B">
        <w:rPr>
          <w:rFonts w:eastAsia="Times New Roman"/>
          <w:color w:val="000000"/>
        </w:rPr>
        <w:t>&amp;</w:t>
      </w:r>
      <w:r>
        <w:rPr>
          <w:rFonts w:eastAsia="Times New Roman"/>
          <w:color w:val="000000"/>
        </w:rPr>
        <w:t>Oakes</w:t>
      </w:r>
      <w:r w:rsidR="0096266B">
        <w:rPr>
          <w:rFonts w:eastAsia="Times New Roman"/>
          <w:color w:val="000000"/>
        </w:rPr>
        <w:t>,2008)</w:t>
      </w:r>
      <w:r w:rsidR="0096266B" w:rsidRPr="0096266B">
        <w:rPr>
          <w:rFonts w:eastAsia="Times New Roman"/>
          <w:color w:val="000000"/>
        </w:rPr>
        <w:t xml:space="preserve"> </w:t>
      </w:r>
      <w:r>
        <w:rPr>
          <w:rFonts w:eastAsia="Times New Roman"/>
          <w:color w:val="000000"/>
        </w:rPr>
        <w:t>Deinstitutionalization aimed to transition patients from long-term institutional care to community-based treatment settings, with a focus on providing care closer to home and integrating individuals with mental illness into society. </w:t>
      </w:r>
    </w:p>
    <w:p w14:paraId="30E9E002"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Community Mental Health Services aimed to provide a range of supports tailored to individuals' needs, enabling them to live independently and participate fully in community life. These centers offered a range of services, including outpatient care, crisis intervention, vocational and rehabilitation programs, aiming to support individuals with mental illness in their recovery and reintegration into the community. Deinstitutionalization led to the closure of many large mental hospitals and the expansion of community mental health services.</w:t>
      </w:r>
    </w:p>
    <w:p w14:paraId="1743800D"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w:t>
      </w:r>
    </w:p>
    <w:p w14:paraId="1394259A"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color w:val="000000"/>
        </w:rPr>
        <w:t>Late 20th Century: Psychiatric Medications and Psychotherapy</w:t>
      </w:r>
    </w:p>
    <w:p w14:paraId="3573453C"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The late 20th century saw significant advancements in the treatment of mental illness, particularly with the development and widespread use of psychiatric medications and psychotherapeutic interventions.</w:t>
      </w:r>
    </w:p>
    <w:p w14:paraId="2233E2C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The discovery of antipsychotic medications, such as chlorpromazine (Thorazine), in the 1950s revolutionized the treatment of schizophrenia and other psychotic disorders. These medications helped to alleviate symptoms such as hallucinations and delusions, allowing many individuals with severe mental illness to live more functional and independent lives. However, antipsychotic medications also came with side effects and limitations, leading to ongoing research and development of newer, more effective treatments.</w:t>
      </w:r>
    </w:p>
    <w:p w14:paraId="3B9050FA"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In addition to pharmacological treatments, psychotherapy also played a crucial role in the treatment of mental illness during the late 20th century. Psychologists such as Freud postulated their ideas on the psychodynamic approach to treating mental health issues. He suggested that using methods such as hypnosis and dream analysis was a better way to cure mental health issues. Unfortunately, the method was soon dropped because it was unverifiable. Cognitive-behavioral therapy (CBT), developed by Aaron Beck and others in the 1960s, emerged as an effective treatment for various mental health conditions, including depression, anxiety disorders, and eating disorders. CBT focuses on identifying and challenging negative thought patterns and behaviors, helping individuals develop coping skills and strategies to manage their symptoms. The shortfalls of these models gave way to the modern medical models being used today in the treatment of mental health issues.</w:t>
      </w:r>
    </w:p>
    <w:p w14:paraId="2A7F4862"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Overall, the 20th century witnessed significant advancements in mental health policy and treatment options, from the establishment of community mental health services to the development of effective pharmacological and psychotherapeutic interventions. Yet, challenges such as ensuring access to care, reducing stigma, and addressing disparities in mental health outcomes persist into the 21st century.</w:t>
      </w:r>
    </w:p>
    <w:p w14:paraId="7008AEF7" w14:textId="77777777" w:rsidR="007508CB" w:rsidRDefault="007508CB">
      <w:pPr>
        <w:pStyle w:val="NormalWeb"/>
        <w:spacing w:beforeAutospacing="0" w:after="120" w:afterAutospacing="0" w:line="480" w:lineRule="auto"/>
        <w:jc w:val="both"/>
        <w:rPr>
          <w:rFonts w:eastAsia="Times New Roman"/>
          <w:color w:val="000000"/>
        </w:rPr>
      </w:pPr>
    </w:p>
    <w:p w14:paraId="182D31FE"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color w:val="000000"/>
        </w:rPr>
        <w:t> Late 20th Century: Community Mental Health Services:  </w:t>
      </w:r>
    </w:p>
    <w:p w14:paraId="18E3A548"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The late 20th century saw a greater emphasis on community-based mental health services. The goal was to integrate individuals with mental illness into their communities and provide them with support and resources to live independently. Thus, mental health policy and treatment approaches continued to evolve, with a focus on improving access to care and reducing the stigma surrounding mental illness. This period saw the emergence of organizations dedicated to advocating for the rights of individuals with mental health conditions and challenging societal attitudes towards mental illness.</w:t>
      </w:r>
    </w:p>
    <w:p w14:paraId="704883FC"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In addition to advocacy organizations, the late 20th century saw the launch of anti-stigma campaigns aimed at challenging stereotypes and misconceptions about mental illness. These campaigns sought to educate the public about the realities of living with mental health conditions and promote acceptance and understanding within society. One prominent anti-stigma campaign is the "Time to Change" campaign launched in the United Kingdom in 2007 by mental health charities Mind and Rethink Mental Illness. Time to Change uses various strategies, including media campaigns like ‘In Your Corner’,  ‘Time to Talk Day’, events, and workshops, to challenge stigma and discrimination and encourage open conversations about mental health.</w:t>
      </w:r>
    </w:p>
    <w:p w14:paraId="28FC49A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Furthermore, the late 20th century witnessed significant advancements in psychiatric medications and psychotherapeutic interventions, further enhancing treatment options for individuals with mental illness. The development of newer generations of antidepressants, mood stabilizers, and antipsychotic medications provided more effective and better-tolerated treatment options for conditions such as depression, bipolar disorder, and schizophrenia. Additionally, psychotherapeutic approaches such as cognitive-behavioral therapy (CBT) gained widespread acceptance and recognition for their effectiveness in treating a range of mental health conditions.</w:t>
      </w:r>
    </w:p>
    <w:p w14:paraId="71A2E6F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Despite these advancements, challenges remained in ensuring equitable access to mental health care and combating stigma. Structural barriers such as lack of insurance coverage, provider shortages, and limited resources for mental health services continued to hinder access to care for many individuals. Stigma surrounding mental illness also persisted, leading to discrimination, social isolation, and reluctance to seek help. However, the efforts of advocacy organizations and anti-stigma campaigns helped to raise awareness about these issues and promote positive change in societal attitudes towards mental health.</w:t>
      </w:r>
    </w:p>
    <w:p w14:paraId="11841E6D" w14:textId="77777777" w:rsidR="007508CB" w:rsidRDefault="007508CB">
      <w:pPr>
        <w:widowControl/>
        <w:spacing w:line="480" w:lineRule="auto"/>
        <w:rPr>
          <w:sz w:val="24"/>
        </w:rPr>
      </w:pPr>
    </w:p>
    <w:p w14:paraId="148FFD2A" w14:textId="77777777" w:rsidR="007508CB" w:rsidRDefault="00242A13">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bCs/>
          <w:sz w:val="24"/>
        </w:rPr>
        <w:t>21ST CENTURY: ADVANCES IN DIAGNOSIS AND TREATMENT</w:t>
      </w:r>
    </w:p>
    <w:p w14:paraId="72EFE542" w14:textId="77777777" w:rsidR="007508CB" w:rsidRDefault="007508CB">
      <w:pPr>
        <w:spacing w:line="480" w:lineRule="auto"/>
        <w:rPr>
          <w:rFonts w:ascii="Times New Roman" w:eastAsia="Times New Roman" w:hAnsi="Times New Roman" w:cs="Times New Roman"/>
          <w:sz w:val="24"/>
        </w:rPr>
      </w:pPr>
    </w:p>
    <w:p w14:paraId="783B0D3C"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In the 21st century, there have been significant advancements in the diagnosis and treatment of mental disorders. This period has been marked by increased efforts to address systemic barriers to mental health care, reduce stigma, and promote mental health literacy and awareness. The release of the ICD-11 by the World Health Organization in 2022 represented a milestone in mental health classification, with updated criteria reflecting a more comprehensive understanding of mental illness. The ICD-11 not only provides a standardized framework for diagnosing and classifying mental disorders, facilitating communication and research in the field but also ensures consistency in diagnosis and treatment across different settings and countries.</w:t>
      </w:r>
    </w:p>
    <w:p w14:paraId="0C77A52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Additionally, advances in neuroscience and psychopharmacology have led to the development of new treatments for mental illness. These include innovative psychotherapeutic approaches, as well as novel medications with improved efficacy and fewer side effects.</w:t>
      </w:r>
    </w:p>
    <w:p w14:paraId="65082B86" w14:textId="77777777" w:rsidR="007508CB" w:rsidRDefault="00242A13">
      <w:pPr>
        <w:pStyle w:val="NormalWeb"/>
        <w:spacing w:beforeAutospacing="0" w:after="120" w:afterAutospacing="0" w:line="480" w:lineRule="auto"/>
        <w:jc w:val="both"/>
        <w:rPr>
          <w:rFonts w:eastAsia="Times New Roman"/>
        </w:rPr>
      </w:pPr>
      <w:r>
        <w:rPr>
          <w:rFonts w:eastAsia="Times New Roman"/>
          <w:color w:val="000000"/>
        </w:rPr>
        <w:t xml:space="preserve">One significant development in the 21st century has been the increased integration of mental health into broader public health agendas. Governments and international organizations have increasingly recognized the importance of mental health in achieving overall health and well-being, leading to the inclusion of mental health priorities in national and global health strategies. For example, the World Health Organization (WHO) launched the Mental Health Action Plan 2013-2020, which aims to promote mental health, prevent mental disorders, and ensure access to quality care for individuals with mental illness. </w:t>
      </w:r>
      <w:r>
        <w:rPr>
          <w:rFonts w:eastAsia="Times New Roman"/>
        </w:rPr>
        <w:t>The UK also implemented the Mental Health Act of 2007, which amended previous legislation and introduced several changes. This act addressed issues such as new criteria for detaining individuals for assessment and treatment, as well as safeguards for patients' rights (Great Britain, 2007).</w:t>
      </w:r>
    </w:p>
    <w:p w14:paraId="057AA9C5" w14:textId="77777777" w:rsidR="007508CB" w:rsidRDefault="00242A13">
      <w:pPr>
        <w:spacing w:line="480" w:lineRule="auto"/>
        <w:rPr>
          <w:rFonts w:ascii="Times New Roman" w:eastAsia="Times New Roman" w:hAnsi="Times New Roman" w:cs="Times New Roman"/>
          <w:color w:val="000000"/>
          <w:sz w:val="24"/>
        </w:rPr>
      </w:pPr>
      <w:r>
        <w:rPr>
          <w:rFonts w:ascii="Times New Roman" w:eastAsia="Times New Roman" w:hAnsi="Times New Roman" w:cs="Times New Roman"/>
          <w:sz w:val="24"/>
        </w:rPr>
        <w:t xml:space="preserve">In 2022, Mental Health Act of 2022 was enacted. The Mental Health Act of 2022 further amended the Mental Health Act of 1983 in the UK to address issues such as the use of force in mental health settings and the rights of detained patients (Great Britain, 2022). </w:t>
      </w:r>
    </w:p>
    <w:p w14:paraId="4DCFA83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In addition to policy developments, the 21st century has witnessed continued efforts to reduce stigma and discrimination surrounding mental illness. Anti-stigma campaigns have proliferated, using various media platforms and community-based initiatives to challenge stereotypes, promote understanding, and encourage help-seeking behavior. Organizations such as Bring Change to Mind and the Mental Health Foundation have been instrumental in raising awareness about mental health issues and fostering open conversations about mental illness.</w:t>
      </w:r>
    </w:p>
    <w:p w14:paraId="3275CC15"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Advancements in technology have also transformed the delivery of mental health care in the 21st century. Telehealth services, online therapy platforms, and mobile mental health apps have expanded access to care and provided new avenues for individuals to seek support and treatment. These digital interventions offer convenience, flexibility, and anonymity, making it easier for people to access mental health services and resources.</w:t>
      </w:r>
    </w:p>
    <w:p w14:paraId="6C2303A3" w14:textId="77777777" w:rsidR="007508CB" w:rsidRDefault="00242A13">
      <w:pPr>
        <w:pStyle w:val="NormalWeb"/>
        <w:spacing w:beforeAutospacing="0" w:after="120" w:afterAutospacing="0" w:line="480" w:lineRule="auto"/>
        <w:jc w:val="both"/>
      </w:pPr>
      <w:r>
        <w:rPr>
          <w:rFonts w:eastAsia="Times New Roman"/>
          <w:color w:val="000000"/>
        </w:rPr>
        <w:t>The 21st century has been characterized by a growing recognition of the importance of mental health and well-being, coupled with increased efforts to address mental health challenges and promote positive change. However, significant disparities in access to care and outcomes persist, highlighting the need for continued investment in mental health policies, services, and research to ensure that all individuals have the opportunity to thrive.</w:t>
      </w:r>
    </w:p>
    <w:p w14:paraId="164F8565"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bCs/>
          <w:color w:val="000000"/>
        </w:rPr>
        <w:t>CRITICAL ANALYSIS OF CURRENT SUPPORT AND PROVISION</w:t>
      </w:r>
    </w:p>
    <w:p w14:paraId="03BD2CDE"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A critical analysis of current support, provision, and policy in mental health requires an examination of various factors, including access to care, quality of services, stigma reduction efforts, and policy effectiveness. To provide accurate data to support this analysis, we will draw from reputable sources such as government reports, academic studies, and international organizations.</w:t>
      </w:r>
    </w:p>
    <w:p w14:paraId="0B6EE478"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w:t>
      </w:r>
    </w:p>
    <w:p w14:paraId="383F7C54"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Access to Care:   </w:t>
      </w:r>
    </w:p>
    <w:p w14:paraId="769166D9"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Despite efforts to improve access to mental health care, significant disparities persist, particularly for marginalized populations. According to the World Health Organization (WHO), globally, more than 75% of people with mental health disorders in low- and middle-income countries receive no treatment for their condition. In high-income countries, the treatment gap is still substantial, with approximately 35-50% of people with mental disorders receiving no treatment.</w:t>
      </w:r>
    </w:p>
    <w:p w14:paraId="432385D9" w14:textId="4B423AC0"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According to the NHS, the introduction of the access and waiting time standards for mental health offers real opportunities for recovery as they will now have access to care at the early stage of illness. More funding has also been allocated for young children and adolescents with psychosis. Initiatives such as the Improving Access to Psychological Therapies (IAPT) program have also increased the availability of evidence-based treatments for common mental health conditions like depression and anxiety. In Wales, health board planners are required to follow the Equality Act of 2010 so as to properly serve the diverse population of Wales Wales, health board planners are required to follow the Equality Act of 2010 so as to properly serve the diverse population of Wales. Despite improvements, access to mental health care can still be challenging, particularly for certain groups such as young people, ethnic minorities, and those in rural areas, constituting barriers to care.</w:t>
      </w:r>
    </w:p>
    <w:p w14:paraId="44D2A8C7"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w:t>
      </w:r>
    </w:p>
    <w:p w14:paraId="60A1B70D"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bCs/>
          <w:color w:val="000000"/>
        </w:rPr>
        <w:t>Quality of Services: </w:t>
      </w:r>
    </w:p>
    <w:p w14:paraId="36F868F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Even with the giant strides made in Mental healthcare delivery, challenges with service delivery persist. For example, in 2022, the Community Mental Health Survey asked service users to rate their overall experience from 0 (very poor) to 10 (very good). 46% of service users rated their overall experience as 8, 9 or 10 and 12% rated their experience as 0, 1 or 2. This represents a slight worsening compared to 2017, when 52% rated their experience as 8, 9 or 10 and 9% rated their experience as 0, 1 or 2.   </w:t>
      </w:r>
    </w:p>
    <w:p w14:paraId="72E0374D"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b/>
          <w:bCs/>
          <w:color w:val="000000"/>
        </w:rPr>
        <w:t>Stigma Reduction Efforts:   </w:t>
      </w:r>
    </w:p>
    <w:p w14:paraId="1EB6882D"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Efforts to reduce stigma surrounding mental illness have gained momentum in recent years, with numerous anti-stigma campaigns and initiatives launched around the world. However, stigma remains a significant barrier to seeking help and receiving appropriate treatment for mental health conditions.</w:t>
      </w:r>
    </w:p>
    <w:p w14:paraId="5B92DBEC"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A study published in the journal Social Psychiatry and Psychiatric Epidemiology found that stigma towards people with mental illness persists, with negative attitudes and stereotypes prevalent in society. This stigma can lead to discrimination, social isolation, and reduced opportunities for employment and housing for individuals with mental health conditions.</w:t>
      </w:r>
    </w:p>
    <w:p w14:paraId="2C0BC1B4"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w:t>
      </w:r>
    </w:p>
    <w:p w14:paraId="5A12EF7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xml:space="preserve">  </w:t>
      </w:r>
      <w:r>
        <w:rPr>
          <w:rFonts w:eastAsia="Times New Roman"/>
          <w:b/>
          <w:bCs/>
          <w:color w:val="000000"/>
        </w:rPr>
        <w:t>Policy Effectiveness:   </w:t>
      </w:r>
    </w:p>
    <w:p w14:paraId="237A1A67"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While some policies have succeeded in expanding access to care and promoting mental health awareness, others may fall short of their intended goals due to resource constraints, competing priorities, and systemic barriers.</w:t>
      </w:r>
    </w:p>
    <w:p w14:paraId="1E53974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The UK government has developed strategic plans and frameworks to guide mental health policy, such as the "Mental Health Five Year Forward View" in England and similar strategies in Scotland, Wales, and Northern Ireland. These plans set out goals for improving mental health services, addressing inequalities, and promoting well-being.</w:t>
      </w:r>
    </w:p>
    <w:p w14:paraId="07DFE2BB"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Legislative measures, such as the Mental Health Act and the Equality Act, provide legal frameworks to protect the rights of individuals with mental illness and promote access to care. Amendments and updates to these laws reflect changing societal attitudes and evolving understandings of mental health.</w:t>
      </w:r>
    </w:p>
    <w:p w14:paraId="3309C22D" w14:textId="77777777" w:rsidR="007508CB" w:rsidRDefault="00242A13">
      <w:pPr>
        <w:pStyle w:val="NormalWeb"/>
        <w:spacing w:beforeAutospacing="0" w:after="120" w:afterAutospacing="0" w:line="480" w:lineRule="auto"/>
        <w:jc w:val="both"/>
        <w:rPr>
          <w:rFonts w:eastAsia="Times New Roman"/>
          <w:color w:val="000000"/>
        </w:rPr>
      </w:pPr>
      <w:r>
        <w:rPr>
          <w:rFonts w:eastAsia="Times New Roman"/>
          <w:color w:val="000000"/>
        </w:rPr>
        <w:t> </w:t>
      </w:r>
    </w:p>
    <w:p w14:paraId="186B1290" w14:textId="77777777" w:rsidR="007508CB" w:rsidRDefault="007508CB">
      <w:pPr>
        <w:pStyle w:val="NormalWeb"/>
        <w:spacing w:beforeAutospacing="0" w:after="120" w:afterAutospacing="0" w:line="480" w:lineRule="auto"/>
        <w:jc w:val="both"/>
        <w:rPr>
          <w:rFonts w:eastAsia="Times New Roman"/>
          <w:color w:val="000000"/>
        </w:rPr>
      </w:pPr>
    </w:p>
    <w:p w14:paraId="0986FB89" w14:textId="77777777" w:rsidR="00242A13" w:rsidRDefault="00242A13" w:rsidP="00242A13">
      <w:pPr>
        <w:pStyle w:val="NormalWeb"/>
        <w:spacing w:beforeAutospacing="0" w:after="120" w:afterAutospacing="0" w:line="480" w:lineRule="auto"/>
        <w:jc w:val="both"/>
        <w:rPr>
          <w:rFonts w:eastAsia="Times New Roman"/>
        </w:rPr>
      </w:pPr>
      <w:r>
        <w:rPr>
          <w:rFonts w:eastAsia="Times New Roman"/>
          <w:b/>
          <w:bCs/>
        </w:rPr>
        <w:t>References:</w:t>
      </w:r>
    </w:p>
    <w:p w14:paraId="7CF44BF8" w14:textId="77777777" w:rsidR="00242A13" w:rsidRPr="0078785A" w:rsidRDefault="00242A13" w:rsidP="00242A13">
      <w:pPr>
        <w:spacing w:line="480" w:lineRule="auto"/>
        <w:rPr>
          <w:rFonts w:ascii="Times New Roman" w:hAnsi="Times New Roman" w:cs="Times New Roman"/>
          <w:sz w:val="24"/>
        </w:rPr>
      </w:pPr>
    </w:p>
    <w:p w14:paraId="43137609"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 xml:space="preserve">Butler, T. (1985). The Politics of Social Change and the Reform of the Lunacy Laws. In: Mental Health, Social Policy and the Law. Palgrave Macmillan, London. </w:t>
      </w:r>
      <w:hyperlink r:id="rId7" w:history="1">
        <w:r w:rsidRPr="0078785A">
          <w:rPr>
            <w:rStyle w:val="Hyperlink"/>
            <w:rFonts w:eastAsia="Times New Roman"/>
          </w:rPr>
          <w:t>https://doi.org/10.1007/978-1-349-07439-6_2</w:t>
        </w:r>
      </w:hyperlink>
    </w:p>
    <w:p w14:paraId="5CA4045F"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 xml:space="preserve">Corrigan, P., Watson, A. (2022) ‘Understanding the impact of stigma on people with mental health illness’ </w:t>
      </w:r>
      <w:r w:rsidRPr="0078785A">
        <w:rPr>
          <w:rFonts w:eastAsia="Times New Roman"/>
          <w:i/>
          <w:iCs/>
        </w:rPr>
        <w:t xml:space="preserve">World Psychiatry, </w:t>
      </w:r>
      <w:r w:rsidRPr="0078785A">
        <w:rPr>
          <w:rFonts w:eastAsia="Times New Roman"/>
        </w:rPr>
        <w:t xml:space="preserve">8, Feb. Available at </w:t>
      </w:r>
      <w:hyperlink r:id="rId8" w:history="1">
        <w:r w:rsidRPr="0078785A">
          <w:rPr>
            <w:rStyle w:val="Hyperlink"/>
            <w:rFonts w:eastAsia="Times New Roman"/>
          </w:rPr>
          <w:t xml:space="preserve">https://www.ncbi.nlm.nih.gov/pmc/articles/PMC1489832/ </w:t>
        </w:r>
      </w:hyperlink>
      <w:r w:rsidRPr="0078785A">
        <w:rPr>
          <w:rFonts w:eastAsia="Times New Roman"/>
        </w:rPr>
        <w:t>(Accessed 27th February, 2024)</w:t>
      </w:r>
    </w:p>
    <w:p w14:paraId="1B4886D5"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Daw, Rowena. (2014). The Mental Health Act 2007 – The Defeat of an Ideal. International Journal of Mental Health and Capacity Law. 1. 131. 10.19164/ijmhcl.v1i16.210.</w:t>
      </w:r>
    </w:p>
    <w:p w14:paraId="48695672" w14:textId="77777777" w:rsidR="00242A13" w:rsidRPr="0078785A" w:rsidRDefault="00242A13" w:rsidP="00242A13">
      <w:pPr>
        <w:spacing w:line="480" w:lineRule="auto"/>
        <w:rPr>
          <w:rFonts w:ascii="Times New Roman" w:eastAsia="Times New Roman" w:hAnsi="Times New Roman" w:cs="Times New Roman"/>
          <w:i/>
          <w:iCs/>
          <w:sz w:val="24"/>
        </w:rPr>
      </w:pPr>
      <w:r w:rsidRPr="0078785A">
        <w:rPr>
          <w:rFonts w:ascii="Times New Roman" w:hAnsi="Times New Roman" w:cs="Times New Roman"/>
          <w:sz w:val="24"/>
        </w:rPr>
        <w:t xml:space="preserve">Department of Health and Social Care Media Center, (2017). ‘In Your Corner’ </w:t>
      </w:r>
      <w:r w:rsidRPr="0078785A">
        <w:rPr>
          <w:rFonts w:ascii="Times New Roman" w:hAnsi="Times New Roman" w:cs="Times New Roman"/>
          <w:i/>
          <w:iCs/>
          <w:sz w:val="24"/>
        </w:rPr>
        <w:t xml:space="preserve">Department of Health and Social Care </w:t>
      </w:r>
      <w:r w:rsidRPr="0078785A">
        <w:rPr>
          <w:rFonts w:ascii="Times New Roman" w:hAnsi="Times New Roman" w:cs="Times New Roman"/>
          <w:sz w:val="24"/>
        </w:rPr>
        <w:t xml:space="preserve">23 February. Available at </w:t>
      </w:r>
      <w:hyperlink r:id="rId9" w:history="1">
        <w:r w:rsidRPr="0078785A">
          <w:rPr>
            <w:rStyle w:val="Hyperlink"/>
            <w:rFonts w:ascii="Times New Roman" w:hAnsi="Times New Roman" w:cs="Times New Roman"/>
            <w:sz w:val="24"/>
          </w:rPr>
          <w:t xml:space="preserve">https://healthmedia.blog.gov.uk/2017/02/23/health-secretary-jeremy-hunt-time-to-change/ </w:t>
        </w:r>
      </w:hyperlink>
      <w:r w:rsidRPr="0078785A">
        <w:rPr>
          <w:rFonts w:ascii="Times New Roman" w:hAnsi="Times New Roman" w:cs="Times New Roman"/>
          <w:sz w:val="24"/>
        </w:rPr>
        <w:t>(Accessed 27th February 2024)</w:t>
      </w:r>
    </w:p>
    <w:p w14:paraId="0C262EAE"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Garratt, K. (2023)‘Mental Health Policy and Services in England’ </w:t>
      </w:r>
      <w:r w:rsidRPr="0078785A">
        <w:rPr>
          <w:rFonts w:ascii="Times New Roman" w:eastAsia="Times New Roman" w:hAnsi="Times New Roman" w:cs="Times New Roman"/>
          <w:i/>
          <w:iCs/>
          <w:sz w:val="24"/>
        </w:rPr>
        <w:t xml:space="preserve">House of Commons Library </w:t>
      </w:r>
      <w:r w:rsidRPr="0078785A">
        <w:rPr>
          <w:rFonts w:ascii="Times New Roman" w:eastAsia="Times New Roman" w:hAnsi="Times New Roman" w:cs="Times New Roman"/>
          <w:sz w:val="24"/>
        </w:rPr>
        <w:t xml:space="preserve">9th October. Available at </w:t>
      </w:r>
      <w:hyperlink r:id="rId10" w:history="1">
        <w:r w:rsidRPr="0078785A">
          <w:rPr>
            <w:rStyle w:val="Hyperlink"/>
            <w:rFonts w:ascii="Times New Roman" w:eastAsia="Times New Roman" w:hAnsi="Times New Roman" w:cs="Times New Roman"/>
            <w:sz w:val="24"/>
          </w:rPr>
          <w:t>https://commonslibrary.parliament.uk/research-briefings/cbp-7547/</w:t>
        </w:r>
      </w:hyperlink>
      <w:r w:rsidRPr="0078785A">
        <w:rPr>
          <w:rFonts w:ascii="Times New Roman" w:eastAsia="Times New Roman" w:hAnsi="Times New Roman" w:cs="Times New Roman"/>
          <w:sz w:val="24"/>
        </w:rPr>
        <w:t xml:space="preserve"> (Accessed February 28th, 2024) </w:t>
      </w:r>
    </w:p>
    <w:p w14:paraId="2FD985D4"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Great Britain. (1845). Lunacy Act, 1845. London: Printed by George E. Eyre and William Spottiswoode.</w:t>
      </w:r>
    </w:p>
    <w:p w14:paraId="46EFEDD5"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Great Britain. (1930). Mental Treatment Act, 1930. London: His Majesty's Stationery Office.</w:t>
      </w:r>
    </w:p>
    <w:p w14:paraId="7D83D9B8"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Great Britain. (1959). Mental Health Act, 1959. London: Her Majesty's Stationery Office.</w:t>
      </w:r>
    </w:p>
    <w:p w14:paraId="464463C6"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Great Britain. (2007). Mental Health Act, 2007. London: The Stationery Office.</w:t>
      </w:r>
    </w:p>
    <w:p w14:paraId="48B48D8D"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Great Britain. (2022). Mental Health Act, 2022. London: The Stationery Office.</w:t>
      </w:r>
    </w:p>
    <w:p w14:paraId="51A74645"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Hamlin, A., &amp; Oakes, P. (2008). Reflections on Deinstitutionalization in the United Kingdom. First published: 04 March 2008. Retrieved from https://doi.org/10.1111/j.1741-1130.2007.00139.x (Accessed, 22</w:t>
      </w:r>
      <w:r w:rsidRPr="0078785A">
        <w:rPr>
          <w:rFonts w:eastAsia="Times New Roman"/>
          <w:vertAlign w:val="superscript"/>
        </w:rPr>
        <w:t>nd</w:t>
      </w:r>
      <w:r w:rsidRPr="0078785A">
        <w:rPr>
          <w:rFonts w:eastAsia="Times New Roman"/>
        </w:rPr>
        <w:t xml:space="preserve"> March, 2024)</w:t>
      </w:r>
    </w:p>
    <w:p w14:paraId="193F9C10" w14:textId="77777777" w:rsidR="00242A13" w:rsidRPr="0078785A" w:rsidRDefault="00242A13" w:rsidP="00242A13">
      <w:pPr>
        <w:spacing w:line="480" w:lineRule="auto"/>
        <w:rPr>
          <w:rFonts w:ascii="Times New Roman" w:hAnsi="Times New Roman" w:cs="Times New Roman"/>
          <w:sz w:val="24"/>
        </w:rPr>
      </w:pPr>
      <w:r w:rsidRPr="0078785A">
        <w:rPr>
          <w:rFonts w:ascii="Times New Roman" w:eastAsia="Times New Roman" w:hAnsi="Times New Roman" w:cs="Times New Roman"/>
          <w:sz w:val="24"/>
        </w:rPr>
        <w:t xml:space="preserve">Jones, J. (2018) . ‘Time to Talk Day-The importance of talking about mental health’ </w:t>
      </w:r>
      <w:r w:rsidRPr="0078785A">
        <w:rPr>
          <w:rFonts w:ascii="Times New Roman" w:eastAsia="Times New Roman" w:hAnsi="Times New Roman" w:cs="Times New Roman"/>
          <w:i/>
          <w:iCs/>
          <w:sz w:val="24"/>
        </w:rPr>
        <w:t xml:space="preserve">Civil Service Blog </w:t>
      </w:r>
      <w:r w:rsidRPr="0078785A">
        <w:rPr>
          <w:rFonts w:ascii="Times New Roman" w:eastAsia="Times New Roman" w:hAnsi="Times New Roman" w:cs="Times New Roman"/>
          <w:sz w:val="24"/>
        </w:rPr>
        <w:t xml:space="preserve">1 February. Available at </w:t>
      </w:r>
      <w:hyperlink r:id="rId11" w:history="1">
        <w:r w:rsidRPr="0078785A">
          <w:rPr>
            <w:rStyle w:val="Hyperlink"/>
            <w:rFonts w:ascii="Times New Roman" w:hAnsi="Times New Roman" w:cs="Times New Roman"/>
            <w:sz w:val="24"/>
          </w:rPr>
          <w:t xml:space="preserve">https://civilservice.blog.gov.uk/2018/02/01/time-to-talk-day-the-importance-of-talking-about-mental-health/ </w:t>
        </w:r>
      </w:hyperlink>
      <w:r w:rsidRPr="0078785A">
        <w:rPr>
          <w:rFonts w:ascii="Times New Roman" w:hAnsi="Times New Roman" w:cs="Times New Roman"/>
          <w:sz w:val="24"/>
        </w:rPr>
        <w:t>(Accessed February-27th, 2024)</w:t>
      </w:r>
    </w:p>
    <w:p w14:paraId="3852C0DE"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Jones, P. (2010). The Lunacy Commission and the lunatic asylum in England. London: Routledge.</w:t>
      </w:r>
    </w:p>
    <w:p w14:paraId="59BDE12F"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 xml:space="preserve">K, Jones. (2023). A History of the Mental Health Services. [eBook edition] Routledge </w:t>
      </w:r>
      <w:hyperlink r:id="rId12" w:history="1">
        <w:r w:rsidRPr="0078785A">
          <w:rPr>
            <w:rStyle w:val="Hyperlink"/>
            <w:rFonts w:eastAsia="Times New Roman"/>
          </w:rPr>
          <w:t>https://doi.org/10.4324/9781003404514</w:t>
        </w:r>
      </w:hyperlink>
      <w:r w:rsidRPr="0078785A">
        <w:rPr>
          <w:rFonts w:eastAsia="Times New Roman"/>
        </w:rPr>
        <w:t xml:space="preserve"> available at </w:t>
      </w:r>
      <w:hyperlink r:id="rId13" w:history="1">
        <w:r w:rsidRPr="0078785A">
          <w:rPr>
            <w:rStyle w:val="Hyperlink"/>
            <w:rFonts w:eastAsia="Times New Roman"/>
          </w:rPr>
          <w:t>https://rb.gy/xzd3bt</w:t>
        </w:r>
      </w:hyperlink>
    </w:p>
    <w:p w14:paraId="6474AE6D"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Kew, R. </w:t>
      </w:r>
      <w:r w:rsidRPr="0078785A">
        <w:rPr>
          <w:rFonts w:ascii="Times New Roman" w:eastAsia="Times New Roman" w:hAnsi="Times New Roman" w:cs="Times New Roman"/>
          <w:i/>
          <w:iCs/>
          <w:sz w:val="24"/>
        </w:rPr>
        <w:t xml:space="preserve">How to look for records of Asylums, psychiatric hospitals and Mental health. Available at  </w:t>
      </w:r>
      <w:hyperlink r:id="rId14" w:history="1">
        <w:r w:rsidRPr="0078785A">
          <w:rPr>
            <w:rStyle w:val="Hyperlink"/>
            <w:rFonts w:ascii="Times New Roman" w:eastAsia="Times New Roman" w:hAnsi="Times New Roman" w:cs="Times New Roman"/>
            <w:sz w:val="24"/>
          </w:rPr>
          <w:t>https://www.nationalarchives.gov.uk/help-with-your-research/research-guides/mental-health</w:t>
        </w:r>
      </w:hyperlink>
      <w:r w:rsidRPr="0078785A">
        <w:rPr>
          <w:rFonts w:ascii="Times New Roman" w:eastAsia="Times New Roman" w:hAnsi="Times New Roman" w:cs="Times New Roman"/>
          <w:sz w:val="24"/>
        </w:rPr>
        <w:t>/ (Assessed on February.27th, 2024)</w:t>
      </w:r>
    </w:p>
    <w:p w14:paraId="6B546A14"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National Institute for Health and Care Excellence (NICE). (2021). Depression in adults: recognition and management. NHS Website. Available at </w:t>
      </w:r>
      <w:hyperlink r:id="rId15" w:history="1">
        <w:r w:rsidRPr="0078785A">
          <w:rPr>
            <w:rStyle w:val="Hyperlink"/>
            <w:rFonts w:ascii="Times New Roman" w:eastAsia="Times New Roman" w:hAnsi="Times New Roman" w:cs="Times New Roman"/>
            <w:sz w:val="24"/>
          </w:rPr>
          <w:t>https://www.nice.org.uk/guidance/cg90 (Accessed February 27th,2024)</w:t>
        </w:r>
      </w:hyperlink>
    </w:p>
    <w:p w14:paraId="20768358"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National Psychological Therapies Management Committee (2017) Matrices Cymru: Guidance for Delivering Evidence-based Psychological Therapies in Wales</w:t>
      </w:r>
    </w:p>
    <w:p w14:paraId="7D998707"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NHS Digital. (2020). Mental Health Services Data Set Annual Report. NHS Website. Available at </w:t>
      </w:r>
      <w:hyperlink r:id="rId16" w:history="1">
        <w:r w:rsidRPr="0078785A">
          <w:rPr>
            <w:rStyle w:val="Hyperlink"/>
            <w:rFonts w:ascii="Times New Roman" w:eastAsia="Times New Roman" w:hAnsi="Times New Roman" w:cs="Times New Roman"/>
            <w:sz w:val="24"/>
          </w:rPr>
          <w:t xml:space="preserve">https://digital.nhs.uk/data-and-information/publications/statistical/mental-health-services-annual-report </w:t>
        </w:r>
      </w:hyperlink>
      <w:r w:rsidRPr="0078785A">
        <w:rPr>
          <w:rFonts w:ascii="Times New Roman" w:eastAsia="Times New Roman" w:hAnsi="Times New Roman" w:cs="Times New Roman"/>
          <w:sz w:val="24"/>
        </w:rPr>
        <w:t>(Accessed February 27th, 2024)</w:t>
      </w:r>
    </w:p>
    <w:p w14:paraId="05DE235D"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NHS England. (2019). NHS Long Term Plan: Mental Health. NHS Website. Available at </w:t>
      </w:r>
      <w:hyperlink r:id="rId17" w:history="1">
        <w:r w:rsidRPr="0078785A">
          <w:rPr>
            <w:rStyle w:val="Hyperlink"/>
            <w:rFonts w:ascii="Times New Roman" w:eastAsia="Times New Roman" w:hAnsi="Times New Roman" w:cs="Times New Roman"/>
            <w:sz w:val="24"/>
          </w:rPr>
          <w:t xml:space="preserve">https://www.longtermplan.nhs.uk/areas-of-work/mental-health/ </w:t>
        </w:r>
      </w:hyperlink>
      <w:r w:rsidRPr="0078785A">
        <w:rPr>
          <w:rFonts w:ascii="Times New Roman" w:eastAsia="Times New Roman" w:hAnsi="Times New Roman" w:cs="Times New Roman"/>
          <w:sz w:val="24"/>
        </w:rPr>
        <w:t>(Accessed February 27th, 2024)</w:t>
      </w:r>
    </w:p>
    <w:p w14:paraId="35FF582A"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NHS Improvement. (2018). Mental health dashboard. NHS Website. Available at </w:t>
      </w:r>
      <w:hyperlink r:id="rId18" w:history="1">
        <w:r w:rsidRPr="0078785A">
          <w:rPr>
            <w:rStyle w:val="Hyperlink"/>
            <w:rFonts w:ascii="Times New Roman" w:eastAsia="Times New Roman" w:hAnsi="Times New Roman" w:cs="Times New Roman"/>
            <w:sz w:val="24"/>
          </w:rPr>
          <w:t xml:space="preserve">https://www.england.nhs.uk/statistics/statistical-work-areas/mental-health-dashboard/ </w:t>
        </w:r>
      </w:hyperlink>
      <w:r w:rsidRPr="0078785A">
        <w:rPr>
          <w:rFonts w:ascii="Times New Roman" w:eastAsia="Times New Roman" w:hAnsi="Times New Roman" w:cs="Times New Roman"/>
          <w:sz w:val="24"/>
        </w:rPr>
        <w:t>(Accessed February 27th, 2024)</w:t>
      </w:r>
    </w:p>
    <w:p w14:paraId="1FE611A3"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 xml:space="preserve">NHS, England. (2021). ‘Adults and Older Adult Mental Health’ </w:t>
      </w:r>
      <w:r w:rsidRPr="0078785A">
        <w:rPr>
          <w:rFonts w:eastAsia="Times New Roman"/>
          <w:i/>
          <w:iCs/>
        </w:rPr>
        <w:t>NHS England</w:t>
      </w:r>
      <w:r w:rsidRPr="0078785A">
        <w:rPr>
          <w:rFonts w:eastAsia="Times New Roman"/>
        </w:rPr>
        <w:t xml:space="preserve"> available at </w:t>
      </w:r>
      <w:hyperlink r:id="rId19" w:history="1">
        <w:r w:rsidRPr="0078785A">
          <w:rPr>
            <w:rStyle w:val="Hyperlink"/>
            <w:rFonts w:eastAsia="Times New Roman"/>
          </w:rPr>
          <w:t>https://www.england.nhs.uk/mental-health/adults</w:t>
        </w:r>
      </w:hyperlink>
      <w:r w:rsidRPr="0078785A">
        <w:rPr>
          <w:rFonts w:eastAsia="Times New Roman"/>
        </w:rPr>
        <w:t>/(Accessed 28th February, 2024)</w:t>
      </w:r>
    </w:p>
    <w:p w14:paraId="583F4D8A"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Nuccield Trust (2022)</w:t>
      </w:r>
      <w:r w:rsidRPr="0078785A">
        <w:rPr>
          <w:rFonts w:ascii="Times New Roman" w:eastAsia="Times New Roman" w:hAnsi="Times New Roman" w:cs="Times New Roman"/>
          <w:i/>
          <w:iCs/>
          <w:sz w:val="24"/>
        </w:rPr>
        <w:t xml:space="preserve"> Service users’ experience of community mental health services </w:t>
      </w:r>
      <w:r w:rsidRPr="0078785A">
        <w:rPr>
          <w:rFonts w:ascii="Times New Roman" w:eastAsia="Times New Roman" w:hAnsi="Times New Roman" w:cs="Times New Roman"/>
          <w:sz w:val="24"/>
        </w:rPr>
        <w:t xml:space="preserve">available at </w:t>
      </w:r>
      <w:hyperlink r:id="rId20" w:history="1">
        <w:r w:rsidRPr="0078785A">
          <w:rPr>
            <w:rStyle w:val="Hyperlink"/>
            <w:rFonts w:ascii="Times New Roman" w:eastAsia="Times New Roman" w:hAnsi="Times New Roman" w:cs="Times New Roman"/>
            <w:sz w:val="24"/>
          </w:rPr>
          <w:t>https://www.nuffieldtrust.org.uk/resource/service-users-experience-of-community-mental-health-services</w:t>
        </w:r>
      </w:hyperlink>
      <w:r w:rsidRPr="0078785A">
        <w:rPr>
          <w:rFonts w:ascii="Times New Roman" w:eastAsia="Times New Roman" w:hAnsi="Times New Roman" w:cs="Times New Roman"/>
          <w:sz w:val="24"/>
        </w:rPr>
        <w:t xml:space="preserve"> (Accessed 26th February,2024)</w:t>
      </w:r>
    </w:p>
    <w:p w14:paraId="0F8E913C"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 xml:space="preserve">Public Health England. (2020). Improving mental health and wellbeing: guidance for local authorities. NHS Website. Available at </w:t>
      </w:r>
      <w:hyperlink r:id="rId21" w:history="1">
        <w:r w:rsidRPr="0078785A">
          <w:rPr>
            <w:rStyle w:val="Hyperlink"/>
            <w:rFonts w:ascii="Times New Roman" w:eastAsia="Times New Roman" w:hAnsi="Times New Roman" w:cs="Times New Roman"/>
            <w:sz w:val="24"/>
          </w:rPr>
          <w:t xml:space="preserve">https://www.gov.uk/government/publications/improving-mental-health-and-wellbeing-guidance-for-local-authorities </w:t>
        </w:r>
      </w:hyperlink>
      <w:r w:rsidRPr="0078785A">
        <w:rPr>
          <w:rFonts w:ascii="Times New Roman" w:eastAsia="Times New Roman" w:hAnsi="Times New Roman" w:cs="Times New Roman"/>
          <w:sz w:val="24"/>
        </w:rPr>
        <w:t>(Accessed February, 26th, 2024)</w:t>
      </w:r>
    </w:p>
    <w:p w14:paraId="6B666610"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b/>
          <w:bCs/>
        </w:rPr>
        <w:t>References:</w:t>
      </w:r>
    </w:p>
    <w:p w14:paraId="526667A7"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Shorter, E., &amp; Healy, D. (2007). Shock Therapy: A History of Electroconvulsive Treatment in Mental Illness. United Kingdom: Rutgers University Press.</w:t>
      </w:r>
    </w:p>
    <w:p w14:paraId="3DA3449D" w14:textId="77777777" w:rsidR="00242A13" w:rsidRPr="0078785A" w:rsidRDefault="00242A13" w:rsidP="00242A13">
      <w:pPr>
        <w:spacing w:line="480" w:lineRule="auto"/>
        <w:rPr>
          <w:rFonts w:ascii="Times New Roman" w:eastAsia="Times New Roman" w:hAnsi="Times New Roman" w:cs="Times New Roman"/>
          <w:sz w:val="24"/>
        </w:rPr>
      </w:pPr>
      <w:r w:rsidRPr="0078785A">
        <w:rPr>
          <w:rFonts w:ascii="Times New Roman" w:eastAsia="Times New Roman" w:hAnsi="Times New Roman" w:cs="Times New Roman"/>
          <w:sz w:val="24"/>
        </w:rPr>
        <w:t>Smith, J. (2005). Mental Health Care in Medieval and Renaissance Europe: A Comparative History of England, Italy, and France. Cambridge University Press.</w:t>
      </w:r>
    </w:p>
    <w:p w14:paraId="3B8C17CC" w14:textId="77777777" w:rsidR="00242A13" w:rsidRPr="0078785A" w:rsidRDefault="00242A13" w:rsidP="00242A13">
      <w:pPr>
        <w:pStyle w:val="NormalWeb"/>
        <w:spacing w:after="120" w:line="480" w:lineRule="auto"/>
        <w:jc w:val="both"/>
        <w:rPr>
          <w:rFonts w:eastAsia="Times New Roman"/>
        </w:rPr>
      </w:pPr>
      <w:r w:rsidRPr="0078785A">
        <w:rPr>
          <w:rFonts w:eastAsia="Times New Roman"/>
        </w:rPr>
        <w:t>The British Medical Journal. (1908). Lunacy In England And Wales, 2(2487), 607-609.</w:t>
      </w:r>
    </w:p>
    <w:p w14:paraId="0879C202" w14:textId="77777777" w:rsidR="00242A13" w:rsidRPr="0078785A" w:rsidRDefault="00242A13" w:rsidP="00242A13">
      <w:pPr>
        <w:pStyle w:val="NormalWeb"/>
        <w:spacing w:beforeAutospacing="0" w:after="120" w:afterAutospacing="0" w:line="480" w:lineRule="auto"/>
        <w:jc w:val="both"/>
        <w:rPr>
          <w:rFonts w:eastAsia="Times New Roman"/>
        </w:rPr>
      </w:pPr>
      <w:r w:rsidRPr="0078785A">
        <w:rPr>
          <w:rFonts w:eastAsia="Times New Roman"/>
        </w:rPr>
        <w:t xml:space="preserve">World Health Organization (WHO). (n.d.). Mental Health Action Plan 2013-2020. Available at </w:t>
      </w:r>
      <w:hyperlink r:id="rId22" w:history="1">
        <w:r w:rsidRPr="0078785A">
          <w:rPr>
            <w:rStyle w:val="Hyperlink"/>
            <w:rFonts w:eastAsia="Times New Roman"/>
          </w:rPr>
          <w:t>https://www.who.int/mental_health/action_plan_2013/en/</w:t>
        </w:r>
      </w:hyperlink>
    </w:p>
    <w:p w14:paraId="0D90DFBB" w14:textId="77777777" w:rsidR="00242A13" w:rsidRDefault="00242A13" w:rsidP="00242A13">
      <w:pPr>
        <w:spacing w:line="480" w:lineRule="auto"/>
        <w:rPr>
          <w:rFonts w:ascii="Times New Roman" w:eastAsia="Times New Roman" w:hAnsi="Times New Roman" w:cs="Times New Roman"/>
          <w:sz w:val="24"/>
        </w:rPr>
      </w:pPr>
    </w:p>
    <w:p w14:paraId="09E3BEE3" w14:textId="77777777" w:rsidR="00242A13" w:rsidRDefault="00242A13" w:rsidP="00242A13">
      <w:pPr>
        <w:spacing w:line="480" w:lineRule="auto"/>
        <w:rPr>
          <w:rFonts w:ascii="Times New Roman" w:eastAsia="Times New Roman" w:hAnsi="Times New Roman" w:cs="Times New Roman"/>
          <w:sz w:val="24"/>
        </w:rPr>
      </w:pPr>
    </w:p>
    <w:p w14:paraId="011EB58E" w14:textId="77777777" w:rsidR="00242A13" w:rsidRDefault="00242A13" w:rsidP="00242A13"/>
    <w:p w14:paraId="410BB1CB" w14:textId="77777777" w:rsidR="007508CB" w:rsidRDefault="007508CB" w:rsidP="00242A13">
      <w:pPr>
        <w:pStyle w:val="NormalWeb"/>
        <w:spacing w:beforeAutospacing="0" w:after="120" w:afterAutospacing="0" w:line="480" w:lineRule="auto"/>
        <w:jc w:val="both"/>
      </w:pPr>
    </w:p>
    <w:sectPr w:rsidR="007508CB">
      <w:headerReference w:type="even" r:id="rId23"/>
      <w:headerReference w:type="default" r:id="rId24"/>
      <w:footerReference w:type="even" r:id="rId25"/>
      <w:footerReference w:type="default" r:id="rId26"/>
      <w:headerReference w:type="first" r:id="rId27"/>
      <w:footerReference w:type="first" r:id="rId2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70789" w14:textId="77777777" w:rsidR="006F385A" w:rsidRDefault="006F385A" w:rsidP="006F385A">
      <w:pPr>
        <w:spacing w:after="0" w:line="240" w:lineRule="auto"/>
      </w:pPr>
      <w:r>
        <w:separator/>
      </w:r>
    </w:p>
  </w:endnote>
  <w:endnote w:type="continuationSeparator" w:id="0">
    <w:p w14:paraId="00FEE256" w14:textId="77777777" w:rsidR="006F385A" w:rsidRDefault="006F385A" w:rsidP="006F3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AC74" w14:textId="77777777" w:rsidR="006F385A" w:rsidRDefault="006F38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AFA77" w14:textId="77777777" w:rsidR="006F385A" w:rsidRDefault="006F38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BB63F" w14:textId="77777777" w:rsidR="006F385A" w:rsidRDefault="006F3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1B914" w14:textId="77777777" w:rsidR="006F385A" w:rsidRDefault="006F385A" w:rsidP="006F385A">
      <w:pPr>
        <w:spacing w:after="0" w:line="240" w:lineRule="auto"/>
      </w:pPr>
      <w:r>
        <w:separator/>
      </w:r>
    </w:p>
  </w:footnote>
  <w:footnote w:type="continuationSeparator" w:id="0">
    <w:p w14:paraId="5F7C05CB" w14:textId="77777777" w:rsidR="006F385A" w:rsidRDefault="006F385A" w:rsidP="006F3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DA43" w14:textId="77777777" w:rsidR="006F385A" w:rsidRDefault="006F38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4D491" w14:textId="77777777" w:rsidR="006F385A" w:rsidRDefault="006F38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D33A1" w14:textId="77777777" w:rsidR="006F385A" w:rsidRDefault="006F38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SystemFonts/>
  <w:proofState w:spelling="clean" w:grammar="clean"/>
  <w:revisionView w:inkAnnotation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8CB"/>
    <w:rsid w:val="00030343"/>
    <w:rsid w:val="001F7852"/>
    <w:rsid w:val="00242A13"/>
    <w:rsid w:val="002A700B"/>
    <w:rsid w:val="002E61AE"/>
    <w:rsid w:val="004331D9"/>
    <w:rsid w:val="006F385A"/>
    <w:rsid w:val="007508CB"/>
    <w:rsid w:val="00813336"/>
    <w:rsid w:val="00871889"/>
    <w:rsid w:val="0089230F"/>
    <w:rsid w:val="00932169"/>
    <w:rsid w:val="0096266B"/>
    <w:rsid w:val="00A97409"/>
    <w:rsid w:val="00AC7D73"/>
    <w:rsid w:val="00B37007"/>
    <w:rsid w:val="00D22F2A"/>
    <w:rsid w:val="00D94501"/>
    <w:rsid w:val="00E26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4AE94E"/>
  <w15:docId w15:val="{15696276-91D5-46E0-A579-457ED8A11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eastAsia="zh-CN"/>
    </w:rPr>
  </w:style>
  <w:style w:type="paragraph" w:styleId="Heading1">
    <w:name w:val="heading 1"/>
    <w:next w:val="Normal"/>
    <w:qFormat/>
    <w:pPr>
      <w:spacing w:beforeAutospacing="1" w:after="0" w:afterAutospacing="1"/>
      <w:outlineLvl w:val="0"/>
    </w:pPr>
    <w:rPr>
      <w:rFonts w:ascii="SimSun" w:hAnsi="SimSun" w:hint="eastAsia"/>
      <w:b/>
      <w:bCs/>
      <w:kern w:val="44"/>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center"/>
    </w:pPr>
    <w:rPr>
      <w:sz w:val="18"/>
      <w:szCs w:val="18"/>
    </w:rPr>
  </w:style>
  <w:style w:type="paragraph" w:styleId="Header">
    <w:name w:val="header"/>
    <w:basedOn w:val="Normal"/>
    <w:pPr>
      <w:tabs>
        <w:tab w:val="center" w:pos="4153"/>
        <w:tab w:val="right" w:pos="8306"/>
      </w:tabs>
      <w:snapToGrid w:val="0"/>
      <w:jc w:val="center"/>
    </w:pPr>
    <w:rPr>
      <w:sz w:val="18"/>
      <w:szCs w:val="18"/>
    </w:rPr>
  </w:style>
  <w:style w:type="paragraph" w:styleId="NormalWeb">
    <w:name w:val="Normal (Web)"/>
    <w:pPr>
      <w:spacing w:beforeAutospacing="1" w:after="0" w:afterAutospacing="1"/>
    </w:pPr>
    <w:rPr>
      <w:sz w:val="24"/>
      <w:szCs w:val="24"/>
      <w:lang w:eastAsia="zh-CN"/>
    </w:rPr>
  </w:style>
  <w:style w:type="character" w:styleId="Hyperlink">
    <w:name w:val="Hyperlink"/>
    <w:basedOn w:val="DefaultParagraphFont"/>
    <w:rPr>
      <w:color w:val="0000FF"/>
      <w:u w:val="single"/>
    </w:rPr>
  </w:style>
  <w:style w:type="character" w:styleId="Strong">
    <w:name w:val="Strong"/>
    <w:basedOn w:val="DefaultParagraphFont"/>
    <w:qFormat/>
    <w:rPr>
      <w:b/>
      <w:bCs/>
    </w:rPr>
  </w:style>
  <w:style w:type="character" w:styleId="UnresolvedMention">
    <w:name w:val="Unresolved Mention"/>
    <w:basedOn w:val="DefaultParagraphFont"/>
    <w:uiPriority w:val="99"/>
    <w:semiHidden/>
    <w:unhideWhenUsed/>
    <w:rsid w:val="008923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1489832/" TargetMode="External" /><Relationship Id="rId13" Type="http://schemas.openxmlformats.org/officeDocument/2006/relationships/hyperlink" Target="https://rb.gy/xzd3bt" TargetMode="External" /><Relationship Id="rId18" Type="http://schemas.openxmlformats.org/officeDocument/2006/relationships/hyperlink" Target="https://www.england.nhs.uk/statistics/statistical-work-areas/mental-health-dashboard/" TargetMode="External" /><Relationship Id="rId26"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hyperlink" Target="https://www.gov.uk/government/publications/improving-mental-health-and-wellbeing-guidance-for-local-authorities" TargetMode="External" /><Relationship Id="rId7" Type="http://schemas.openxmlformats.org/officeDocument/2006/relationships/hyperlink" Target="https://doi.org/10.1007/978-1-349-07439-6_2" TargetMode="External" /><Relationship Id="rId12" Type="http://schemas.openxmlformats.org/officeDocument/2006/relationships/hyperlink" Target="https://doi.org/10.4324/9781003404514" TargetMode="External" /><Relationship Id="rId17" Type="http://schemas.openxmlformats.org/officeDocument/2006/relationships/hyperlink" Target="https://www.longtermplan.nhs.uk/areas-of-work/mental-health/"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digital.nhs.uk/data-and-information/publications/statistical/mental-health-services-annual-report" TargetMode="External" /><Relationship Id="rId20" Type="http://schemas.openxmlformats.org/officeDocument/2006/relationships/hyperlink" Target="https://www.nuffieldtrust.org.uk/resource/service-users-experience-of-community-mental-health-services"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civilservice.blog.gov.uk/2018/02/01/time-to-talk-day-the-importance-of-talking-about-mental-health/" TargetMode="External" /><Relationship Id="rId24"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hyperlink" Target="https://www.nice.org.uk/guidance/cg90%20(Accessed%20February%2027th,2024)" TargetMode="External" /><Relationship Id="rId23" Type="http://schemas.openxmlformats.org/officeDocument/2006/relationships/header" Target="header1.xml" /><Relationship Id="rId28" Type="http://schemas.openxmlformats.org/officeDocument/2006/relationships/footer" Target="footer3.xml" /><Relationship Id="rId10" Type="http://schemas.openxmlformats.org/officeDocument/2006/relationships/hyperlink" Target="https://commonslibrary.parliament.uk/research-briefings/cbp-7547/" TargetMode="External" /><Relationship Id="rId19" Type="http://schemas.openxmlformats.org/officeDocument/2006/relationships/hyperlink" Target="https://www.england.nhs.uk/mental-health/adults" TargetMode="External" /><Relationship Id="rId4" Type="http://schemas.openxmlformats.org/officeDocument/2006/relationships/webSettings" Target="webSettings.xml" /><Relationship Id="rId9" Type="http://schemas.openxmlformats.org/officeDocument/2006/relationships/hyperlink" Target="https://healthmedia.blog.gov.uk/2017/02/23/health-secretary-jeremy-hunt-ti" TargetMode="External" /><Relationship Id="rId14" Type="http://schemas.openxmlformats.org/officeDocument/2006/relationships/hyperlink" Target="https://www.nationalarchives.gov.uk/help-with-your-research/research-guides/mental-health" TargetMode="External" /><Relationship Id="rId22" Type="http://schemas.openxmlformats.org/officeDocument/2006/relationships/hyperlink" Target="https://www.who.int/mental_health/action_plan_2013/en/" TargetMode="External" /><Relationship Id="rId27" Type="http://schemas.openxmlformats.org/officeDocument/2006/relationships/header" Target="header3.xml" /><Relationship Id="rId30"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3618</Words>
  <Characters>24077</Characters>
  <Application>Microsoft Office Word</Application>
  <DocSecurity>0</DocSecurity>
  <Lines>200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iPhone</dc:creator>
  <cp:lastModifiedBy>Yemisi Adesuyan</cp:lastModifiedBy>
  <cp:revision>2</cp:revision>
  <dcterms:created xsi:type="dcterms:W3CDTF">2024-03-22T22:06:00Z</dcterms:created>
  <dcterms:modified xsi:type="dcterms:W3CDTF">2024-03-22T22:06:00Z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1033-11.33.81</vt:lpwstr>
  </property>
  <property fmtid="{D5CDD505-2E9C-101B-9397-08002B2CF9AE}" pid="3" name="ICV">
    <vt:lpwstr>329B182BBE129361F1B9DF654A814190_33</vt:lpwstr>
  </property>
</Properties>
</file>