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727582" w14:textId="77777777" w:rsidR="00802A2A" w:rsidRPr="006E5F9D" w:rsidRDefault="00000000" w:rsidP="004668C0">
      <w:pPr>
        <w:pStyle w:val="Subtitle"/>
        <w:jc w:val="center"/>
        <w:rPr>
          <w:rFonts w:ascii="Arial" w:hAnsi="Arial" w:cs="Arial"/>
          <w:b/>
          <w:bCs/>
          <w:i w:val="0"/>
          <w:iCs w:val="0"/>
          <w:sz w:val="32"/>
          <w:szCs w:val="32"/>
        </w:rPr>
      </w:pPr>
      <w:r w:rsidRPr="006E5F9D">
        <w:rPr>
          <w:rFonts w:ascii="Arial" w:hAnsi="Arial" w:cs="Arial"/>
          <w:b/>
          <w:bCs/>
          <w:i w:val="0"/>
          <w:iCs w:val="0"/>
          <w:sz w:val="32"/>
          <w:szCs w:val="32"/>
        </w:rPr>
        <w:t>Remote patient monitoring in West Suffolk NHS Foundation Trust’s virtual ward</w:t>
      </w:r>
    </w:p>
    <w:p w14:paraId="6E12BB3D" w14:textId="77777777" w:rsidR="00802A2A" w:rsidRPr="006E5F9D" w:rsidRDefault="00000000" w:rsidP="004668C0">
      <w:pPr>
        <w:jc w:val="center"/>
        <w:rPr>
          <w:rFonts w:cs="Arial"/>
          <w:u w:val="single"/>
        </w:rPr>
      </w:pPr>
      <w:r w:rsidRPr="006E5F9D">
        <w:rPr>
          <w:rFonts w:cs="Arial"/>
          <w:u w:val="single"/>
        </w:rPr>
        <w:t>Name: Ahmad Hassan</w:t>
      </w:r>
    </w:p>
    <w:p w14:paraId="5FA60A25" w14:textId="6F0614FA" w:rsidR="00802A2A" w:rsidRPr="006E5F9D" w:rsidRDefault="00000000" w:rsidP="004668C0">
      <w:pPr>
        <w:jc w:val="center"/>
        <w:rPr>
          <w:rFonts w:cs="Arial"/>
          <w:u w:val="single"/>
        </w:rPr>
      </w:pPr>
      <w:r w:rsidRPr="006E5F9D">
        <w:rPr>
          <w:rFonts w:cs="Arial"/>
          <w:u w:val="single"/>
        </w:rPr>
        <w:t>Student number: 2238191</w:t>
      </w:r>
    </w:p>
    <w:p w14:paraId="7FE0185C" w14:textId="77777777" w:rsidR="00802A2A" w:rsidRPr="006E5F9D" w:rsidRDefault="00000000" w:rsidP="004668C0">
      <w:pPr>
        <w:jc w:val="center"/>
        <w:rPr>
          <w:rFonts w:cs="Arial"/>
          <w:u w:val="single"/>
        </w:rPr>
      </w:pPr>
      <w:r w:rsidRPr="006E5F9D">
        <w:rPr>
          <w:rFonts w:cs="Arial"/>
          <w:u w:val="single"/>
        </w:rPr>
        <w:t>Module code: BMHP6026</w:t>
      </w:r>
    </w:p>
    <w:p w14:paraId="2F88BBA1" w14:textId="252C1E32" w:rsidR="00802A2A" w:rsidRPr="006E5F9D" w:rsidRDefault="004668C0" w:rsidP="004668C0">
      <w:pPr>
        <w:jc w:val="center"/>
        <w:rPr>
          <w:rFonts w:cs="Arial"/>
          <w:u w:val="single"/>
        </w:rPr>
      </w:pPr>
      <w:r w:rsidRPr="006E5F9D">
        <w:rPr>
          <w:rFonts w:cs="Arial"/>
          <w:u w:val="single"/>
        </w:rPr>
        <w:t>Assignment title: Component 1</w:t>
      </w:r>
    </w:p>
    <w:p w14:paraId="2B92CDFB" w14:textId="77777777" w:rsidR="00802A2A" w:rsidRPr="006E5F9D" w:rsidRDefault="00000000">
      <w:pPr>
        <w:rPr>
          <w:rFonts w:cs="Arial"/>
        </w:rPr>
      </w:pPr>
      <w:r w:rsidRPr="006E5F9D">
        <w:rPr>
          <w:rFonts w:cs="Arial"/>
        </w:rPr>
        <w:br w:type="page"/>
      </w:r>
    </w:p>
    <w:sdt>
      <w:sdtPr>
        <w:rPr>
          <w:rFonts w:ascii="Arial" w:hAnsi="Arial" w:cs="Arial"/>
        </w:rPr>
        <w:id w:val="-558085101"/>
        <w:docPartObj>
          <w:docPartGallery w:val="Table of Contents"/>
          <w:docPartUnique/>
        </w:docPartObj>
      </w:sdtPr>
      <w:sdtEndPr>
        <w:rPr>
          <w:rFonts w:eastAsiaTheme="minorEastAsia"/>
          <w:noProof/>
          <w:sz w:val="22"/>
          <w:szCs w:val="22"/>
        </w:rPr>
      </w:sdtEndPr>
      <w:sdtContent>
        <w:p w14:paraId="4C448A56" w14:textId="23F87610" w:rsidR="004668C0" w:rsidRPr="006E5F9D" w:rsidRDefault="004668C0">
          <w:pPr>
            <w:pStyle w:val="TOCHeading"/>
            <w:rPr>
              <w:rFonts w:ascii="Arial" w:hAnsi="Arial" w:cs="Arial"/>
            </w:rPr>
          </w:pPr>
          <w:r w:rsidRPr="006E5F9D">
            <w:rPr>
              <w:rFonts w:ascii="Arial" w:hAnsi="Arial" w:cs="Arial"/>
            </w:rPr>
            <w:t>Contents</w:t>
          </w:r>
        </w:p>
        <w:p w14:paraId="0A4B0F43" w14:textId="6752A70D" w:rsidR="006E5F9D" w:rsidRDefault="004668C0">
          <w:pPr>
            <w:pStyle w:val="TOC1"/>
            <w:rPr>
              <w:rFonts w:asciiTheme="minorHAnsi" w:hAnsiTheme="minorHAnsi"/>
              <w:noProof/>
              <w:color w:val="auto"/>
              <w:kern w:val="2"/>
              <w:sz w:val="24"/>
              <w:szCs w:val="24"/>
              <w:lang w:val="en-GB" w:eastAsia="en-GB"/>
              <w14:ligatures w14:val="standardContextual"/>
            </w:rPr>
          </w:pPr>
          <w:r w:rsidRPr="006E5F9D">
            <w:rPr>
              <w:rFonts w:cs="Arial"/>
            </w:rPr>
            <w:fldChar w:fldCharType="begin"/>
          </w:r>
          <w:r w:rsidRPr="006E5F9D">
            <w:rPr>
              <w:rFonts w:cs="Arial"/>
            </w:rPr>
            <w:instrText xml:space="preserve"> TOC \o "1-3" \h \z \u </w:instrText>
          </w:r>
          <w:r w:rsidRPr="006E5F9D">
            <w:rPr>
              <w:rFonts w:cs="Arial"/>
            </w:rPr>
            <w:fldChar w:fldCharType="separate"/>
          </w:r>
          <w:hyperlink w:anchor="_Toc242980571" w:history="1">
            <w:r w:rsidR="006E5F9D" w:rsidRPr="002B5B56">
              <w:rPr>
                <w:rStyle w:val="Hyperlink"/>
                <w:rFonts w:cs="Arial"/>
                <w:noProof/>
              </w:rPr>
              <w:t>Introduction</w:t>
            </w:r>
            <w:r w:rsidR="006E5F9D">
              <w:rPr>
                <w:noProof/>
                <w:webHidden/>
              </w:rPr>
              <w:tab/>
            </w:r>
            <w:r w:rsidR="006E5F9D">
              <w:rPr>
                <w:noProof/>
                <w:webHidden/>
              </w:rPr>
              <w:fldChar w:fldCharType="begin"/>
            </w:r>
            <w:r w:rsidR="006E5F9D">
              <w:rPr>
                <w:noProof/>
                <w:webHidden/>
              </w:rPr>
              <w:instrText xml:space="preserve"> PAGEREF _Toc242980571 \h </w:instrText>
            </w:r>
            <w:r w:rsidR="006E5F9D">
              <w:rPr>
                <w:noProof/>
                <w:webHidden/>
              </w:rPr>
            </w:r>
            <w:r w:rsidR="006E5F9D">
              <w:rPr>
                <w:noProof/>
                <w:webHidden/>
              </w:rPr>
              <w:fldChar w:fldCharType="separate"/>
            </w:r>
            <w:r w:rsidR="006E5F9D">
              <w:rPr>
                <w:noProof/>
                <w:webHidden/>
              </w:rPr>
              <w:t>3</w:t>
            </w:r>
            <w:r w:rsidR="006E5F9D">
              <w:rPr>
                <w:noProof/>
                <w:webHidden/>
              </w:rPr>
              <w:fldChar w:fldCharType="end"/>
            </w:r>
          </w:hyperlink>
        </w:p>
        <w:p w14:paraId="7C952CFE" w14:textId="62F73E95" w:rsidR="006E5F9D" w:rsidRDefault="006E5F9D">
          <w:pPr>
            <w:pStyle w:val="TOC1"/>
            <w:rPr>
              <w:rFonts w:asciiTheme="minorHAnsi" w:hAnsiTheme="minorHAnsi"/>
              <w:noProof/>
              <w:color w:val="auto"/>
              <w:kern w:val="2"/>
              <w:sz w:val="24"/>
              <w:szCs w:val="24"/>
              <w:lang w:val="en-GB" w:eastAsia="en-GB"/>
              <w14:ligatures w14:val="standardContextual"/>
            </w:rPr>
          </w:pPr>
          <w:hyperlink w:anchor="_Toc242980572" w:history="1">
            <w:r w:rsidRPr="002B5B56">
              <w:rPr>
                <w:rStyle w:val="Hyperlink"/>
                <w:rFonts w:cs="Arial"/>
                <w:noProof/>
              </w:rPr>
              <w:t>Implementation and policy context</w:t>
            </w:r>
            <w:r>
              <w:rPr>
                <w:noProof/>
                <w:webHidden/>
              </w:rPr>
              <w:tab/>
            </w:r>
            <w:r>
              <w:rPr>
                <w:noProof/>
                <w:webHidden/>
              </w:rPr>
              <w:fldChar w:fldCharType="begin"/>
            </w:r>
            <w:r>
              <w:rPr>
                <w:noProof/>
                <w:webHidden/>
              </w:rPr>
              <w:instrText xml:space="preserve"> PAGEREF _Toc242980572 \h </w:instrText>
            </w:r>
            <w:r>
              <w:rPr>
                <w:noProof/>
                <w:webHidden/>
              </w:rPr>
            </w:r>
            <w:r>
              <w:rPr>
                <w:noProof/>
                <w:webHidden/>
              </w:rPr>
              <w:fldChar w:fldCharType="separate"/>
            </w:r>
            <w:r>
              <w:rPr>
                <w:noProof/>
                <w:webHidden/>
              </w:rPr>
              <w:t>3</w:t>
            </w:r>
            <w:r>
              <w:rPr>
                <w:noProof/>
                <w:webHidden/>
              </w:rPr>
              <w:fldChar w:fldCharType="end"/>
            </w:r>
          </w:hyperlink>
        </w:p>
        <w:p w14:paraId="01EBFA33" w14:textId="30EE675A" w:rsidR="006E5F9D" w:rsidRDefault="006E5F9D">
          <w:pPr>
            <w:pStyle w:val="TOC1"/>
            <w:rPr>
              <w:rFonts w:asciiTheme="minorHAnsi" w:hAnsiTheme="minorHAnsi"/>
              <w:noProof/>
              <w:color w:val="auto"/>
              <w:kern w:val="2"/>
              <w:sz w:val="24"/>
              <w:szCs w:val="24"/>
              <w:lang w:val="en-GB" w:eastAsia="en-GB"/>
              <w14:ligatures w14:val="standardContextual"/>
            </w:rPr>
          </w:pPr>
          <w:hyperlink w:anchor="_Toc242980573" w:history="1">
            <w:r w:rsidRPr="002B5B56">
              <w:rPr>
                <w:rStyle w:val="Hyperlink"/>
                <w:rFonts w:cs="Arial"/>
                <w:noProof/>
              </w:rPr>
              <w:t>Workforce</w:t>
            </w:r>
            <w:r>
              <w:rPr>
                <w:noProof/>
                <w:webHidden/>
              </w:rPr>
              <w:tab/>
            </w:r>
            <w:r>
              <w:rPr>
                <w:noProof/>
                <w:webHidden/>
              </w:rPr>
              <w:fldChar w:fldCharType="begin"/>
            </w:r>
            <w:r>
              <w:rPr>
                <w:noProof/>
                <w:webHidden/>
              </w:rPr>
              <w:instrText xml:space="preserve"> PAGEREF _Toc242980573 \h </w:instrText>
            </w:r>
            <w:r>
              <w:rPr>
                <w:noProof/>
                <w:webHidden/>
              </w:rPr>
            </w:r>
            <w:r>
              <w:rPr>
                <w:noProof/>
                <w:webHidden/>
              </w:rPr>
              <w:fldChar w:fldCharType="separate"/>
            </w:r>
            <w:r>
              <w:rPr>
                <w:noProof/>
                <w:webHidden/>
              </w:rPr>
              <w:t>3</w:t>
            </w:r>
            <w:r>
              <w:rPr>
                <w:noProof/>
                <w:webHidden/>
              </w:rPr>
              <w:fldChar w:fldCharType="end"/>
            </w:r>
          </w:hyperlink>
        </w:p>
        <w:p w14:paraId="54EA159F" w14:textId="1E2CEA6F" w:rsidR="006E5F9D" w:rsidRDefault="006E5F9D">
          <w:pPr>
            <w:pStyle w:val="TOC1"/>
            <w:rPr>
              <w:rFonts w:asciiTheme="minorHAnsi" w:hAnsiTheme="minorHAnsi"/>
              <w:noProof/>
              <w:color w:val="auto"/>
              <w:kern w:val="2"/>
              <w:sz w:val="24"/>
              <w:szCs w:val="24"/>
              <w:lang w:val="en-GB" w:eastAsia="en-GB"/>
              <w14:ligatures w14:val="standardContextual"/>
            </w:rPr>
          </w:pPr>
          <w:hyperlink w:anchor="_Toc242980574" w:history="1">
            <w:r w:rsidRPr="002B5B56">
              <w:rPr>
                <w:rStyle w:val="Hyperlink"/>
                <w:rFonts w:cs="Arial"/>
                <w:noProof/>
              </w:rPr>
              <w:t>Service delivery</w:t>
            </w:r>
            <w:r>
              <w:rPr>
                <w:noProof/>
                <w:webHidden/>
              </w:rPr>
              <w:tab/>
            </w:r>
            <w:r>
              <w:rPr>
                <w:noProof/>
                <w:webHidden/>
              </w:rPr>
              <w:fldChar w:fldCharType="begin"/>
            </w:r>
            <w:r>
              <w:rPr>
                <w:noProof/>
                <w:webHidden/>
              </w:rPr>
              <w:instrText xml:space="preserve"> PAGEREF _Toc242980574 \h </w:instrText>
            </w:r>
            <w:r>
              <w:rPr>
                <w:noProof/>
                <w:webHidden/>
              </w:rPr>
            </w:r>
            <w:r>
              <w:rPr>
                <w:noProof/>
                <w:webHidden/>
              </w:rPr>
              <w:fldChar w:fldCharType="separate"/>
            </w:r>
            <w:r>
              <w:rPr>
                <w:noProof/>
                <w:webHidden/>
              </w:rPr>
              <w:t>5</w:t>
            </w:r>
            <w:r>
              <w:rPr>
                <w:noProof/>
                <w:webHidden/>
              </w:rPr>
              <w:fldChar w:fldCharType="end"/>
            </w:r>
          </w:hyperlink>
        </w:p>
        <w:p w14:paraId="334C5D37" w14:textId="407419C4" w:rsidR="006E5F9D" w:rsidRDefault="006E5F9D">
          <w:pPr>
            <w:pStyle w:val="TOC1"/>
            <w:rPr>
              <w:rFonts w:asciiTheme="minorHAnsi" w:hAnsiTheme="minorHAnsi"/>
              <w:noProof/>
              <w:color w:val="auto"/>
              <w:kern w:val="2"/>
              <w:sz w:val="24"/>
              <w:szCs w:val="24"/>
              <w:lang w:val="en-GB" w:eastAsia="en-GB"/>
              <w14:ligatures w14:val="standardContextual"/>
            </w:rPr>
          </w:pPr>
          <w:hyperlink w:anchor="_Toc242980575" w:history="1">
            <w:r w:rsidRPr="002B5B56">
              <w:rPr>
                <w:rStyle w:val="Hyperlink"/>
                <w:rFonts w:cs="Arial"/>
                <w:noProof/>
              </w:rPr>
              <w:t>Patient and service user experiences</w:t>
            </w:r>
            <w:r>
              <w:rPr>
                <w:noProof/>
                <w:webHidden/>
              </w:rPr>
              <w:tab/>
            </w:r>
            <w:r>
              <w:rPr>
                <w:noProof/>
                <w:webHidden/>
              </w:rPr>
              <w:fldChar w:fldCharType="begin"/>
            </w:r>
            <w:r>
              <w:rPr>
                <w:noProof/>
                <w:webHidden/>
              </w:rPr>
              <w:instrText xml:space="preserve"> PAGEREF _Toc242980575 \h </w:instrText>
            </w:r>
            <w:r>
              <w:rPr>
                <w:noProof/>
                <w:webHidden/>
              </w:rPr>
            </w:r>
            <w:r>
              <w:rPr>
                <w:noProof/>
                <w:webHidden/>
              </w:rPr>
              <w:fldChar w:fldCharType="separate"/>
            </w:r>
            <w:r>
              <w:rPr>
                <w:noProof/>
                <w:webHidden/>
              </w:rPr>
              <w:t>6</w:t>
            </w:r>
            <w:r>
              <w:rPr>
                <w:noProof/>
                <w:webHidden/>
              </w:rPr>
              <w:fldChar w:fldCharType="end"/>
            </w:r>
          </w:hyperlink>
        </w:p>
        <w:p w14:paraId="13A0D968" w14:textId="33CBAC73" w:rsidR="006E5F9D" w:rsidRDefault="006E5F9D">
          <w:pPr>
            <w:pStyle w:val="TOC1"/>
            <w:rPr>
              <w:rFonts w:asciiTheme="minorHAnsi" w:hAnsiTheme="minorHAnsi"/>
              <w:noProof/>
              <w:color w:val="auto"/>
              <w:kern w:val="2"/>
              <w:sz w:val="24"/>
              <w:szCs w:val="24"/>
              <w:lang w:val="en-GB" w:eastAsia="en-GB"/>
              <w14:ligatures w14:val="standardContextual"/>
            </w:rPr>
          </w:pPr>
          <w:hyperlink w:anchor="_Toc242980576" w:history="1">
            <w:r w:rsidRPr="002B5B56">
              <w:rPr>
                <w:rStyle w:val="Hyperlink"/>
                <w:rFonts w:cs="Arial"/>
                <w:noProof/>
              </w:rPr>
              <w:t>Conclusion and recommendations</w:t>
            </w:r>
            <w:r>
              <w:rPr>
                <w:noProof/>
                <w:webHidden/>
              </w:rPr>
              <w:tab/>
            </w:r>
            <w:r>
              <w:rPr>
                <w:noProof/>
                <w:webHidden/>
              </w:rPr>
              <w:fldChar w:fldCharType="begin"/>
            </w:r>
            <w:r>
              <w:rPr>
                <w:noProof/>
                <w:webHidden/>
              </w:rPr>
              <w:instrText xml:space="preserve"> PAGEREF _Toc242980576 \h </w:instrText>
            </w:r>
            <w:r>
              <w:rPr>
                <w:noProof/>
                <w:webHidden/>
              </w:rPr>
            </w:r>
            <w:r>
              <w:rPr>
                <w:noProof/>
                <w:webHidden/>
              </w:rPr>
              <w:fldChar w:fldCharType="separate"/>
            </w:r>
            <w:r>
              <w:rPr>
                <w:noProof/>
                <w:webHidden/>
              </w:rPr>
              <w:t>7</w:t>
            </w:r>
            <w:r>
              <w:rPr>
                <w:noProof/>
                <w:webHidden/>
              </w:rPr>
              <w:fldChar w:fldCharType="end"/>
            </w:r>
          </w:hyperlink>
        </w:p>
        <w:p w14:paraId="1CC116C4" w14:textId="4686C98E" w:rsidR="006E5F9D" w:rsidRDefault="006E5F9D">
          <w:pPr>
            <w:pStyle w:val="TOC1"/>
            <w:rPr>
              <w:rFonts w:asciiTheme="minorHAnsi" w:hAnsiTheme="minorHAnsi"/>
              <w:noProof/>
              <w:color w:val="auto"/>
              <w:kern w:val="2"/>
              <w:sz w:val="24"/>
              <w:szCs w:val="24"/>
              <w:lang w:val="en-GB" w:eastAsia="en-GB"/>
              <w14:ligatures w14:val="standardContextual"/>
            </w:rPr>
          </w:pPr>
          <w:hyperlink w:anchor="_Toc242980577" w:history="1">
            <w:r w:rsidRPr="002B5B56">
              <w:rPr>
                <w:rStyle w:val="Hyperlink"/>
                <w:rFonts w:cs="Arial"/>
                <w:noProof/>
              </w:rPr>
              <w:t>References</w:t>
            </w:r>
            <w:r>
              <w:rPr>
                <w:noProof/>
                <w:webHidden/>
              </w:rPr>
              <w:tab/>
            </w:r>
            <w:r>
              <w:rPr>
                <w:noProof/>
                <w:webHidden/>
              </w:rPr>
              <w:fldChar w:fldCharType="begin"/>
            </w:r>
            <w:r>
              <w:rPr>
                <w:noProof/>
                <w:webHidden/>
              </w:rPr>
              <w:instrText xml:space="preserve"> PAGEREF _Toc242980577 \h </w:instrText>
            </w:r>
            <w:r>
              <w:rPr>
                <w:noProof/>
                <w:webHidden/>
              </w:rPr>
            </w:r>
            <w:r>
              <w:rPr>
                <w:noProof/>
                <w:webHidden/>
              </w:rPr>
              <w:fldChar w:fldCharType="separate"/>
            </w:r>
            <w:r>
              <w:rPr>
                <w:noProof/>
                <w:webHidden/>
              </w:rPr>
              <w:t>8</w:t>
            </w:r>
            <w:r>
              <w:rPr>
                <w:noProof/>
                <w:webHidden/>
              </w:rPr>
              <w:fldChar w:fldCharType="end"/>
            </w:r>
          </w:hyperlink>
        </w:p>
        <w:p w14:paraId="7C7BF34F" w14:textId="36932895" w:rsidR="004668C0" w:rsidRPr="006E5F9D" w:rsidRDefault="004668C0">
          <w:pPr>
            <w:rPr>
              <w:rFonts w:cs="Arial"/>
            </w:rPr>
          </w:pPr>
          <w:r w:rsidRPr="006E5F9D">
            <w:rPr>
              <w:rFonts w:cs="Arial"/>
              <w:b/>
              <w:bCs/>
              <w:noProof/>
            </w:rPr>
            <w:fldChar w:fldCharType="end"/>
          </w:r>
        </w:p>
      </w:sdtContent>
    </w:sdt>
    <w:p w14:paraId="0E3F3800" w14:textId="77777777" w:rsidR="004668C0" w:rsidRPr="006E5F9D" w:rsidRDefault="004668C0">
      <w:pPr>
        <w:pStyle w:val="Heading1"/>
        <w:rPr>
          <w:rFonts w:ascii="Arial" w:hAnsi="Arial" w:cs="Arial"/>
        </w:rPr>
      </w:pPr>
    </w:p>
    <w:p w14:paraId="7509DBD6" w14:textId="77777777" w:rsidR="004668C0" w:rsidRPr="006E5F9D" w:rsidRDefault="004668C0">
      <w:pPr>
        <w:pStyle w:val="Heading1"/>
        <w:rPr>
          <w:rFonts w:ascii="Arial" w:hAnsi="Arial" w:cs="Arial"/>
        </w:rPr>
      </w:pPr>
    </w:p>
    <w:p w14:paraId="37C7E099" w14:textId="77777777" w:rsidR="004668C0" w:rsidRPr="006E5F9D" w:rsidRDefault="004668C0">
      <w:pPr>
        <w:pStyle w:val="Heading1"/>
        <w:rPr>
          <w:rFonts w:ascii="Arial" w:hAnsi="Arial" w:cs="Arial"/>
        </w:rPr>
      </w:pPr>
    </w:p>
    <w:p w14:paraId="4200D6E6" w14:textId="77777777" w:rsidR="004668C0" w:rsidRPr="006E5F9D" w:rsidRDefault="004668C0">
      <w:pPr>
        <w:pStyle w:val="Heading1"/>
        <w:rPr>
          <w:rFonts w:ascii="Arial" w:hAnsi="Arial" w:cs="Arial"/>
        </w:rPr>
      </w:pPr>
    </w:p>
    <w:p w14:paraId="1CA7BF7A" w14:textId="77777777" w:rsidR="004668C0" w:rsidRPr="006E5F9D" w:rsidRDefault="004668C0">
      <w:pPr>
        <w:pStyle w:val="Heading1"/>
        <w:rPr>
          <w:rFonts w:ascii="Arial" w:hAnsi="Arial" w:cs="Arial"/>
        </w:rPr>
      </w:pPr>
    </w:p>
    <w:p w14:paraId="69E78CF0" w14:textId="77777777" w:rsidR="004668C0" w:rsidRPr="006E5F9D" w:rsidRDefault="004668C0">
      <w:pPr>
        <w:pStyle w:val="Heading1"/>
        <w:rPr>
          <w:rFonts w:ascii="Arial" w:hAnsi="Arial" w:cs="Arial"/>
        </w:rPr>
      </w:pPr>
    </w:p>
    <w:p w14:paraId="4DE952CD" w14:textId="77777777" w:rsidR="004668C0" w:rsidRPr="006E5F9D" w:rsidRDefault="004668C0">
      <w:pPr>
        <w:pStyle w:val="Heading1"/>
        <w:rPr>
          <w:rFonts w:ascii="Arial" w:hAnsi="Arial" w:cs="Arial"/>
        </w:rPr>
      </w:pPr>
    </w:p>
    <w:p w14:paraId="0E45AFE0" w14:textId="77777777" w:rsidR="004668C0" w:rsidRPr="006E5F9D" w:rsidRDefault="004668C0">
      <w:pPr>
        <w:pStyle w:val="Heading1"/>
        <w:rPr>
          <w:rFonts w:ascii="Arial" w:hAnsi="Arial" w:cs="Arial"/>
        </w:rPr>
      </w:pPr>
    </w:p>
    <w:p w14:paraId="10C9DA33" w14:textId="77777777" w:rsidR="004668C0" w:rsidRPr="006E5F9D" w:rsidRDefault="004668C0">
      <w:pPr>
        <w:pStyle w:val="Heading1"/>
        <w:rPr>
          <w:rFonts w:ascii="Arial" w:hAnsi="Arial" w:cs="Arial"/>
        </w:rPr>
      </w:pPr>
    </w:p>
    <w:p w14:paraId="507C1F35" w14:textId="77777777" w:rsidR="004668C0" w:rsidRPr="006E5F9D" w:rsidRDefault="004668C0">
      <w:pPr>
        <w:pStyle w:val="Heading1"/>
        <w:rPr>
          <w:rFonts w:ascii="Arial" w:hAnsi="Arial" w:cs="Arial"/>
        </w:rPr>
      </w:pPr>
    </w:p>
    <w:p w14:paraId="7EBB2D81" w14:textId="77777777" w:rsidR="004668C0" w:rsidRPr="006E5F9D" w:rsidRDefault="004668C0">
      <w:pPr>
        <w:pStyle w:val="Heading1"/>
        <w:rPr>
          <w:rFonts w:ascii="Arial" w:hAnsi="Arial" w:cs="Arial"/>
        </w:rPr>
      </w:pPr>
    </w:p>
    <w:p w14:paraId="7F247F00" w14:textId="77777777" w:rsidR="004668C0" w:rsidRPr="006E5F9D" w:rsidRDefault="004668C0">
      <w:pPr>
        <w:pStyle w:val="Heading1"/>
        <w:rPr>
          <w:rFonts w:ascii="Arial" w:hAnsi="Arial" w:cs="Arial"/>
        </w:rPr>
      </w:pPr>
    </w:p>
    <w:p w14:paraId="4BB03537" w14:textId="77777777" w:rsidR="004668C0" w:rsidRPr="006E5F9D" w:rsidRDefault="004668C0" w:rsidP="004668C0">
      <w:pPr>
        <w:pStyle w:val="Heading1"/>
        <w:spacing w:before="0"/>
        <w:rPr>
          <w:rFonts w:ascii="Arial" w:hAnsi="Arial" w:cs="Arial"/>
        </w:rPr>
      </w:pPr>
      <w:r w:rsidRPr="006E5F9D">
        <w:rPr>
          <w:rFonts w:ascii="Arial" w:hAnsi="Arial" w:cs="Arial"/>
        </w:rPr>
        <w:t xml:space="preserve">                                                                                                                                                                  </w:t>
      </w:r>
    </w:p>
    <w:p w14:paraId="23249D2E" w14:textId="77777777" w:rsidR="004668C0" w:rsidRPr="006E5F9D" w:rsidRDefault="004668C0" w:rsidP="004668C0">
      <w:pPr>
        <w:pStyle w:val="Heading1"/>
        <w:spacing w:before="0"/>
        <w:rPr>
          <w:rFonts w:ascii="Arial" w:hAnsi="Arial" w:cs="Arial"/>
        </w:rPr>
      </w:pPr>
    </w:p>
    <w:p w14:paraId="7BEE6B4F" w14:textId="77777777" w:rsidR="004668C0" w:rsidRPr="006E5F9D" w:rsidRDefault="004668C0" w:rsidP="004668C0">
      <w:pPr>
        <w:rPr>
          <w:rFonts w:cs="Arial"/>
        </w:rPr>
      </w:pPr>
    </w:p>
    <w:p w14:paraId="4816941A" w14:textId="77777777" w:rsidR="004668C0" w:rsidRPr="006E5F9D" w:rsidRDefault="004668C0" w:rsidP="004668C0">
      <w:pPr>
        <w:rPr>
          <w:rFonts w:cs="Arial"/>
        </w:rPr>
      </w:pPr>
    </w:p>
    <w:p w14:paraId="783B27FC" w14:textId="253C7413" w:rsidR="004668C0" w:rsidRPr="006E5F9D" w:rsidRDefault="00000000" w:rsidP="004668C0">
      <w:pPr>
        <w:pStyle w:val="Heading1"/>
        <w:spacing w:before="0"/>
        <w:rPr>
          <w:rFonts w:ascii="Arial" w:hAnsi="Arial" w:cs="Arial"/>
        </w:rPr>
      </w:pPr>
      <w:bookmarkStart w:id="0" w:name="_Toc242980571"/>
      <w:r w:rsidRPr="006E5F9D">
        <w:rPr>
          <w:rFonts w:ascii="Arial" w:hAnsi="Arial" w:cs="Arial"/>
        </w:rPr>
        <w:lastRenderedPageBreak/>
        <w:t>Introduction</w:t>
      </w:r>
      <w:bookmarkEnd w:id="0"/>
    </w:p>
    <w:p w14:paraId="01B7C9BD" w14:textId="77777777" w:rsidR="00802A2A" w:rsidRPr="006E5F9D" w:rsidRDefault="00000000">
      <w:pPr>
        <w:jc w:val="both"/>
        <w:rPr>
          <w:rFonts w:cs="Arial"/>
        </w:rPr>
      </w:pPr>
      <w:r w:rsidRPr="006E5F9D">
        <w:rPr>
          <w:rFonts w:cs="Arial"/>
        </w:rPr>
        <w:t>Remote patient monitoring enables clinical teams to receive physiological measurements from people outside hospital. This report critically evaluates its implementation within West Suffolk NHS Foundation Trust’s virtual ward, launched on 28 November 2022. This local implementation falls within the assignment’s ten-year period, although hospital-at-home care and remote monitoring have longer histories. The innovation is the digitally supported monitoring system within this particular service, rather than the invention of care at home (West Suffolk NHS Foundation Trust, n.d.).</w:t>
      </w:r>
    </w:p>
    <w:p w14:paraId="02C3103C" w14:textId="77777777" w:rsidR="00802A2A" w:rsidRPr="006E5F9D" w:rsidRDefault="00000000">
      <w:pPr>
        <w:jc w:val="both"/>
        <w:rPr>
          <w:rFonts w:cs="Arial"/>
        </w:rPr>
      </w:pPr>
      <w:r w:rsidRPr="006E5F9D">
        <w:rPr>
          <w:rFonts w:cs="Arial"/>
        </w:rPr>
        <w:t>The report examines workforce, service delivery and patient experiences, incorporating family circumstances where they influence care. National policy supports digitally enabled services, but policy ambition does not establish clinical effectiveness (Department of Health and Social Care and NHS England, 2022). The central argument is that implementation is operationally established and locally valued, while claims about safety, efficiency and equity require careful qualification. Evidence from other virtual wards provides useful comparisons but cannot automatically demonstrate outcomes in West Suffolk. NICE’s conditional support for respiratory virtual ward platforms illustrates the distinction between introducing technology and establishing its comparative value (NICE, 2023).</w:t>
      </w:r>
    </w:p>
    <w:p w14:paraId="10528699" w14:textId="77777777" w:rsidR="00802A2A" w:rsidRPr="006E5F9D" w:rsidRDefault="00000000">
      <w:pPr>
        <w:pStyle w:val="Heading1"/>
        <w:rPr>
          <w:rFonts w:ascii="Arial" w:hAnsi="Arial" w:cs="Arial"/>
        </w:rPr>
      </w:pPr>
      <w:bookmarkStart w:id="1" w:name="_Toc242980572"/>
      <w:r w:rsidRPr="006E5F9D">
        <w:rPr>
          <w:rFonts w:ascii="Arial" w:hAnsi="Arial" w:cs="Arial"/>
        </w:rPr>
        <w:t>Implementation and policy context</w:t>
      </w:r>
      <w:bookmarkEnd w:id="1"/>
    </w:p>
    <w:p w14:paraId="490259EB" w14:textId="77777777" w:rsidR="00802A2A" w:rsidRPr="006E5F9D" w:rsidRDefault="00000000">
      <w:pPr>
        <w:jc w:val="both"/>
        <w:rPr>
          <w:rFonts w:cs="Arial"/>
        </w:rPr>
      </w:pPr>
      <w:r w:rsidRPr="006E5F9D">
        <w:rPr>
          <w:rFonts w:cs="Arial"/>
        </w:rPr>
        <w:t>West Suffolk supplies monitoring equipment that transmits readings, including blood pressure and oxygen levels, to a hospital hub. Patients can communicate through messaging or video, while community nurses and therapists provide treatment at home. Importantly, the supplied connectivity unit means home Wi-Fi is unnecessary. This reduces a specific access barrier, although it does not establish universal usability or reliable coverage in every home (West Suffolk NHS Foundation Trust, n.d.).</w:t>
      </w:r>
    </w:p>
    <w:p w14:paraId="7A406361" w14:textId="77777777" w:rsidR="00802A2A" w:rsidRPr="006E5F9D" w:rsidRDefault="00000000">
      <w:pPr>
        <w:jc w:val="both"/>
        <w:rPr>
          <w:rFonts w:cs="Arial"/>
        </w:rPr>
      </w:pPr>
      <w:r w:rsidRPr="006E5F9D">
        <w:rPr>
          <w:rFonts w:cs="Arial"/>
        </w:rPr>
        <w:t>Implementation therefore combines equipment, clinical interpretation and community provision. A functioning device alone cannot deliver acute care. NHS England’s operational framework places virtual wards within multidisciplinary services with clinical responsibility for patients (NHS England, 2024a). The digital policy context also includes the What Good Looks Like framework, which informs NHS digital maturity assessment. Its relevance is organisational readiness: leadership, infrastructure and staff support must develop alongside technology (NHS England, 2023). These frameworks provide standards for evaluating implementation; their existence does not demonstrate that every local requirement has been achieved.</w:t>
      </w:r>
    </w:p>
    <w:p w14:paraId="13317428" w14:textId="77777777" w:rsidR="00802A2A" w:rsidRPr="006E5F9D" w:rsidRDefault="00000000">
      <w:pPr>
        <w:pStyle w:val="Heading1"/>
        <w:rPr>
          <w:rFonts w:ascii="Arial" w:hAnsi="Arial" w:cs="Arial"/>
        </w:rPr>
      </w:pPr>
      <w:bookmarkStart w:id="2" w:name="_Toc242980573"/>
      <w:r w:rsidRPr="006E5F9D">
        <w:rPr>
          <w:rFonts w:ascii="Arial" w:hAnsi="Arial" w:cs="Arial"/>
        </w:rPr>
        <w:t>Workforce</w:t>
      </w:r>
      <w:bookmarkEnd w:id="2"/>
    </w:p>
    <w:p w14:paraId="6B41D601" w14:textId="77777777" w:rsidR="00802A2A" w:rsidRPr="006E5F9D" w:rsidRDefault="00000000">
      <w:pPr>
        <w:jc w:val="both"/>
        <w:rPr>
          <w:rFonts w:cs="Arial"/>
        </w:rPr>
      </w:pPr>
      <w:r w:rsidRPr="006E5F9D">
        <w:rPr>
          <w:rFonts w:cs="Arial"/>
        </w:rPr>
        <w:t xml:space="preserve">Remote monitoring changes the location and organisation of professional judgement. Staff must interpret measurements alongside symptoms, communication and knowledge of the </w:t>
      </w:r>
      <w:r w:rsidRPr="006E5F9D">
        <w:rPr>
          <w:rFonts w:cs="Arial"/>
        </w:rPr>
        <w:lastRenderedPageBreak/>
        <w:t>individual. The potential benefit is earlier recognition of concerning trends between visits. However, an abnormal reading requires a competent response, while an apparently reassuring reading cannot replace assessment of a patient reporting deterioration. NICE’s assessment of respiratory platforms supports use while additional evidence is generated, making cautious interpretation more defensible than assuming technological superiority (NICE, 2023).</w:t>
      </w:r>
    </w:p>
    <w:p w14:paraId="57BBDC66" w14:textId="77777777" w:rsidR="00802A2A" w:rsidRPr="006E5F9D" w:rsidRDefault="00000000">
      <w:pPr>
        <w:jc w:val="both"/>
        <w:rPr>
          <w:rFonts w:cs="Arial"/>
        </w:rPr>
      </w:pPr>
      <w:r w:rsidRPr="006E5F9D">
        <w:rPr>
          <w:rFonts w:cs="Arial"/>
        </w:rPr>
        <w:t>The transformation also creates coordination work. Professionals must establish who reviews incoming information, who contacts patients and who arranges urgent treatment. These tasks can strengthen collaboration, but responsibility may become fragmented when hospital and community organisations work across different systems. Research on Northumbria’s step-down virtual ward identified integration between primary and secondary care IT as a major difficulty (NIHR ARC North East and North Cumbria, 2025). This does not prove that West Suffolk has the same problem. It identifies a credible implementation risk that should be checked locally through handover audits and staff feedback.</w:t>
      </w:r>
    </w:p>
    <w:p w14:paraId="5D030E98" w14:textId="77777777" w:rsidR="00802A2A" w:rsidRPr="006E5F9D" w:rsidRDefault="00000000">
      <w:pPr>
        <w:jc w:val="both"/>
        <w:rPr>
          <w:rFonts w:cs="Arial"/>
        </w:rPr>
      </w:pPr>
      <w:r w:rsidRPr="006E5F9D">
        <w:rPr>
          <w:rFonts w:cs="Arial"/>
        </w:rPr>
        <w:t>Role competency consequently includes digital communication, equipment troubleshooting and recognising when remote assessment is insufficient. Protected learning time is necessary because confidence with a dashboard is different from clinical competence. The digital health plan supports workforce development, but translating this ambition into practice requires funding and cover for staff attending training (Department of Health and Social Care and NHS England, 2022). A reasonable implementation approach would use supervised practice and scenario-based assessment before staff independently manage unfamiliar monitoring workflows. The barrier is reduced clinical availability during training; staged induction and planned staffing cover offer a practical response.</w:t>
      </w:r>
    </w:p>
    <w:p w14:paraId="5953B961" w14:textId="77777777" w:rsidR="00802A2A" w:rsidRPr="006E5F9D" w:rsidRDefault="00000000">
      <w:pPr>
        <w:jc w:val="both"/>
        <w:rPr>
          <w:rFonts w:cs="Arial"/>
        </w:rPr>
      </w:pPr>
      <w:r w:rsidRPr="006E5F9D">
        <w:rPr>
          <w:rFonts w:cs="Arial"/>
        </w:rPr>
        <w:t>Efficiency must also be judged across the whole workforce. NHS England’s South East evaluation notes that funding constraints sometimes resulted in services drawing on existing staff and budgets (NHS England, 2024b). A virtual ward could therefore improve hospital flow while increasing pressure elsewhere. This raises an opportunity-cost question: what community activity becomes harder to deliver when staff are reassigned? Local evaluation should compare workload, vacancies and missed care before and after expansion, rather than interpreting the number of monitored patients as evidence of productivity.</w:t>
      </w:r>
    </w:p>
    <w:p w14:paraId="7BFBA81C" w14:textId="77777777" w:rsidR="00802A2A" w:rsidRPr="006E5F9D" w:rsidRDefault="00000000">
      <w:pPr>
        <w:jc w:val="both"/>
        <w:rPr>
          <w:rFonts w:cs="Arial"/>
        </w:rPr>
      </w:pPr>
      <w:r w:rsidRPr="006E5F9D">
        <w:rPr>
          <w:rFonts w:cs="Arial"/>
        </w:rPr>
        <w:t xml:space="preserve">Information governance creates another professional responsibility. Staff need relevant information across organisations, but access should match their role and important readings and actions must be recorded. NHS guidance distinguishes appropriate sharing for direct care from unrestricted access (NHS England, 2026). Training should therefore address secure communication and documentation alongside device operation. Clear records help the next professional understand why an alert led to action or observation. Overall, workforce transformation is beneficial when technology supports competent teams; its sustainability </w:t>
      </w:r>
      <w:r w:rsidRPr="006E5F9D">
        <w:rPr>
          <w:rFonts w:cs="Arial"/>
        </w:rPr>
        <w:lastRenderedPageBreak/>
        <w:t>depends on time, accountability and staffing rather than equipment procurement alone (Shaw et al., 2025).</w:t>
      </w:r>
    </w:p>
    <w:p w14:paraId="006D2D44" w14:textId="77777777" w:rsidR="00802A2A" w:rsidRPr="006E5F9D" w:rsidRDefault="00000000">
      <w:pPr>
        <w:pStyle w:val="Heading1"/>
        <w:rPr>
          <w:rFonts w:ascii="Arial" w:hAnsi="Arial" w:cs="Arial"/>
        </w:rPr>
      </w:pPr>
      <w:bookmarkStart w:id="3" w:name="_Toc242980574"/>
      <w:r w:rsidRPr="006E5F9D">
        <w:rPr>
          <w:rFonts w:ascii="Arial" w:hAnsi="Arial" w:cs="Arial"/>
        </w:rPr>
        <w:t>Service delivery</w:t>
      </w:r>
      <w:bookmarkEnd w:id="3"/>
    </w:p>
    <w:p w14:paraId="776E3D2D" w14:textId="77777777" w:rsidR="00802A2A" w:rsidRPr="006E5F9D" w:rsidRDefault="00000000">
      <w:pPr>
        <w:jc w:val="both"/>
        <w:rPr>
          <w:rFonts w:cs="Arial"/>
        </w:rPr>
      </w:pPr>
      <w:r w:rsidRPr="006E5F9D">
        <w:rPr>
          <w:rFonts w:cs="Arial"/>
        </w:rPr>
        <w:t>The principal service change is that acute care can continue in a person’s usual residence. Referrals, equipment installation, monitoring, home visits and escalation must operate as a connected pathway. NHS England’s operational framework emphasises integration with wider urgent and community services (NHS England, 2024a). This creates flexibility, but also dependencies: a monitoring hub cannot compensate for unavailable home treatment or delayed transport. Judging implementation therefore requires examining the complete patient journey, including nights and weekends, rather than only the performance of the digital platform.</w:t>
      </w:r>
    </w:p>
    <w:p w14:paraId="5B2DDF62" w14:textId="77777777" w:rsidR="00802A2A" w:rsidRPr="006E5F9D" w:rsidRDefault="00000000">
      <w:pPr>
        <w:jc w:val="both"/>
        <w:rPr>
          <w:rFonts w:cs="Arial"/>
        </w:rPr>
      </w:pPr>
      <w:r w:rsidRPr="006E5F9D">
        <w:rPr>
          <w:rFonts w:cs="Arial"/>
        </w:rPr>
        <w:t>Evidence suggests potential reductions in hospital activity. The South East evaluation reported an association between approximately 2.5 virtual ward admissions and one avoided non-elective admission (NHS England, 2024b). This supports further development, but the relationship is observational. Differences in patient selection, service maturity and concurrent changes may influence results. Furthermore, the region’s findings do not establish West Suffolk’s effect. A stronger local assessment would compare clinically similar groups and report emergency transfers, readmissions and mortality alongside bed use. Avoiding an admission is valuable only when the alternative provides appropriate care.</w:t>
      </w:r>
    </w:p>
    <w:p w14:paraId="09DF9789" w14:textId="77777777" w:rsidR="00802A2A" w:rsidRPr="006E5F9D" w:rsidRDefault="00000000">
      <w:pPr>
        <w:jc w:val="both"/>
        <w:rPr>
          <w:rFonts w:cs="Arial"/>
        </w:rPr>
      </w:pPr>
      <w:r w:rsidRPr="006E5F9D">
        <w:rPr>
          <w:rFonts w:cs="Arial"/>
        </w:rPr>
        <w:t>The technology’s contribution must be separated from the wider care model. Additional nursing attention, multidisciplinary decisions and treatment at home may produce benefits independently of digital monitoring. NICE’s early value assessment concerns platform technologies for acute respiratory infection, rather than every condition treated by a virtual ward (NICE, 2023). Its conclusions should therefore not be extended uncritically to frailty, kidney injury or other pathways. Comparative evaluation should ask whether digital monitoring improves outcomes beyond a suitable telephone-based or visiting service, and which patients actually need frequent measurements.</w:t>
      </w:r>
    </w:p>
    <w:p w14:paraId="61C50995" w14:textId="77777777" w:rsidR="00802A2A" w:rsidRPr="006E5F9D" w:rsidRDefault="00000000">
      <w:pPr>
        <w:jc w:val="both"/>
        <w:rPr>
          <w:rFonts w:cs="Arial"/>
        </w:rPr>
      </w:pPr>
      <w:r w:rsidRPr="006E5F9D">
        <w:rPr>
          <w:rFonts w:cs="Arial"/>
        </w:rPr>
        <w:t>Economic claims require similar caution. Reduced hospital use does not necessarily produce cash savings if wards remain staffed and operational. Equipment, software, technical support and staff travel also have costs. Shaw et al. (2025) identify uncertainty around the effectiveness and cost-effectiveness of technology-enabled monitoring and the importance of evaluating implementation context. Their paper describes an evaluation programme, rather than proving savings. Consequently, the appropriate recommendation is transparent local costing, including community provision and family time, rather than presenting remote monitoring as an established solution to financial pressure.</w:t>
      </w:r>
    </w:p>
    <w:p w14:paraId="5F0D766A" w14:textId="77777777" w:rsidR="00802A2A" w:rsidRPr="006E5F9D" w:rsidRDefault="00000000">
      <w:pPr>
        <w:jc w:val="both"/>
        <w:rPr>
          <w:rFonts w:cs="Arial"/>
        </w:rPr>
      </w:pPr>
      <w:r w:rsidRPr="006E5F9D">
        <w:rPr>
          <w:rFonts w:cs="Arial"/>
        </w:rPr>
        <w:lastRenderedPageBreak/>
        <w:t>Service resilience and legal compliance are equally important. The Data Protection Act 2018 operates alongside the UK GDPR, creating obligations concerning personal information (Great Britain, 2018). Monitoring pathways should have clear access controls, retention arrangements and incident procedures. NHS guidance also requires accurate records of significant readings and clinical responses (NHS England, 2026). A proposed resilience plan should cover equipment failure, missing transmissions and alternative contact arrangements. Testing these procedures creates additional work, but helps ensure that an interruption in data does not become an interruption in care. These are criteria for judging the local service, rather than claims that documented failures have occurred.</w:t>
      </w:r>
    </w:p>
    <w:p w14:paraId="22849FD2" w14:textId="77777777" w:rsidR="00802A2A" w:rsidRPr="006E5F9D" w:rsidRDefault="00000000">
      <w:pPr>
        <w:pStyle w:val="Heading1"/>
        <w:rPr>
          <w:rFonts w:ascii="Arial" w:hAnsi="Arial" w:cs="Arial"/>
        </w:rPr>
      </w:pPr>
      <w:bookmarkStart w:id="4" w:name="_Toc242980575"/>
      <w:r w:rsidRPr="006E5F9D">
        <w:rPr>
          <w:rFonts w:ascii="Arial" w:hAnsi="Arial" w:cs="Arial"/>
        </w:rPr>
        <w:t>Patient and service user experiences</w:t>
      </w:r>
      <w:bookmarkEnd w:id="4"/>
    </w:p>
    <w:p w14:paraId="54F3F090" w14:textId="77777777" w:rsidR="00802A2A" w:rsidRPr="006E5F9D" w:rsidRDefault="00000000">
      <w:pPr>
        <w:jc w:val="both"/>
        <w:rPr>
          <w:rFonts w:cs="Arial"/>
        </w:rPr>
      </w:pPr>
      <w:r w:rsidRPr="006E5F9D">
        <w:rPr>
          <w:rFonts w:cs="Arial"/>
        </w:rPr>
        <w:t>Patients may value receiving care in familiar surroundings and remaining close to family. Local evidence provides a more convincing basis for evaluating these experiences than promotional claims alone. Healthwatch Suffolk’s study included 42 carers and relatives and nine follow-up interviews. Respondents described reassurance from monitoring, reduced hospital travel and benefits associated with recovery at home. However, these are mainly carers’ accounts, rather than direct measurements of patient recovery or a representative survey of every service user (Healthwatch Suffolk, 2025).</w:t>
      </w:r>
    </w:p>
    <w:p w14:paraId="2D60A3C6" w14:textId="77777777" w:rsidR="00802A2A" w:rsidRPr="006E5F9D" w:rsidRDefault="00000000">
      <w:pPr>
        <w:jc w:val="both"/>
        <w:rPr>
          <w:rFonts w:cs="Arial"/>
        </w:rPr>
      </w:pPr>
      <w:r w:rsidRPr="006E5F9D">
        <w:rPr>
          <w:rFonts w:cs="Arial"/>
        </w:rPr>
        <w:t>The same evaluation identified gaps in involvement and preparation. Among 41 respondents answering the relevant question, 25 felt involved in the decision about virtual ward admission, while ten did not. The report also noted that ethnic minority communities were not represented in its data (Healthwatch Suffolk, 2025). These limitations matter because positive feedback from participating families cannot establish that the service meets everyone’s needs. Future evaluation should actively include people declining virtual ward care, individuals living alone and patients requiring communication support. Their experiences may reveal barriers that satisfaction surveys among successful users overlook.</w:t>
      </w:r>
    </w:p>
    <w:p w14:paraId="6F77A623" w14:textId="77777777" w:rsidR="00802A2A" w:rsidRPr="006E5F9D" w:rsidRDefault="00000000">
      <w:pPr>
        <w:jc w:val="both"/>
        <w:rPr>
          <w:rFonts w:cs="Arial"/>
        </w:rPr>
      </w:pPr>
      <w:r w:rsidRPr="006E5F9D">
        <w:rPr>
          <w:rFonts w:cs="Arial"/>
        </w:rPr>
        <w:t>Digital exclusion is broader than internet ownership. Visual impairment, dexterity, fatigue, language and confidence can affect whether a person can use monitoring equipment. Northumbria’s evaluation highlights concerns about digital exclusion and unequal community provision (NIHR ARC North East and North Cumbria, 2025). The Equality Act 2010 makes reasonable adjustments relevant when disability creates disadvantage (Great Britain, 2010). Practical responses include accessible instructions, supported practice, interpretation and alternatives where appropriate. Their resource implications should be recognised: providing equipment is an important intervention, but staff time may determine whether access becomes meaningful participation.</w:t>
      </w:r>
    </w:p>
    <w:p w14:paraId="5C2D8A4B" w14:textId="77777777" w:rsidR="00802A2A" w:rsidRPr="006E5F9D" w:rsidRDefault="00000000">
      <w:pPr>
        <w:jc w:val="both"/>
        <w:rPr>
          <w:rFonts w:cs="Arial"/>
        </w:rPr>
      </w:pPr>
      <w:r w:rsidRPr="006E5F9D">
        <w:rPr>
          <w:rFonts w:cs="Arial"/>
        </w:rPr>
        <w:t xml:space="preserve">Choice also depends on the support available at home. A patient’s preference to leave hospital should not conceal an assumption that relatives can provide unlimited assistance. Carer </w:t>
      </w:r>
      <w:r w:rsidRPr="006E5F9D">
        <w:rPr>
          <w:rFonts w:cs="Arial"/>
        </w:rPr>
        <w:lastRenderedPageBreak/>
        <w:t>circumstances, employment and other responsibilities need explicit discussion. NHS England’s guidance on working with people and communities supports involvement in service design and decisions (NHS England, 2022). A proposed improvement is to agree responsibilities and contingency arrangements before transfer. This may slow initial admission, but could reduce uncertainty and identify when additional professional support is necessary. Co-production should include reviewing whether these arrangements work in practice, rather than collecting feedback without acting on it.</w:t>
      </w:r>
    </w:p>
    <w:p w14:paraId="5A1F4991" w14:textId="77777777" w:rsidR="00802A2A" w:rsidRPr="006E5F9D" w:rsidRDefault="00000000">
      <w:pPr>
        <w:jc w:val="both"/>
        <w:rPr>
          <w:rFonts w:cs="Arial"/>
        </w:rPr>
      </w:pPr>
      <w:r w:rsidRPr="006E5F9D">
        <w:rPr>
          <w:rFonts w:cs="Arial"/>
        </w:rPr>
        <w:t>Privacy influences trust as well as compliance. Patients need understandable explanations of what is measured, who receives information and how concerns can be raised. NHS guidance explains that technology suppliers process information to support care and that access must be controlled (NHS England, 2026). Explanations should distinguish accepting the care pathway from the legal basis for processing information. The patient should also understand that monitoring does not guarantee immediate detection of every problem. Overall, patient-centred success requires an acceptable balance of reassurance, choice and accessible support, assessed through meaningful participation rather than uptake alone (NHS England, 2022).</w:t>
      </w:r>
    </w:p>
    <w:p w14:paraId="7D563635" w14:textId="77777777" w:rsidR="00802A2A" w:rsidRPr="006E5F9D" w:rsidRDefault="00000000">
      <w:pPr>
        <w:pStyle w:val="Heading1"/>
        <w:rPr>
          <w:rFonts w:ascii="Arial" w:hAnsi="Arial" w:cs="Arial"/>
        </w:rPr>
      </w:pPr>
      <w:bookmarkStart w:id="5" w:name="_Toc242980576"/>
      <w:r w:rsidRPr="006E5F9D">
        <w:rPr>
          <w:rFonts w:ascii="Arial" w:hAnsi="Arial" w:cs="Arial"/>
        </w:rPr>
        <w:t>Conclusion and recommendations</w:t>
      </w:r>
      <w:bookmarkEnd w:id="5"/>
    </w:p>
    <w:p w14:paraId="6F6A9D17" w14:textId="77777777" w:rsidR="00802A2A" w:rsidRPr="006E5F9D" w:rsidRDefault="00000000">
      <w:pPr>
        <w:jc w:val="both"/>
        <w:rPr>
          <w:rFonts w:cs="Arial"/>
        </w:rPr>
      </w:pPr>
      <w:r w:rsidRPr="006E5F9D">
        <w:rPr>
          <w:rFonts w:cs="Arial"/>
        </w:rPr>
        <w:t>West Suffolk’s 2022 implementation meets the required timeframe and demonstrates an established combination of remote monitoring and professional care. Local feedback supports its acceptability for many participating families, while highlighting limitations in preparation and involvement (West Suffolk NHS Foundation Trust, n.d.; Healthwatch Suffolk, 2025). Wider evidence suggests possible service benefits, but cannot establish the technology’s independent effect or universal cost-effectiveness (NICE, 2023; Shaw et al., 2025).</w:t>
      </w:r>
    </w:p>
    <w:p w14:paraId="681975B6" w14:textId="77777777" w:rsidR="00802A2A" w:rsidRPr="006E5F9D" w:rsidRDefault="00000000">
      <w:pPr>
        <w:jc w:val="both"/>
        <w:rPr>
          <w:rFonts w:cs="Arial"/>
        </w:rPr>
      </w:pPr>
      <w:r w:rsidRPr="006E5F9D">
        <w:rPr>
          <w:rFonts w:cs="Arial"/>
        </w:rPr>
        <w:t>Three priorities follow. First, the Trust should protect training time and assess competence in remote assessment, escalation and documentation. Staffing constraints could be addressed through phased expansion rather than enlarging capacity before teams are ready. Second, local evaluation should measure safety, workload, total costs and outcomes against appropriate comparators; this would strengthen the observational evidence currently informing expansion (NHS England, 2024b). Third, admission should include accessible instruction, patient choice and a realistic discussion of family support. Regular involvement of underserved groups would help identify exclusion that existing feedback may miss (Great Britain, 2010; NHS England, 2022). Success should mean safe, equitable and sustainable care for suitable individuals, supported by evidence rather than assumed from digital adoption.</w:t>
      </w:r>
    </w:p>
    <w:p w14:paraId="33C5B8C9" w14:textId="77777777" w:rsidR="00802A2A" w:rsidRPr="006E5F9D" w:rsidRDefault="00000000">
      <w:pPr>
        <w:rPr>
          <w:rFonts w:cs="Arial"/>
        </w:rPr>
      </w:pPr>
      <w:r w:rsidRPr="006E5F9D">
        <w:rPr>
          <w:rFonts w:cs="Arial"/>
        </w:rPr>
        <w:br w:type="page"/>
      </w:r>
    </w:p>
    <w:p w14:paraId="434EBF8D" w14:textId="77777777" w:rsidR="00802A2A" w:rsidRPr="006E5F9D" w:rsidRDefault="00000000">
      <w:pPr>
        <w:pStyle w:val="Heading1"/>
        <w:rPr>
          <w:rFonts w:ascii="Arial" w:hAnsi="Arial" w:cs="Arial"/>
        </w:rPr>
      </w:pPr>
      <w:bookmarkStart w:id="6" w:name="_Toc242980577"/>
      <w:r w:rsidRPr="006E5F9D">
        <w:rPr>
          <w:rFonts w:ascii="Arial" w:hAnsi="Arial" w:cs="Arial"/>
        </w:rPr>
        <w:lastRenderedPageBreak/>
        <w:t>References</w:t>
      </w:r>
      <w:bookmarkEnd w:id="6"/>
    </w:p>
    <w:p w14:paraId="3F175778" w14:textId="34F00650" w:rsidR="00802A2A" w:rsidRPr="006E5F9D" w:rsidRDefault="00000000">
      <w:pPr>
        <w:spacing w:line="276" w:lineRule="auto"/>
        <w:rPr>
          <w:rFonts w:cs="Arial"/>
        </w:rPr>
      </w:pPr>
      <w:r w:rsidRPr="006E5F9D">
        <w:rPr>
          <w:rFonts w:cs="Arial"/>
        </w:rPr>
        <w:t xml:space="preserve">Department of Health and Social Care and NHS England (2022) </w:t>
      </w:r>
      <w:r w:rsidRPr="006E5F9D">
        <w:rPr>
          <w:rFonts w:cs="Arial"/>
          <w:i/>
        </w:rPr>
        <w:t>A plan for digital health and social care</w:t>
      </w:r>
      <w:r w:rsidRPr="006E5F9D">
        <w:rPr>
          <w:rFonts w:cs="Arial"/>
        </w:rPr>
        <w:t xml:space="preserve">. Available at: </w:t>
      </w:r>
      <w:hyperlink r:id="rId8" w:history="1">
        <w:r w:rsidR="004668C0" w:rsidRPr="006E5F9D">
          <w:rPr>
            <w:rStyle w:val="Hyperlink"/>
            <w:rFonts w:cs="Arial"/>
          </w:rPr>
          <w:t>https://www.gov.uk/government/publications/a-plan-for-digital-health-and-social-care</w:t>
        </w:r>
      </w:hyperlink>
      <w:r w:rsidR="004668C0" w:rsidRPr="006E5F9D">
        <w:rPr>
          <w:rFonts w:cs="Arial"/>
        </w:rPr>
        <w:t xml:space="preserve"> </w:t>
      </w:r>
      <w:r w:rsidRPr="006E5F9D">
        <w:rPr>
          <w:rFonts w:cs="Arial"/>
        </w:rPr>
        <w:t>(Accessed: 29 September 2026).</w:t>
      </w:r>
    </w:p>
    <w:p w14:paraId="7D8368DD" w14:textId="6C299FEB" w:rsidR="00802A2A" w:rsidRPr="006E5F9D" w:rsidRDefault="00000000">
      <w:pPr>
        <w:spacing w:line="276" w:lineRule="auto"/>
        <w:rPr>
          <w:rFonts w:cs="Arial"/>
        </w:rPr>
      </w:pPr>
      <w:r w:rsidRPr="006E5F9D">
        <w:rPr>
          <w:rFonts w:cs="Arial"/>
        </w:rPr>
        <w:t xml:space="preserve">Great Britain (2010) </w:t>
      </w:r>
      <w:r w:rsidRPr="006E5F9D">
        <w:rPr>
          <w:rFonts w:cs="Arial"/>
          <w:i/>
        </w:rPr>
        <w:t>Equality Act 2010, c. 15</w:t>
      </w:r>
      <w:r w:rsidRPr="006E5F9D">
        <w:rPr>
          <w:rFonts w:cs="Arial"/>
        </w:rPr>
        <w:t xml:space="preserve">. Available at: </w:t>
      </w:r>
      <w:hyperlink r:id="rId9" w:history="1">
        <w:r w:rsidR="004668C0" w:rsidRPr="006E5F9D">
          <w:rPr>
            <w:rStyle w:val="Hyperlink"/>
            <w:rFonts w:cs="Arial"/>
          </w:rPr>
          <w:t>https://www.legislation.gov.uk/ukpga/2010/15/contents</w:t>
        </w:r>
      </w:hyperlink>
      <w:r w:rsidR="004668C0" w:rsidRPr="006E5F9D">
        <w:rPr>
          <w:rFonts w:cs="Arial"/>
        </w:rPr>
        <w:t xml:space="preserve"> </w:t>
      </w:r>
      <w:r w:rsidRPr="006E5F9D">
        <w:rPr>
          <w:rFonts w:cs="Arial"/>
        </w:rPr>
        <w:t>(Accessed: 7 October 2026).</w:t>
      </w:r>
    </w:p>
    <w:p w14:paraId="355AD10F" w14:textId="05B5353B" w:rsidR="00802A2A" w:rsidRPr="006E5F9D" w:rsidRDefault="00000000">
      <w:pPr>
        <w:spacing w:line="276" w:lineRule="auto"/>
        <w:rPr>
          <w:rFonts w:cs="Arial"/>
        </w:rPr>
      </w:pPr>
      <w:r w:rsidRPr="006E5F9D">
        <w:rPr>
          <w:rFonts w:cs="Arial"/>
        </w:rPr>
        <w:t xml:space="preserve">Great Britain (2018) </w:t>
      </w:r>
      <w:r w:rsidRPr="006E5F9D">
        <w:rPr>
          <w:rFonts w:cs="Arial"/>
          <w:i/>
        </w:rPr>
        <w:t>Data Protection Act 2018, c. 12</w:t>
      </w:r>
      <w:r w:rsidRPr="006E5F9D">
        <w:rPr>
          <w:rFonts w:cs="Arial"/>
        </w:rPr>
        <w:t xml:space="preserve">. Available at: </w:t>
      </w:r>
      <w:hyperlink r:id="rId10" w:history="1">
        <w:r w:rsidR="004668C0" w:rsidRPr="006E5F9D">
          <w:rPr>
            <w:rStyle w:val="Hyperlink"/>
            <w:rFonts w:cs="Arial"/>
          </w:rPr>
          <w:t>https://www.legislation.gov.uk/ukpga/2018/12/contents</w:t>
        </w:r>
      </w:hyperlink>
      <w:r w:rsidR="004668C0" w:rsidRPr="006E5F9D">
        <w:rPr>
          <w:rFonts w:cs="Arial"/>
        </w:rPr>
        <w:t xml:space="preserve"> </w:t>
      </w:r>
      <w:r w:rsidRPr="006E5F9D">
        <w:rPr>
          <w:rFonts w:cs="Arial"/>
        </w:rPr>
        <w:t>(Accessed: 2 October 2026).</w:t>
      </w:r>
    </w:p>
    <w:p w14:paraId="78130024" w14:textId="5160ED5B" w:rsidR="00802A2A" w:rsidRPr="006E5F9D" w:rsidRDefault="00000000">
      <w:pPr>
        <w:spacing w:line="276" w:lineRule="auto"/>
        <w:rPr>
          <w:rFonts w:cs="Arial"/>
        </w:rPr>
      </w:pPr>
      <w:r w:rsidRPr="006E5F9D">
        <w:rPr>
          <w:rFonts w:cs="Arial"/>
        </w:rPr>
        <w:t xml:space="preserve">Healthwatch Suffolk (2025) </w:t>
      </w:r>
      <w:r w:rsidRPr="006E5F9D">
        <w:rPr>
          <w:rFonts w:cs="Arial"/>
          <w:i/>
        </w:rPr>
        <w:t>On the virtual ward: Family carers and relatives experiences of the West Suffolk NHS Foundation Trust virtual ward</w:t>
      </w:r>
      <w:r w:rsidRPr="006E5F9D">
        <w:rPr>
          <w:rFonts w:cs="Arial"/>
        </w:rPr>
        <w:t xml:space="preserve">. Available at: </w:t>
      </w:r>
      <w:hyperlink r:id="rId11" w:history="1">
        <w:r w:rsidR="004668C0" w:rsidRPr="006E5F9D">
          <w:rPr>
            <w:rStyle w:val="Hyperlink"/>
            <w:rFonts w:cs="Arial"/>
          </w:rPr>
          <w:t>https://healthwatchsuffolk.co.uk/wp-content/uploads/2025/02/Virtual-ward_February-2025.pdf</w:t>
        </w:r>
      </w:hyperlink>
      <w:r w:rsidR="004668C0" w:rsidRPr="006E5F9D">
        <w:rPr>
          <w:rFonts w:cs="Arial"/>
        </w:rPr>
        <w:t xml:space="preserve"> </w:t>
      </w:r>
      <w:r w:rsidRPr="006E5F9D">
        <w:rPr>
          <w:rFonts w:cs="Arial"/>
        </w:rPr>
        <w:t>(Accessed: 12 October 2026).</w:t>
      </w:r>
    </w:p>
    <w:p w14:paraId="0BF9612A" w14:textId="4DE6EE8C" w:rsidR="00802A2A" w:rsidRPr="006E5F9D" w:rsidRDefault="00000000">
      <w:pPr>
        <w:spacing w:line="276" w:lineRule="auto"/>
        <w:rPr>
          <w:rFonts w:cs="Arial"/>
        </w:rPr>
      </w:pPr>
      <w:r w:rsidRPr="006E5F9D">
        <w:rPr>
          <w:rFonts w:cs="Arial"/>
        </w:rPr>
        <w:t xml:space="preserve">NHS England (2022) </w:t>
      </w:r>
      <w:r w:rsidRPr="006E5F9D">
        <w:rPr>
          <w:rFonts w:cs="Arial"/>
          <w:i/>
        </w:rPr>
        <w:t>Working in partnership with people and communities: Statutory guidance</w:t>
      </w:r>
      <w:r w:rsidRPr="006E5F9D">
        <w:rPr>
          <w:rFonts w:cs="Arial"/>
        </w:rPr>
        <w:t xml:space="preserve">. Available at: </w:t>
      </w:r>
      <w:hyperlink r:id="rId12" w:history="1">
        <w:r w:rsidR="004668C0" w:rsidRPr="006E5F9D">
          <w:rPr>
            <w:rStyle w:val="Hyperlink"/>
            <w:rFonts w:cs="Arial"/>
          </w:rPr>
          <w:t>https://www.england.nhs.uk/long-read/working-in-partnership-with-people-and-communities-statutory-guidance/</w:t>
        </w:r>
      </w:hyperlink>
      <w:r w:rsidR="004668C0" w:rsidRPr="006E5F9D">
        <w:rPr>
          <w:rFonts w:cs="Arial"/>
        </w:rPr>
        <w:t xml:space="preserve"> </w:t>
      </w:r>
      <w:r w:rsidRPr="006E5F9D">
        <w:rPr>
          <w:rFonts w:cs="Arial"/>
        </w:rPr>
        <w:t>(Accessed: 27 September 2026).</w:t>
      </w:r>
    </w:p>
    <w:p w14:paraId="791133F0" w14:textId="4CC274EC" w:rsidR="00802A2A" w:rsidRPr="006E5F9D" w:rsidRDefault="00000000">
      <w:pPr>
        <w:spacing w:line="276" w:lineRule="auto"/>
        <w:rPr>
          <w:rFonts w:cs="Arial"/>
        </w:rPr>
      </w:pPr>
      <w:r w:rsidRPr="006E5F9D">
        <w:rPr>
          <w:rFonts w:cs="Arial"/>
        </w:rPr>
        <w:t xml:space="preserve">NHS England (2023) </w:t>
      </w:r>
      <w:r w:rsidRPr="006E5F9D">
        <w:rPr>
          <w:rFonts w:cs="Arial"/>
          <w:i/>
        </w:rPr>
        <w:t>Digital maturity assessment</w:t>
      </w:r>
      <w:r w:rsidRPr="006E5F9D">
        <w:rPr>
          <w:rFonts w:cs="Arial"/>
        </w:rPr>
        <w:t xml:space="preserve">. Available at: </w:t>
      </w:r>
      <w:hyperlink r:id="rId13" w:history="1">
        <w:r w:rsidR="004668C0" w:rsidRPr="006E5F9D">
          <w:rPr>
            <w:rStyle w:val="Hyperlink"/>
            <w:rFonts w:cs="Arial"/>
          </w:rPr>
          <w:t>https://www.england.nhs.uk/long-read/digital-maturity-assessment</w:t>
        </w:r>
      </w:hyperlink>
      <w:r w:rsidR="004668C0" w:rsidRPr="006E5F9D">
        <w:rPr>
          <w:rFonts w:cs="Arial"/>
        </w:rPr>
        <w:t xml:space="preserve"> </w:t>
      </w:r>
      <w:r w:rsidRPr="006E5F9D">
        <w:rPr>
          <w:rFonts w:cs="Arial"/>
        </w:rPr>
        <w:t>(Accessed: 5 October 2026).</w:t>
      </w:r>
    </w:p>
    <w:p w14:paraId="24027A6C" w14:textId="5A6DEB3D" w:rsidR="00802A2A" w:rsidRPr="006E5F9D" w:rsidRDefault="00000000">
      <w:pPr>
        <w:spacing w:line="276" w:lineRule="auto"/>
        <w:rPr>
          <w:rFonts w:cs="Arial"/>
        </w:rPr>
      </w:pPr>
      <w:r w:rsidRPr="006E5F9D">
        <w:rPr>
          <w:rFonts w:cs="Arial"/>
        </w:rPr>
        <w:t xml:space="preserve">NHS England (2024a) </w:t>
      </w:r>
      <w:r w:rsidRPr="006E5F9D">
        <w:rPr>
          <w:rFonts w:cs="Arial"/>
          <w:i/>
        </w:rPr>
        <w:t>Virtual wards operational framework</w:t>
      </w:r>
      <w:r w:rsidRPr="006E5F9D">
        <w:rPr>
          <w:rFonts w:cs="Arial"/>
        </w:rPr>
        <w:t xml:space="preserve">. Available at: </w:t>
      </w:r>
      <w:hyperlink r:id="rId14" w:history="1">
        <w:r w:rsidR="004668C0" w:rsidRPr="006E5F9D">
          <w:rPr>
            <w:rStyle w:val="Hyperlink"/>
            <w:rFonts w:cs="Arial"/>
          </w:rPr>
          <w:t>https://www.england.nhs.uk/long-read/virtual-wards-operational-framework/</w:t>
        </w:r>
      </w:hyperlink>
      <w:r w:rsidR="004668C0" w:rsidRPr="006E5F9D">
        <w:rPr>
          <w:rFonts w:cs="Arial"/>
        </w:rPr>
        <w:t xml:space="preserve"> </w:t>
      </w:r>
      <w:r w:rsidRPr="006E5F9D">
        <w:rPr>
          <w:rFonts w:cs="Arial"/>
        </w:rPr>
        <w:t>(Accessed: 14 October 2026).</w:t>
      </w:r>
    </w:p>
    <w:p w14:paraId="0E1F3B02" w14:textId="1C70ADEF" w:rsidR="00802A2A" w:rsidRPr="006E5F9D" w:rsidRDefault="00000000">
      <w:pPr>
        <w:spacing w:line="276" w:lineRule="auto"/>
        <w:rPr>
          <w:rFonts w:cs="Arial"/>
        </w:rPr>
      </w:pPr>
      <w:r w:rsidRPr="006E5F9D">
        <w:rPr>
          <w:rFonts w:cs="Arial"/>
        </w:rPr>
        <w:t xml:space="preserve">NHS England (2024b) </w:t>
      </w:r>
      <w:r w:rsidRPr="006E5F9D">
        <w:rPr>
          <w:rFonts w:cs="Arial"/>
          <w:i/>
        </w:rPr>
        <w:t>Summary of South East region virtual wards evaluation</w:t>
      </w:r>
      <w:r w:rsidRPr="006E5F9D">
        <w:rPr>
          <w:rFonts w:cs="Arial"/>
        </w:rPr>
        <w:t xml:space="preserve">. Available at: </w:t>
      </w:r>
      <w:hyperlink r:id="rId15" w:history="1">
        <w:r w:rsidR="004668C0" w:rsidRPr="006E5F9D">
          <w:rPr>
            <w:rStyle w:val="Hyperlink"/>
            <w:rFonts w:cs="Arial"/>
          </w:rPr>
          <w:t>https://www.england.nhs.uk/long-read/summary-of-south-east-region-virtual-wards-evaluation/</w:t>
        </w:r>
      </w:hyperlink>
      <w:r w:rsidR="004668C0" w:rsidRPr="006E5F9D">
        <w:rPr>
          <w:rFonts w:cs="Arial"/>
        </w:rPr>
        <w:t xml:space="preserve"> </w:t>
      </w:r>
      <w:r w:rsidRPr="006E5F9D">
        <w:rPr>
          <w:rFonts w:cs="Arial"/>
        </w:rPr>
        <w:t>(Accessed: 30 September 2026).</w:t>
      </w:r>
    </w:p>
    <w:p w14:paraId="5F2770ED" w14:textId="0E686CD9" w:rsidR="00802A2A" w:rsidRPr="006E5F9D" w:rsidRDefault="00000000">
      <w:pPr>
        <w:spacing w:line="276" w:lineRule="auto"/>
        <w:rPr>
          <w:rFonts w:cs="Arial"/>
        </w:rPr>
      </w:pPr>
      <w:r w:rsidRPr="006E5F9D">
        <w:rPr>
          <w:rFonts w:cs="Arial"/>
        </w:rPr>
        <w:t xml:space="preserve">NHS England (2026) </w:t>
      </w:r>
      <w:r w:rsidRPr="006E5F9D">
        <w:rPr>
          <w:rFonts w:cs="Arial"/>
          <w:i/>
        </w:rPr>
        <w:t>Virtual wards</w:t>
      </w:r>
      <w:r w:rsidRPr="006E5F9D">
        <w:rPr>
          <w:rFonts w:cs="Arial"/>
        </w:rPr>
        <w:t xml:space="preserve">. Available at: </w:t>
      </w:r>
      <w:hyperlink r:id="rId16" w:history="1">
        <w:r w:rsidR="004668C0" w:rsidRPr="006E5F9D">
          <w:rPr>
            <w:rStyle w:val="Hyperlink"/>
            <w:rFonts w:cs="Arial"/>
          </w:rPr>
          <w:t>https://digital.nhs.uk/data-and-information/information-governance/guidance/virtual-wards</w:t>
        </w:r>
      </w:hyperlink>
      <w:r w:rsidR="004668C0" w:rsidRPr="006E5F9D">
        <w:rPr>
          <w:rFonts w:cs="Arial"/>
        </w:rPr>
        <w:t xml:space="preserve"> </w:t>
      </w:r>
      <w:r w:rsidRPr="006E5F9D">
        <w:rPr>
          <w:rFonts w:cs="Arial"/>
        </w:rPr>
        <w:t>(Accessed: 9 October 2026).</w:t>
      </w:r>
    </w:p>
    <w:p w14:paraId="07240C97" w14:textId="39C1E852" w:rsidR="00802A2A" w:rsidRPr="006E5F9D" w:rsidRDefault="00000000">
      <w:pPr>
        <w:spacing w:line="276" w:lineRule="auto"/>
        <w:rPr>
          <w:rFonts w:cs="Arial"/>
        </w:rPr>
      </w:pPr>
      <w:r w:rsidRPr="006E5F9D">
        <w:rPr>
          <w:rFonts w:cs="Arial"/>
        </w:rPr>
        <w:t xml:space="preserve">NICE (2023) </w:t>
      </w:r>
      <w:r w:rsidRPr="006E5F9D">
        <w:rPr>
          <w:rFonts w:cs="Arial"/>
          <w:i/>
        </w:rPr>
        <w:t>Virtual ward platform technologies for acute respiratory infections: Early value assessment. HTG697</w:t>
      </w:r>
      <w:r w:rsidRPr="006E5F9D">
        <w:rPr>
          <w:rFonts w:cs="Arial"/>
        </w:rPr>
        <w:t xml:space="preserve">. Available at: </w:t>
      </w:r>
      <w:hyperlink r:id="rId17" w:history="1">
        <w:r w:rsidR="004668C0" w:rsidRPr="006E5F9D">
          <w:rPr>
            <w:rStyle w:val="Hyperlink"/>
            <w:rFonts w:cs="Arial"/>
          </w:rPr>
          <w:t>https://www.nice.org.uk/guidance/htg697</w:t>
        </w:r>
      </w:hyperlink>
      <w:r w:rsidR="004668C0" w:rsidRPr="006E5F9D">
        <w:rPr>
          <w:rFonts w:cs="Arial"/>
        </w:rPr>
        <w:t xml:space="preserve"> </w:t>
      </w:r>
      <w:r w:rsidRPr="006E5F9D">
        <w:rPr>
          <w:rFonts w:cs="Arial"/>
        </w:rPr>
        <w:t>(Accessed: 3 October 2026).</w:t>
      </w:r>
    </w:p>
    <w:p w14:paraId="0D03C431" w14:textId="6DE7CF24" w:rsidR="00802A2A" w:rsidRPr="006E5F9D" w:rsidRDefault="00000000">
      <w:pPr>
        <w:spacing w:line="276" w:lineRule="auto"/>
        <w:rPr>
          <w:rFonts w:cs="Arial"/>
        </w:rPr>
      </w:pPr>
      <w:r w:rsidRPr="006E5F9D">
        <w:rPr>
          <w:rFonts w:cs="Arial"/>
        </w:rPr>
        <w:t xml:space="preserve">NIHR ARC North East and North Cumbria (2025) </w:t>
      </w:r>
      <w:r w:rsidRPr="006E5F9D">
        <w:rPr>
          <w:rFonts w:cs="Arial"/>
          <w:i/>
        </w:rPr>
        <w:t>Understanding facilitators and challenges to establishing the NHS Northumbria Healthcare Trust Step-Down Virtual Ward</w:t>
      </w:r>
      <w:r w:rsidRPr="006E5F9D">
        <w:rPr>
          <w:rFonts w:cs="Arial"/>
        </w:rPr>
        <w:t xml:space="preserve">. Available at: </w:t>
      </w:r>
      <w:hyperlink r:id="rId18" w:history="1">
        <w:r w:rsidR="004668C0" w:rsidRPr="006E5F9D">
          <w:rPr>
            <w:rStyle w:val="Hyperlink"/>
            <w:rFonts w:cs="Arial"/>
          </w:rPr>
          <w:t>https://arc-nenc.nihr.ac.uk/evidence/understanding-facilitators-and-challenges-to-establishing-the-nhs-northumbria-healthcare-trust-step-down-virtual-ward/</w:t>
        </w:r>
      </w:hyperlink>
      <w:r w:rsidR="004668C0" w:rsidRPr="006E5F9D">
        <w:rPr>
          <w:rFonts w:cs="Arial"/>
        </w:rPr>
        <w:t xml:space="preserve"> </w:t>
      </w:r>
      <w:r w:rsidRPr="006E5F9D">
        <w:rPr>
          <w:rFonts w:cs="Arial"/>
        </w:rPr>
        <w:t>(Accessed: 11 October 2026).</w:t>
      </w:r>
    </w:p>
    <w:p w14:paraId="648A3C47" w14:textId="047EB6E8" w:rsidR="00802A2A" w:rsidRPr="006E5F9D" w:rsidRDefault="00000000">
      <w:pPr>
        <w:spacing w:line="276" w:lineRule="auto"/>
        <w:rPr>
          <w:rFonts w:cs="Arial"/>
        </w:rPr>
      </w:pPr>
      <w:r w:rsidRPr="006E5F9D">
        <w:rPr>
          <w:rFonts w:cs="Arial"/>
        </w:rPr>
        <w:t xml:space="preserve">Shaw, S.E., Marjanovic, S., Papoutsi, C. et al. (2025) </w:t>
      </w:r>
      <w:r w:rsidRPr="006E5F9D">
        <w:rPr>
          <w:rFonts w:cs="Arial"/>
          <w:i/>
        </w:rPr>
        <w:t>Digitally Enabled Care in Diverse Environments (DECIDE): Protocol for a programme of rapid evaluation of technology-enabled remote monitoring in health and social care. NIHR Open Research, 5, article 28</w:t>
      </w:r>
      <w:r w:rsidRPr="006E5F9D">
        <w:rPr>
          <w:rFonts w:cs="Arial"/>
        </w:rPr>
        <w:t xml:space="preserve">. Available at: </w:t>
      </w:r>
      <w:hyperlink r:id="rId19" w:history="1">
        <w:r w:rsidR="004668C0" w:rsidRPr="006E5F9D">
          <w:rPr>
            <w:rStyle w:val="Hyperlink"/>
            <w:rFonts w:cs="Arial"/>
          </w:rPr>
          <w:t>https://openresearch.nihr.ac.uk/articles/5-28</w:t>
        </w:r>
      </w:hyperlink>
      <w:r w:rsidR="004668C0" w:rsidRPr="006E5F9D">
        <w:rPr>
          <w:rFonts w:cs="Arial"/>
        </w:rPr>
        <w:t xml:space="preserve"> </w:t>
      </w:r>
      <w:r w:rsidRPr="006E5F9D">
        <w:rPr>
          <w:rFonts w:cs="Arial"/>
        </w:rPr>
        <w:t>(Accessed: 28 September 2026).</w:t>
      </w:r>
    </w:p>
    <w:p w14:paraId="26375DA4" w14:textId="7A9973CD" w:rsidR="00802A2A" w:rsidRPr="006E5F9D" w:rsidRDefault="00000000">
      <w:pPr>
        <w:spacing w:line="276" w:lineRule="auto"/>
        <w:rPr>
          <w:rFonts w:cs="Arial"/>
        </w:rPr>
      </w:pPr>
      <w:r w:rsidRPr="006E5F9D">
        <w:rPr>
          <w:rFonts w:cs="Arial"/>
        </w:rPr>
        <w:t xml:space="preserve">West Suffolk NHS Foundation Trust (n.d.) </w:t>
      </w:r>
      <w:r w:rsidRPr="006E5F9D">
        <w:rPr>
          <w:rFonts w:cs="Arial"/>
          <w:i/>
        </w:rPr>
        <w:t>Virtual ward</w:t>
      </w:r>
      <w:r w:rsidRPr="006E5F9D">
        <w:rPr>
          <w:rFonts w:cs="Arial"/>
        </w:rPr>
        <w:t xml:space="preserve">. Available at: </w:t>
      </w:r>
      <w:hyperlink r:id="rId20" w:history="1">
        <w:r w:rsidR="004668C0" w:rsidRPr="006E5F9D">
          <w:rPr>
            <w:rStyle w:val="Hyperlink"/>
            <w:rFonts w:cs="Arial"/>
          </w:rPr>
          <w:t>https://www.wsh.nhs.uk/Services-A-Z/Virtual-ward/Virtual-ward.aspx/1000</w:t>
        </w:r>
      </w:hyperlink>
      <w:r w:rsidR="004668C0" w:rsidRPr="006E5F9D">
        <w:rPr>
          <w:rFonts w:cs="Arial"/>
        </w:rPr>
        <w:t xml:space="preserve"> </w:t>
      </w:r>
      <w:r w:rsidRPr="006E5F9D">
        <w:rPr>
          <w:rFonts w:cs="Arial"/>
        </w:rPr>
        <w:t>(Accessed: 6 October 2026).</w:t>
      </w:r>
    </w:p>
    <w:sectPr w:rsidR="00802A2A" w:rsidRPr="006E5F9D" w:rsidSect="00034616">
      <w:footerReference w:type="default" r:id="rId21"/>
      <w:pgSz w:w="11909" w:h="16834"/>
      <w:pgMar w:top="1224" w:right="1296" w:bottom="1224"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4A080" w14:textId="77777777" w:rsidR="00F12C47" w:rsidRDefault="00F12C47">
      <w:pPr>
        <w:spacing w:after="0" w:line="240" w:lineRule="auto"/>
      </w:pPr>
      <w:r>
        <w:separator/>
      </w:r>
    </w:p>
  </w:endnote>
  <w:endnote w:type="continuationSeparator" w:id="0">
    <w:p w14:paraId="23F7A687" w14:textId="77777777" w:rsidR="00F12C47" w:rsidRDefault="00F12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BF9EBB" w14:textId="77777777" w:rsidR="00802A2A" w:rsidRDefault="00000000">
    <w:pPr>
      <w:pStyle w:val="Footer"/>
      <w:jc w:val="center"/>
    </w:pPr>
    <w:r>
      <w:fldChar w:fldCharType="begin"/>
    </w:r>
    <w:r>
      <w:instrText>PAGE</w:instrText>
    </w:r>
    <w:r>
      <w:fldChar w:fldCharType="separate"/>
    </w:r>
    <w:r w:rsidR="004668C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A48D5" w14:textId="77777777" w:rsidR="00F12C47" w:rsidRDefault="00F12C47">
      <w:pPr>
        <w:spacing w:after="0" w:line="240" w:lineRule="auto"/>
      </w:pPr>
      <w:r>
        <w:separator/>
      </w:r>
    </w:p>
  </w:footnote>
  <w:footnote w:type="continuationSeparator" w:id="0">
    <w:p w14:paraId="6578FA1F" w14:textId="77777777" w:rsidR="00F12C47" w:rsidRDefault="00F12C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9809087">
    <w:abstractNumId w:val="8"/>
  </w:num>
  <w:num w:numId="2" w16cid:durableId="591091221">
    <w:abstractNumId w:val="6"/>
  </w:num>
  <w:num w:numId="3" w16cid:durableId="1378162803">
    <w:abstractNumId w:val="5"/>
  </w:num>
  <w:num w:numId="4" w16cid:durableId="919288504">
    <w:abstractNumId w:val="4"/>
  </w:num>
  <w:num w:numId="5" w16cid:durableId="256250494">
    <w:abstractNumId w:val="7"/>
  </w:num>
  <w:num w:numId="6" w16cid:durableId="31271942">
    <w:abstractNumId w:val="3"/>
  </w:num>
  <w:num w:numId="7" w16cid:durableId="903180549">
    <w:abstractNumId w:val="2"/>
  </w:num>
  <w:num w:numId="8" w16cid:durableId="340817392">
    <w:abstractNumId w:val="1"/>
  </w:num>
  <w:num w:numId="9" w16cid:durableId="1434203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668C0"/>
    <w:rsid w:val="006E5F9D"/>
    <w:rsid w:val="00802A2A"/>
    <w:rsid w:val="00AA1D8D"/>
    <w:rsid w:val="00B47730"/>
    <w:rsid w:val="00CB0664"/>
    <w:rsid w:val="00E761C7"/>
    <w:rsid w:val="00F12C4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F235CB7"/>
  <w14:defaultImageDpi w14:val="300"/>
  <w15:docId w15:val="{ED927DE4-EC6C-456F-9555-E58B8AE6E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line="360" w:lineRule="auto"/>
    </w:pPr>
    <w:rPr>
      <w:rFonts w:ascii="Arial" w:hAnsi="Arial"/>
      <w:color w:val="000000"/>
    </w:rPr>
  </w:style>
  <w:style w:type="paragraph" w:styleId="Heading1">
    <w:name w:val="heading 1"/>
    <w:basedOn w:val="Normal"/>
    <w:next w:val="Normal"/>
    <w:link w:val="Heading1Char"/>
    <w:uiPriority w:val="9"/>
    <w:qFormat/>
    <w:rsid w:val="00FC693F"/>
    <w:pPr>
      <w:keepNext/>
      <w:keepLines/>
      <w:spacing w:before="240" w:after="0"/>
      <w:outlineLvl w:val="0"/>
    </w:pPr>
    <w:rPr>
      <w:rFonts w:asciiTheme="majorHAnsi" w:eastAsiaTheme="majorEastAsia" w:hAnsiTheme="majorHAnsi" w:cstheme="majorBidi"/>
      <w:b/>
      <w:bCs/>
      <w:sz w:val="26"/>
      <w:szCs w:val="28"/>
    </w:rPr>
  </w:style>
  <w:style w:type="paragraph" w:styleId="Heading2">
    <w:name w:val="heading 2"/>
    <w:basedOn w:val="Normal"/>
    <w:next w:val="Normal"/>
    <w:link w:val="Heading2Char"/>
    <w:uiPriority w:val="9"/>
    <w:unhideWhenUsed/>
    <w:qFormat/>
    <w:rsid w:val="00FC693F"/>
    <w:pPr>
      <w:keepNext/>
      <w:keepLines/>
      <w:spacing w:before="24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4668C0"/>
    <w:pPr>
      <w:tabs>
        <w:tab w:val="right" w:leader="dot" w:pos="9307"/>
      </w:tabs>
      <w:spacing w:after="0"/>
    </w:pPr>
  </w:style>
  <w:style w:type="character" w:styleId="Hyperlink">
    <w:name w:val="Hyperlink"/>
    <w:basedOn w:val="DefaultParagraphFont"/>
    <w:uiPriority w:val="99"/>
    <w:unhideWhenUsed/>
    <w:rsid w:val="004668C0"/>
    <w:rPr>
      <w:color w:val="0000FF" w:themeColor="hyperlink"/>
      <w:u w:val="single"/>
    </w:rPr>
  </w:style>
  <w:style w:type="character" w:styleId="UnresolvedMention">
    <w:name w:val="Unresolved Mention"/>
    <w:basedOn w:val="DefaultParagraphFont"/>
    <w:uiPriority w:val="99"/>
    <w:semiHidden/>
    <w:unhideWhenUsed/>
    <w:rsid w:val="004668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a-plan-for-digital-health-and-social-care" TargetMode="External"/><Relationship Id="rId13" Type="http://schemas.openxmlformats.org/officeDocument/2006/relationships/hyperlink" Target="https://www.england.nhs.uk/long-read/digital-maturity-assessment" TargetMode="External"/><Relationship Id="rId18" Type="http://schemas.openxmlformats.org/officeDocument/2006/relationships/hyperlink" Target="https://arc-nenc.nihr.ac.uk/evidence/understanding-facilitators-and-challenges-to-establishing-the-nhs-northumbria-healthcare-trust-step-down-virtual-ward/"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england.nhs.uk/long-read/working-in-partnership-with-people-and-communities-statutory-guidance/" TargetMode="External"/><Relationship Id="rId17" Type="http://schemas.openxmlformats.org/officeDocument/2006/relationships/hyperlink" Target="https://www.nice.org.uk/guidance/htg697" TargetMode="External"/><Relationship Id="rId2" Type="http://schemas.openxmlformats.org/officeDocument/2006/relationships/numbering" Target="numbering.xml"/><Relationship Id="rId16" Type="http://schemas.openxmlformats.org/officeDocument/2006/relationships/hyperlink" Target="https://digital.nhs.uk/data-and-information/information-governance/guidance/virtual-wards" TargetMode="External"/><Relationship Id="rId20" Type="http://schemas.openxmlformats.org/officeDocument/2006/relationships/hyperlink" Target="https://www.wsh.nhs.uk/Services-A-Z/Virtual-ward/Virtual-ward.aspx/10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althwatchsuffolk.co.uk/wp-content/uploads/2025/02/Virtual-ward_February-2025.pdf" TargetMode="External"/><Relationship Id="rId5" Type="http://schemas.openxmlformats.org/officeDocument/2006/relationships/webSettings" Target="webSettings.xml"/><Relationship Id="rId15" Type="http://schemas.openxmlformats.org/officeDocument/2006/relationships/hyperlink" Target="https://www.england.nhs.uk/long-read/summary-of-south-east-region-virtual-wards-evaluation/" TargetMode="External"/><Relationship Id="rId23" Type="http://schemas.openxmlformats.org/officeDocument/2006/relationships/theme" Target="theme/theme1.xml"/><Relationship Id="rId10" Type="http://schemas.openxmlformats.org/officeDocument/2006/relationships/hyperlink" Target="https://www.legislation.gov.uk/ukpga/2018/12/contents" TargetMode="External"/><Relationship Id="rId19" Type="http://schemas.openxmlformats.org/officeDocument/2006/relationships/hyperlink" Target="https://openresearch.nihr.ac.uk/articles/5-28" TargetMode="External"/><Relationship Id="rId4" Type="http://schemas.openxmlformats.org/officeDocument/2006/relationships/settings" Target="settings.xml"/><Relationship Id="rId9" Type="http://schemas.openxmlformats.org/officeDocument/2006/relationships/hyperlink" Target="https://www.legislation.gov.uk/ukpga/2010/15/contents" TargetMode="External"/><Relationship Id="rId14" Type="http://schemas.openxmlformats.org/officeDocument/2006/relationships/hyperlink" Target="https://www.england.nhs.uk/long-read/virtual-wards-operational-framewor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2929</Words>
  <Characters>16698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19588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Mohammed Hamid (Student)</cp:lastModifiedBy>
  <cp:revision>3</cp:revision>
  <dcterms:created xsi:type="dcterms:W3CDTF">2013-12-23T23:15:00Z</dcterms:created>
  <dcterms:modified xsi:type="dcterms:W3CDTF">2026-10-15T17:15:00Z</dcterms:modified>
  <cp:category/>
</cp:coreProperties>
</file>