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75D67" w14:textId="77777777" w:rsidR="001F3C01" w:rsidRPr="008E7D1B" w:rsidRDefault="001F3C01" w:rsidP="001F3C01">
      <w:pPr>
        <w:jc w:val="center"/>
        <w:rPr>
          <w:rFonts w:ascii="Arial" w:hAnsi="Arial" w:cs="Arial"/>
        </w:rPr>
      </w:pPr>
      <w:bookmarkStart w:id="0" w:name="OLE_LINK13"/>
      <w:r w:rsidRPr="008E7D1B">
        <w:rPr>
          <w:rFonts w:ascii="Arial" w:hAnsi="Arial" w:cs="Arial"/>
        </w:rPr>
        <w:t>Introduction</w:t>
      </w:r>
    </w:p>
    <w:p w14:paraId="13671316" w14:textId="77777777" w:rsidR="001F3C01" w:rsidRDefault="001F3C01" w:rsidP="001F3C01">
      <w:pPr>
        <w:autoSpaceDE w:val="0"/>
        <w:jc w:val="both"/>
        <w:rPr>
          <w:rFonts w:ascii="Arial" w:hAnsi="Arial" w:cs="Arial"/>
          <w:lang w:val="en-GB" w:eastAsia="zh-CN"/>
        </w:rPr>
      </w:pPr>
      <w:r w:rsidRPr="008E7D1B">
        <w:rPr>
          <w:rFonts w:ascii="Arial" w:hAnsi="Arial" w:cs="Arial" w:hint="eastAsia"/>
          <w:lang w:eastAsia="zh-CN"/>
        </w:rPr>
        <w:t xml:space="preserve">This report documents how </w:t>
      </w:r>
      <w:r>
        <w:rPr>
          <w:rFonts w:ascii="Arial" w:hAnsi="Arial" w:cs="Arial" w:hint="eastAsia"/>
          <w:lang w:eastAsia="zh-CN"/>
        </w:rPr>
        <w:t xml:space="preserve">TO </w:t>
      </w:r>
      <w:r w:rsidRPr="008E7D1B">
        <w:rPr>
          <w:rFonts w:ascii="Arial" w:hAnsi="Arial" w:cs="Arial" w:hint="eastAsia"/>
          <w:lang w:eastAsia="zh-CN"/>
        </w:rPr>
        <w:t>SEE DODO came into being</w:t>
      </w:r>
      <w:r w:rsidRPr="008E7D1B">
        <w:rPr>
          <w:rFonts w:ascii="Arial" w:hAnsi="Arial" w:cs="Arial" w:hint="eastAsia"/>
          <w:lang w:eastAsia="zh-CN"/>
        </w:rPr>
        <w:t>—</w:t>
      </w:r>
      <w:r w:rsidRPr="008E7D1B">
        <w:rPr>
          <w:rFonts w:ascii="Arial" w:hAnsi="Arial" w:cs="Arial" w:hint="eastAsia"/>
          <w:lang w:eastAsia="zh-CN"/>
        </w:rPr>
        <w:t xml:space="preserve">and how I moved from </w:t>
      </w:r>
      <w:r w:rsidRPr="008E7D1B">
        <w:rPr>
          <w:rFonts w:ascii="Arial" w:hAnsi="Arial" w:cs="Arial" w:hint="eastAsia"/>
          <w:lang w:eastAsia="zh-CN"/>
        </w:rPr>
        <w:t>“</w:t>
      </w:r>
      <w:r w:rsidRPr="008E7D1B">
        <w:rPr>
          <w:rFonts w:ascii="Arial" w:hAnsi="Arial" w:cs="Arial" w:hint="eastAsia"/>
          <w:lang w:eastAsia="zh-CN"/>
        </w:rPr>
        <w:t>speaking for animals</w:t>
      </w:r>
      <w:r w:rsidRPr="008E7D1B">
        <w:rPr>
          <w:rFonts w:ascii="Arial" w:hAnsi="Arial" w:cs="Arial" w:hint="eastAsia"/>
          <w:lang w:eastAsia="zh-CN"/>
        </w:rPr>
        <w:t>”</w:t>
      </w:r>
      <w:r w:rsidRPr="008E7D1B">
        <w:rPr>
          <w:rFonts w:ascii="Arial" w:hAnsi="Arial" w:cs="Arial" w:hint="eastAsia"/>
          <w:lang w:eastAsia="zh-CN"/>
        </w:rPr>
        <w:t xml:space="preserve"> to </w:t>
      </w:r>
      <w:r w:rsidRPr="008E7D1B">
        <w:rPr>
          <w:rFonts w:ascii="Arial" w:hAnsi="Arial" w:cs="Arial" w:hint="eastAsia"/>
          <w:lang w:eastAsia="zh-CN"/>
        </w:rPr>
        <w:t>“</w:t>
      </w:r>
      <w:r w:rsidRPr="008E7D1B">
        <w:rPr>
          <w:rFonts w:ascii="Arial" w:hAnsi="Arial" w:cs="Arial" w:hint="eastAsia"/>
          <w:lang w:eastAsia="zh-CN"/>
        </w:rPr>
        <w:t>understanding humans and nudging change.</w:t>
      </w:r>
      <w:r w:rsidRPr="008E7D1B">
        <w:rPr>
          <w:rFonts w:ascii="Arial" w:hAnsi="Arial" w:cs="Arial" w:hint="eastAsia"/>
          <w:lang w:eastAsia="zh-CN"/>
        </w:rPr>
        <w:t>”</w:t>
      </w:r>
      <w:r w:rsidRPr="008E7D1B">
        <w:rPr>
          <w:rFonts w:ascii="Arial" w:hAnsi="Arial" w:cs="Arial" w:hint="eastAsia"/>
          <w:lang w:eastAsia="zh-CN"/>
        </w:rPr>
        <w:t xml:space="preserve"> The starting point was simple: after watching short videos by a grassroots rescuer known as </w:t>
      </w:r>
      <w:r w:rsidRPr="008E7D1B">
        <w:rPr>
          <w:rFonts w:ascii="Arial" w:hAnsi="Arial" w:cs="Arial" w:hint="eastAsia"/>
          <w:lang w:eastAsia="zh-CN"/>
        </w:rPr>
        <w:t>“</w:t>
      </w:r>
      <w:r w:rsidRPr="008E7D1B">
        <w:rPr>
          <w:rFonts w:ascii="Arial" w:hAnsi="Arial" w:cs="Arial" w:hint="eastAsia"/>
          <w:lang w:eastAsia="zh-CN"/>
        </w:rPr>
        <w:t>Lao</w:t>
      </w:r>
      <w:r>
        <w:rPr>
          <w:rFonts w:ascii="Arial" w:hAnsi="Arial" w:cs="Arial" w:hint="eastAsia"/>
          <w:lang w:eastAsia="zh-CN"/>
        </w:rPr>
        <w:t xml:space="preserve"> F</w:t>
      </w:r>
      <w:r w:rsidRPr="008E7D1B">
        <w:rPr>
          <w:rFonts w:ascii="Arial" w:hAnsi="Arial" w:cs="Arial" w:hint="eastAsia"/>
          <w:lang w:eastAsia="zh-CN"/>
        </w:rPr>
        <w:t>eng Yang,</w:t>
      </w:r>
      <w:r w:rsidRPr="008E7D1B">
        <w:rPr>
          <w:rFonts w:ascii="Arial" w:hAnsi="Arial" w:cs="Arial" w:hint="eastAsia"/>
          <w:lang w:eastAsia="zh-CN"/>
        </w:rPr>
        <w:t>”</w:t>
      </w:r>
      <w:r w:rsidRPr="008E7D1B">
        <w:rPr>
          <w:rFonts w:ascii="Arial" w:hAnsi="Arial" w:cs="Arial" w:hint="eastAsia"/>
          <w:lang w:eastAsia="zh-CN"/>
        </w:rPr>
        <w:t xml:space="preserve"> I felt, up close, the vulnerability and risk stray animals live with. At first I believed the answer lay in conceptual persuasion</w:t>
      </w:r>
      <w:r w:rsidRPr="008E7D1B">
        <w:rPr>
          <w:rFonts w:ascii="Arial" w:hAnsi="Arial" w:cs="Arial" w:hint="eastAsia"/>
          <w:lang w:eastAsia="zh-CN"/>
        </w:rPr>
        <w:t>—</w:t>
      </w:r>
      <w:r w:rsidRPr="008E7D1B">
        <w:rPr>
          <w:rFonts w:ascii="Arial" w:hAnsi="Arial" w:cs="Arial" w:hint="eastAsia"/>
          <w:lang w:eastAsia="zh-CN"/>
        </w:rPr>
        <w:t xml:space="preserve">getting people to accept the term </w:t>
      </w:r>
      <w:r w:rsidRPr="008E7D1B">
        <w:rPr>
          <w:rFonts w:ascii="Arial" w:hAnsi="Arial" w:cs="Arial" w:hint="eastAsia"/>
          <w:lang w:eastAsia="zh-CN"/>
        </w:rPr>
        <w:t>“</w:t>
      </w:r>
      <w:r w:rsidRPr="008E7D1B">
        <w:rPr>
          <w:rFonts w:ascii="Arial" w:hAnsi="Arial" w:cs="Arial" w:hint="eastAsia"/>
          <w:lang w:eastAsia="zh-CN"/>
        </w:rPr>
        <w:t>companion animals.</w:t>
      </w:r>
      <w:r w:rsidRPr="008E7D1B">
        <w:rPr>
          <w:rFonts w:ascii="Arial" w:hAnsi="Arial" w:cs="Arial" w:hint="eastAsia"/>
          <w:lang w:eastAsia="zh-CN"/>
        </w:rPr>
        <w:t>”</w:t>
      </w:r>
      <w:r w:rsidRPr="008E7D1B">
        <w:rPr>
          <w:rFonts w:ascii="Arial" w:hAnsi="Arial" w:cs="Arial" w:hint="eastAsia"/>
          <w:lang w:eastAsia="zh-CN"/>
        </w:rPr>
        <w:t xml:space="preserve"> I soon </w:t>
      </w:r>
      <w:r w:rsidRPr="008E7D1B">
        <w:rPr>
          <w:rFonts w:ascii="Arial" w:hAnsi="Arial" w:cs="Arial"/>
          <w:lang w:eastAsia="zh-CN"/>
        </w:rPr>
        <w:t>realized</w:t>
      </w:r>
      <w:r w:rsidRPr="008E7D1B">
        <w:rPr>
          <w:rFonts w:ascii="Arial" w:hAnsi="Arial" w:cs="Arial" w:hint="eastAsia"/>
          <w:lang w:eastAsia="zh-CN"/>
        </w:rPr>
        <w:t xml:space="preserve"> that beliefs do not flip overnight, and emotion does not automatically become action just because the definition is correct. I therefore reframed the question: within a short, contained experience, how can I help an audience move from being touched to being willing to do something, even a small thing?</w:t>
      </w:r>
    </w:p>
    <w:p w14:paraId="7453DE39" w14:textId="77777777" w:rsidR="001F3C01" w:rsidRPr="000B5E89" w:rsidRDefault="001F3C01" w:rsidP="001F3C01">
      <w:pPr>
        <w:autoSpaceDE w:val="0"/>
        <w:jc w:val="both"/>
        <w:rPr>
          <w:rFonts w:ascii="Arial" w:hAnsi="Arial" w:cs="Arial"/>
          <w:lang w:val="en-GB" w:eastAsia="zh-CN"/>
        </w:rPr>
      </w:pPr>
      <w:r w:rsidRPr="008E7D1B">
        <w:rPr>
          <w:rFonts w:ascii="Arial" w:hAnsi="Arial" w:cs="Arial"/>
          <w:lang w:eastAsia="zh-CN"/>
        </w:rPr>
        <w:t xml:space="preserve">Conceptually, I separate empathy from compassion: the latter is “an action-oriented motivation to relieve suffering that is grounded in empathy” (Lown, 2016). This set the structure and the evaluation lens of the work: not only to arouse feelings, but to design a loop of “emotion → choice → visible consequences → call-to-action (CTA),” and to observe—using a minimal dataset—whether the audience </w:t>
      </w:r>
      <w:proofErr w:type="gramStart"/>
      <w:r w:rsidRPr="008E7D1B">
        <w:rPr>
          <w:rFonts w:ascii="Arial" w:hAnsi="Arial" w:cs="Arial"/>
          <w:lang w:eastAsia="zh-CN"/>
        </w:rPr>
        <w:t>actually arrives</w:t>
      </w:r>
      <w:proofErr w:type="gramEnd"/>
      <w:r w:rsidRPr="008E7D1B">
        <w:rPr>
          <w:rFonts w:ascii="Arial" w:hAnsi="Arial" w:cs="Arial"/>
          <w:lang w:eastAsia="zh-CN"/>
        </w:rPr>
        <w:t xml:space="preserve"> at that doorway to action. Narratively, I draw on the idea of narrative transportation: a three-part arc—Cause (seeing the problem) / Identification (getting close to a specific being) / Hope (visible improvement)—to “carry” the audience into the story (van Laer et al., 2014). Visually, I use a </w:t>
      </w:r>
      <w:proofErr w:type="spellStart"/>
      <w:r w:rsidRPr="008E7D1B">
        <w:rPr>
          <w:rFonts w:ascii="Arial" w:hAnsi="Arial" w:cs="Arial"/>
          <w:lang w:eastAsia="zh-CN"/>
        </w:rPr>
        <w:t>stylised</w:t>
      </w:r>
      <w:proofErr w:type="spellEnd"/>
      <w:r w:rsidRPr="008E7D1B">
        <w:rPr>
          <w:rFonts w:ascii="Arial" w:hAnsi="Arial" w:cs="Arial"/>
          <w:lang w:eastAsia="zh-CN"/>
        </w:rPr>
        <w:t xml:space="preserve">, </w:t>
      </w:r>
      <w:proofErr w:type="spellStart"/>
      <w:r w:rsidRPr="008E7D1B">
        <w:rPr>
          <w:rFonts w:ascii="Arial" w:hAnsi="Arial" w:cs="Arial"/>
          <w:lang w:eastAsia="zh-CN"/>
        </w:rPr>
        <w:t>cartoonised</w:t>
      </w:r>
      <w:proofErr w:type="spellEnd"/>
      <w:r w:rsidRPr="008E7D1B">
        <w:rPr>
          <w:rFonts w:ascii="Arial" w:hAnsi="Arial" w:cs="Arial"/>
          <w:lang w:eastAsia="zh-CN"/>
        </w:rPr>
        <w:t xml:space="preserve"> front section to avoid the oppressive feeling of looking directly at wounds, followed by a real “hope segment” to anchor the memory peak (Whitley et al., 2020; Hillenbrand &amp; </w:t>
      </w:r>
      <w:proofErr w:type="spellStart"/>
      <w:r w:rsidRPr="008E7D1B">
        <w:rPr>
          <w:rFonts w:ascii="Arial" w:hAnsi="Arial" w:cs="Arial"/>
          <w:lang w:eastAsia="zh-CN"/>
        </w:rPr>
        <w:t>Verrina</w:t>
      </w:r>
      <w:proofErr w:type="spellEnd"/>
      <w:r w:rsidRPr="008E7D1B">
        <w:rPr>
          <w:rFonts w:ascii="Arial" w:hAnsi="Arial" w:cs="Arial"/>
          <w:lang w:eastAsia="zh-CN"/>
        </w:rPr>
        <w:t xml:space="preserve">, 2022). </w:t>
      </w:r>
      <w:r w:rsidRPr="000B5E89">
        <w:rPr>
          <w:rFonts w:ascii="Arial" w:hAnsi="Arial" w:cs="Arial"/>
          <w:lang w:eastAsia="zh-CN"/>
        </w:rPr>
        <w:t xml:space="preserve">Spatially, the guiding lines I saw at the Cheltenham Museum became on-screen soft guidance and “double-positive” options—no forced rejection, and no getting lost. More broadly, research on multisensory exhibitions shows that coordinating light, sound and layout/wayfinding shapes visitors’ emotions and behaviour (Luo, </w:t>
      </w:r>
      <w:proofErr w:type="spellStart"/>
      <w:r w:rsidRPr="000B5E89">
        <w:rPr>
          <w:rFonts w:ascii="Arial" w:hAnsi="Arial" w:cs="Arial"/>
          <w:lang w:eastAsia="zh-CN"/>
        </w:rPr>
        <w:t>Doucé</w:t>
      </w:r>
      <w:proofErr w:type="spellEnd"/>
      <w:r w:rsidRPr="000B5E89">
        <w:rPr>
          <w:rFonts w:ascii="Arial" w:hAnsi="Arial" w:cs="Arial"/>
          <w:lang w:eastAsia="zh-CN"/>
        </w:rPr>
        <w:t xml:space="preserve"> &amp; Nys, 2024).</w:t>
      </w:r>
    </w:p>
    <w:p w14:paraId="5081297E" w14:textId="77777777" w:rsidR="001F3C01" w:rsidRPr="000B5E89" w:rsidRDefault="001F3C01" w:rsidP="001F3C01">
      <w:pPr>
        <w:rPr>
          <w:rFonts w:ascii="SimSun" w:eastAsia="SimSun" w:hAnsi="SimSun" w:cs="SimSun"/>
          <w:color w:val="0E0E0E"/>
          <w:sz w:val="21"/>
          <w:szCs w:val="21"/>
          <w:lang w:val="en-GB" w:eastAsia="zh-CN"/>
        </w:rPr>
      </w:pPr>
    </w:p>
    <w:p w14:paraId="06219920" w14:textId="77777777" w:rsidR="001F3C01" w:rsidRPr="00323778" w:rsidRDefault="001F3C01" w:rsidP="001F3C01">
      <w:pPr>
        <w:rPr>
          <w:rFonts w:ascii=".AppleSystemUIFont" w:eastAsia="Times New Roman" w:hAnsi=".AppleSystemUIFont" w:cs="Times New Roman"/>
          <w:color w:val="0E0E0E"/>
          <w:sz w:val="21"/>
          <w:szCs w:val="21"/>
          <w:lang w:val="en-GB" w:eastAsia="zh-CN"/>
        </w:rPr>
      </w:pPr>
      <w:r w:rsidRPr="008E7D1B">
        <w:rPr>
          <w:rFonts w:ascii="Arial" w:hAnsi="Arial" w:cs="Arial"/>
          <w:lang w:eastAsia="zh-CN"/>
        </w:rPr>
        <w:t>Methodologically, I work with practice-based / research-as-practice. The piece is not a “display surface” for theory but an instrument for inquiry: each playthrough, each choice, and each dwell time—together with a one-page ultra-brief post-test and a couple of peer interviews—feeds back to correct script and copy. Technologically, I abandoned AR and adopted interactive short video: it is more stable, easier to log branches and duration, and easier to cut into short/mobile versions for other contexts. Ethically, I avoid overloading negative affect and keep an “emotional reset” (3-step safe approach + local rescue info), so that being moved has a clear, actionable path instead of ending in helplessness.</w:t>
      </w:r>
    </w:p>
    <w:p w14:paraId="51FC05A4" w14:textId="77777777" w:rsidR="001F3C01" w:rsidRDefault="001F3C01" w:rsidP="001F3C01">
      <w:pPr>
        <w:autoSpaceDE w:val="0"/>
        <w:jc w:val="both"/>
        <w:rPr>
          <w:rFonts w:ascii="Arial" w:hAnsi="Arial" w:cs="Arial"/>
          <w:lang w:eastAsia="zh-CN"/>
        </w:rPr>
      </w:pPr>
      <w:r w:rsidRPr="008E7D1B">
        <w:rPr>
          <w:rFonts w:ascii="Arial" w:hAnsi="Arial" w:cs="Arial"/>
          <w:lang w:eastAsia="zh-CN"/>
        </w:rPr>
        <w:t xml:space="preserve">In a small exploratory sample so far (n = 10), items for emotion and engagement average 4.0–4.6/5; 90% of viewers chose “willing / interested” on the CTA at the end; the median viewing/interaction time is ~142 seconds, suggesting the rhythm is broadly </w:t>
      </w:r>
      <w:r w:rsidRPr="008E7D1B">
        <w:rPr>
          <w:rFonts w:ascii="Arial" w:hAnsi="Arial" w:cs="Arial"/>
          <w:lang w:eastAsia="zh-CN"/>
        </w:rPr>
        <w:lastRenderedPageBreak/>
        <w:t xml:space="preserve">smooth. This does not prove long-term behaviour change </w:t>
      </w:r>
      <w:proofErr w:type="gramStart"/>
      <w:r w:rsidRPr="008E7D1B">
        <w:rPr>
          <w:rFonts w:ascii="Arial" w:hAnsi="Arial" w:cs="Arial"/>
          <w:lang w:eastAsia="zh-CN"/>
        </w:rPr>
        <w:t>yet, but</w:t>
      </w:r>
      <w:proofErr w:type="gramEnd"/>
      <w:r w:rsidRPr="008E7D1B">
        <w:rPr>
          <w:rFonts w:ascii="Arial" w:hAnsi="Arial" w:cs="Arial"/>
          <w:lang w:eastAsia="zh-CN"/>
        </w:rPr>
        <w:t xml:space="preserve"> offers directional evidence that I can push “empathy” half a step closer to “willingness to act.” The next iteration will attach click/scan logs to CTAs and a 7-day follow-up.</w:t>
      </w:r>
    </w:p>
    <w:p w14:paraId="4C713414" w14:textId="77777777" w:rsidR="001F3C01" w:rsidRPr="0014577C" w:rsidRDefault="001F3C01" w:rsidP="001F3C01">
      <w:pPr>
        <w:autoSpaceDE w:val="0"/>
        <w:jc w:val="both"/>
        <w:rPr>
          <w:rFonts w:ascii="Arial" w:hAnsi="Arial" w:cs="Arial"/>
          <w:lang w:eastAsia="zh-CN"/>
        </w:rPr>
      </w:pPr>
      <w:r w:rsidRPr="008E7D1B">
        <w:rPr>
          <w:rFonts w:ascii="Arial" w:hAnsi="Arial" w:cs="Arial"/>
          <w:lang w:eastAsia="zh-CN"/>
        </w:rPr>
        <w:t xml:space="preserve">The report is </w:t>
      </w:r>
      <w:proofErr w:type="spellStart"/>
      <w:r w:rsidRPr="008E7D1B">
        <w:rPr>
          <w:rFonts w:ascii="Arial" w:hAnsi="Arial" w:cs="Arial"/>
          <w:lang w:eastAsia="zh-CN"/>
        </w:rPr>
        <w:t>organised</w:t>
      </w:r>
      <w:proofErr w:type="spellEnd"/>
      <w:r w:rsidRPr="008E7D1B">
        <w:rPr>
          <w:rFonts w:ascii="Arial" w:hAnsi="Arial" w:cs="Arial"/>
          <w:lang w:eastAsia="zh-CN"/>
        </w:rPr>
        <w:t xml:space="preserve"> into three parts: Part I (Research as Practice) lays out the theory and my pivot; Part II (Practice as Research) details the design, iteration and technical choices; Part III (Critical Evaluation) discusses strengths and limitations with data and observation. I end with an actionable checklist that turns</w:t>
      </w:r>
      <w:r>
        <w:rPr>
          <w:rFonts w:ascii="Arial" w:hAnsi="Arial" w:cs="Arial" w:hint="eastAsia"/>
          <w:lang w:eastAsia="zh-CN"/>
        </w:rPr>
        <w:t xml:space="preserve"> </w:t>
      </w:r>
      <w:r w:rsidRPr="008E7D1B">
        <w:rPr>
          <w:rFonts w:ascii="Arial" w:hAnsi="Arial" w:cs="Arial"/>
          <w:lang w:eastAsia="zh-CN"/>
        </w:rPr>
        <w:t>this round of learning into next-round</w:t>
      </w:r>
      <w:r>
        <w:rPr>
          <w:rFonts w:ascii="Arial" w:hAnsi="Arial" w:cs="Arial" w:hint="eastAsia"/>
          <w:lang w:eastAsia="zh-CN"/>
        </w:rPr>
        <w:t xml:space="preserve"> </w:t>
      </w:r>
      <w:r w:rsidRPr="008E7D1B">
        <w:rPr>
          <w:rFonts w:ascii="Arial" w:hAnsi="Arial" w:cs="Arial"/>
          <w:lang w:eastAsia="zh-CN"/>
        </w:rPr>
        <w:t>moves.</w:t>
      </w:r>
    </w:p>
    <w:p w14:paraId="2DE7B264" w14:textId="77777777" w:rsidR="001F3C01" w:rsidRPr="008E7D1B" w:rsidRDefault="001F3C01" w:rsidP="001F3C01">
      <w:pPr>
        <w:topLinePunct/>
        <w:autoSpaceDE w:val="0"/>
        <w:rPr>
          <w:rFonts w:ascii="Arial" w:hAnsi="Arial" w:cs="Arial" w:hint="eastAsia"/>
          <w:lang w:eastAsia="zh-CN"/>
        </w:rPr>
      </w:pPr>
      <w:r w:rsidRPr="008E7D1B">
        <w:rPr>
          <w:rFonts w:ascii="Arial" w:hAnsi="Arial" w:cs="Arial"/>
          <w:lang w:eastAsia="zh-CN"/>
        </w:rPr>
        <w:br/>
      </w:r>
    </w:p>
    <w:p w14:paraId="2CB378FA" w14:textId="77777777" w:rsidR="001F3C01" w:rsidRPr="008E7D1B" w:rsidRDefault="001F3C01" w:rsidP="001F3C01">
      <w:pPr>
        <w:autoSpaceDE w:val="0"/>
        <w:jc w:val="center"/>
        <w:rPr>
          <w:rFonts w:ascii="Arial" w:hAnsi="Arial" w:cs="Arial"/>
          <w:lang w:eastAsia="zh-CN"/>
        </w:rPr>
      </w:pPr>
      <w:r w:rsidRPr="008E7D1B">
        <w:rPr>
          <w:rFonts w:ascii="Arial" w:hAnsi="Arial" w:cs="Arial"/>
          <w:lang w:eastAsia="zh-CN"/>
        </w:rPr>
        <w:t>Part I — Research as Practice</w:t>
      </w:r>
    </w:p>
    <w:p w14:paraId="7C34CFB4"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 xml:space="preserve">I treat </w:t>
      </w:r>
      <w:r>
        <w:rPr>
          <w:rFonts w:ascii="Arial" w:hAnsi="Arial" w:cs="Arial" w:hint="eastAsia"/>
          <w:lang w:eastAsia="zh-CN"/>
        </w:rPr>
        <w:t xml:space="preserve">TO </w:t>
      </w:r>
      <w:r w:rsidRPr="008E7D1B">
        <w:rPr>
          <w:rFonts w:ascii="Arial" w:hAnsi="Arial" w:cs="Arial"/>
          <w:lang w:eastAsia="zh-CN"/>
        </w:rPr>
        <w:t>SEE DODO as a “learn-by-doing” inquiry. Instead of finishing the theory first, I translate key insights on sympathy/empathy/compassion, narrative transportation, interactive narrative, and immersive/multisensory experience directly into shots, interactions, and the end-of-video CTA. In this sense, the piece is both artwork and research tool: it carries my hypothesis about “how empathy can become action,” and it returns evidence—audience paths, brief post-test, interviews—that forces me to revise script and interface. This prototype-driven approach fits research-as-practice.</w:t>
      </w:r>
    </w:p>
    <w:p w14:paraId="11113823"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1.</w:t>
      </w:r>
      <w:r>
        <w:rPr>
          <w:rFonts w:ascii="Arial" w:hAnsi="Arial" w:cs="Arial" w:hint="eastAsia"/>
          <w:lang w:eastAsia="zh-CN"/>
        </w:rPr>
        <w:t xml:space="preserve">1 </w:t>
      </w:r>
      <w:r w:rsidRPr="008E7D1B">
        <w:rPr>
          <w:rFonts w:ascii="Arial" w:hAnsi="Arial" w:cs="Arial"/>
          <w:lang w:eastAsia="zh-CN"/>
        </w:rPr>
        <w:t xml:space="preserve">Conceptual framework: making the </w:t>
      </w:r>
      <w:proofErr w:type="spellStart"/>
      <w:r w:rsidRPr="008E7D1B">
        <w:rPr>
          <w:rFonts w:ascii="Arial" w:hAnsi="Arial" w:cs="Arial"/>
          <w:lang w:eastAsia="zh-CN"/>
        </w:rPr>
        <w:t>empathy→action</w:t>
      </w:r>
      <w:proofErr w:type="spellEnd"/>
      <w:r w:rsidRPr="008E7D1B">
        <w:rPr>
          <w:rFonts w:ascii="Arial" w:hAnsi="Arial" w:cs="Arial"/>
          <w:lang w:eastAsia="zh-CN"/>
        </w:rPr>
        <w:t xml:space="preserve"> path operational</w:t>
      </w:r>
    </w:p>
    <w:p w14:paraId="5CA3410C" w14:textId="77777777" w:rsidR="001F3C01" w:rsidRPr="009649DE" w:rsidRDefault="001F3C01" w:rsidP="001F3C01">
      <w:pPr>
        <w:jc w:val="both"/>
        <w:rPr>
          <w:rFonts w:ascii=".AppleSystemUIFont" w:eastAsia="Times New Roman" w:hAnsi=".AppleSystemUIFont" w:cs="Times New Roman" w:hint="eastAsia"/>
          <w:color w:val="0E0E0E"/>
          <w:sz w:val="21"/>
          <w:szCs w:val="21"/>
          <w:lang w:val="en-GB" w:eastAsia="zh-CN"/>
        </w:rPr>
      </w:pPr>
      <w:r w:rsidRPr="008E7D1B">
        <w:rPr>
          <w:rFonts w:ascii="Arial" w:hAnsi="Arial" w:cs="Arial"/>
          <w:lang w:eastAsia="zh-CN"/>
        </w:rPr>
        <w:t xml:space="preserve">I use a pragmatic definition: compassion is not mere feeling but “an action-oriented motivation to relieve suffering grounded in empathy.” Reviews in medicine and social neuroscience indicate it is malleable to context/training and linked to prosocial behaviour, connection, and positive emotion (Lown, 2016). </w:t>
      </w:r>
      <w:r w:rsidRPr="00950493">
        <w:rPr>
          <w:rFonts w:ascii="Arial" w:hAnsi="Arial" w:cs="Arial"/>
          <w:lang w:eastAsia="zh-CN"/>
        </w:rPr>
        <w:t>Hence the dedicated CTA at the end and the intention endpoint (“willing to learn local rescue options/organisations”). The goal is not to score the viewer, but to check whether the piece helps shift from empathy (“feeling”) to compassion (“wanting to help/acting”), as compassion entails motivation and relational action to alleviate suffering (Lown, 2016, p. 333; see also p. 338 on links to prosocial behaviour).</w:t>
      </w:r>
      <w:r w:rsidRPr="00950493">
        <w:rPr>
          <w:rFonts w:ascii=".AppleSystemUIFont" w:eastAsia="Times New Roman" w:hAnsi=".AppleSystemUIFont" w:cs="Times New Roman"/>
          <w:color w:val="0E0E0E"/>
          <w:sz w:val="21"/>
          <w:szCs w:val="21"/>
          <w:lang w:val="en-GB" w:eastAsia="zh-CN"/>
        </w:rPr>
        <w:t xml:space="preserve">  </w:t>
      </w:r>
    </w:p>
    <w:p w14:paraId="7E035B3F"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To enhance being “carried by the story,” I follow basic transportation logic: transportation is often driven by both closeness to a character and vivid imagery of events. I compress the arc to three acts—Cause (problem set-up), Identification (first/second person), and Hope (visible improvement)—and anchor the story around one named dog, Dodo, instead of an abstract group; this aligns with the Extended Transportation-Imagery Model (ETIM) findings on “character empathy + imagery → attitude/intent” (van Laer et al., 2014).</w:t>
      </w:r>
    </w:p>
    <w:p w14:paraId="61D083AF"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 xml:space="preserve">On interaction, I adopt a structure of “multi-node, shallow-branch, strong-mainline”: six interaction nodes in total; each node offers two “double-positive” action choices with a short decision window; each choice produces an immediate visual consequence and quickly returns to the mainline. This embeds interaction into the narrative spine rather </w:t>
      </w:r>
      <w:r w:rsidRPr="008E7D1B">
        <w:rPr>
          <w:rFonts w:ascii="Arial" w:hAnsi="Arial" w:cs="Arial"/>
          <w:lang w:eastAsia="zh-CN"/>
        </w:rPr>
        <w:lastRenderedPageBreak/>
        <w:t>than letting it overshadow the story. Evidence from interactive narrative and meta-analyses suggests that when interaction is wrapped by a strong narrative, engagement and empathy are more stable—and the transportation effect can even show “sleeper” characteristics (van Laer et al., 2014).</w:t>
      </w:r>
    </w:p>
    <w:p w14:paraId="1758BDE6" w14:textId="77777777" w:rsidR="001F3C01" w:rsidRDefault="001F3C01" w:rsidP="001F3C01">
      <w:pPr>
        <w:jc w:val="both"/>
        <w:rPr>
          <w:rFonts w:ascii="Arial" w:hAnsi="Arial" w:cs="Arial"/>
          <w:lang w:eastAsia="zh-CN"/>
        </w:rPr>
      </w:pPr>
      <w:r w:rsidRPr="008E7D1B">
        <w:rPr>
          <w:rFonts w:ascii="Arial" w:hAnsi="Arial" w:cs="Arial"/>
          <w:lang w:eastAsia="zh-CN"/>
        </w:rPr>
        <w:t xml:space="preserve">In presentation, I start with portrait-like close-ups to capture attention and emotional proximity, then transition to real-world scenes and recovery to carry understanding and hope. Research on animal imagery suggests such portraiture activates affect and pro-animal attitudes (Whitley et al., 2020). </w:t>
      </w:r>
      <w:r w:rsidRPr="00062EAD">
        <w:rPr>
          <w:rFonts w:ascii="Arial" w:hAnsi="Arial" w:cs="Arial"/>
          <w:lang w:eastAsia="zh-CN"/>
        </w:rPr>
        <w:t xml:space="preserve">Meanwhile, I cap the intensity of negative scenes: experiments show an asymmetric effect of narratives on </w:t>
      </w:r>
      <w:proofErr w:type="spellStart"/>
      <w:r w:rsidRPr="00062EAD">
        <w:rPr>
          <w:rFonts w:ascii="Arial" w:hAnsi="Arial" w:cs="Arial"/>
          <w:lang w:eastAsia="zh-CN"/>
        </w:rPr>
        <w:t>prosociality</w:t>
      </w:r>
      <w:proofErr w:type="spellEnd"/>
      <w:r w:rsidRPr="00062EAD">
        <w:rPr>
          <w:rFonts w:ascii="Arial" w:hAnsi="Arial" w:cs="Arial"/>
          <w:lang w:eastAsia="zh-CN"/>
        </w:rPr>
        <w:t xml:space="preserve">—positive narratives increase helping, whereas negative narratives generally do not reduce it and may even slightly raise it (Hillenbrand &amp; </w:t>
      </w:r>
      <w:proofErr w:type="spellStart"/>
      <w:r w:rsidRPr="00062EAD">
        <w:rPr>
          <w:rFonts w:ascii="Arial" w:hAnsi="Arial" w:cs="Arial"/>
          <w:lang w:eastAsia="zh-CN"/>
        </w:rPr>
        <w:t>Verrina</w:t>
      </w:r>
      <w:proofErr w:type="spellEnd"/>
      <w:r w:rsidRPr="00062EAD">
        <w:rPr>
          <w:rFonts w:ascii="Arial" w:hAnsi="Arial" w:cs="Arial"/>
          <w:lang w:eastAsia="zh-CN"/>
        </w:rPr>
        <w:t>, 2022).</w:t>
      </w:r>
    </w:p>
    <w:p w14:paraId="4279D48E" w14:textId="77777777" w:rsidR="001F3C01" w:rsidRPr="005345C3" w:rsidRDefault="001F3C01" w:rsidP="001F3C01">
      <w:pPr>
        <w:jc w:val="both"/>
        <w:rPr>
          <w:rFonts w:ascii="Arial" w:hAnsi="Arial" w:cs="Arial"/>
          <w:lang w:eastAsia="zh-CN"/>
        </w:rPr>
      </w:pPr>
      <w:r w:rsidRPr="005345C3">
        <w:rPr>
          <w:rFonts w:ascii="Arial" w:hAnsi="Arial" w:cs="Arial"/>
          <w:lang w:eastAsia="zh-CN"/>
        </w:rPr>
        <w:t xml:space="preserve">In copy and camera position, I deliberately use “we / family / companion” language and keep the camera at the dog’s eye level to shorten the self–other distance. Social-psychological work shows including the target in “we” amplifies empathy and </w:t>
      </w:r>
      <w:r w:rsidRPr="005345C3">
        <w:rPr>
          <w:rFonts w:ascii="Arial" w:hAnsi="Arial" w:cs="Arial"/>
        </w:rPr>
        <w:t>prosocial motivation </w:t>
      </w:r>
      <w:r w:rsidRPr="005345C3">
        <w:rPr>
          <w:rFonts w:ascii="Arial" w:hAnsi="Arial" w:cs="Arial"/>
          <w:lang w:eastAsia="zh-CN"/>
        </w:rPr>
        <w:t>(</w:t>
      </w:r>
      <w:bookmarkStart w:id="1" w:name="OLE_LINK8"/>
      <w:r w:rsidRPr="000B5E89">
        <w:rPr>
          <w:rFonts w:ascii="Arial" w:hAnsi="Arial" w:cs="Arial"/>
          <w:color w:val="000000" w:themeColor="text1"/>
          <w:lang w:eastAsia="zh-CN"/>
        </w:rPr>
        <w:t>Miyazono</w:t>
      </w:r>
      <w:bookmarkEnd w:id="1"/>
      <w:r w:rsidRPr="000B5E89">
        <w:rPr>
          <w:rFonts w:ascii="Arial" w:hAnsi="Arial" w:cs="Arial"/>
          <w:color w:val="000000" w:themeColor="text1"/>
          <w:lang w:eastAsia="zh-CN"/>
        </w:rPr>
        <w:t xml:space="preserve"> &amp; </w:t>
      </w:r>
      <w:proofErr w:type="spellStart"/>
      <w:r w:rsidRPr="000B5E89">
        <w:rPr>
          <w:rFonts w:ascii="Arial" w:hAnsi="Arial" w:cs="Arial"/>
          <w:color w:val="000000" w:themeColor="text1"/>
          <w:lang w:eastAsia="zh-CN"/>
        </w:rPr>
        <w:t>Inarimori</w:t>
      </w:r>
      <w:proofErr w:type="spellEnd"/>
      <w:r w:rsidRPr="000B5E89">
        <w:rPr>
          <w:rFonts w:ascii="Arial" w:hAnsi="Arial" w:cs="Arial"/>
          <w:color w:val="000000" w:themeColor="text1"/>
          <w:lang w:eastAsia="zh-CN"/>
        </w:rPr>
        <w:t>, 2021)</w:t>
      </w:r>
      <w:r w:rsidRPr="000B5E89">
        <w:rPr>
          <w:rFonts w:ascii="Arial" w:hAnsi="Arial" w:cs="Arial" w:hint="eastAsia"/>
          <w:color w:val="000000" w:themeColor="text1"/>
          <w:lang w:eastAsia="zh-CN"/>
        </w:rPr>
        <w:t xml:space="preserve"> </w:t>
      </w:r>
      <w:r>
        <w:rPr>
          <w:rFonts w:ascii="Arial" w:hAnsi="Arial" w:cs="Arial"/>
          <w:color w:val="000000" w:themeColor="text1"/>
          <w:lang w:eastAsia="zh-CN"/>
        </w:rPr>
        <w:t>.</w:t>
      </w:r>
    </w:p>
    <w:p w14:paraId="56DC27AC"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 xml:space="preserve">Finally, spatial/multisensory choices are not décor. Reviews of multisensory museum experience emphasise how light, sound field, viewing distance and bodily presence jointly shape comprehension and emotion; integrated orchestration makes the experience smoother (Luo, </w:t>
      </w:r>
      <w:proofErr w:type="spellStart"/>
      <w:r w:rsidRPr="008E7D1B">
        <w:rPr>
          <w:rFonts w:ascii="Arial" w:hAnsi="Arial" w:cs="Arial"/>
          <w:lang w:eastAsia="zh-CN"/>
        </w:rPr>
        <w:t>Doucé</w:t>
      </w:r>
      <w:proofErr w:type="spellEnd"/>
      <w:r w:rsidRPr="008E7D1B">
        <w:rPr>
          <w:rFonts w:ascii="Arial" w:hAnsi="Arial" w:cs="Arial"/>
          <w:lang w:eastAsia="zh-CN"/>
        </w:rPr>
        <w:t xml:space="preserve"> &amp; Nys, 2024). Installation art scholarship also stresses the active bodily role of the viewer (</w:t>
      </w:r>
      <w:proofErr w:type="spellStart"/>
      <w:r>
        <w:rPr>
          <w:rFonts w:ascii="Arial" w:hAnsi="Arial" w:cs="Arial"/>
          <w:lang w:eastAsia="zh-CN"/>
        </w:rPr>
        <w:t>Kühnapfel</w:t>
      </w:r>
      <w:proofErr w:type="spellEnd"/>
      <w:r>
        <w:rPr>
          <w:rFonts w:ascii="Arial" w:hAnsi="Arial" w:cs="Arial"/>
          <w:lang w:eastAsia="zh-CN"/>
        </w:rPr>
        <w:t xml:space="preserve">, Fingerhut &amp; </w:t>
      </w:r>
      <w:proofErr w:type="spellStart"/>
      <w:r>
        <w:rPr>
          <w:rFonts w:ascii="Arial" w:hAnsi="Arial" w:cs="Arial"/>
          <w:lang w:eastAsia="zh-CN"/>
        </w:rPr>
        <w:t>Pelowski</w:t>
      </w:r>
      <w:proofErr w:type="spellEnd"/>
      <w:r>
        <w:rPr>
          <w:rFonts w:ascii="Arial" w:hAnsi="Arial" w:cs="Arial"/>
          <w:lang w:eastAsia="zh-CN"/>
        </w:rPr>
        <w:t>, 2023</w:t>
      </w:r>
      <w:r w:rsidRPr="008E7D1B">
        <w:rPr>
          <w:rFonts w:ascii="Arial" w:hAnsi="Arial" w:cs="Arial"/>
          <w:lang w:eastAsia="zh-CN"/>
        </w:rPr>
        <w:t xml:space="preserve">). I therefore align sound and image along an emotional curve that moves from low-frequency sadness to brightness and lightness in the second </w:t>
      </w:r>
      <w:proofErr w:type="gramStart"/>
      <w:r w:rsidRPr="008E7D1B">
        <w:rPr>
          <w:rFonts w:ascii="Arial" w:hAnsi="Arial" w:cs="Arial"/>
          <w:lang w:eastAsia="zh-CN"/>
        </w:rPr>
        <w:t>half</w:t>
      </w:r>
      <w:proofErr w:type="gramEnd"/>
      <w:r w:rsidRPr="008E7D1B">
        <w:rPr>
          <w:rFonts w:ascii="Arial" w:hAnsi="Arial" w:cs="Arial"/>
          <w:lang w:eastAsia="zh-CN"/>
        </w:rPr>
        <w:t xml:space="preserve"> so that “hope” feels reachable.</w:t>
      </w:r>
    </w:p>
    <w:p w14:paraId="56EAD463"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 xml:space="preserve">I also place the story in China’s governance reality: key pain points include abandonment and uncontrolled breeding at source, weak registration, and incomplete </w:t>
      </w:r>
      <w:proofErr w:type="spellStart"/>
      <w:r w:rsidRPr="008E7D1B">
        <w:rPr>
          <w:rFonts w:ascii="Arial" w:hAnsi="Arial" w:cs="Arial"/>
          <w:lang w:eastAsia="zh-CN"/>
        </w:rPr>
        <w:t>specialised</w:t>
      </w:r>
      <w:proofErr w:type="spellEnd"/>
      <w:r w:rsidRPr="008E7D1B">
        <w:rPr>
          <w:rFonts w:ascii="Arial" w:hAnsi="Arial" w:cs="Arial"/>
          <w:lang w:eastAsia="zh-CN"/>
        </w:rPr>
        <w:t xml:space="preserve"> legislation. The end card avoids </w:t>
      </w:r>
      <w:proofErr w:type="spellStart"/>
      <w:r w:rsidRPr="008E7D1B">
        <w:rPr>
          <w:rFonts w:ascii="Arial" w:hAnsi="Arial" w:cs="Arial"/>
          <w:lang w:eastAsia="zh-CN"/>
        </w:rPr>
        <w:t>moralising</w:t>
      </w:r>
      <w:proofErr w:type="spellEnd"/>
      <w:r w:rsidRPr="008E7D1B">
        <w:rPr>
          <w:rFonts w:ascii="Arial" w:hAnsi="Arial" w:cs="Arial"/>
          <w:lang w:eastAsia="zh-CN"/>
        </w:rPr>
        <w:t>; instead, it offers a path (education, rescue, basic knowledge) that channels goodwill toward executable steps (Yang, 2021).</w:t>
      </w:r>
    </w:p>
    <w:p w14:paraId="09E2D12E" w14:textId="77777777" w:rsidR="001F3C01" w:rsidRPr="008E7D1B" w:rsidRDefault="001F3C01" w:rsidP="001F3C01">
      <w:pPr>
        <w:autoSpaceDE w:val="0"/>
        <w:jc w:val="both"/>
        <w:rPr>
          <w:rFonts w:ascii="Arial" w:hAnsi="Arial" w:cs="Arial"/>
          <w:lang w:eastAsia="zh-CN"/>
        </w:rPr>
      </w:pPr>
    </w:p>
    <w:p w14:paraId="5D7F84D0" w14:textId="77777777" w:rsidR="001F3C01" w:rsidRPr="008E7D1B" w:rsidRDefault="001F3C01" w:rsidP="001F3C01">
      <w:pPr>
        <w:autoSpaceDE w:val="0"/>
        <w:jc w:val="both"/>
        <w:rPr>
          <w:rFonts w:ascii="Arial" w:hAnsi="Arial" w:cs="Arial"/>
          <w:lang w:eastAsia="zh-CN"/>
        </w:rPr>
      </w:pPr>
      <w:r>
        <w:rPr>
          <w:rFonts w:ascii="Arial" w:hAnsi="Arial" w:cs="Arial" w:hint="eastAsia"/>
          <w:lang w:eastAsia="zh-CN"/>
        </w:rPr>
        <w:t>1.</w:t>
      </w:r>
      <w:r w:rsidRPr="008E7D1B">
        <w:rPr>
          <w:rFonts w:ascii="Arial" w:hAnsi="Arial" w:cs="Arial"/>
          <w:lang w:eastAsia="zh-CN"/>
        </w:rPr>
        <w:t>2</w:t>
      </w:r>
      <w:r>
        <w:rPr>
          <w:rFonts w:ascii="Arial" w:hAnsi="Arial" w:cs="Arial" w:hint="eastAsia"/>
          <w:lang w:eastAsia="zh-CN"/>
        </w:rPr>
        <w:t xml:space="preserve"> </w:t>
      </w:r>
      <w:r w:rsidRPr="008E7D1B">
        <w:rPr>
          <w:rFonts w:ascii="Arial" w:hAnsi="Arial" w:cs="Arial"/>
          <w:lang w:eastAsia="zh-CN"/>
        </w:rPr>
        <w:t>Gaps this project aims to fill</w:t>
      </w:r>
    </w:p>
    <w:p w14:paraId="0016F4C3"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(1) Much work on empathy/</w:t>
      </w:r>
      <w:proofErr w:type="spellStart"/>
      <w:r w:rsidRPr="008E7D1B">
        <w:rPr>
          <w:rFonts w:ascii="Arial" w:hAnsi="Arial" w:cs="Arial"/>
          <w:lang w:eastAsia="zh-CN"/>
        </w:rPr>
        <w:t>prosociality</w:t>
      </w:r>
      <w:proofErr w:type="spellEnd"/>
      <w:r w:rsidRPr="008E7D1B">
        <w:rPr>
          <w:rFonts w:ascii="Arial" w:hAnsi="Arial" w:cs="Arial"/>
          <w:lang w:eastAsia="zh-CN"/>
        </w:rPr>
        <w:t xml:space="preserve"> employs VR or large installations. The lighter, scalable format of interactive short video lacks a systematic evidence chain for whether it can push empathy toward action intention.</w:t>
      </w:r>
    </w:p>
    <w:p w14:paraId="0BB87E1D"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(2) Many studies only measure emotion/attitude and rarely make the “action entry” itself an observed endpoint (even if only at the intention level). I embed a CTA and write “willing to learn local organisations/options” into the post-test, aiming to later upgrade to real click/submit logs (Lown, 2016; van Laer et al., 2014).</w:t>
      </w:r>
    </w:p>
    <w:p w14:paraId="3FCAC487" w14:textId="77777777" w:rsidR="001F3C01" w:rsidRDefault="001F3C01" w:rsidP="001F3C01">
      <w:pPr>
        <w:autoSpaceDE w:val="0"/>
        <w:jc w:val="both"/>
        <w:rPr>
          <w:lang w:eastAsia="zh-CN"/>
        </w:rPr>
      </w:pPr>
      <w:r w:rsidRPr="008E7D1B">
        <w:rPr>
          <w:rFonts w:ascii="Arial" w:hAnsi="Arial" w:cs="Arial"/>
          <w:lang w:eastAsia="zh-CN"/>
        </w:rPr>
        <w:lastRenderedPageBreak/>
        <w:t>(3) In the Chinese context, connecting policy routes (registration, neuter, collaboration) to affective narrative lacks a clear pattern. I test “hope segment + info card” as a bridge so viewers can literally “see a way forward” (Yang, 2021).</w:t>
      </w:r>
      <w:r>
        <w:rPr>
          <w:highlight w:val="yellow"/>
        </w:rPr>
        <w:t xml:space="preserve"> </w:t>
      </w:r>
    </w:p>
    <w:p w14:paraId="60E233B2" w14:textId="77777777" w:rsidR="001F3C01" w:rsidRPr="008E7D1B" w:rsidRDefault="001F3C01" w:rsidP="001F3C01">
      <w:pPr>
        <w:autoSpaceDE w:val="0"/>
        <w:jc w:val="both"/>
        <w:rPr>
          <w:rFonts w:ascii="Arial" w:hAnsi="Arial" w:cs="Arial" w:hint="eastAsia"/>
          <w:lang w:eastAsia="zh-CN"/>
        </w:rPr>
      </w:pPr>
    </w:p>
    <w:p w14:paraId="60E61452" w14:textId="77777777" w:rsidR="001F3C01" w:rsidRPr="008E7D1B" w:rsidRDefault="001F3C01" w:rsidP="001F3C01">
      <w:pPr>
        <w:autoSpaceDE w:val="0"/>
        <w:jc w:val="both"/>
        <w:rPr>
          <w:rFonts w:ascii="Arial" w:hAnsi="Arial" w:cs="Arial"/>
          <w:lang w:eastAsia="zh-CN"/>
        </w:rPr>
      </w:pPr>
      <w:r>
        <w:rPr>
          <w:rFonts w:ascii="Arial" w:hAnsi="Arial" w:cs="Arial" w:hint="eastAsia"/>
          <w:lang w:eastAsia="zh-CN"/>
        </w:rPr>
        <w:t>1.</w:t>
      </w:r>
      <w:r w:rsidRPr="008E7D1B">
        <w:rPr>
          <w:rFonts w:ascii="Arial" w:hAnsi="Arial" w:cs="Arial"/>
          <w:lang w:eastAsia="zh-CN"/>
        </w:rPr>
        <w:t>3 Methodological essentials: the piece as “research instrument”</w:t>
      </w:r>
    </w:p>
    <w:p w14:paraId="75A673C3"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 xml:space="preserve">At the Cheltenham Museum I noticed floor/wall guide lines quietly </w:t>
      </w:r>
      <w:proofErr w:type="spellStart"/>
      <w:r w:rsidRPr="008E7D1B">
        <w:rPr>
          <w:rFonts w:ascii="Arial" w:hAnsi="Arial" w:cs="Arial"/>
          <w:lang w:eastAsia="zh-CN"/>
        </w:rPr>
        <w:t>organising</w:t>
      </w:r>
      <w:proofErr w:type="spellEnd"/>
      <w:r w:rsidRPr="008E7D1B">
        <w:rPr>
          <w:rFonts w:ascii="Arial" w:hAnsi="Arial" w:cs="Arial"/>
          <w:lang w:eastAsia="zh-CN"/>
        </w:rPr>
        <w:t xml:space="preserve"> the visit. This “</w:t>
      </w:r>
      <w:proofErr w:type="spellStart"/>
      <w:r w:rsidRPr="008E7D1B">
        <w:rPr>
          <w:rFonts w:ascii="Arial" w:hAnsi="Arial" w:cs="Arial"/>
          <w:lang w:eastAsia="zh-CN"/>
        </w:rPr>
        <w:t>visualising</w:t>
      </w:r>
      <w:proofErr w:type="spellEnd"/>
      <w:r w:rsidRPr="008E7D1B">
        <w:rPr>
          <w:rFonts w:ascii="Arial" w:hAnsi="Arial" w:cs="Arial"/>
          <w:lang w:eastAsia="zh-CN"/>
        </w:rPr>
        <w:t xml:space="preserve"> the path” needed almost no extra words. I ported that idea into </w:t>
      </w:r>
      <w:r>
        <w:rPr>
          <w:rFonts w:ascii="Arial" w:hAnsi="Arial" w:cs="Arial" w:hint="eastAsia"/>
          <w:lang w:eastAsia="zh-CN"/>
        </w:rPr>
        <w:t xml:space="preserve">TO </w:t>
      </w:r>
      <w:r w:rsidRPr="008E7D1B">
        <w:rPr>
          <w:rFonts w:ascii="Arial" w:hAnsi="Arial" w:cs="Arial"/>
          <w:lang w:eastAsia="zh-CN"/>
        </w:rPr>
        <w:t>SEE DODO as on-screen guidance and “double-positive” prompts—not to decide for viewers, but to prevent them from getting lost and to bring them steadily to “choice → visible consequences → CTA,” leaving a clear trail from empathy to intention (van Laer et al., 2014).</w:t>
      </w:r>
    </w:p>
    <w:p w14:paraId="0DB40836"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Setup: the college immersive room; a</w:t>
      </w:r>
      <w:r>
        <w:rPr>
          <w:rFonts w:ascii="Arial" w:hAnsi="Arial" w:cs="Arial"/>
          <w:lang w:eastAsia="zh-CN"/>
        </w:rPr>
        <w:t>n</w:t>
      </w:r>
      <w:r w:rsidRPr="008E7D1B">
        <w:rPr>
          <w:rFonts w:ascii="Arial" w:hAnsi="Arial" w:cs="Arial"/>
          <w:lang w:eastAsia="zh-CN"/>
        </w:rPr>
        <w:t xml:space="preserve"> </w:t>
      </w:r>
      <w:r>
        <w:rPr>
          <w:rFonts w:ascii="Arial" w:hAnsi="Arial" w:cs="Arial" w:hint="eastAsia"/>
          <w:lang w:eastAsia="zh-CN"/>
        </w:rPr>
        <w:t>about</w:t>
      </w:r>
      <w:r>
        <w:rPr>
          <w:rFonts w:ascii="Arial" w:hAnsi="Arial" w:cs="Arial"/>
          <w:lang w:eastAsia="zh-CN"/>
        </w:rPr>
        <w:t xml:space="preserve"> </w:t>
      </w:r>
      <w:r w:rsidRPr="008E7D1B">
        <w:rPr>
          <w:rFonts w:ascii="Arial" w:hAnsi="Arial" w:cs="Arial"/>
          <w:lang w:eastAsia="zh-CN"/>
        </w:rPr>
        <w:t xml:space="preserve">6.2-minute interactive video; six interaction nodes; each node has two options and a brief decision window; a one-page ultra-brief post-test after the experience. Logs include path and time (start/finish, dwell, branch) and attitude/intention (four 1–5 items + the CTA intention item). Analysis uses descriptive stats (means, shares, medians) with a few representative quotes to explain “why.” The point of this “lightweight method” is directionality and iterability, not a one-shot causal claim (Hillenbrand &amp; </w:t>
      </w:r>
      <w:proofErr w:type="spellStart"/>
      <w:r w:rsidRPr="008E7D1B">
        <w:rPr>
          <w:rFonts w:ascii="Arial" w:hAnsi="Arial" w:cs="Arial"/>
          <w:lang w:eastAsia="zh-CN"/>
        </w:rPr>
        <w:t>Verrina</w:t>
      </w:r>
      <w:proofErr w:type="spellEnd"/>
      <w:r w:rsidRPr="008E7D1B">
        <w:rPr>
          <w:rFonts w:ascii="Arial" w:hAnsi="Arial" w:cs="Arial"/>
          <w:lang w:eastAsia="zh-CN"/>
        </w:rPr>
        <w:t>, 2022; van Laer et al., 2014).</w:t>
      </w:r>
    </w:p>
    <w:p w14:paraId="4EABC992" w14:textId="77777777" w:rsidR="001F3C01" w:rsidRPr="00F45265" w:rsidRDefault="001F3C01" w:rsidP="001F3C01">
      <w:pPr>
        <w:jc w:val="both"/>
        <w:rPr>
          <w:rFonts w:ascii="Arial" w:hAnsi="Arial" w:cs="Arial"/>
          <w:lang w:eastAsia="zh-CN"/>
        </w:rPr>
      </w:pPr>
      <w:r w:rsidRPr="00F45265">
        <w:rPr>
          <w:rFonts w:ascii="Arial" w:hAnsi="Arial" w:cs="Arial"/>
          <w:lang w:eastAsia="zh-CN"/>
        </w:rPr>
        <w:t xml:space="preserve">I also keep qualitative complements: class/floor observations and two semi-structured peer interviews (Leon; Mei). They explain phenomena that numbers </w:t>
      </w:r>
      <w:proofErr w:type="gramStart"/>
      <w:r w:rsidRPr="00F45265">
        <w:rPr>
          <w:rFonts w:ascii="Arial" w:hAnsi="Arial" w:cs="Arial"/>
          <w:lang w:eastAsia="zh-CN"/>
        </w:rPr>
        <w:t>miss:</w:t>
      </w:r>
      <w:proofErr w:type="gramEnd"/>
      <w:r w:rsidRPr="00F45265">
        <w:rPr>
          <w:rFonts w:ascii="Arial" w:hAnsi="Arial" w:cs="Arial"/>
          <w:lang w:eastAsia="zh-CN"/>
        </w:rPr>
        <w:t xml:space="preserve"> e.g., the relation between duration and understanding (Leon felt not fully immersed), and the value of point-of-view (POV) POV shots (Mei felt Dodo’s tension “inside the car after rescue,” hence her advice to add more POV). This points to next steps: add a 60–90s optional extension and several POV shots without elongating the core runtime; keep the order of “portrait/close-up → context,” which first captures attention then carries knowledge (Whitley et al., 2020).</w:t>
      </w:r>
    </w:p>
    <w:p w14:paraId="2F60CA98" w14:textId="77777777" w:rsidR="001F3C01" w:rsidRDefault="001F3C01" w:rsidP="001F3C01">
      <w:pPr>
        <w:autoSpaceDE w:val="0"/>
        <w:jc w:val="both"/>
        <w:rPr>
          <w:rFonts w:ascii="Arial" w:hAnsi="Arial" w:cs="Arial"/>
          <w:lang w:eastAsia="zh-CN"/>
        </w:rPr>
      </w:pPr>
      <w:r w:rsidRPr="008E7D1B">
        <w:rPr>
          <w:rFonts w:ascii="Arial" w:hAnsi="Arial" w:cs="Arial"/>
          <w:lang w:eastAsia="zh-CN"/>
        </w:rPr>
        <w:t>From a research-as-practice angle, the key is not statistical significance but the closure of the evidence chain: story → choice → visible consequence → CTA → intention/clicks → interviews/observation. Once this chain runs stably, I can see which link lags—story? interaction? CTA visibility?—and then iterate quickly.</w:t>
      </w:r>
    </w:p>
    <w:p w14:paraId="2F48F9EB" w14:textId="77777777" w:rsidR="001F3C01" w:rsidRPr="008E7D1B" w:rsidRDefault="001F3C01" w:rsidP="001F3C01">
      <w:pPr>
        <w:autoSpaceDE w:val="0"/>
        <w:jc w:val="both"/>
        <w:rPr>
          <w:rFonts w:ascii="Arial" w:hAnsi="Arial" w:cs="Arial" w:hint="eastAsia"/>
          <w:lang w:eastAsia="zh-CN"/>
        </w:rPr>
      </w:pPr>
    </w:p>
    <w:p w14:paraId="1DA877E7" w14:textId="77777777" w:rsidR="001F3C01" w:rsidRPr="008E7D1B" w:rsidRDefault="001F3C01" w:rsidP="001F3C01">
      <w:pPr>
        <w:autoSpaceDE w:val="0"/>
        <w:jc w:val="both"/>
        <w:rPr>
          <w:rFonts w:ascii="Arial" w:hAnsi="Arial" w:cs="Arial"/>
          <w:lang w:eastAsia="zh-CN"/>
        </w:rPr>
      </w:pPr>
      <w:r>
        <w:rPr>
          <w:rFonts w:ascii="Arial" w:hAnsi="Arial" w:cs="Arial" w:hint="eastAsia"/>
          <w:lang w:eastAsia="zh-CN"/>
        </w:rPr>
        <w:t>1.</w:t>
      </w:r>
      <w:r w:rsidRPr="008E7D1B">
        <w:rPr>
          <w:rFonts w:ascii="Arial" w:hAnsi="Arial" w:cs="Arial"/>
          <w:lang w:eastAsia="zh-CN"/>
        </w:rPr>
        <w:t>4 Context &amp; ethics: why I insist on a “positive frame” and a “hope segment”</w:t>
      </w:r>
    </w:p>
    <w:p w14:paraId="630C8FFD" w14:textId="77777777" w:rsidR="001F3C01" w:rsidRPr="008E7D1B" w:rsidRDefault="001F3C01" w:rsidP="001F3C01">
      <w:pPr>
        <w:autoSpaceDE w:val="0"/>
        <w:jc w:val="both"/>
        <w:rPr>
          <w:rFonts w:ascii="Arial" w:hAnsi="Arial" w:cs="Arial"/>
          <w:lang w:eastAsia="zh-CN"/>
        </w:rPr>
      </w:pPr>
      <w:r w:rsidRPr="008E7D1B">
        <w:rPr>
          <w:rFonts w:ascii="Arial" w:hAnsi="Arial" w:cs="Arial"/>
          <w:lang w:eastAsia="zh-CN"/>
        </w:rPr>
        <w:t xml:space="preserve">I avoid fear appeals. Narrative effects on </w:t>
      </w:r>
      <w:proofErr w:type="spellStart"/>
      <w:r w:rsidRPr="008E7D1B">
        <w:rPr>
          <w:rFonts w:ascii="Arial" w:hAnsi="Arial" w:cs="Arial"/>
          <w:lang w:eastAsia="zh-CN"/>
        </w:rPr>
        <w:t>prosociality</w:t>
      </w:r>
      <w:proofErr w:type="spellEnd"/>
      <w:r w:rsidRPr="008E7D1B">
        <w:rPr>
          <w:rFonts w:ascii="Arial" w:hAnsi="Arial" w:cs="Arial"/>
          <w:lang w:eastAsia="zh-CN"/>
        </w:rPr>
        <w:t xml:space="preserve"> can be asymmetric; appropriate positive framing is often more stable than escalating fear/pain (Hillenbrand &amp; </w:t>
      </w:r>
      <w:proofErr w:type="spellStart"/>
      <w:r w:rsidRPr="008E7D1B">
        <w:rPr>
          <w:rFonts w:ascii="Arial" w:hAnsi="Arial" w:cs="Arial"/>
          <w:lang w:eastAsia="zh-CN"/>
        </w:rPr>
        <w:t>Verrina</w:t>
      </w:r>
      <w:proofErr w:type="spellEnd"/>
      <w:r w:rsidRPr="008E7D1B">
        <w:rPr>
          <w:rFonts w:ascii="Arial" w:hAnsi="Arial" w:cs="Arial"/>
          <w:lang w:eastAsia="zh-CN"/>
        </w:rPr>
        <w:t>, 2022). Over-dramatized suffering also risks vicarious trauma/compassion fatigue. A measured “reset”—visible improvement, a gentle recap, and a clear CTA—both protects viewers and offers a realistic path to act (Lown, 2016).</w:t>
      </w:r>
      <w:r>
        <w:rPr>
          <w:highlight w:val="yellow"/>
        </w:rPr>
        <w:t xml:space="preserve"> </w:t>
      </w:r>
    </w:p>
    <w:p w14:paraId="73FCCA27" w14:textId="77777777" w:rsidR="001F3C01" w:rsidRPr="008E7D1B" w:rsidRDefault="001F3C01" w:rsidP="001F3C01">
      <w:pPr>
        <w:autoSpaceDE w:val="0"/>
        <w:jc w:val="both"/>
        <w:rPr>
          <w:rFonts w:ascii="Arial" w:hAnsi="Arial" w:cs="Arial"/>
          <w:lang w:eastAsia="zh-CN"/>
        </w:rPr>
      </w:pPr>
      <w:r w:rsidRPr="005F30B0">
        <w:rPr>
          <w:rFonts w:ascii="Arial" w:hAnsi="Arial" w:cs="Arial"/>
          <w:lang w:eastAsia="zh-CN"/>
        </w:rPr>
        <w:lastRenderedPageBreak/>
        <w:t xml:space="preserve">Ethics, consent and care. </w:t>
      </w:r>
      <w:r w:rsidRPr="008E7D1B">
        <w:rPr>
          <w:rFonts w:ascii="Arial" w:hAnsi="Arial" w:cs="Arial"/>
          <w:lang w:eastAsia="zh-CN"/>
        </w:rPr>
        <w:t xml:space="preserve">The work was designed to protect viewers while keeping the path to action clear. Before entry, participants received a brief consent note (anonymous, voluntary, withdraw any time) and a content advisory (scenes of injury implied through </w:t>
      </w:r>
      <w:proofErr w:type="spellStart"/>
      <w:r w:rsidRPr="008E7D1B">
        <w:rPr>
          <w:rFonts w:ascii="Arial" w:hAnsi="Arial" w:cs="Arial"/>
          <w:lang w:eastAsia="zh-CN"/>
        </w:rPr>
        <w:t>stylised</w:t>
      </w:r>
      <w:proofErr w:type="spellEnd"/>
      <w:r w:rsidRPr="008E7D1B">
        <w:rPr>
          <w:rFonts w:ascii="Arial" w:hAnsi="Arial" w:cs="Arial"/>
          <w:lang w:eastAsia="zh-CN"/>
        </w:rPr>
        <w:t xml:space="preserve"> imagery). Within the piece, I constrained negative scenes and used a </w:t>
      </w:r>
      <w:proofErr w:type="spellStart"/>
      <w:r w:rsidRPr="008E7D1B">
        <w:rPr>
          <w:rFonts w:ascii="Arial" w:hAnsi="Arial" w:cs="Arial"/>
          <w:lang w:eastAsia="zh-CN"/>
        </w:rPr>
        <w:t>cartoonised</w:t>
      </w:r>
      <w:proofErr w:type="spellEnd"/>
      <w:r w:rsidRPr="008E7D1B">
        <w:rPr>
          <w:rFonts w:ascii="Arial" w:hAnsi="Arial" w:cs="Arial"/>
          <w:lang w:eastAsia="zh-CN"/>
        </w:rPr>
        <w:t xml:space="preserve"> front section to prevent shock and avoidance. I also introduced a brief emotional reset after higher-arousal moments and kept the ending explicitly positive, then pointed viewers to a short, actionable info card. This design reflects evidence that prosocial narrative effects are asymmetric (positive frames are often more stable than escalating fear), and that overexposure to suffering can risk vicarious trauma or compassion fatigue (Hillenbrand &amp; </w:t>
      </w:r>
      <w:proofErr w:type="spellStart"/>
      <w:r w:rsidRPr="008E7D1B">
        <w:rPr>
          <w:rFonts w:ascii="Arial" w:hAnsi="Arial" w:cs="Arial"/>
          <w:lang w:eastAsia="zh-CN"/>
        </w:rPr>
        <w:t>Verrina</w:t>
      </w:r>
      <w:proofErr w:type="spellEnd"/>
      <w:r w:rsidRPr="008E7D1B">
        <w:rPr>
          <w:rFonts w:ascii="Arial" w:hAnsi="Arial" w:cs="Arial"/>
          <w:lang w:eastAsia="zh-CN"/>
        </w:rPr>
        <w:t xml:space="preserve">, 2022; Yi et al., 2025). Post-experience, participants saw the CTA plus a one-page post-test; raw interaction logs were minimal (path/dwell/branch/CTA exposure), stored anonymously, and only used to improve script and interface. The guiding principle was simple: never trap emotion without an </w:t>
      </w:r>
      <w:proofErr w:type="gramStart"/>
      <w:r w:rsidRPr="008E7D1B">
        <w:rPr>
          <w:rFonts w:ascii="Arial" w:hAnsi="Arial" w:cs="Arial"/>
          <w:lang w:eastAsia="zh-CN"/>
        </w:rPr>
        <w:t>exit, and</w:t>
      </w:r>
      <w:proofErr w:type="gramEnd"/>
      <w:r w:rsidRPr="008E7D1B">
        <w:rPr>
          <w:rFonts w:ascii="Arial" w:hAnsi="Arial" w:cs="Arial"/>
          <w:lang w:eastAsia="zh-CN"/>
        </w:rPr>
        <w:t xml:space="preserve"> never collect data that I cannot explain or defend. This balance—care + clarity—is also consistent with compassion training’s emphasis on context-sensitive practice (Lown, 2016).</w:t>
      </w:r>
      <w:r>
        <w:rPr>
          <w:highlight w:val="yellow"/>
        </w:rPr>
        <w:t xml:space="preserve"> </w:t>
      </w:r>
    </w:p>
    <w:p w14:paraId="43E433ED" w14:textId="77777777" w:rsidR="001F3C01" w:rsidRPr="008E7D1B" w:rsidRDefault="001F3C01" w:rsidP="001F3C01">
      <w:pPr>
        <w:autoSpaceDE w:val="0"/>
        <w:jc w:val="both"/>
        <w:rPr>
          <w:rFonts w:ascii="Arial" w:hAnsi="Arial" w:cs="Arial"/>
          <w:lang w:eastAsia="zh-CN"/>
        </w:rPr>
      </w:pPr>
    </w:p>
    <w:p w14:paraId="24A8EB62" w14:textId="77777777" w:rsidR="001F3C01" w:rsidRPr="008E7D1B" w:rsidRDefault="001F3C01" w:rsidP="001F3C01">
      <w:pPr>
        <w:wordWrap w:val="0"/>
        <w:topLinePunct/>
        <w:jc w:val="both"/>
        <w:rPr>
          <w:rFonts w:ascii="Arial" w:hAnsi="Arial" w:cs="Arial"/>
          <w:lang w:eastAsia="zh-CN"/>
        </w:rPr>
      </w:pPr>
      <w:proofErr w:type="gramStart"/>
      <w:r w:rsidRPr="008E7D1B">
        <w:rPr>
          <w:rFonts w:ascii="Arial" w:hAnsi="Arial" w:cs="Arial"/>
          <w:lang w:eastAsia="zh-CN"/>
        </w:rPr>
        <w:t>Mini-summary</w:t>
      </w:r>
      <w:proofErr w:type="gramEnd"/>
      <w:r w:rsidRPr="008E7D1B">
        <w:rPr>
          <w:rFonts w:ascii="Arial" w:hAnsi="Arial" w:cs="Arial"/>
          <w:lang w:eastAsia="zh-CN"/>
        </w:rPr>
        <w:t xml:space="preserve"> (Research as Practice). This part translates “</w:t>
      </w:r>
      <w:proofErr w:type="spellStart"/>
      <w:r w:rsidRPr="008E7D1B">
        <w:rPr>
          <w:rFonts w:ascii="Arial" w:hAnsi="Arial" w:cs="Arial"/>
          <w:lang w:eastAsia="zh-CN"/>
        </w:rPr>
        <w:t>empathy→compassion</w:t>
      </w:r>
      <w:proofErr w:type="spellEnd"/>
      <w:r w:rsidRPr="008E7D1B">
        <w:rPr>
          <w:rFonts w:ascii="Arial" w:hAnsi="Arial" w:cs="Arial"/>
          <w:lang w:eastAsia="zh-CN"/>
        </w:rPr>
        <w:t xml:space="preserve">” into operational narrative and interaction, establishing a “story—choice—visible consequence—CTA” evidence chain. The piece is both artwork and instrument; with rapid iteration, small-sample data and interviews </w:t>
      </w:r>
      <w:proofErr w:type="spellStart"/>
      <w:r w:rsidRPr="008E7D1B">
        <w:rPr>
          <w:rFonts w:ascii="Arial" w:hAnsi="Arial" w:cs="Arial"/>
          <w:lang w:eastAsia="zh-CN"/>
        </w:rPr>
        <w:t>feed back</w:t>
      </w:r>
      <w:proofErr w:type="spellEnd"/>
      <w:r w:rsidRPr="008E7D1B">
        <w:rPr>
          <w:rFonts w:ascii="Arial" w:hAnsi="Arial" w:cs="Arial"/>
          <w:lang w:eastAsia="zh-CN"/>
        </w:rPr>
        <w:t xml:space="preserve"> to script and UI.</w:t>
      </w:r>
      <w:r w:rsidRPr="008E7D1B">
        <w:rPr>
          <w:rFonts w:ascii="Arial" w:hAnsi="Arial" w:cs="Arial"/>
          <w:lang w:eastAsia="zh-CN"/>
        </w:rPr>
        <w:br/>
      </w:r>
    </w:p>
    <w:p w14:paraId="7F5AD1BC" w14:textId="77777777" w:rsidR="001F3C01" w:rsidRPr="008E7D1B" w:rsidRDefault="001F3C01" w:rsidP="001F3C01">
      <w:pPr>
        <w:spacing w:line="360" w:lineRule="auto"/>
        <w:jc w:val="both"/>
        <w:rPr>
          <w:rFonts w:ascii="Arial" w:hAnsi="Arial" w:cs="Arial"/>
          <w:lang w:eastAsia="zh-CN"/>
        </w:rPr>
      </w:pPr>
      <w:r w:rsidRPr="00F45265">
        <w:rPr>
          <w:rFonts w:ascii="Arial" w:hAnsi="Arial" w:cs="Arial"/>
          <w:lang w:eastAsia="zh-CN"/>
        </w:rPr>
        <w:t xml:space="preserve">Positionality and learning pivots. </w:t>
      </w:r>
      <w:r w:rsidRPr="008E7D1B">
        <w:rPr>
          <w:rFonts w:ascii="Arial" w:hAnsi="Arial" w:cs="Arial"/>
          <w:lang w:eastAsia="zh-CN"/>
        </w:rPr>
        <w:t>I started this project believing that the key was to persuade people to accept the term companion animal. Even after I had learned to distinguish empathy from compassion, I still tended to “speak for the animal” rather than “study the person.” Two things shifted me. First, repeated viewing of grassroots rescue videos made it obvious that beliefs rarely flip on the spot; second, tutorial feedback challenged me to design for humans—their attention, rhythms, and small but real decisions. This pivot reframed my goal from “prove a concept” to “offer a realistic first step.” It also reframed my method: instead of trying to measure empathy directly, I would create a pipeline that transports, gives a safe action choice, and then points to a concrete CTA. In short, I moved from advocacy to choice architecture, from a fixed message to a walkable path. The rest of this report documents how that shift shaped narrative, interaction, and evaluation—and why a lighter, verifiable format was more honest to both the audience and the subject matter (Lown, 2016; van Laer et al., 2014).</w:t>
      </w:r>
    </w:p>
    <w:p w14:paraId="5A2D0FE8" w14:textId="77777777" w:rsidR="001F3C01" w:rsidRDefault="001F3C01" w:rsidP="001F3C01">
      <w:pPr>
        <w:jc w:val="both"/>
        <w:rPr>
          <w:rFonts w:ascii="Arial" w:hAnsi="Arial" w:cs="Arial"/>
          <w:lang w:eastAsia="zh-CN"/>
        </w:rPr>
      </w:pPr>
    </w:p>
    <w:p w14:paraId="18942510" w14:textId="77777777" w:rsidR="001F3C01" w:rsidRPr="008E7D1B" w:rsidRDefault="001F3C01" w:rsidP="001F3C01">
      <w:pPr>
        <w:jc w:val="both"/>
        <w:rPr>
          <w:rFonts w:ascii="Arial" w:hAnsi="Arial" w:cs="Arial" w:hint="eastAsia"/>
          <w:lang w:eastAsia="zh-CN"/>
        </w:rPr>
      </w:pPr>
    </w:p>
    <w:p w14:paraId="0DC825CE" w14:textId="77777777" w:rsidR="001F3C01" w:rsidRPr="008E7D1B" w:rsidRDefault="001F3C01" w:rsidP="001F3C01">
      <w:pPr>
        <w:jc w:val="center"/>
        <w:rPr>
          <w:rFonts w:ascii="Arial" w:hAnsi="Arial" w:cs="Arial"/>
        </w:rPr>
      </w:pPr>
      <w:r w:rsidRPr="008E7D1B">
        <w:rPr>
          <w:rFonts w:ascii="Arial" w:hAnsi="Arial" w:cs="Arial"/>
        </w:rPr>
        <w:lastRenderedPageBreak/>
        <w:t>Part II — Practice as Research</w:t>
      </w:r>
    </w:p>
    <w:p w14:paraId="525F003D" w14:textId="77777777" w:rsidR="001F3C01" w:rsidRPr="008E7D1B" w:rsidRDefault="001F3C01" w:rsidP="001F3C01">
      <w:pPr>
        <w:jc w:val="both"/>
        <w:rPr>
          <w:rFonts w:ascii="Arial" w:hAnsi="Arial" w:cs="Arial"/>
        </w:rPr>
      </w:pPr>
      <w:r w:rsidRPr="008E7D1B">
        <w:rPr>
          <w:rFonts w:ascii="Arial" w:hAnsi="Arial" w:cs="Arial"/>
        </w:rPr>
        <w:t>2.1 From inspiration to design: turning “being moved” into a walkable path</w:t>
      </w:r>
    </w:p>
    <w:p w14:paraId="21990B0A" w14:textId="77777777" w:rsidR="001F3C01" w:rsidRPr="008E7D1B" w:rsidRDefault="001F3C01" w:rsidP="001F3C01">
      <w:pPr>
        <w:jc w:val="both"/>
        <w:rPr>
          <w:rFonts w:ascii="Arial" w:hAnsi="Arial" w:cs="Arial"/>
        </w:rPr>
      </w:pPr>
      <w:r w:rsidRPr="008E7D1B">
        <w:rPr>
          <w:rFonts w:ascii="Arial" w:hAnsi="Arial" w:cs="Arial"/>
        </w:rPr>
        <w:t>The initial drive came from real rescue stories and two venue experiences: the immersive atmosphere of a Bristol church, and the floor/wall guide lines at Cheltenham. The former showed me how light, sound, viewing distance and bodily presence shape the emotional curve; the latter showed how “</w:t>
      </w:r>
      <w:proofErr w:type="spellStart"/>
      <w:r w:rsidRPr="008E7D1B">
        <w:rPr>
          <w:rFonts w:ascii="Arial" w:hAnsi="Arial" w:cs="Arial"/>
        </w:rPr>
        <w:t>visualising</w:t>
      </w:r>
      <w:proofErr w:type="spellEnd"/>
      <w:r w:rsidRPr="008E7D1B">
        <w:rPr>
          <w:rFonts w:ascii="Arial" w:hAnsi="Arial" w:cs="Arial"/>
        </w:rPr>
        <w:t xml:space="preserve"> the path” </w:t>
      </w:r>
      <w:proofErr w:type="spellStart"/>
      <w:r w:rsidRPr="008E7D1B">
        <w:rPr>
          <w:rFonts w:ascii="Arial" w:hAnsi="Arial" w:cs="Arial"/>
        </w:rPr>
        <w:t>organises</w:t>
      </w:r>
      <w:proofErr w:type="spellEnd"/>
      <w:r w:rsidRPr="008E7D1B">
        <w:rPr>
          <w:rFonts w:ascii="Arial" w:hAnsi="Arial" w:cs="Arial"/>
        </w:rPr>
        <w:t xml:space="preserve"> the visit without lecturing. I therefore set “story—choice—consequence—CTA” as the minimum viable chain, translating spatial “guide lines” into on-screen prompts and progress hints—not to choose for the viewer, but to prevent getting lost and bring them to “visible consequence → CTA.” This aligns with multisensory exhibition consensus on integrated orchestration of light/sound/distance/prompts/path (Luo, </w:t>
      </w:r>
      <w:proofErr w:type="spellStart"/>
      <w:r w:rsidRPr="008E7D1B">
        <w:rPr>
          <w:rFonts w:ascii="Arial" w:hAnsi="Arial" w:cs="Arial"/>
        </w:rPr>
        <w:t>Doucé</w:t>
      </w:r>
      <w:proofErr w:type="spellEnd"/>
      <w:r w:rsidRPr="008E7D1B">
        <w:rPr>
          <w:rFonts w:ascii="Arial" w:hAnsi="Arial" w:cs="Arial"/>
        </w:rPr>
        <w:t xml:space="preserve"> &amp; Nys, 2024; </w:t>
      </w:r>
      <w:proofErr w:type="spellStart"/>
      <w:r>
        <w:rPr>
          <w:rFonts w:ascii="Arial" w:hAnsi="Arial" w:cs="Arial"/>
        </w:rPr>
        <w:t>Kühnapfel</w:t>
      </w:r>
      <w:proofErr w:type="spellEnd"/>
      <w:r>
        <w:rPr>
          <w:rFonts w:ascii="Arial" w:hAnsi="Arial" w:cs="Arial"/>
        </w:rPr>
        <w:t xml:space="preserve">, Fingerhut &amp; </w:t>
      </w:r>
      <w:proofErr w:type="spellStart"/>
      <w:r>
        <w:rPr>
          <w:rFonts w:ascii="Arial" w:hAnsi="Arial" w:cs="Arial"/>
        </w:rPr>
        <w:t>Pelowski</w:t>
      </w:r>
      <w:proofErr w:type="spellEnd"/>
      <w:r>
        <w:rPr>
          <w:rFonts w:ascii="Arial" w:hAnsi="Arial" w:cs="Arial"/>
        </w:rPr>
        <w:t>, 2023</w:t>
      </w:r>
      <w:r w:rsidRPr="008E7D1B">
        <w:rPr>
          <w:rFonts w:ascii="Arial" w:hAnsi="Arial" w:cs="Arial"/>
        </w:rPr>
        <w:t>).</w:t>
      </w:r>
    </w:p>
    <w:p w14:paraId="0749412C" w14:textId="77777777" w:rsidR="001F3C01" w:rsidRPr="008E7D1B" w:rsidRDefault="001F3C01" w:rsidP="001F3C01">
      <w:pPr>
        <w:jc w:val="both"/>
        <w:rPr>
          <w:rFonts w:ascii="Arial" w:hAnsi="Arial" w:cs="Arial"/>
        </w:rPr>
      </w:pPr>
      <w:r w:rsidRPr="008E7D1B">
        <w:rPr>
          <w:rFonts w:ascii="Arial" w:hAnsi="Arial" w:cs="Arial"/>
        </w:rPr>
        <w:t>2.2 Iterations: from a confused Demo 1 to a coherent Demo 2</w:t>
      </w:r>
    </w:p>
    <w:p w14:paraId="2055F3DA" w14:textId="77777777" w:rsidR="001F3C01" w:rsidRPr="008E7D1B" w:rsidRDefault="001F3C01" w:rsidP="001F3C01">
      <w:pPr>
        <w:jc w:val="both"/>
        <w:rPr>
          <w:rFonts w:ascii="Arial" w:hAnsi="Arial" w:cs="Arial"/>
        </w:rPr>
      </w:pPr>
      <w:r w:rsidRPr="008E7D1B">
        <w:rPr>
          <w:rFonts w:ascii="Arial" w:hAnsi="Arial" w:cs="Arial"/>
        </w:rPr>
        <w:t>Demo 1 (post-mortem). My first “interactive mini-game” prototype was loose: dog’s-eye shots of a dirty street and a prompt to “choose your feeling.” In practice it “tested emotion more than it led to action,” with no causal coupling between narrative and choices, and I had not articulated my own definitions of sympathy/empathy/compassion. Class feedback pushed me to pivot from empathy to compassion (empathy + action) and to make the piece provide a path and evidence for action rather than treat “measuring feelings” as the goal (Lown, 2016).</w:t>
      </w:r>
      <w:r>
        <w:rPr>
          <w:highlight w:val="yellow"/>
        </w:rPr>
        <w:t xml:space="preserve"> </w:t>
      </w:r>
    </w:p>
    <w:p w14:paraId="1C78B4E2" w14:textId="77777777" w:rsidR="001F3C01" w:rsidRPr="008E7D1B" w:rsidRDefault="001F3C01" w:rsidP="001F3C01">
      <w:pPr>
        <w:jc w:val="both"/>
        <w:rPr>
          <w:rFonts w:ascii="Arial" w:hAnsi="Arial" w:cs="Arial"/>
        </w:rPr>
      </w:pPr>
      <w:r w:rsidRPr="008E7D1B">
        <w:rPr>
          <w:rFonts w:ascii="Arial" w:hAnsi="Arial" w:cs="Arial"/>
        </w:rPr>
        <w:t>I then abandoned AR for interactive short video, for two reasons:</w:t>
      </w:r>
    </w:p>
    <w:p w14:paraId="5DC00EE7" w14:textId="77777777" w:rsidR="001F3C01" w:rsidRPr="008E7D1B" w:rsidRDefault="001F3C01" w:rsidP="001F3C01">
      <w:pPr>
        <w:jc w:val="both"/>
        <w:rPr>
          <w:rFonts w:ascii="Arial" w:hAnsi="Arial" w:cs="Arial"/>
        </w:rPr>
      </w:pPr>
      <w:r w:rsidRPr="008E7D1B">
        <w:rPr>
          <w:rFonts w:ascii="Arial" w:hAnsi="Arial" w:cs="Arial"/>
        </w:rPr>
        <w:t xml:space="preserve">• Control &amp; iteration. Within limited time, I need a stable, iterative format that logs branches/duration cleanly. Short-video scripts and branches can be specified and reused; audience paths (choices/dwell/completion) become comparable data—akin to the interactive-art advice to </w:t>
      </w:r>
      <w:proofErr w:type="spellStart"/>
      <w:r w:rsidRPr="008E7D1B">
        <w:rPr>
          <w:rFonts w:ascii="Arial" w:hAnsi="Arial" w:cs="Arial"/>
        </w:rPr>
        <w:t>stabilise</w:t>
      </w:r>
      <w:proofErr w:type="spellEnd"/>
      <w:r w:rsidRPr="008E7D1B">
        <w:rPr>
          <w:rFonts w:ascii="Arial" w:hAnsi="Arial" w:cs="Arial"/>
        </w:rPr>
        <w:t xml:space="preserve"> the strategy/script first, then observe audience tactics (</w:t>
      </w:r>
      <w:proofErr w:type="spellStart"/>
      <w:r w:rsidRPr="008E7D1B">
        <w:rPr>
          <w:rFonts w:ascii="Arial" w:hAnsi="Arial" w:cs="Arial"/>
        </w:rPr>
        <w:t>Kluszczynski</w:t>
      </w:r>
      <w:proofErr w:type="spellEnd"/>
      <w:r w:rsidRPr="008E7D1B">
        <w:rPr>
          <w:rFonts w:ascii="Arial" w:hAnsi="Arial" w:cs="Arial"/>
        </w:rPr>
        <w:t>, 2010). Museum HCI work similarly suggests simple, robust interactions run better on site and support “emotional trajectory + data replay,” without hardware showboating.</w:t>
      </w:r>
    </w:p>
    <w:p w14:paraId="2C0894BA" w14:textId="77777777" w:rsidR="001F3C01" w:rsidRPr="008E7D1B" w:rsidRDefault="001F3C01" w:rsidP="001F3C01">
      <w:pPr>
        <w:jc w:val="both"/>
        <w:rPr>
          <w:rFonts w:ascii="Arial" w:hAnsi="Arial" w:cs="Arial"/>
        </w:rPr>
      </w:pPr>
      <w:r w:rsidRPr="008E7D1B">
        <w:rPr>
          <w:rFonts w:ascii="Arial" w:hAnsi="Arial" w:cs="Arial"/>
        </w:rPr>
        <w:t xml:space="preserve">• Narrative &amp; affect match. AR grabs attention </w:t>
      </w:r>
      <w:proofErr w:type="gramStart"/>
      <w:r w:rsidRPr="008E7D1B">
        <w:rPr>
          <w:rFonts w:ascii="Arial" w:hAnsi="Arial" w:cs="Arial"/>
        </w:rPr>
        <w:t>instantly, but</w:t>
      </w:r>
      <w:proofErr w:type="gramEnd"/>
      <w:r w:rsidRPr="008E7D1B">
        <w:rPr>
          <w:rFonts w:ascii="Arial" w:hAnsi="Arial" w:cs="Arial"/>
        </w:rPr>
        <w:t xml:space="preserve"> telling a stray-animal story needs sustained transportation and a visible emotional curve: viewers must both relate to the character and “see” the events unfold in their mind (van Laer et al., 2014). I therefore chose portrait-led stills and a multi-node, shallow-branch, strong-mainline structure: close-ups and portraits first to hook attention and empathy, then real-world context and recovery to carry understanding and the “hope segment.” Animal portraiture more strongly activates affect and pro-animal attitudes than generic ecological images, and positive frames are more stable than fear appeals in prosocial persuasion (Whitley et al., 2020; Hillenbrand &amp; </w:t>
      </w:r>
      <w:proofErr w:type="spellStart"/>
      <w:r w:rsidRPr="008E7D1B">
        <w:rPr>
          <w:rFonts w:ascii="Arial" w:hAnsi="Arial" w:cs="Arial"/>
        </w:rPr>
        <w:t>Verrina</w:t>
      </w:r>
      <w:proofErr w:type="spellEnd"/>
      <w:r w:rsidRPr="008E7D1B">
        <w:rPr>
          <w:rFonts w:ascii="Arial" w:hAnsi="Arial" w:cs="Arial"/>
        </w:rPr>
        <w:t xml:space="preserve">, 2022). Staging it in an immersive room, with integrated light/sound/viewing distance, further supports rhythm (Luo, </w:t>
      </w:r>
      <w:proofErr w:type="spellStart"/>
      <w:r w:rsidRPr="008E7D1B">
        <w:rPr>
          <w:rFonts w:ascii="Arial" w:hAnsi="Arial" w:cs="Arial"/>
        </w:rPr>
        <w:t>Doucé</w:t>
      </w:r>
      <w:proofErr w:type="spellEnd"/>
      <w:r w:rsidRPr="008E7D1B">
        <w:rPr>
          <w:rFonts w:ascii="Arial" w:hAnsi="Arial" w:cs="Arial"/>
        </w:rPr>
        <w:t xml:space="preserve"> &amp; Nys, 2024; </w:t>
      </w:r>
      <w:proofErr w:type="spellStart"/>
      <w:r>
        <w:rPr>
          <w:rFonts w:ascii="Arial" w:hAnsi="Arial" w:cs="Arial"/>
        </w:rPr>
        <w:t>Kühnapfel</w:t>
      </w:r>
      <w:proofErr w:type="spellEnd"/>
      <w:r>
        <w:rPr>
          <w:rFonts w:ascii="Arial" w:hAnsi="Arial" w:cs="Arial"/>
        </w:rPr>
        <w:t xml:space="preserve">, Fingerhut &amp; </w:t>
      </w:r>
      <w:proofErr w:type="spellStart"/>
      <w:r>
        <w:rPr>
          <w:rFonts w:ascii="Arial" w:hAnsi="Arial" w:cs="Arial"/>
        </w:rPr>
        <w:t>Pelowski</w:t>
      </w:r>
      <w:proofErr w:type="spellEnd"/>
      <w:r>
        <w:rPr>
          <w:rFonts w:ascii="Arial" w:hAnsi="Arial" w:cs="Arial"/>
        </w:rPr>
        <w:t>, 2023</w:t>
      </w:r>
      <w:r w:rsidRPr="008E7D1B">
        <w:rPr>
          <w:rFonts w:ascii="Arial" w:hAnsi="Arial" w:cs="Arial"/>
        </w:rPr>
        <w:t>).</w:t>
      </w:r>
    </w:p>
    <w:p w14:paraId="603E711F" w14:textId="77777777" w:rsidR="001F3C01" w:rsidRPr="008E7D1B" w:rsidRDefault="001F3C01" w:rsidP="001F3C01">
      <w:pPr>
        <w:jc w:val="both"/>
        <w:rPr>
          <w:rFonts w:ascii="Arial" w:hAnsi="Arial" w:cs="Arial"/>
        </w:rPr>
      </w:pPr>
      <w:r w:rsidRPr="008E7D1B">
        <w:rPr>
          <w:rFonts w:ascii="Arial" w:hAnsi="Arial" w:cs="Arial"/>
        </w:rPr>
        <w:lastRenderedPageBreak/>
        <w:t xml:space="preserve">Demo 2 (class screening). I kept the runtime to </w:t>
      </w:r>
      <w:r>
        <w:rPr>
          <w:rFonts w:ascii="Arial" w:hAnsi="Arial" w:cs="Arial" w:hint="eastAsia"/>
          <w:lang w:eastAsia="zh-CN"/>
        </w:rPr>
        <w:t>about</w:t>
      </w:r>
      <w:r>
        <w:rPr>
          <w:rFonts w:ascii="Arial" w:hAnsi="Arial" w:cs="Arial"/>
          <w:lang w:eastAsia="zh-CN"/>
        </w:rPr>
        <w:t xml:space="preserve"> </w:t>
      </w:r>
      <w:r w:rsidRPr="008E7D1B">
        <w:rPr>
          <w:rFonts w:ascii="Arial" w:hAnsi="Arial" w:cs="Arial"/>
        </w:rPr>
        <w:t>6.2 minutes and unified volume/</w:t>
      </w:r>
      <w:proofErr w:type="spellStart"/>
      <w:r w:rsidRPr="008E7D1B">
        <w:rPr>
          <w:rFonts w:ascii="Arial" w:hAnsi="Arial" w:cs="Arial"/>
        </w:rPr>
        <w:t>colour</w:t>
      </w:r>
      <w:proofErr w:type="spellEnd"/>
      <w:r w:rsidRPr="008E7D1B">
        <w:rPr>
          <w:rFonts w:ascii="Arial" w:hAnsi="Arial" w:cs="Arial"/>
        </w:rPr>
        <w:t xml:space="preserve"> temperature in the immersive room; the </w:t>
      </w:r>
      <w:r>
        <w:rPr>
          <w:rFonts w:ascii="Arial" w:hAnsi="Arial" w:cs="Arial" w:hint="eastAsia"/>
          <w:lang w:eastAsia="zh-CN"/>
        </w:rPr>
        <w:t>au</w:t>
      </w:r>
      <w:r>
        <w:rPr>
          <w:rFonts w:ascii="Arial" w:hAnsi="Arial" w:cs="Arial"/>
          <w:lang w:eastAsia="zh-CN"/>
        </w:rPr>
        <w:t>dio-visual (</w:t>
      </w:r>
      <w:r w:rsidRPr="008E7D1B">
        <w:rPr>
          <w:rFonts w:ascii="Arial" w:hAnsi="Arial" w:cs="Arial"/>
        </w:rPr>
        <w:t>AV</w:t>
      </w:r>
      <w:r>
        <w:rPr>
          <w:rFonts w:ascii="Arial" w:hAnsi="Arial" w:cs="Arial"/>
        </w:rPr>
        <w:t xml:space="preserve">) </w:t>
      </w:r>
      <w:r w:rsidRPr="008E7D1B">
        <w:rPr>
          <w:rFonts w:ascii="Arial" w:hAnsi="Arial" w:cs="Arial"/>
        </w:rPr>
        <w:t xml:space="preserve">curve moves from low-frequency sadness to brightness. Two key nodes offer double-positive wording (e.g., “How would you comfort me? A: Observe first, then approach. B: Don’t touch yet—contact rescue/guide to safety.”). Both paths trigger visible consequences and converge to the CTA. This “positive frame + consequential branches” supports transportation and prosocial intention (van Laer et al., 2014; Hillenbrand &amp; </w:t>
      </w:r>
      <w:proofErr w:type="spellStart"/>
      <w:r w:rsidRPr="008E7D1B">
        <w:rPr>
          <w:rFonts w:ascii="Arial" w:hAnsi="Arial" w:cs="Arial"/>
        </w:rPr>
        <w:t>Verrina</w:t>
      </w:r>
      <w:proofErr w:type="spellEnd"/>
      <w:r w:rsidRPr="008E7D1B">
        <w:rPr>
          <w:rFonts w:ascii="Arial" w:hAnsi="Arial" w:cs="Arial"/>
        </w:rPr>
        <w:t>, 2022).</w:t>
      </w:r>
    </w:p>
    <w:p w14:paraId="56868C06" w14:textId="77777777" w:rsidR="001F3C01" w:rsidRPr="008E7D1B" w:rsidRDefault="001F3C01" w:rsidP="001F3C01">
      <w:pPr>
        <w:jc w:val="both"/>
        <w:rPr>
          <w:rFonts w:ascii="Arial" w:hAnsi="Arial" w:cs="Arial"/>
        </w:rPr>
      </w:pPr>
      <w:r w:rsidRPr="008E7D1B">
        <w:rPr>
          <w:rFonts w:ascii="Arial" w:hAnsi="Arial" w:cs="Arial"/>
        </w:rPr>
        <w:t xml:space="preserve">I interviewed two peers afterwards: Leon felt emotions were triggered but wanted a bit more time to understand; Mei strongly </w:t>
      </w:r>
      <w:proofErr w:type="spellStart"/>
      <w:r w:rsidRPr="008E7D1B">
        <w:rPr>
          <w:rFonts w:ascii="Arial" w:hAnsi="Arial" w:cs="Arial"/>
        </w:rPr>
        <w:t>empathised</w:t>
      </w:r>
      <w:proofErr w:type="spellEnd"/>
      <w:r w:rsidRPr="008E7D1B">
        <w:rPr>
          <w:rFonts w:ascii="Arial" w:hAnsi="Arial" w:cs="Arial"/>
        </w:rPr>
        <w:t xml:space="preserve"> in the “in the car after rescue” segment and suggested more low-angle POV. Next, I plan to add a 60–90s optional extension and several POV shots without extending the </w:t>
      </w:r>
      <w:proofErr w:type="gramStart"/>
      <w:r w:rsidRPr="008E7D1B">
        <w:rPr>
          <w:rFonts w:ascii="Arial" w:hAnsi="Arial" w:cs="Arial"/>
        </w:rPr>
        <w:t>core, and</w:t>
      </w:r>
      <w:proofErr w:type="gramEnd"/>
      <w:r w:rsidRPr="008E7D1B">
        <w:rPr>
          <w:rFonts w:ascii="Arial" w:hAnsi="Arial" w:cs="Arial"/>
        </w:rPr>
        <w:t xml:space="preserve"> keep the “portrait/close-up → context” order (Whitley et al., 2020).</w:t>
      </w:r>
    </w:p>
    <w:p w14:paraId="02B6B340" w14:textId="77777777" w:rsidR="001F3C01" w:rsidRPr="008E7D1B" w:rsidRDefault="001F3C01" w:rsidP="001F3C01">
      <w:pPr>
        <w:jc w:val="both"/>
        <w:rPr>
          <w:rFonts w:ascii="Arial" w:hAnsi="Arial" w:cs="Arial"/>
        </w:rPr>
      </w:pPr>
      <w:r w:rsidRPr="008E7D1B">
        <w:rPr>
          <w:rFonts w:ascii="Arial" w:hAnsi="Arial" w:cs="Arial"/>
        </w:rPr>
        <w:t>2.3 Key design decisions (Design — Rationale — Evidence)</w:t>
      </w:r>
    </w:p>
    <w:p w14:paraId="36075566" w14:textId="77777777" w:rsidR="001F3C01" w:rsidRPr="008E7D1B" w:rsidRDefault="001F3C01" w:rsidP="001F3C01">
      <w:pPr>
        <w:jc w:val="both"/>
        <w:rPr>
          <w:rFonts w:ascii="Arial" w:hAnsi="Arial" w:cs="Arial"/>
        </w:rPr>
      </w:pPr>
      <w:r w:rsidRPr="008E7D1B">
        <w:rPr>
          <w:rFonts w:ascii="Arial" w:hAnsi="Arial" w:cs="Arial"/>
        </w:rPr>
        <w:t xml:space="preserve">• Multi-node, shallow-branch, strong-mainline. Interaction embedded in a strong narrative tends to </w:t>
      </w:r>
      <w:proofErr w:type="spellStart"/>
      <w:r w:rsidRPr="008E7D1B">
        <w:rPr>
          <w:rFonts w:ascii="Arial" w:hAnsi="Arial" w:cs="Arial"/>
        </w:rPr>
        <w:t>stabilise</w:t>
      </w:r>
      <w:proofErr w:type="spellEnd"/>
      <w:r w:rsidRPr="008E7D1B">
        <w:rPr>
          <w:rFonts w:ascii="Arial" w:hAnsi="Arial" w:cs="Arial"/>
        </w:rPr>
        <w:t xml:space="preserve"> engagement and empathy; too many deep branches dilute attention and affect (van Laer et al., 2014).</w:t>
      </w:r>
    </w:p>
    <w:p w14:paraId="5263F7E8" w14:textId="77777777" w:rsidR="001F3C01" w:rsidRPr="008E7D1B" w:rsidRDefault="001F3C01" w:rsidP="001F3C01">
      <w:pPr>
        <w:jc w:val="both"/>
        <w:rPr>
          <w:rFonts w:ascii="Arial" w:hAnsi="Arial" w:cs="Arial"/>
        </w:rPr>
      </w:pPr>
      <w:r w:rsidRPr="008E7D1B">
        <w:rPr>
          <w:rFonts w:ascii="Arial" w:hAnsi="Arial" w:cs="Arial"/>
        </w:rPr>
        <w:t>• Named individual + 1st/2nd person. ETIM points to “character empathy + event imagery” as twin drivers; I use a named dog, Dodo, and 1st/2nd-person narration to lift proximity (van Laer et al., 2014).</w:t>
      </w:r>
    </w:p>
    <w:p w14:paraId="602A658F" w14:textId="77777777" w:rsidR="001F3C01" w:rsidRDefault="001F3C01" w:rsidP="001F3C01">
      <w:pPr>
        <w:jc w:val="both"/>
        <w:rPr>
          <w:rFonts w:ascii="Arial" w:hAnsi="Arial" w:cs="Arial"/>
          <w:lang w:eastAsia="zh-CN"/>
        </w:rPr>
      </w:pPr>
      <w:r w:rsidRPr="008E7D1B">
        <w:rPr>
          <w:rFonts w:ascii="Arial" w:hAnsi="Arial" w:cs="Arial"/>
        </w:rPr>
        <w:t xml:space="preserve">• Portrait opening + hope ending. Portraiture raises affect and pro-animal attitude; in prosocial persuasion, a positive frame is often more stable than escalating fear/pain (Whitley et al., 2020; Hillenbrand &amp; </w:t>
      </w:r>
      <w:proofErr w:type="spellStart"/>
      <w:r w:rsidRPr="008E7D1B">
        <w:rPr>
          <w:rFonts w:ascii="Arial" w:hAnsi="Arial" w:cs="Arial"/>
        </w:rPr>
        <w:t>Verrina</w:t>
      </w:r>
      <w:proofErr w:type="spellEnd"/>
      <w:r w:rsidRPr="008E7D1B">
        <w:rPr>
          <w:rFonts w:ascii="Arial" w:hAnsi="Arial" w:cs="Arial"/>
        </w:rPr>
        <w:t>, 2022).</w:t>
      </w:r>
    </w:p>
    <w:p w14:paraId="5586F677" w14:textId="77777777" w:rsidR="001F3C01" w:rsidRPr="008E7D1B" w:rsidRDefault="001F3C01" w:rsidP="001F3C01">
      <w:pPr>
        <w:jc w:val="both"/>
        <w:rPr>
          <w:rFonts w:ascii="Arial" w:hAnsi="Arial" w:cs="Arial"/>
        </w:rPr>
      </w:pPr>
      <w:r>
        <w:t xml:space="preserve">• </w:t>
      </w:r>
      <w:r w:rsidRPr="007955CF">
        <w:rPr>
          <w:rFonts w:ascii="Arial" w:hAnsi="Arial" w:cs="Arial"/>
        </w:rPr>
        <w:t xml:space="preserve">Inclusive wording &amp; low camera. Using “we/family/companion” language and a low, dog’s-eye camera height helps include the target in “we”, which is associated with higher empathy and altruistic motivation (Miyazono &amp; </w:t>
      </w:r>
      <w:proofErr w:type="spellStart"/>
      <w:r w:rsidRPr="007955CF">
        <w:rPr>
          <w:rFonts w:ascii="Arial" w:hAnsi="Arial" w:cs="Arial"/>
        </w:rPr>
        <w:t>Inarimori</w:t>
      </w:r>
      <w:proofErr w:type="spellEnd"/>
      <w:r w:rsidRPr="007955CF">
        <w:rPr>
          <w:rFonts w:ascii="Arial" w:hAnsi="Arial" w:cs="Arial"/>
        </w:rPr>
        <w:t>, 2021).</w:t>
      </w:r>
      <w:r>
        <w:t xml:space="preserve"> </w:t>
      </w:r>
    </w:p>
    <w:p w14:paraId="35AA1311" w14:textId="77777777" w:rsidR="001F3C01" w:rsidRPr="008E7D1B" w:rsidRDefault="001F3C01" w:rsidP="001F3C01">
      <w:pPr>
        <w:jc w:val="both"/>
        <w:rPr>
          <w:rFonts w:ascii="Arial" w:hAnsi="Arial" w:cs="Arial"/>
        </w:rPr>
      </w:pPr>
      <w:r w:rsidRPr="008E7D1B">
        <w:rPr>
          <w:rFonts w:ascii="Arial" w:hAnsi="Arial" w:cs="Arial"/>
        </w:rPr>
        <w:t xml:space="preserve">• Space &amp; multisensory. Immersion is not </w:t>
      </w:r>
      <w:proofErr w:type="gramStart"/>
      <w:r w:rsidRPr="008E7D1B">
        <w:rPr>
          <w:rFonts w:ascii="Arial" w:hAnsi="Arial" w:cs="Arial"/>
        </w:rPr>
        <w:t>screen</w:t>
      </w:r>
      <w:proofErr w:type="gramEnd"/>
      <w:r w:rsidRPr="008E7D1B">
        <w:rPr>
          <w:rFonts w:ascii="Arial" w:hAnsi="Arial" w:cs="Arial"/>
        </w:rPr>
        <w:t xml:space="preserve"> size alone; integrating light, sound, viewing distance and bodily presence supports comprehension and emotional stability (Luo, </w:t>
      </w:r>
      <w:proofErr w:type="spellStart"/>
      <w:r w:rsidRPr="008E7D1B">
        <w:rPr>
          <w:rFonts w:ascii="Arial" w:hAnsi="Arial" w:cs="Arial"/>
        </w:rPr>
        <w:t>Doucé</w:t>
      </w:r>
      <w:proofErr w:type="spellEnd"/>
      <w:r w:rsidRPr="008E7D1B">
        <w:rPr>
          <w:rFonts w:ascii="Arial" w:hAnsi="Arial" w:cs="Arial"/>
        </w:rPr>
        <w:t xml:space="preserve"> &amp; Nys, 2024; </w:t>
      </w:r>
      <w:proofErr w:type="spellStart"/>
      <w:r>
        <w:rPr>
          <w:rFonts w:ascii="Arial" w:hAnsi="Arial" w:cs="Arial"/>
        </w:rPr>
        <w:t>Kühnapfel</w:t>
      </w:r>
      <w:proofErr w:type="spellEnd"/>
      <w:r>
        <w:rPr>
          <w:rFonts w:ascii="Arial" w:hAnsi="Arial" w:cs="Arial"/>
        </w:rPr>
        <w:t xml:space="preserve">, Fingerhut &amp; </w:t>
      </w:r>
      <w:proofErr w:type="spellStart"/>
      <w:r>
        <w:rPr>
          <w:rFonts w:ascii="Arial" w:hAnsi="Arial" w:cs="Arial"/>
        </w:rPr>
        <w:t>Pelowski</w:t>
      </w:r>
      <w:proofErr w:type="spellEnd"/>
      <w:r>
        <w:rPr>
          <w:rFonts w:ascii="Arial" w:hAnsi="Arial" w:cs="Arial"/>
        </w:rPr>
        <w:t>, 2023</w:t>
      </w:r>
      <w:r w:rsidRPr="008E7D1B">
        <w:rPr>
          <w:rFonts w:ascii="Arial" w:hAnsi="Arial" w:cs="Arial"/>
        </w:rPr>
        <w:t>).</w:t>
      </w:r>
    </w:p>
    <w:p w14:paraId="58AA32DD" w14:textId="77777777" w:rsidR="001F3C01" w:rsidRPr="008E7D1B" w:rsidRDefault="001F3C01" w:rsidP="001F3C01">
      <w:pPr>
        <w:jc w:val="both"/>
        <w:rPr>
          <w:rFonts w:ascii="Arial" w:hAnsi="Arial" w:cs="Arial"/>
        </w:rPr>
      </w:pPr>
      <w:r w:rsidRPr="008E7D1B">
        <w:rPr>
          <w:rFonts w:ascii="Arial" w:hAnsi="Arial" w:cs="Arial"/>
        </w:rPr>
        <w:t xml:space="preserve">• Choice → consequence → CTA loop. A clearly executable CTA plus a brief post-test item (“willing to learn local rescue options/organisations”) records intention now and can be upgraded to real click/submit logs </w:t>
      </w:r>
      <w:proofErr w:type="gramStart"/>
      <w:r w:rsidRPr="008E7D1B">
        <w:rPr>
          <w:rFonts w:ascii="Arial" w:hAnsi="Arial" w:cs="Arial"/>
        </w:rPr>
        <w:t>later—matching</w:t>
      </w:r>
      <w:proofErr w:type="gramEnd"/>
      <w:r w:rsidRPr="008E7D1B">
        <w:rPr>
          <w:rFonts w:ascii="Arial" w:hAnsi="Arial" w:cs="Arial"/>
        </w:rPr>
        <w:t xml:space="preserve"> the working definition that compassion = empathy + action (Lown, 2016).</w:t>
      </w:r>
      <w:r>
        <w:rPr>
          <w:highlight w:val="yellow"/>
        </w:rPr>
        <w:t xml:space="preserve"> </w:t>
      </w:r>
    </w:p>
    <w:p w14:paraId="146E3143" w14:textId="77777777" w:rsidR="001F3C01" w:rsidRPr="008E7D1B" w:rsidRDefault="001F3C01" w:rsidP="001F3C01">
      <w:pPr>
        <w:jc w:val="both"/>
        <w:rPr>
          <w:rFonts w:ascii="Arial" w:hAnsi="Arial" w:cs="Arial"/>
        </w:rPr>
      </w:pPr>
      <w:r w:rsidRPr="008E7D1B">
        <w:rPr>
          <w:rFonts w:ascii="Arial" w:hAnsi="Arial" w:cs="Arial"/>
        </w:rPr>
        <w:t>As strategy language from interactive art, the piece sits closer to “game + spectacle”: audience choices and system responses co-produce the event, while AV rhythm carries narrative pull (</w:t>
      </w:r>
      <w:proofErr w:type="spellStart"/>
      <w:r w:rsidRPr="008E7D1B">
        <w:rPr>
          <w:rFonts w:ascii="Arial" w:hAnsi="Arial" w:cs="Arial"/>
        </w:rPr>
        <w:t>Kluszczynski</w:t>
      </w:r>
      <w:proofErr w:type="spellEnd"/>
      <w:r w:rsidRPr="008E7D1B">
        <w:rPr>
          <w:rFonts w:ascii="Arial" w:hAnsi="Arial" w:cs="Arial"/>
        </w:rPr>
        <w:t>, 2010).</w:t>
      </w:r>
      <w:r>
        <w:rPr>
          <w:highlight w:val="yellow"/>
        </w:rPr>
        <w:t xml:space="preserve"> </w:t>
      </w:r>
    </w:p>
    <w:p w14:paraId="62649D2C" w14:textId="77777777" w:rsidR="001F3C01" w:rsidRDefault="001F3C01" w:rsidP="001F3C01">
      <w:pPr>
        <w:spacing w:line="360" w:lineRule="auto"/>
        <w:jc w:val="both"/>
        <w:rPr>
          <w:rFonts w:ascii="Arial" w:hAnsi="Arial" w:cs="Arial"/>
          <w:lang w:eastAsia="zh-CN"/>
        </w:rPr>
      </w:pPr>
      <w:r w:rsidRPr="001838C5">
        <w:rPr>
          <w:rFonts w:ascii="Arial" w:hAnsi="Arial" w:cs="Arial"/>
          <w:bCs/>
        </w:rPr>
        <w:lastRenderedPageBreak/>
        <w:t>Minimal metrics and logging schema.</w:t>
      </w:r>
      <w:r w:rsidRPr="008E7D1B">
        <w:rPr>
          <w:rFonts w:ascii="Arial" w:hAnsi="Arial" w:cs="Arial"/>
          <w:b/>
        </w:rPr>
        <w:t xml:space="preserve"> </w:t>
      </w:r>
      <w:r w:rsidRPr="008E7D1B">
        <w:rPr>
          <w:rFonts w:ascii="Arial" w:hAnsi="Arial" w:cs="Arial"/>
        </w:rPr>
        <w:t xml:space="preserve">I adopted a minimal sufficient data design aimed at iteration rather than one-shot inference. The log fields </w:t>
      </w:r>
      <w:proofErr w:type="gramStart"/>
      <w:r w:rsidRPr="008E7D1B">
        <w:rPr>
          <w:rFonts w:ascii="Arial" w:hAnsi="Arial" w:cs="Arial"/>
        </w:rPr>
        <w:t>were:</w:t>
      </w:r>
      <w:proofErr w:type="gramEnd"/>
      <w:r w:rsidRPr="008E7D1B">
        <w:rPr>
          <w:rFonts w:ascii="Arial" w:hAnsi="Arial" w:cs="Arial"/>
        </w:rPr>
        <w:t xml:space="preserve"> start/finish timestamps, node-by-node branch choice, per-node dwell time, total dwell, CTA exposure (Y/N) and CTA click/scan (future). These are proximal behavioural proxies, not surrogates for long-term attitudes. Their value lies in diagnosing where the chain weakens: e.g., short dwell before a node may indicate confusing copy or a poorly timed prompt; high drop-off right before the CTA may suggest fatigue or insufficient “hope” to carry the final step. Medians and IQRs are more robust than means for skewed dwell distributions, so I report them alongside completion rate. Qualitative notes (floor observation, short interviews) triangulate why a number looks the way it does—for instance, a slight rise in dwell around the “in-car calming” shot aligns with interviewees’ comments about tension giving way to relief. In later iterations, attaching anonymous scan/click logs to the CTA and running a 7-day follow-up will allow me to separate “willing” from “did” and to estimate short-horizon retention. In sum, the metric plan is modest by design: it is built to steer creative decisions, not to overclaim generality.</w:t>
      </w:r>
    </w:p>
    <w:p w14:paraId="48EE85EA" w14:textId="77777777" w:rsidR="001F3C01" w:rsidRPr="008E7D1B" w:rsidRDefault="001F3C01" w:rsidP="001F3C01">
      <w:pPr>
        <w:spacing w:line="360" w:lineRule="auto"/>
        <w:jc w:val="both"/>
        <w:rPr>
          <w:rFonts w:ascii="Arial" w:hAnsi="Arial" w:cs="Arial" w:hint="eastAsia"/>
          <w:lang w:eastAsia="zh-CN"/>
        </w:rPr>
      </w:pPr>
    </w:p>
    <w:p w14:paraId="4BDC28D5" w14:textId="49BF0BF7" w:rsidR="001F3C01" w:rsidRDefault="001F3C01" w:rsidP="001F3C01">
      <w:pPr>
        <w:autoSpaceDE w:val="0"/>
        <w:rPr>
          <w:rFonts w:ascii="Arial" w:hAnsi="Arial" w:cs="Arial" w:hint="eastAsia"/>
          <w:lang w:eastAsia="zh-CN"/>
        </w:rPr>
      </w:pPr>
      <w:r w:rsidRPr="008E7D1B">
        <w:rPr>
          <w:rFonts w:ascii="Arial" w:hAnsi="Arial" w:cs="Arial"/>
        </w:rPr>
        <w:t>2.4 On emerging tech: light but verifiable</w:t>
      </w:r>
    </w:p>
    <w:p w14:paraId="06CA2A9A" w14:textId="75EACD8A" w:rsidR="001F3C01" w:rsidRDefault="001F3C01" w:rsidP="001F3C01">
      <w:pPr>
        <w:kinsoku w:val="0"/>
        <w:autoSpaceDE w:val="0"/>
        <w:autoSpaceDN w:val="0"/>
        <w:jc w:val="both"/>
        <w:rPr>
          <w:rFonts w:ascii="Arial" w:hAnsi="Arial" w:cs="Arial"/>
          <w:lang w:eastAsia="zh-CN"/>
        </w:rPr>
      </w:pPr>
      <w:r w:rsidRPr="008E7D1B">
        <w:rPr>
          <w:rFonts w:ascii="Arial" w:hAnsi="Arial" w:cs="Arial"/>
        </w:rPr>
        <w:t>I prototype styles and storyboards with AI cartoon sketches, then stitch them with real footage. This avoids avoidance caused by graphic injury scenes and counters the “more misery = more effect” intuition; ending with real recovery and everyday moments makes the hope segment tangible so that what remains in memory is visible improvement—which better supports a move from empathy to willingness to act (e.g., follow, learn rescue steps) (Lown, 2016). Research also suggests</w:t>
      </w:r>
      <w:r>
        <w:rPr>
          <w:rFonts w:ascii="Arial" w:hAnsi="Arial" w:cs="Arial" w:hint="eastAsia"/>
          <w:lang w:eastAsia="zh-CN"/>
        </w:rPr>
        <w:t xml:space="preserve"> </w:t>
      </w:r>
      <w:r w:rsidRPr="008E7D1B">
        <w:rPr>
          <w:rFonts w:ascii="Arial" w:hAnsi="Arial" w:cs="Arial"/>
        </w:rPr>
        <w:t xml:space="preserve">very strong negative stimulation can undermine personification/empathy; visual “soothing + reset” fosters compassionate satisfaction (Yi et al., 2025). Concretely, close-ups hook attention, then the “in-car calming after rescue” real footage settles affect—aligning with evidence that portraiture and positive framing more reliably lift prosocial intention (Whitley et al., 2020; Hillenbrand &amp; </w:t>
      </w:r>
      <w:proofErr w:type="spellStart"/>
      <w:r w:rsidRPr="008E7D1B">
        <w:rPr>
          <w:rFonts w:ascii="Arial" w:hAnsi="Arial" w:cs="Arial"/>
        </w:rPr>
        <w:t>Verrina</w:t>
      </w:r>
      <w:proofErr w:type="spellEnd"/>
      <w:r w:rsidRPr="008E7D1B">
        <w:rPr>
          <w:rFonts w:ascii="Arial" w:hAnsi="Arial" w:cs="Arial"/>
        </w:rPr>
        <w:t>, 2022).</w:t>
      </w:r>
    </w:p>
    <w:p w14:paraId="18589CBC" w14:textId="77777777" w:rsidR="001F3C01" w:rsidRDefault="001F3C01" w:rsidP="001F3C01">
      <w:pPr>
        <w:jc w:val="both"/>
        <w:rPr>
          <w:rFonts w:ascii="Arial" w:hAnsi="Arial" w:cs="Arial"/>
          <w:lang w:eastAsia="zh-CN"/>
        </w:rPr>
      </w:pPr>
    </w:p>
    <w:p w14:paraId="1A819DFC" w14:textId="77777777" w:rsidR="001F3C01" w:rsidRPr="008E7D1B" w:rsidRDefault="001F3C01" w:rsidP="001F3C01">
      <w:pPr>
        <w:jc w:val="both"/>
        <w:rPr>
          <w:rFonts w:ascii="Arial" w:hAnsi="Arial" w:cs="Arial"/>
        </w:rPr>
      </w:pPr>
      <w:r w:rsidRPr="008E7D1B">
        <w:rPr>
          <w:rFonts w:ascii="Arial" w:hAnsi="Arial" w:cs="Arial"/>
        </w:rPr>
        <w:t xml:space="preserve">In peer interviews, both Leon and Mei had never kept pets and were not particularly fond of them. To give “cold-start” viewers a gentle path, each node uses double-positive choices: A = direct, enthusiastic help; B = cautious but still supportive “try.” Both chose B more often. This suggests a gentler path lowers pressure while </w:t>
      </w:r>
      <w:proofErr w:type="gramStart"/>
      <w:r w:rsidRPr="008E7D1B">
        <w:rPr>
          <w:rFonts w:ascii="Arial" w:hAnsi="Arial" w:cs="Arial"/>
        </w:rPr>
        <w:t>still keeping</w:t>
      </w:r>
      <w:proofErr w:type="gramEnd"/>
      <w:r w:rsidRPr="008E7D1B">
        <w:rPr>
          <w:rFonts w:ascii="Arial" w:hAnsi="Arial" w:cs="Arial"/>
        </w:rPr>
        <w:t xml:space="preserve"> people on a supportive track—e.g., “don’t touch yet, but I’ll contact rescue/guide to a safe place.” Neither forces refusal nor allows disengagement; both </w:t>
      </w:r>
      <w:r w:rsidRPr="008E7D1B">
        <w:rPr>
          <w:rFonts w:ascii="Arial" w:hAnsi="Arial" w:cs="Arial"/>
        </w:rPr>
        <w:lastRenderedPageBreak/>
        <w:t>lead to visible consequences and, ultimately, to the end-screen CTA (local organisations / safe-approach guide).</w:t>
      </w:r>
    </w:p>
    <w:p w14:paraId="79967D2C" w14:textId="77777777" w:rsidR="001F3C01" w:rsidRPr="008E7D1B" w:rsidRDefault="001F3C01" w:rsidP="001F3C01">
      <w:pPr>
        <w:rPr>
          <w:rFonts w:ascii="Arial" w:hAnsi="Arial" w:cs="Arial"/>
        </w:rPr>
      </w:pPr>
      <w:proofErr w:type="gramStart"/>
      <w:r w:rsidRPr="008E7D1B">
        <w:rPr>
          <w:rFonts w:ascii="Arial" w:hAnsi="Arial" w:cs="Arial"/>
        </w:rPr>
        <w:t>Mini-summary</w:t>
      </w:r>
      <w:proofErr w:type="gramEnd"/>
      <w:r w:rsidRPr="008E7D1B">
        <w:rPr>
          <w:rFonts w:ascii="Arial" w:hAnsi="Arial" w:cs="Arial"/>
        </w:rPr>
        <w:t xml:space="preserve"> (Practice as Research). This part establishes a multi-node, shallow-branch, strong-mainline skeleton and implements “action-oriented double-positive choices + immediate consequences + hope segment + CTA,” with a minimal logging set (path, dwell, CTA) to ensure comparability and reuse.</w:t>
      </w:r>
      <w:r w:rsidRPr="008E7D1B">
        <w:rPr>
          <w:rFonts w:ascii="Arial" w:hAnsi="Arial" w:cs="Arial"/>
        </w:rPr>
        <w:br/>
      </w:r>
    </w:p>
    <w:p w14:paraId="1D4CFCC5" w14:textId="77777777" w:rsidR="001F3C01" w:rsidRPr="008E7D1B" w:rsidRDefault="001F3C01" w:rsidP="001F3C01">
      <w:pPr>
        <w:jc w:val="both"/>
        <w:rPr>
          <w:rFonts w:ascii="Arial" w:hAnsi="Arial" w:cs="Arial"/>
        </w:rPr>
      </w:pPr>
    </w:p>
    <w:p w14:paraId="2D89C7BE" w14:textId="77777777" w:rsidR="001F3C01" w:rsidRPr="008E7D1B" w:rsidRDefault="001F3C01" w:rsidP="001F3C01">
      <w:pPr>
        <w:jc w:val="center"/>
        <w:rPr>
          <w:rFonts w:ascii="Arial" w:hAnsi="Arial" w:cs="Arial"/>
        </w:rPr>
      </w:pPr>
      <w:r w:rsidRPr="008E7D1B">
        <w:rPr>
          <w:rFonts w:ascii="Arial" w:hAnsi="Arial" w:cs="Arial"/>
        </w:rPr>
        <w:t>Part III — Critical Evaluation: Strengths and Limitations</w:t>
      </w:r>
    </w:p>
    <w:p w14:paraId="19C08404" w14:textId="77777777" w:rsidR="001F3C01" w:rsidRPr="008E7D1B" w:rsidRDefault="001F3C01" w:rsidP="001F3C01">
      <w:pPr>
        <w:jc w:val="both"/>
        <w:rPr>
          <w:rFonts w:ascii="Arial" w:hAnsi="Arial" w:cs="Arial"/>
        </w:rPr>
      </w:pPr>
      <w:r w:rsidRPr="008E7D1B">
        <w:rPr>
          <w:rFonts w:ascii="Arial" w:hAnsi="Arial" w:cs="Arial"/>
        </w:rPr>
        <w:t>3.1 Strengths (Practice as Research)</w:t>
      </w:r>
    </w:p>
    <w:p w14:paraId="09954594" w14:textId="77777777" w:rsidR="001F3C01" w:rsidRPr="008E7D1B" w:rsidRDefault="001F3C01" w:rsidP="001F3C01">
      <w:pPr>
        <w:jc w:val="both"/>
        <w:rPr>
          <w:rFonts w:ascii="Arial" w:hAnsi="Arial" w:cs="Arial"/>
        </w:rPr>
      </w:pPr>
      <w:r w:rsidRPr="008E7D1B">
        <w:rPr>
          <w:rFonts w:ascii="Arial" w:hAnsi="Arial" w:cs="Arial"/>
        </w:rPr>
        <w:t>The three-act arc (“Cause—Identification—Hope”) and the “</w:t>
      </w:r>
      <w:proofErr w:type="spellStart"/>
      <w:r w:rsidRPr="008E7D1B">
        <w:rPr>
          <w:rFonts w:ascii="Arial" w:hAnsi="Arial" w:cs="Arial"/>
        </w:rPr>
        <w:t>portrait→context</w:t>
      </w:r>
      <w:proofErr w:type="spellEnd"/>
      <w:r w:rsidRPr="008E7D1B">
        <w:rPr>
          <w:rFonts w:ascii="Arial" w:hAnsi="Arial" w:cs="Arial"/>
        </w:rPr>
        <w:t xml:space="preserve">” shot order </w:t>
      </w:r>
      <w:proofErr w:type="spellStart"/>
      <w:r w:rsidRPr="008E7D1B">
        <w:rPr>
          <w:rFonts w:ascii="Arial" w:hAnsi="Arial" w:cs="Arial"/>
        </w:rPr>
        <w:t>stabilise</w:t>
      </w:r>
      <w:proofErr w:type="spellEnd"/>
      <w:r w:rsidRPr="008E7D1B">
        <w:rPr>
          <w:rFonts w:ascii="Arial" w:hAnsi="Arial" w:cs="Arial"/>
        </w:rPr>
        <w:t xml:space="preserve"> entry. In the small sample (n = 10), “I felt Dodo’s emotions” averages 4.6/5 (median 5); “Interaction helped me engage” averages 4.4/5 (median 5). Short interviews echo “easy to get into the state,” suggesting affect was effectively activated.</w:t>
      </w:r>
    </w:p>
    <w:p w14:paraId="3E9AF41D" w14:textId="77777777" w:rsidR="001F3C01" w:rsidRPr="008E7D1B" w:rsidRDefault="001F3C01" w:rsidP="001F3C01">
      <w:pPr>
        <w:jc w:val="both"/>
        <w:rPr>
          <w:rFonts w:ascii="Arial" w:hAnsi="Arial" w:cs="Arial"/>
        </w:rPr>
      </w:pPr>
      <w:r w:rsidRPr="008E7D1B">
        <w:rPr>
          <w:rFonts w:ascii="Arial" w:hAnsi="Arial" w:cs="Arial"/>
        </w:rPr>
        <w:t>The end-screen CTA (learn local organisations/safe-approach guide) gave viewers a clear destination: 9/10 (90%) chose “willing / interested” on the CTA; “In a real encounter I’d be more willing to help” averages 4.2/5 (median 4.5). These are not “already did it,” but they push intention to a visible threshold.</w:t>
      </w:r>
    </w:p>
    <w:p w14:paraId="5993E2F6" w14:textId="77777777" w:rsidR="001F3C01" w:rsidRPr="008E7D1B" w:rsidRDefault="001F3C01" w:rsidP="001F3C01">
      <w:pPr>
        <w:jc w:val="both"/>
        <w:rPr>
          <w:rFonts w:ascii="Arial" w:hAnsi="Arial" w:cs="Arial"/>
        </w:rPr>
      </w:pPr>
      <w:r w:rsidRPr="008E7D1B">
        <w:rPr>
          <w:rFonts w:ascii="Arial" w:hAnsi="Arial" w:cs="Arial"/>
        </w:rPr>
        <w:t xml:space="preserve">Borrowing Cheltenham’s floor/wall guide lines, I turned them into on-screen soft guidance and double-positive </w:t>
      </w:r>
      <w:proofErr w:type="gramStart"/>
      <w:r w:rsidRPr="008E7D1B">
        <w:rPr>
          <w:rFonts w:ascii="Arial" w:hAnsi="Arial" w:cs="Arial"/>
        </w:rPr>
        <w:t>choices</w:t>
      </w:r>
      <w:proofErr w:type="gramEnd"/>
      <w:r w:rsidRPr="008E7D1B">
        <w:rPr>
          <w:rFonts w:ascii="Arial" w:hAnsi="Arial" w:cs="Arial"/>
        </w:rPr>
        <w:t xml:space="preserve"> so viewers naturally reach “</w:t>
      </w:r>
      <w:proofErr w:type="spellStart"/>
      <w:r w:rsidRPr="008E7D1B">
        <w:rPr>
          <w:rFonts w:ascii="Arial" w:hAnsi="Arial" w:cs="Arial"/>
        </w:rPr>
        <w:t>choice→visible</w:t>
      </w:r>
      <w:proofErr w:type="spellEnd"/>
      <w:r w:rsidRPr="008E7D1B">
        <w:rPr>
          <w:rFonts w:ascii="Arial" w:hAnsi="Arial" w:cs="Arial"/>
        </w:rPr>
        <w:t xml:space="preserve"> </w:t>
      </w:r>
      <w:proofErr w:type="spellStart"/>
      <w:r w:rsidRPr="008E7D1B">
        <w:rPr>
          <w:rFonts w:ascii="Arial" w:hAnsi="Arial" w:cs="Arial"/>
        </w:rPr>
        <w:t>consequence→CTA</w:t>
      </w:r>
      <w:proofErr w:type="spellEnd"/>
      <w:r w:rsidRPr="008E7D1B">
        <w:rPr>
          <w:rFonts w:ascii="Arial" w:hAnsi="Arial" w:cs="Arial"/>
        </w:rPr>
        <w:t xml:space="preserve">.” Consistent </w:t>
      </w:r>
      <w:proofErr w:type="spellStart"/>
      <w:r w:rsidRPr="008E7D1B">
        <w:rPr>
          <w:rFonts w:ascii="Arial" w:hAnsi="Arial" w:cs="Arial"/>
        </w:rPr>
        <w:t>colour</w:t>
      </w:r>
      <w:proofErr w:type="spellEnd"/>
      <w:r w:rsidRPr="008E7D1B">
        <w:rPr>
          <w:rFonts w:ascii="Arial" w:hAnsi="Arial" w:cs="Arial"/>
        </w:rPr>
        <w:t>/sound and the immersive room’s light/sound/viewing distance helped emotions settle quickly. Storyboard review shows the “</w:t>
      </w:r>
      <w:proofErr w:type="spellStart"/>
      <w:r w:rsidRPr="008E7D1B">
        <w:rPr>
          <w:rFonts w:ascii="Arial" w:hAnsi="Arial" w:cs="Arial"/>
        </w:rPr>
        <w:t>portrait→context</w:t>
      </w:r>
      <w:proofErr w:type="spellEnd"/>
      <w:r w:rsidRPr="008E7D1B">
        <w:rPr>
          <w:rFonts w:ascii="Arial" w:hAnsi="Arial" w:cs="Arial"/>
        </w:rPr>
        <w:t>” order and low-angle POV lift identification, and the real “hope segment” becomes the memory peak (e.g., “running through the field”). Two action-oriented double-positive nodes (e.g., “observe then approach / don’t touch yet but contact rescue”) keep viewers on a safe, executable track instead of stopping at declarations.</w:t>
      </w:r>
    </w:p>
    <w:p w14:paraId="1976DCD3" w14:textId="77777777" w:rsidR="001F3C01" w:rsidRPr="008E7D1B" w:rsidRDefault="001F3C01" w:rsidP="001F3C01">
      <w:pPr>
        <w:jc w:val="both"/>
        <w:rPr>
          <w:rFonts w:ascii="Arial" w:hAnsi="Arial" w:cs="Arial"/>
        </w:rPr>
      </w:pPr>
      <w:r w:rsidRPr="008E7D1B">
        <w:rPr>
          <w:rFonts w:ascii="Arial" w:hAnsi="Arial" w:cs="Arial"/>
        </w:rPr>
        <w:t xml:space="preserve">Abandoning AR for interactive short video yielded stability and comparability: branches/times log cleanly; “AI sketch + real footage” avoids overpowering negative stimuli while keeping the reality texture of recovery/everyday life. This “controllable, reusable, trackable” trade-off enables rapid iteration—consistent with interactive-art advice to </w:t>
      </w:r>
      <w:proofErr w:type="spellStart"/>
      <w:r w:rsidRPr="008E7D1B">
        <w:rPr>
          <w:rFonts w:ascii="Arial" w:hAnsi="Arial" w:cs="Arial"/>
        </w:rPr>
        <w:t>stabilise</w:t>
      </w:r>
      <w:proofErr w:type="spellEnd"/>
      <w:r w:rsidRPr="008E7D1B">
        <w:rPr>
          <w:rFonts w:ascii="Arial" w:hAnsi="Arial" w:cs="Arial"/>
        </w:rPr>
        <w:t xml:space="preserve"> the strategy/script first (</w:t>
      </w:r>
      <w:proofErr w:type="spellStart"/>
      <w:r w:rsidRPr="008E7D1B">
        <w:rPr>
          <w:rFonts w:ascii="Arial" w:hAnsi="Arial" w:cs="Arial"/>
        </w:rPr>
        <w:t>Kluszczynski</w:t>
      </w:r>
      <w:proofErr w:type="spellEnd"/>
      <w:r w:rsidRPr="008E7D1B">
        <w:rPr>
          <w:rFonts w:ascii="Arial" w:hAnsi="Arial" w:cs="Arial"/>
        </w:rPr>
        <w:t>, 2010).</w:t>
      </w:r>
      <w:r>
        <w:rPr>
          <w:highlight w:val="yellow"/>
        </w:rPr>
        <w:t xml:space="preserve"> </w:t>
      </w:r>
    </w:p>
    <w:p w14:paraId="00023BE2" w14:textId="77777777" w:rsidR="001F3C01" w:rsidRPr="008E7D1B" w:rsidRDefault="001F3C01" w:rsidP="001F3C01">
      <w:pPr>
        <w:jc w:val="both"/>
        <w:rPr>
          <w:rFonts w:ascii="Arial" w:hAnsi="Arial" w:cs="Arial"/>
        </w:rPr>
      </w:pPr>
      <w:r w:rsidRPr="008E7D1B">
        <w:rPr>
          <w:rFonts w:ascii="Arial" w:hAnsi="Arial" w:cs="Arial"/>
        </w:rPr>
        <w:t>3.2 Limitations and challenges (Research as Practice)</w:t>
      </w:r>
    </w:p>
    <w:p w14:paraId="70C00D8A" w14:textId="77777777" w:rsidR="001F3C01" w:rsidRPr="008E7D1B" w:rsidRDefault="001F3C01" w:rsidP="001F3C01">
      <w:pPr>
        <w:jc w:val="both"/>
        <w:rPr>
          <w:rFonts w:ascii="Arial" w:hAnsi="Arial" w:cs="Arial"/>
        </w:rPr>
      </w:pPr>
      <w:r w:rsidRPr="008E7D1B">
        <w:rPr>
          <w:rFonts w:ascii="Arial" w:hAnsi="Arial" w:cs="Arial"/>
        </w:rPr>
        <w:t xml:space="preserve">Installation plan—postponed with reasons. My early plan was a physical installation: scan a code to enter the interactive video, then light up the installation and print a card with Dodo’s photo and rescue info after completion. After reviewing similar cases and discussing with peers, I </w:t>
      </w:r>
      <w:proofErr w:type="spellStart"/>
      <w:r w:rsidRPr="008E7D1B">
        <w:rPr>
          <w:rFonts w:ascii="Arial" w:hAnsi="Arial" w:cs="Arial"/>
        </w:rPr>
        <w:t>realised</w:t>
      </w:r>
      <w:proofErr w:type="spellEnd"/>
      <w:r w:rsidRPr="008E7D1B">
        <w:rPr>
          <w:rFonts w:ascii="Arial" w:hAnsi="Arial" w:cs="Arial"/>
        </w:rPr>
        <w:t xml:space="preserve"> the flow is highly isomorphic to common “scan—</w:t>
      </w:r>
      <w:r w:rsidRPr="008E7D1B">
        <w:rPr>
          <w:rFonts w:ascii="Arial" w:hAnsi="Arial" w:cs="Arial"/>
        </w:rPr>
        <w:lastRenderedPageBreak/>
        <w:t xml:space="preserve">watch—light—print” patterns; more crucially, the coupling between the installation and the narrative/data is weak: “lighting up” is symbolic and does not map a viewer’s branch or CTA behaviour into visible on-site change. In installation art, bodily presence/participation is key to transformative experience; if the object only “logs a stamp,” these strengths are not used. I therefore deferred this route on a tri-criterion basis—innovation tension, verifiability, and resources—and focused on internal node quality and behaviour endpoints (CTA clicks/follow-ups). If I revisit a physical version, it will be a data </w:t>
      </w:r>
      <w:proofErr w:type="spellStart"/>
      <w:r w:rsidRPr="008E7D1B">
        <w:rPr>
          <w:rFonts w:ascii="Arial" w:hAnsi="Arial" w:cs="Arial"/>
        </w:rPr>
        <w:t>externaliser</w:t>
      </w:r>
      <w:proofErr w:type="spellEnd"/>
      <w:r w:rsidRPr="008E7D1B">
        <w:rPr>
          <w:rFonts w:ascii="Arial" w:hAnsi="Arial" w:cs="Arial"/>
        </w:rPr>
        <w:t xml:space="preserve"> rather than a starter: real-time </w:t>
      </w:r>
      <w:proofErr w:type="spellStart"/>
      <w:r w:rsidRPr="008E7D1B">
        <w:rPr>
          <w:rFonts w:ascii="Arial" w:hAnsi="Arial" w:cs="Arial"/>
        </w:rPr>
        <w:t>visualisation</w:t>
      </w:r>
      <w:proofErr w:type="spellEnd"/>
      <w:r w:rsidRPr="008E7D1B">
        <w:rPr>
          <w:rFonts w:ascii="Arial" w:hAnsi="Arial" w:cs="Arial"/>
        </w:rPr>
        <w:t xml:space="preserve"> of branch shares, cumulative CTA exposure/clicks, and 7-day retention, with light/sound/haptics driven by live data; this aligns both with “the viewer completes the work” and with multisensory curation’s integrated, measurable touchpoints (Luo, </w:t>
      </w:r>
      <w:proofErr w:type="spellStart"/>
      <w:r w:rsidRPr="008E7D1B">
        <w:rPr>
          <w:rFonts w:ascii="Arial" w:hAnsi="Arial" w:cs="Arial"/>
        </w:rPr>
        <w:t>Doucé</w:t>
      </w:r>
      <w:proofErr w:type="spellEnd"/>
      <w:r w:rsidRPr="008E7D1B">
        <w:rPr>
          <w:rFonts w:ascii="Arial" w:hAnsi="Arial" w:cs="Arial"/>
        </w:rPr>
        <w:t xml:space="preserve"> &amp; Nys, 2024).</w:t>
      </w:r>
      <w:r>
        <w:rPr>
          <w:highlight w:val="yellow"/>
        </w:rPr>
        <w:t xml:space="preserve"> </w:t>
      </w:r>
    </w:p>
    <w:p w14:paraId="12D44912" w14:textId="77777777" w:rsidR="001F3C01" w:rsidRPr="008E7D1B" w:rsidRDefault="001F3C01" w:rsidP="001F3C01">
      <w:pPr>
        <w:jc w:val="both"/>
        <w:rPr>
          <w:rFonts w:ascii="Arial" w:hAnsi="Arial" w:cs="Arial"/>
        </w:rPr>
      </w:pPr>
      <w:r w:rsidRPr="008E7D1B">
        <w:rPr>
          <w:rFonts w:ascii="Arial" w:hAnsi="Arial" w:cs="Arial"/>
        </w:rPr>
        <w:t xml:space="preserve">Creation &amp; materials. My proficiency with generative AI is modest; at times the </w:t>
      </w:r>
      <w:proofErr w:type="spellStart"/>
      <w:r w:rsidRPr="008E7D1B">
        <w:rPr>
          <w:rFonts w:ascii="Arial" w:hAnsi="Arial" w:cs="Arial"/>
        </w:rPr>
        <w:t>stylised</w:t>
      </w:r>
      <w:proofErr w:type="spellEnd"/>
      <w:r w:rsidRPr="008E7D1B">
        <w:rPr>
          <w:rFonts w:ascii="Arial" w:hAnsi="Arial" w:cs="Arial"/>
        </w:rPr>
        <w:t xml:space="preserve"> front section lacks the texture I aim for. Mei suggested more dog-POV to heighten identification and tension—consistent with ETIM’s “character proximity + imagery” mechanism; I will add several key POV shots without extending the core runtime (van Laer et al., 2014). She also honestly did not know that rescue </w:t>
      </w:r>
      <w:proofErr w:type="spellStart"/>
      <w:r w:rsidRPr="008E7D1B">
        <w:rPr>
          <w:rFonts w:ascii="Arial" w:hAnsi="Arial" w:cs="Arial"/>
        </w:rPr>
        <w:t>centres</w:t>
      </w:r>
      <w:proofErr w:type="spellEnd"/>
      <w:r w:rsidRPr="008E7D1B">
        <w:rPr>
          <w:rFonts w:ascii="Arial" w:hAnsi="Arial" w:cs="Arial"/>
        </w:rPr>
        <w:t xml:space="preserve"> exist or how to contact them—revealing a gap in the end card. Next version: a clearer “3 safe steps to approach” + “local rescue list (with QR/phone),” combining emotional reset with action guidance. On affect intensity, ending with a hope segment and limiting negative scenes is the right direction; I will continue to avoid the “more misery = better” intuition to reduce risk of vicarious trauma/compassion fatigue (Yi et al., 2025; Hillenbrand &amp; </w:t>
      </w:r>
      <w:proofErr w:type="spellStart"/>
      <w:r w:rsidRPr="008E7D1B">
        <w:rPr>
          <w:rFonts w:ascii="Arial" w:hAnsi="Arial" w:cs="Arial"/>
        </w:rPr>
        <w:t>Verrina</w:t>
      </w:r>
      <w:proofErr w:type="spellEnd"/>
      <w:r w:rsidRPr="008E7D1B">
        <w:rPr>
          <w:rFonts w:ascii="Arial" w:hAnsi="Arial" w:cs="Arial"/>
        </w:rPr>
        <w:t>, 2022).</w:t>
      </w:r>
    </w:p>
    <w:p w14:paraId="7503E205" w14:textId="77777777" w:rsidR="001F3C01" w:rsidRPr="008E7D1B" w:rsidRDefault="001F3C01" w:rsidP="001F3C01">
      <w:pPr>
        <w:jc w:val="both"/>
        <w:rPr>
          <w:rFonts w:ascii="Arial" w:hAnsi="Arial" w:cs="Arial"/>
        </w:rPr>
      </w:pPr>
      <w:r w:rsidRPr="008E7D1B">
        <w:rPr>
          <w:rFonts w:ascii="Arial" w:hAnsi="Arial" w:cs="Arial"/>
        </w:rPr>
        <w:t xml:space="preserve">Interaction &amp; guidance. I will keep a multi-node, shallow-branch, strong-mainline structure with immediate consequences, but rewrite early “pet the head” wording into safety actions (“observe then approach / don’t touch yet but contact rescue”). Options will be presented with equal visual </w:t>
      </w:r>
      <w:proofErr w:type="gramStart"/>
      <w:r w:rsidRPr="008E7D1B">
        <w:rPr>
          <w:rFonts w:ascii="Arial" w:hAnsi="Arial" w:cs="Arial"/>
        </w:rPr>
        <w:t>weight</w:t>
      </w:r>
      <w:proofErr w:type="gramEnd"/>
      <w:r w:rsidRPr="008E7D1B">
        <w:rPr>
          <w:rFonts w:ascii="Arial" w:hAnsi="Arial" w:cs="Arial"/>
        </w:rPr>
        <w:t xml:space="preserve"> and the opening will state “no standard answers” to reduce social desirability bias. I will trial a “gentle exit / decide later” side-path and compare completion/dwell/CTA.</w:t>
      </w:r>
    </w:p>
    <w:p w14:paraId="3102D9A5" w14:textId="77777777" w:rsidR="001F3C01" w:rsidRPr="008E7D1B" w:rsidRDefault="001F3C01" w:rsidP="001F3C01">
      <w:pPr>
        <w:jc w:val="both"/>
        <w:rPr>
          <w:rFonts w:ascii="Arial" w:hAnsi="Arial" w:cs="Arial"/>
        </w:rPr>
      </w:pPr>
      <w:r w:rsidRPr="008E7D1B">
        <w:rPr>
          <w:rFonts w:ascii="Arial" w:hAnsi="Arial" w:cs="Arial"/>
        </w:rPr>
        <w:t xml:space="preserve">From intention to behaviour. At present I mainly observe intention uplift (“willing / interested”), which does not prove long-term behaviour. Next: upgrade CTAs into </w:t>
      </w:r>
      <w:proofErr w:type="spellStart"/>
      <w:r w:rsidRPr="008E7D1B">
        <w:rPr>
          <w:rFonts w:ascii="Arial" w:hAnsi="Arial" w:cs="Arial"/>
        </w:rPr>
        <w:t>loggable</w:t>
      </w:r>
      <w:proofErr w:type="spellEnd"/>
      <w:r w:rsidRPr="008E7D1B">
        <w:rPr>
          <w:rFonts w:ascii="Arial" w:hAnsi="Arial" w:cs="Arial"/>
        </w:rPr>
        <w:t xml:space="preserve"> behaviour endpoints (anonymous scan/click logs) and run a 7-day follow-up to see retention/translation.</w:t>
      </w:r>
    </w:p>
    <w:p w14:paraId="55646422" w14:textId="77777777" w:rsidR="001F3C01" w:rsidRPr="008E7D1B" w:rsidRDefault="001F3C01" w:rsidP="001F3C01">
      <w:pPr>
        <w:jc w:val="both"/>
        <w:rPr>
          <w:rFonts w:ascii="Arial" w:hAnsi="Arial" w:cs="Arial"/>
        </w:rPr>
      </w:pPr>
      <w:r w:rsidRPr="008E7D1B">
        <w:rPr>
          <w:rFonts w:ascii="Arial" w:hAnsi="Arial" w:cs="Arial"/>
        </w:rPr>
        <w:t xml:space="preserve">Technology &amp; logging. Branch choices are not yet </w:t>
      </w:r>
      <w:proofErr w:type="gramStart"/>
      <w:r w:rsidRPr="008E7D1B">
        <w:rPr>
          <w:rFonts w:ascii="Arial" w:hAnsi="Arial" w:cs="Arial"/>
        </w:rPr>
        <w:t>auto-logged</w:t>
      </w:r>
      <w:proofErr w:type="gramEnd"/>
      <w:r w:rsidRPr="008E7D1B">
        <w:rPr>
          <w:rFonts w:ascii="Arial" w:hAnsi="Arial" w:cs="Arial"/>
        </w:rPr>
        <w:t xml:space="preserve">; relying on interviews limits quantitative understanding of the </w:t>
      </w:r>
      <w:proofErr w:type="spellStart"/>
      <w:r w:rsidRPr="008E7D1B">
        <w:rPr>
          <w:rFonts w:ascii="Arial" w:hAnsi="Arial" w:cs="Arial"/>
        </w:rPr>
        <w:t>choice→consequence→CTA</w:t>
      </w:r>
      <w:proofErr w:type="spellEnd"/>
      <w:r w:rsidRPr="008E7D1B">
        <w:rPr>
          <w:rFonts w:ascii="Arial" w:hAnsi="Arial" w:cs="Arial"/>
        </w:rPr>
        <w:t xml:space="preserve"> chain. I will add the minimal necessary fields (start/finish times, branch, dwell, CTA exposure/click), log anonymously, and include usage in consent. I am mindful of the tension between interaction frequency and immersion: too many clicks break rhythm; too few lack participation. The current multi-node, shallow-branch, strong-mainline + immediate consequences </w:t>
      </w:r>
      <w:proofErr w:type="gramStart"/>
      <w:r w:rsidRPr="008E7D1B">
        <w:rPr>
          <w:rFonts w:ascii="Arial" w:hAnsi="Arial" w:cs="Arial"/>
        </w:rPr>
        <w:t>feels</w:t>
      </w:r>
      <w:proofErr w:type="gramEnd"/>
      <w:r w:rsidRPr="008E7D1B">
        <w:rPr>
          <w:rFonts w:ascii="Arial" w:hAnsi="Arial" w:cs="Arial"/>
        </w:rPr>
        <w:t xml:space="preserve"> smoother, but I will A/B node density/placement across versions to compare completion and CTA intention (van Laer et al., 2014; Lown, 2016).</w:t>
      </w:r>
    </w:p>
    <w:p w14:paraId="07625A5A" w14:textId="77777777" w:rsidR="001F3C01" w:rsidRPr="008E7D1B" w:rsidRDefault="001F3C01" w:rsidP="001F3C01">
      <w:pPr>
        <w:jc w:val="both"/>
        <w:rPr>
          <w:rFonts w:ascii="Arial" w:hAnsi="Arial" w:cs="Arial"/>
        </w:rPr>
      </w:pPr>
      <w:r w:rsidRPr="008E7D1B">
        <w:rPr>
          <w:rFonts w:ascii="Arial" w:hAnsi="Arial" w:cs="Arial"/>
        </w:rPr>
        <w:lastRenderedPageBreak/>
        <w:t>Boundaries of lightweight methods (</w:t>
      </w:r>
      <w:proofErr w:type="spellStart"/>
      <w:r w:rsidRPr="008E7D1B">
        <w:rPr>
          <w:rFonts w:ascii="Arial" w:hAnsi="Arial" w:cs="Arial"/>
        </w:rPr>
        <w:t>generalisation</w:t>
      </w:r>
      <w:proofErr w:type="spellEnd"/>
      <w:r w:rsidRPr="008E7D1B">
        <w:rPr>
          <w:rFonts w:ascii="Arial" w:hAnsi="Arial" w:cs="Arial"/>
        </w:rPr>
        <w:t xml:space="preserve"> &amp; measurement validity). With a small exploratory sample (n ≈ 10), external validity is limited. Dwell time and branch choice are proximal behavioural proxies; they only indirectly speak to affect/intent and cannot represent long-term attitudes or real behaviour. I will reinforce in three ways: (1) enlarge the sample and replicate across contexts; (2) turn CTAs into </w:t>
      </w:r>
      <w:proofErr w:type="spellStart"/>
      <w:r w:rsidRPr="008E7D1B">
        <w:rPr>
          <w:rFonts w:ascii="Arial" w:hAnsi="Arial" w:cs="Arial"/>
        </w:rPr>
        <w:t>loggable</w:t>
      </w:r>
      <w:proofErr w:type="spellEnd"/>
      <w:r w:rsidRPr="008E7D1B">
        <w:rPr>
          <w:rFonts w:ascii="Arial" w:hAnsi="Arial" w:cs="Arial"/>
        </w:rPr>
        <w:t xml:space="preserve"> behaviour endpoints (scan/click + 7-day follow-ups) to test the shift from “willing” to “did”; (3) keep triangulating with qualitative materials (interviews/observation) to raise construct and ecological validity.</w:t>
      </w:r>
    </w:p>
    <w:p w14:paraId="6330D4AF" w14:textId="77777777" w:rsidR="001F3C01" w:rsidRPr="008E7D1B" w:rsidRDefault="001F3C01" w:rsidP="001F3C01">
      <w:pPr>
        <w:jc w:val="both"/>
        <w:rPr>
          <w:rFonts w:ascii="Arial" w:hAnsi="Arial" w:cs="Arial"/>
        </w:rPr>
      </w:pPr>
      <w:r w:rsidRPr="008E7D1B">
        <w:rPr>
          <w:rFonts w:ascii="Arial" w:hAnsi="Arial" w:cs="Arial"/>
        </w:rPr>
        <w:t>Interaction frequency vs. immersion (dialogue with theory). Interactive narrative values agency, but transportation requires narrative coherence as a precondition (van Laer et al., 2014). My data suggest “more clicking ≠ more engagement.” Hence the choice of multi-node, shallow-branch, strong-mainline, binding each choice to immediate consequences to reduce rhythm breaks; next, I will introduce a beat sheet and A/B node density/placement to find a balance.</w:t>
      </w:r>
    </w:p>
    <w:p w14:paraId="635C1AEF" w14:textId="77777777" w:rsidR="001F3C01" w:rsidRPr="008E7D1B" w:rsidRDefault="001F3C01" w:rsidP="001F3C01">
      <w:pPr>
        <w:wordWrap w:val="0"/>
        <w:rPr>
          <w:rFonts w:ascii="Arial" w:hAnsi="Arial" w:cs="Arial"/>
        </w:rPr>
      </w:pPr>
      <w:r w:rsidRPr="008E7D1B">
        <w:rPr>
          <w:rFonts w:ascii="Arial" w:hAnsi="Arial" w:cs="Arial"/>
        </w:rPr>
        <w:t xml:space="preserve">Re-assessing ‘compassion fatigue’. Despite the positive framing (hope ending + limited negative scenes + emotional reset), some details might still burden viewers—e.g., car horns and high-alert sounds, long stretches of cold </w:t>
      </w:r>
      <w:proofErr w:type="spellStart"/>
      <w:r w:rsidRPr="008E7D1B">
        <w:rPr>
          <w:rFonts w:ascii="Arial" w:hAnsi="Arial" w:cs="Arial"/>
        </w:rPr>
        <w:t>colour</w:t>
      </w:r>
      <w:proofErr w:type="spellEnd"/>
      <w:r w:rsidRPr="008E7D1B">
        <w:rPr>
          <w:rFonts w:ascii="Arial" w:hAnsi="Arial" w:cs="Arial"/>
        </w:rPr>
        <w:t xml:space="preserve"> temperature, repeated references to injury in text. Next: (1) add a 3–5 second “breathing” buffer after high-arousal shots; (2) raise mid-section brightness/warmth; (3) tighten negative phrasing and insert “safety/trust” POV shots; (4) add a brief “self-care” tip on the end card for sensitive viewers.</w:t>
      </w:r>
      <w:r w:rsidRPr="008E7D1B">
        <w:rPr>
          <w:rFonts w:ascii="Arial" w:hAnsi="Arial" w:cs="Arial"/>
        </w:rPr>
        <w:br/>
      </w:r>
    </w:p>
    <w:p w14:paraId="5F82291A" w14:textId="77777777" w:rsidR="001F3C01" w:rsidRPr="008E7D1B" w:rsidRDefault="001F3C01" w:rsidP="001F3C01">
      <w:pPr>
        <w:jc w:val="both"/>
        <w:rPr>
          <w:rFonts w:ascii="Arial" w:hAnsi="Arial" w:cs="Arial"/>
        </w:rPr>
      </w:pPr>
      <w:r w:rsidRPr="008E7D1B">
        <w:rPr>
          <w:rFonts w:ascii="Arial" w:hAnsi="Arial" w:cs="Arial"/>
        </w:rPr>
        <w:t>Conclusion</w:t>
      </w:r>
    </w:p>
    <w:p w14:paraId="1F6FA1F7" w14:textId="77777777" w:rsidR="001F3C01" w:rsidRPr="008E7D1B" w:rsidRDefault="001F3C01" w:rsidP="001F3C01">
      <w:pPr>
        <w:jc w:val="both"/>
        <w:rPr>
          <w:rFonts w:ascii="Arial" w:hAnsi="Arial" w:cs="Arial"/>
        </w:rPr>
      </w:pPr>
      <w:proofErr w:type="gramStart"/>
      <w:r w:rsidRPr="005B36EE">
        <w:rPr>
          <w:rFonts w:ascii="Arial" w:hAnsi="Arial" w:cs="Arial"/>
        </w:rPr>
        <w:t>Next-steps</w:t>
      </w:r>
      <w:proofErr w:type="gramEnd"/>
      <w:r w:rsidRPr="005B36EE">
        <w:rPr>
          <w:rFonts w:ascii="Arial" w:hAnsi="Arial" w:cs="Arial"/>
        </w:rPr>
        <w:t xml:space="preserve"> experiment plan. </w:t>
      </w:r>
      <w:r w:rsidRPr="008E7D1B">
        <w:rPr>
          <w:rFonts w:ascii="Arial" w:hAnsi="Arial" w:cs="Arial"/>
        </w:rPr>
        <w:t xml:space="preserve">I will run three small experiments. (1) Behaviour endpoints. Keep one or two executable CTAs (local rescue QR / safe-approach link), attach anonymous scan/click logs, and conduct a 7-day follow-up. Outcome: click/scan rate; 7-day recall; self-reported real-world action. (2) Node density &amp; placement A/B. Compare a 6-node version (baseline) vs. a 4-node version (nodes merged) vs. a 6-node “shifted timing” version. Outcomes: completion, median dwell, CTA exposure/click. Hypothesis: multi-node, shallow-branch, strong-mainline outperforms deeper branching; poorly timed nodes depress completion (van Laer et al., 2014). (3) Visual affect A/B. Compare (a) </w:t>
      </w:r>
      <w:proofErr w:type="spellStart"/>
      <w:r w:rsidRPr="008E7D1B">
        <w:rPr>
          <w:rFonts w:ascii="Arial" w:hAnsi="Arial" w:cs="Arial"/>
        </w:rPr>
        <w:t>portrait→context→hope</w:t>
      </w:r>
      <w:proofErr w:type="spellEnd"/>
      <w:r w:rsidRPr="008E7D1B">
        <w:rPr>
          <w:rFonts w:ascii="Arial" w:hAnsi="Arial" w:cs="Arial"/>
        </w:rPr>
        <w:t xml:space="preserve"> (baseline) vs. (b) </w:t>
      </w:r>
      <w:proofErr w:type="spellStart"/>
      <w:r w:rsidRPr="008E7D1B">
        <w:rPr>
          <w:rFonts w:ascii="Arial" w:hAnsi="Arial" w:cs="Arial"/>
        </w:rPr>
        <w:t>context→portrait→hope</w:t>
      </w:r>
      <w:proofErr w:type="spellEnd"/>
      <w:r w:rsidRPr="008E7D1B">
        <w:rPr>
          <w:rFonts w:ascii="Arial" w:hAnsi="Arial" w:cs="Arial"/>
        </w:rPr>
        <w:t xml:space="preserve">; and test warmer mid-section grading. Outcomes: affect items; dwell in mid-section; CTA click. Hypothesis: a portrait-first opening and a visible hope segment provide a more stable basis for prosocial intention than fear-heavy variants (Whitley et al., 2020; Hillenbrand &amp; </w:t>
      </w:r>
      <w:proofErr w:type="spellStart"/>
      <w:r w:rsidRPr="008E7D1B">
        <w:rPr>
          <w:rFonts w:ascii="Arial" w:hAnsi="Arial" w:cs="Arial"/>
        </w:rPr>
        <w:t>Verrina</w:t>
      </w:r>
      <w:proofErr w:type="spellEnd"/>
      <w:r w:rsidRPr="008E7D1B">
        <w:rPr>
          <w:rFonts w:ascii="Arial" w:hAnsi="Arial" w:cs="Arial"/>
        </w:rPr>
        <w:t>, 2022). Each experiment is small by design but cumulatively tightens the chain from emotion to action.</w:t>
      </w:r>
    </w:p>
    <w:p w14:paraId="18A53A34" w14:textId="77777777" w:rsidR="001F3C01" w:rsidRPr="005B36EE" w:rsidRDefault="001F3C01" w:rsidP="001F3C01">
      <w:pPr>
        <w:jc w:val="both"/>
        <w:rPr>
          <w:rFonts w:ascii="Arial" w:hAnsi="Arial" w:cs="Arial"/>
          <w:bCs/>
        </w:rPr>
      </w:pPr>
    </w:p>
    <w:p w14:paraId="15B69C95" w14:textId="77777777" w:rsidR="001F3C01" w:rsidRPr="005B36EE" w:rsidRDefault="001F3C01" w:rsidP="001F3C01">
      <w:pPr>
        <w:jc w:val="center"/>
        <w:rPr>
          <w:rFonts w:ascii="Arial" w:hAnsi="Arial" w:cs="Arial"/>
          <w:bCs/>
        </w:rPr>
      </w:pPr>
      <w:r w:rsidRPr="005B36EE">
        <w:rPr>
          <w:rFonts w:ascii="Arial" w:hAnsi="Arial" w:cs="Arial"/>
          <w:bCs/>
        </w:rPr>
        <w:t>Conclusion</w:t>
      </w:r>
    </w:p>
    <w:p w14:paraId="19A1C2BE" w14:textId="77777777" w:rsidR="001F3C01" w:rsidRPr="008E7D1B" w:rsidRDefault="001F3C01" w:rsidP="001F3C01">
      <w:pPr>
        <w:jc w:val="both"/>
        <w:rPr>
          <w:rFonts w:ascii="Arial" w:hAnsi="Arial" w:cs="Arial"/>
        </w:rPr>
      </w:pPr>
      <w:r w:rsidRPr="008E7D1B">
        <w:rPr>
          <w:rFonts w:ascii="Arial" w:hAnsi="Arial" w:cs="Arial"/>
        </w:rPr>
        <w:lastRenderedPageBreak/>
        <w:t xml:space="preserve">Back to the core question: how do we make “being moved” more than just that? The current answer in </w:t>
      </w:r>
      <w:r>
        <w:rPr>
          <w:rFonts w:ascii="Arial" w:hAnsi="Arial" w:cs="Arial"/>
        </w:rPr>
        <w:t xml:space="preserve">TO </w:t>
      </w:r>
      <w:r w:rsidRPr="008E7D1B">
        <w:rPr>
          <w:rFonts w:ascii="Arial" w:hAnsi="Arial" w:cs="Arial"/>
        </w:rPr>
        <w:t xml:space="preserve">SEE DODO is to translate empathy into a walkable experience: a three-act arc to hold transportation; </w:t>
      </w:r>
      <w:proofErr w:type="spellStart"/>
      <w:r w:rsidRPr="008E7D1B">
        <w:rPr>
          <w:rFonts w:ascii="Arial" w:hAnsi="Arial" w:cs="Arial"/>
        </w:rPr>
        <w:t>portraits→context</w:t>
      </w:r>
      <w:proofErr w:type="spellEnd"/>
      <w:r w:rsidRPr="008E7D1B">
        <w:rPr>
          <w:rFonts w:ascii="Arial" w:hAnsi="Arial" w:cs="Arial"/>
        </w:rPr>
        <w:t xml:space="preserve"> and a low camera to meet the dog “at eye level”; double-positive, action-oriented choices so even non-animal people can find a step; and a clear CTA at the end. The small sample plus peer interviews suggest a few robust signals: emotion is reliably activated; engagement is high; intention moves into the “willing/interested” zone; the real hope segment is the memory peak; portraits and POV are key boosters; the immersive room’s light/sound and on-screen guidance strike a workable balance between “reminding enough” and “not over-interrupting.”</w:t>
      </w:r>
    </w:p>
    <w:p w14:paraId="6DB8B8DB" w14:textId="77777777" w:rsidR="001F3C01" w:rsidRPr="008E7D1B" w:rsidRDefault="001F3C01" w:rsidP="001F3C01">
      <w:pPr>
        <w:jc w:val="both"/>
        <w:rPr>
          <w:rFonts w:ascii="Arial" w:hAnsi="Arial" w:cs="Arial"/>
        </w:rPr>
      </w:pPr>
      <w:r w:rsidRPr="008E7D1B">
        <w:rPr>
          <w:rFonts w:ascii="Arial" w:hAnsi="Arial" w:cs="Arial"/>
        </w:rPr>
        <w:t>The limits are also clear: small sample; missing logs; guidance-induced bias; behaviour endpoints not yet closed. Rather than label them failures, I treat them as a next-round task list. Concretely: (1) make behaviour endpoints real—keep 1–2 executable CTAs (local rescue QR / safe-approach short link), attach anonymous click/scan logs, and add a 7-day follow-up to separate “willing” from “did”; (2) fill the key shots and rhythm—pilot a 60–90s optional extension without lengthening the core, add 2–3 low-angle POV shots, and insert a 3–5s reset after high-arousal moments; (3) test portability—ship a short/mobile version into other contexts and compare completion/dwell/CTA conversion.</w:t>
      </w:r>
    </w:p>
    <w:p w14:paraId="62988E7C" w14:textId="77777777" w:rsidR="001F3C01" w:rsidRPr="008E7D1B" w:rsidRDefault="001F3C01" w:rsidP="001F3C01">
      <w:pPr>
        <w:jc w:val="both"/>
        <w:rPr>
          <w:rFonts w:ascii="Arial" w:hAnsi="Arial" w:cs="Arial"/>
        </w:rPr>
      </w:pPr>
      <w:r w:rsidRPr="008E7D1B">
        <w:rPr>
          <w:rFonts w:ascii="Arial" w:hAnsi="Arial" w:cs="Arial"/>
        </w:rPr>
        <w:t xml:space="preserve">My biggest gain is not a pretty shot but a way of thinking: from “persuading a concept” to “offering a realistic path”; from “newer tech is better” to “runnable, </w:t>
      </w:r>
      <w:proofErr w:type="spellStart"/>
      <w:r w:rsidRPr="008E7D1B">
        <w:rPr>
          <w:rFonts w:ascii="Arial" w:hAnsi="Arial" w:cs="Arial"/>
        </w:rPr>
        <w:t>loggable</w:t>
      </w:r>
      <w:proofErr w:type="spellEnd"/>
      <w:r w:rsidRPr="008E7D1B">
        <w:rPr>
          <w:rFonts w:ascii="Arial" w:hAnsi="Arial" w:cs="Arial"/>
        </w:rPr>
        <w:t>, reusable”; from “viewers as exam-takers” to “viewers as collaborators.” These shifts have made me more willing to slow down and iterate rapidly, letting the piece teach me what truly works, what should be cut, and what still deserves another try.</w:t>
      </w:r>
    </w:p>
    <w:p w14:paraId="119F1EAA" w14:textId="77777777" w:rsidR="001F3C01" w:rsidRPr="008E7D1B" w:rsidRDefault="001F3C01" w:rsidP="001F3C01">
      <w:pPr>
        <w:jc w:val="both"/>
        <w:rPr>
          <w:rFonts w:ascii="Arial" w:hAnsi="Arial" w:cs="Arial"/>
          <w:lang w:eastAsia="zh-CN"/>
        </w:rPr>
      </w:pPr>
      <w:r w:rsidRPr="008E7D1B">
        <w:rPr>
          <w:rFonts w:ascii="Arial" w:hAnsi="Arial" w:cs="Arial"/>
        </w:rPr>
        <w:t>If there is any takeaway to share, it would be twofold: (1) a lightweight pipeline from empathy to action (transportation + multi-node shallow-branch strong-mainline + action-oriented double-choice + visible consequences + CTA); (2) a portable way to iterate (minimal sufficient logging + small-sample A/B + ethical reset). These are not universal, but I hope they offer a reference point for creators working on social issues and affective learning: instead of seeking a one-shot change, design the first step of goodwill to be clear, gentle, and visible.</w:t>
      </w:r>
      <w:r w:rsidRPr="008E7D1B">
        <w:rPr>
          <w:rFonts w:ascii="Arial" w:hAnsi="Arial" w:cs="Arial"/>
        </w:rPr>
        <w:br/>
      </w:r>
    </w:p>
    <w:p w14:paraId="20681DA7" w14:textId="77777777" w:rsidR="001F3C01" w:rsidRDefault="001F3C01" w:rsidP="001F3C01">
      <w:pPr>
        <w:jc w:val="both"/>
        <w:rPr>
          <w:rFonts w:ascii="Arial" w:hAnsi="Arial" w:cs="Arial"/>
        </w:rPr>
      </w:pPr>
    </w:p>
    <w:p w14:paraId="5546447E" w14:textId="77777777" w:rsidR="001F3C01" w:rsidRPr="00ED7F55" w:rsidRDefault="001F3C01" w:rsidP="001F3C01">
      <w:pPr>
        <w:autoSpaceDE w:val="0"/>
        <w:autoSpaceDN w:val="0"/>
        <w:adjustRightInd w:val="0"/>
        <w:spacing w:after="240" w:line="360" w:lineRule="auto"/>
        <w:rPr>
          <w:rFonts w:ascii="Arial" w:hAnsi="Arial" w:cs="Arial"/>
          <w:b/>
          <w:bCs/>
          <w:szCs w:val="24"/>
        </w:rPr>
      </w:pPr>
      <w:r w:rsidRPr="00ED7F55">
        <w:rPr>
          <w:rFonts w:ascii="Arial" w:hAnsi="Arial" w:cs="Arial"/>
          <w:b/>
          <w:bCs/>
          <w:szCs w:val="24"/>
        </w:rPr>
        <w:t>Reference list</w:t>
      </w:r>
    </w:p>
    <w:p w14:paraId="03BE71CA"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Hillenbrand, A. and </w:t>
      </w:r>
      <w:proofErr w:type="spellStart"/>
      <w:r>
        <w:rPr>
          <w:rFonts w:ascii="Helvetica" w:hAnsi="Helvetica" w:cs="Helvetica"/>
        </w:rPr>
        <w:t>Verrina</w:t>
      </w:r>
      <w:proofErr w:type="spellEnd"/>
      <w:r>
        <w:rPr>
          <w:rFonts w:ascii="Helvetica" w:hAnsi="Helvetica" w:cs="Helvetica"/>
        </w:rPr>
        <w:t xml:space="preserve">, E. (2022). The asymmetric effect of narratives on prosocial behavior. </w:t>
      </w:r>
      <w:r>
        <w:rPr>
          <w:rFonts w:ascii="Helvetica" w:hAnsi="Helvetica" w:cs="Helvetica"/>
          <w:i/>
          <w:iCs/>
        </w:rPr>
        <w:t>Games and Economic Behavior</w:t>
      </w:r>
      <w:r>
        <w:rPr>
          <w:rFonts w:ascii="Helvetica" w:hAnsi="Helvetica" w:cs="Helvetica"/>
        </w:rPr>
        <w:t xml:space="preserve">, 135, pp.241–270. </w:t>
      </w:r>
      <w:proofErr w:type="spellStart"/>
      <w:r>
        <w:rPr>
          <w:rFonts w:ascii="Helvetica" w:hAnsi="Helvetica" w:cs="Helvetica"/>
        </w:rPr>
        <w:t>doi:</w:t>
      </w:r>
      <w:hyperlink r:id="rId4" w:history="1">
        <w:r>
          <w:rPr>
            <w:rFonts w:ascii="Helvetica" w:hAnsi="Helvetica" w:cs="Helvetica"/>
          </w:rPr>
          <w:t>https</w:t>
        </w:r>
        <w:proofErr w:type="spellEnd"/>
        <w:r>
          <w:rPr>
            <w:rFonts w:ascii="Helvetica" w:hAnsi="Helvetica" w:cs="Helvetica"/>
          </w:rPr>
          <w:t>://doi.org/10.1016/j.geb.2022.06.008</w:t>
        </w:r>
      </w:hyperlink>
      <w:r>
        <w:rPr>
          <w:rFonts w:ascii="Helvetica" w:hAnsi="Helvetica" w:cs="Helvetica"/>
        </w:rPr>
        <w:t>.</w:t>
      </w:r>
    </w:p>
    <w:p w14:paraId="3C2007F5" w14:textId="77777777" w:rsidR="001F3C01" w:rsidRDefault="001F3C01" w:rsidP="001F3C01">
      <w:pPr>
        <w:autoSpaceDE w:val="0"/>
        <w:autoSpaceDN w:val="0"/>
        <w:adjustRightInd w:val="0"/>
        <w:spacing w:after="240" w:line="360" w:lineRule="auto"/>
        <w:rPr>
          <w:rFonts w:ascii="Helvetica" w:hAnsi="Helvetica" w:cs="Helvetica"/>
        </w:rPr>
      </w:pPr>
      <w:proofErr w:type="spellStart"/>
      <w:r>
        <w:rPr>
          <w:rFonts w:ascii="Helvetica" w:hAnsi="Helvetica" w:cs="Helvetica"/>
        </w:rPr>
        <w:lastRenderedPageBreak/>
        <w:t>Kluszczynski</w:t>
      </w:r>
      <w:proofErr w:type="spellEnd"/>
      <w:r>
        <w:rPr>
          <w:rFonts w:ascii="Helvetica" w:hAnsi="Helvetica" w:cs="Helvetica"/>
        </w:rPr>
        <w:t xml:space="preserve">, </w:t>
      </w:r>
      <w:proofErr w:type="spellStart"/>
      <w:r>
        <w:rPr>
          <w:rFonts w:ascii="Helvetica" w:hAnsi="Helvetica" w:cs="Helvetica"/>
        </w:rPr>
        <w:t>RyszardW</w:t>
      </w:r>
      <w:proofErr w:type="spellEnd"/>
      <w:r>
        <w:rPr>
          <w:rFonts w:ascii="Helvetica" w:hAnsi="Helvetica" w:cs="Helvetica"/>
        </w:rPr>
        <w:t xml:space="preserve">. (2010). Strategies of interactive art. </w:t>
      </w:r>
      <w:r>
        <w:rPr>
          <w:rFonts w:ascii="Helvetica" w:hAnsi="Helvetica" w:cs="Helvetica"/>
          <w:i/>
          <w:iCs/>
        </w:rPr>
        <w:t>Journal of Aesthetics &amp; Culture</w:t>
      </w:r>
      <w:r>
        <w:rPr>
          <w:rFonts w:ascii="Helvetica" w:hAnsi="Helvetica" w:cs="Helvetica"/>
        </w:rPr>
        <w:t xml:space="preserve">, 2(1), p.5525. </w:t>
      </w:r>
      <w:proofErr w:type="spellStart"/>
      <w:r>
        <w:rPr>
          <w:rFonts w:ascii="Helvetica" w:hAnsi="Helvetica" w:cs="Helvetica"/>
        </w:rPr>
        <w:t>doi:</w:t>
      </w:r>
      <w:hyperlink r:id="rId5" w:history="1">
        <w:r>
          <w:rPr>
            <w:rFonts w:ascii="Helvetica" w:hAnsi="Helvetica" w:cs="Helvetica"/>
          </w:rPr>
          <w:t>https</w:t>
        </w:r>
        <w:proofErr w:type="spellEnd"/>
        <w:r>
          <w:rPr>
            <w:rFonts w:ascii="Helvetica" w:hAnsi="Helvetica" w:cs="Helvetica"/>
          </w:rPr>
          <w:t>://doi.org/10.3402/jac.v2i0.5525</w:t>
        </w:r>
      </w:hyperlink>
      <w:r>
        <w:rPr>
          <w:rFonts w:ascii="Helvetica" w:hAnsi="Helvetica" w:cs="Helvetica"/>
        </w:rPr>
        <w:t>.</w:t>
      </w:r>
    </w:p>
    <w:p w14:paraId="33DE16F9" w14:textId="77777777" w:rsidR="001F3C01" w:rsidRDefault="001F3C01" w:rsidP="001F3C01">
      <w:pPr>
        <w:autoSpaceDE w:val="0"/>
        <w:autoSpaceDN w:val="0"/>
        <w:adjustRightInd w:val="0"/>
        <w:spacing w:after="240" w:line="360" w:lineRule="auto"/>
        <w:rPr>
          <w:rFonts w:ascii="Helvetica" w:hAnsi="Helvetica" w:cs="Helvetica"/>
        </w:rPr>
      </w:pPr>
      <w:proofErr w:type="spellStart"/>
      <w:r w:rsidRPr="000604A6">
        <w:rPr>
          <w:rFonts w:ascii="Helvetica" w:hAnsi="Helvetica" w:cs="Helvetica"/>
        </w:rPr>
        <w:t>Kühnapfel</w:t>
      </w:r>
      <w:proofErr w:type="spellEnd"/>
      <w:r w:rsidRPr="000604A6">
        <w:rPr>
          <w:rFonts w:ascii="Helvetica" w:hAnsi="Helvetica" w:cs="Helvetica"/>
        </w:rPr>
        <w:t xml:space="preserve">, C., Fingerhut, J. and </w:t>
      </w:r>
      <w:proofErr w:type="spellStart"/>
      <w:r w:rsidRPr="000604A6">
        <w:rPr>
          <w:rFonts w:ascii="Helvetica" w:hAnsi="Helvetica" w:cs="Helvetica"/>
        </w:rPr>
        <w:t>Pelowski</w:t>
      </w:r>
      <w:proofErr w:type="spellEnd"/>
      <w:r w:rsidRPr="000604A6">
        <w:rPr>
          <w:rFonts w:ascii="Helvetica" w:hAnsi="Helvetica" w:cs="Helvetica"/>
        </w:rPr>
        <w:t xml:space="preserve">, M. (2023) ‘The role of the body in the experience of installation art: A case study of visitors’ bodily, emotional, and transformative experiences in Tomás Saraceno’s “in Orbit”’, </w:t>
      </w:r>
      <w:r w:rsidRPr="000604A6">
        <w:rPr>
          <w:rFonts w:ascii="Helvetica" w:hAnsi="Helvetica" w:cs="Helvetica"/>
          <w:i/>
          <w:iCs/>
        </w:rPr>
        <w:t>Frontiers in Psychology</w:t>
      </w:r>
      <w:r w:rsidRPr="000604A6">
        <w:rPr>
          <w:rFonts w:ascii="Helvetica" w:hAnsi="Helvetica" w:cs="Helvetica"/>
        </w:rPr>
        <w:t>, 14, 1192689. https://doi.org/10.3389/fpsyg.2023.1192689.</w:t>
      </w:r>
    </w:p>
    <w:p w14:paraId="6A24278B"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Lown, B.A. (2016). A social neuroscience-informed model for teaching and </w:t>
      </w:r>
      <w:proofErr w:type="spellStart"/>
      <w:r>
        <w:rPr>
          <w:rFonts w:ascii="Helvetica" w:hAnsi="Helvetica" w:cs="Helvetica"/>
        </w:rPr>
        <w:t>practising</w:t>
      </w:r>
      <w:proofErr w:type="spellEnd"/>
      <w:r>
        <w:rPr>
          <w:rFonts w:ascii="Helvetica" w:hAnsi="Helvetica" w:cs="Helvetica"/>
        </w:rPr>
        <w:t xml:space="preserve"> compassion in health care. </w:t>
      </w:r>
      <w:r>
        <w:rPr>
          <w:rFonts w:ascii="Helvetica" w:hAnsi="Helvetica" w:cs="Helvetica"/>
          <w:i/>
          <w:iCs/>
        </w:rPr>
        <w:t>Medical Education</w:t>
      </w:r>
      <w:r>
        <w:rPr>
          <w:rFonts w:ascii="Helvetica" w:hAnsi="Helvetica" w:cs="Helvetica"/>
        </w:rPr>
        <w:t xml:space="preserve">, 50(3), pp.332–342. </w:t>
      </w:r>
      <w:proofErr w:type="spellStart"/>
      <w:r>
        <w:rPr>
          <w:rFonts w:ascii="Helvetica" w:hAnsi="Helvetica" w:cs="Helvetica"/>
        </w:rPr>
        <w:t>doi:</w:t>
      </w:r>
      <w:hyperlink r:id="rId6" w:history="1">
        <w:r>
          <w:rPr>
            <w:rFonts w:ascii="Helvetica" w:hAnsi="Helvetica" w:cs="Helvetica"/>
          </w:rPr>
          <w:t>https</w:t>
        </w:r>
        <w:proofErr w:type="spellEnd"/>
        <w:r>
          <w:rPr>
            <w:rFonts w:ascii="Helvetica" w:hAnsi="Helvetica" w:cs="Helvetica"/>
          </w:rPr>
          <w:t>://doi.org/10.1111/medu.12926</w:t>
        </w:r>
      </w:hyperlink>
      <w:r>
        <w:rPr>
          <w:rFonts w:ascii="Helvetica" w:hAnsi="Helvetica" w:cs="Helvetica"/>
        </w:rPr>
        <w:t>.</w:t>
      </w:r>
    </w:p>
    <w:p w14:paraId="080DFE94"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Luo, D., </w:t>
      </w:r>
      <w:proofErr w:type="spellStart"/>
      <w:r>
        <w:rPr>
          <w:rFonts w:ascii="Helvetica" w:hAnsi="Helvetica" w:cs="Helvetica"/>
        </w:rPr>
        <w:t>Doucé</w:t>
      </w:r>
      <w:proofErr w:type="spellEnd"/>
      <w:r>
        <w:rPr>
          <w:rFonts w:ascii="Helvetica" w:hAnsi="Helvetica" w:cs="Helvetica"/>
        </w:rPr>
        <w:t xml:space="preserve">, L. and Nys, K. (2024). Multisensory museum experience: an integrative view and future research directions. </w:t>
      </w:r>
      <w:r>
        <w:rPr>
          <w:rFonts w:ascii="Helvetica" w:hAnsi="Helvetica" w:cs="Helvetica"/>
          <w:i/>
          <w:iCs/>
        </w:rPr>
        <w:t>Museum Management and Curatorship</w:t>
      </w:r>
      <w:r>
        <w:rPr>
          <w:rFonts w:ascii="Helvetica" w:hAnsi="Helvetica" w:cs="Helvetica"/>
        </w:rPr>
        <w:t xml:space="preserve">, pp.1–28. </w:t>
      </w:r>
      <w:proofErr w:type="spellStart"/>
      <w:r>
        <w:rPr>
          <w:rFonts w:ascii="Helvetica" w:hAnsi="Helvetica" w:cs="Helvetica"/>
        </w:rPr>
        <w:t>doi:</w:t>
      </w:r>
      <w:hyperlink r:id="rId7" w:history="1">
        <w:r>
          <w:rPr>
            <w:rFonts w:ascii="Helvetica" w:hAnsi="Helvetica" w:cs="Helvetica"/>
          </w:rPr>
          <w:t>https</w:t>
        </w:r>
        <w:proofErr w:type="spellEnd"/>
        <w:r>
          <w:rPr>
            <w:rFonts w:ascii="Helvetica" w:hAnsi="Helvetica" w:cs="Helvetica"/>
          </w:rPr>
          <w:t>://doi.org/10.1080/09647775.2024.2357071</w:t>
        </w:r>
      </w:hyperlink>
      <w:r>
        <w:rPr>
          <w:rFonts w:ascii="Helvetica" w:hAnsi="Helvetica" w:cs="Helvetica"/>
        </w:rPr>
        <w:t>.</w:t>
      </w:r>
    </w:p>
    <w:p w14:paraId="1BEC29A4"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Miyazono, K. and </w:t>
      </w:r>
      <w:proofErr w:type="spellStart"/>
      <w:r>
        <w:rPr>
          <w:rFonts w:ascii="Helvetica" w:hAnsi="Helvetica" w:cs="Helvetica"/>
        </w:rPr>
        <w:t>Inarimori</w:t>
      </w:r>
      <w:proofErr w:type="spellEnd"/>
      <w:r>
        <w:rPr>
          <w:rFonts w:ascii="Helvetica" w:hAnsi="Helvetica" w:cs="Helvetica"/>
        </w:rPr>
        <w:t xml:space="preserve">, K. (2021). Empathy, Altruism, and Group Identification. </w:t>
      </w:r>
      <w:r>
        <w:rPr>
          <w:rFonts w:ascii="Helvetica" w:hAnsi="Helvetica" w:cs="Helvetica"/>
          <w:i/>
          <w:iCs/>
        </w:rPr>
        <w:t>Frontiers in Psychology</w:t>
      </w:r>
      <w:r>
        <w:rPr>
          <w:rFonts w:ascii="Helvetica" w:hAnsi="Helvetica" w:cs="Helvetica"/>
        </w:rPr>
        <w:t xml:space="preserve">, 12. </w:t>
      </w:r>
      <w:proofErr w:type="spellStart"/>
      <w:r>
        <w:rPr>
          <w:rFonts w:ascii="Helvetica" w:hAnsi="Helvetica" w:cs="Helvetica"/>
        </w:rPr>
        <w:t>doi:</w:t>
      </w:r>
      <w:hyperlink r:id="rId8" w:history="1">
        <w:r>
          <w:rPr>
            <w:rFonts w:ascii="Helvetica" w:hAnsi="Helvetica" w:cs="Helvetica"/>
          </w:rPr>
          <w:t>https</w:t>
        </w:r>
        <w:proofErr w:type="spellEnd"/>
        <w:r>
          <w:rPr>
            <w:rFonts w:ascii="Helvetica" w:hAnsi="Helvetica" w:cs="Helvetica"/>
          </w:rPr>
          <w:t>://doi.org/10.3389/fpsyg.2021.749315</w:t>
        </w:r>
      </w:hyperlink>
      <w:r>
        <w:rPr>
          <w:rFonts w:ascii="Helvetica" w:hAnsi="Helvetica" w:cs="Helvetica"/>
        </w:rPr>
        <w:t>.</w:t>
      </w:r>
    </w:p>
    <w:p w14:paraId="4E06430E"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van Laer, T., de Ruyter, K., Visconti, L.M. and </w:t>
      </w:r>
      <w:proofErr w:type="spellStart"/>
      <w:r>
        <w:rPr>
          <w:rFonts w:ascii="Helvetica" w:hAnsi="Helvetica" w:cs="Helvetica"/>
        </w:rPr>
        <w:t>Wetzels</w:t>
      </w:r>
      <w:proofErr w:type="spellEnd"/>
      <w:r>
        <w:rPr>
          <w:rFonts w:ascii="Helvetica" w:hAnsi="Helvetica" w:cs="Helvetica"/>
        </w:rPr>
        <w:t xml:space="preserve">, M. (2014). The Extended Transportation-Imagery Model: A Meta-Analysis of the Antecedents and Consequences of Consumers’ Narrative Transportation. </w:t>
      </w:r>
      <w:r>
        <w:rPr>
          <w:rFonts w:ascii="Helvetica" w:hAnsi="Helvetica" w:cs="Helvetica"/>
          <w:i/>
          <w:iCs/>
        </w:rPr>
        <w:t>Journal of Consumer Research</w:t>
      </w:r>
      <w:r>
        <w:rPr>
          <w:rFonts w:ascii="Helvetica" w:hAnsi="Helvetica" w:cs="Helvetica"/>
        </w:rPr>
        <w:t xml:space="preserve">, 40(5), pp.797–817. </w:t>
      </w:r>
      <w:proofErr w:type="spellStart"/>
      <w:r>
        <w:rPr>
          <w:rFonts w:ascii="Helvetica" w:hAnsi="Helvetica" w:cs="Helvetica"/>
        </w:rPr>
        <w:t>doi:</w:t>
      </w:r>
      <w:hyperlink r:id="rId9" w:history="1">
        <w:r>
          <w:rPr>
            <w:rFonts w:ascii="Helvetica" w:hAnsi="Helvetica" w:cs="Helvetica"/>
          </w:rPr>
          <w:t>https</w:t>
        </w:r>
        <w:proofErr w:type="spellEnd"/>
        <w:r>
          <w:rPr>
            <w:rFonts w:ascii="Helvetica" w:hAnsi="Helvetica" w:cs="Helvetica"/>
          </w:rPr>
          <w:t>://doi.org/10.1086/673383</w:t>
        </w:r>
      </w:hyperlink>
      <w:r>
        <w:rPr>
          <w:rFonts w:ascii="Helvetica" w:hAnsi="Helvetica" w:cs="Helvetica"/>
        </w:rPr>
        <w:t>.</w:t>
      </w:r>
    </w:p>
    <w:p w14:paraId="61475F0E"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Whitley, C.T., </w:t>
      </w:r>
      <w:proofErr w:type="spellStart"/>
      <w:r>
        <w:rPr>
          <w:rFonts w:ascii="Helvetica" w:hAnsi="Helvetica" w:cs="Helvetica"/>
        </w:rPr>
        <w:t>Kalof</w:t>
      </w:r>
      <w:proofErr w:type="spellEnd"/>
      <w:r>
        <w:rPr>
          <w:rFonts w:ascii="Helvetica" w:hAnsi="Helvetica" w:cs="Helvetica"/>
        </w:rPr>
        <w:t xml:space="preserve">, L. and Flach, T. (2020). Using Animal Portraiture to Activate Emotional Affect. </w:t>
      </w:r>
      <w:r>
        <w:rPr>
          <w:rFonts w:ascii="Helvetica" w:hAnsi="Helvetica" w:cs="Helvetica"/>
          <w:i/>
          <w:iCs/>
        </w:rPr>
        <w:t>Environment and Behavior</w:t>
      </w:r>
      <w:r>
        <w:rPr>
          <w:rFonts w:ascii="Helvetica" w:hAnsi="Helvetica" w:cs="Helvetica"/>
        </w:rPr>
        <w:t xml:space="preserve">, 53(8), pp.837–863. </w:t>
      </w:r>
      <w:proofErr w:type="spellStart"/>
      <w:r>
        <w:rPr>
          <w:rFonts w:ascii="Helvetica" w:hAnsi="Helvetica" w:cs="Helvetica"/>
        </w:rPr>
        <w:t>doi:</w:t>
      </w:r>
      <w:hyperlink r:id="rId10" w:history="1">
        <w:r>
          <w:rPr>
            <w:rFonts w:ascii="Helvetica" w:hAnsi="Helvetica" w:cs="Helvetica"/>
          </w:rPr>
          <w:t>https</w:t>
        </w:r>
        <w:proofErr w:type="spellEnd"/>
        <w:r>
          <w:rPr>
            <w:rFonts w:ascii="Helvetica" w:hAnsi="Helvetica" w:cs="Helvetica"/>
          </w:rPr>
          <w:t>://doi.org/10.1177/0013916520928429</w:t>
        </w:r>
      </w:hyperlink>
      <w:r>
        <w:rPr>
          <w:rFonts w:ascii="Helvetica" w:hAnsi="Helvetica" w:cs="Helvetica"/>
        </w:rPr>
        <w:t>.</w:t>
      </w:r>
    </w:p>
    <w:p w14:paraId="0A16764E"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Yi, S., Cao, X., Wang, X. and Zhang, Q. (2025). Comparing Narrative and Visual Arts for Empathy Enhancement in Nursing Postgraduate Education: A Mixed Method Study. </w:t>
      </w:r>
      <w:r>
        <w:rPr>
          <w:rFonts w:ascii="Helvetica" w:hAnsi="Helvetica" w:cs="Helvetica"/>
          <w:i/>
          <w:iCs/>
        </w:rPr>
        <w:t>The Journal of Continuing Education in Nursing</w:t>
      </w:r>
      <w:r>
        <w:rPr>
          <w:rFonts w:ascii="Helvetica" w:hAnsi="Helvetica" w:cs="Helvetica"/>
        </w:rPr>
        <w:t xml:space="preserve">, 56(2), pp.78–84. </w:t>
      </w:r>
      <w:proofErr w:type="spellStart"/>
      <w:r>
        <w:rPr>
          <w:rFonts w:ascii="Helvetica" w:hAnsi="Helvetica" w:cs="Helvetica"/>
        </w:rPr>
        <w:t>doi:</w:t>
      </w:r>
      <w:hyperlink r:id="rId11" w:history="1">
        <w:r>
          <w:rPr>
            <w:rFonts w:ascii="Helvetica" w:hAnsi="Helvetica" w:cs="Helvetica"/>
          </w:rPr>
          <w:t>https</w:t>
        </w:r>
        <w:proofErr w:type="spellEnd"/>
        <w:r>
          <w:rPr>
            <w:rFonts w:ascii="Helvetica" w:hAnsi="Helvetica" w:cs="Helvetica"/>
          </w:rPr>
          <w:t>://doi.org/10.3928/00220124-20250121-08</w:t>
        </w:r>
      </w:hyperlink>
      <w:r>
        <w:rPr>
          <w:rFonts w:ascii="Helvetica" w:hAnsi="Helvetica" w:cs="Helvetica"/>
        </w:rPr>
        <w:t>.</w:t>
      </w:r>
    </w:p>
    <w:p w14:paraId="1AC53620" w14:textId="77777777" w:rsidR="001F3C01" w:rsidRDefault="001F3C01" w:rsidP="001F3C01">
      <w:pPr>
        <w:autoSpaceDE w:val="0"/>
        <w:autoSpaceDN w:val="0"/>
        <w:adjustRightInd w:val="0"/>
        <w:spacing w:after="240" w:line="360" w:lineRule="auto"/>
        <w:rPr>
          <w:rFonts w:ascii="Helvetica" w:hAnsi="Helvetica" w:cs="Helvetica" w:hint="eastAsia"/>
          <w:lang w:eastAsia="zh-CN"/>
        </w:rPr>
      </w:pPr>
      <w:r w:rsidRPr="00303C70">
        <w:rPr>
          <w:rFonts w:ascii="Helvetica" w:hAnsi="Helvetica" w:cs="Helvetica"/>
        </w:rPr>
        <w:t>Yang, S. (2021) ‘</w:t>
      </w:r>
      <w:proofErr w:type="spellStart"/>
      <w:r w:rsidRPr="00CC7F82">
        <w:rPr>
          <w:rFonts w:asciiTheme="majorEastAsia" w:eastAsiaTheme="majorEastAsia" w:hAnsiTheme="majorEastAsia" w:cs="Helvetica"/>
        </w:rPr>
        <w:t>流浪</w:t>
      </w:r>
      <w:r w:rsidRPr="00CC7F82">
        <w:rPr>
          <w:rFonts w:ascii="Microsoft YaHei" w:eastAsia="Microsoft YaHei" w:hAnsi="Microsoft YaHei" w:cs="Microsoft YaHei" w:hint="eastAsia"/>
        </w:rPr>
        <w:t>动</w:t>
      </w:r>
      <w:r w:rsidRPr="00CC7F82">
        <w:rPr>
          <w:rFonts w:asciiTheme="majorEastAsia" w:eastAsiaTheme="majorEastAsia" w:hAnsiTheme="majorEastAsia" w:cs="Helvetica"/>
        </w:rPr>
        <w:t>物相关法律与</w:t>
      </w:r>
      <w:r w:rsidRPr="00CC7F82">
        <w:rPr>
          <w:rFonts w:ascii="Microsoft YaHei" w:eastAsia="Microsoft YaHei" w:hAnsi="Microsoft YaHei" w:cs="Microsoft YaHei" w:hint="eastAsia"/>
        </w:rPr>
        <w:t>现实问题</w:t>
      </w:r>
      <w:proofErr w:type="spellEnd"/>
      <w:r w:rsidRPr="00CC7F82">
        <w:rPr>
          <w:rFonts w:asciiTheme="majorEastAsia" w:eastAsiaTheme="majorEastAsia" w:hAnsiTheme="majorEastAsia" w:cs="Helvetica"/>
        </w:rPr>
        <w:t xml:space="preserve"> </w:t>
      </w:r>
      <w:r w:rsidRPr="00303C70">
        <w:rPr>
          <w:rFonts w:ascii="Helvetica" w:hAnsi="Helvetica" w:cs="Helvetica"/>
        </w:rPr>
        <w:t xml:space="preserve">[Legal and practical issues related to </w:t>
      </w:r>
      <w:r w:rsidRPr="00303C70">
        <w:rPr>
          <w:rFonts w:ascii="Helvetica" w:hAnsi="Helvetica" w:cs="Helvetica" w:hint="eastAsia"/>
        </w:rPr>
        <w:t xml:space="preserve">   </w:t>
      </w:r>
      <w:r w:rsidRPr="00303C70">
        <w:rPr>
          <w:rFonts w:ascii="Helvetica" w:hAnsi="Helvetica" w:cs="Helvetica"/>
        </w:rPr>
        <w:t xml:space="preserve">stray animals]’, </w:t>
      </w:r>
      <w:r w:rsidRPr="00CC7F82">
        <w:rPr>
          <w:rFonts w:asciiTheme="majorEastAsia" w:eastAsiaTheme="majorEastAsia" w:hAnsiTheme="majorEastAsia" w:cs="Helvetica" w:hint="eastAsia"/>
          <w:i/>
          <w:iCs/>
          <w:lang w:eastAsia="zh-CN"/>
        </w:rPr>
        <w:t>法制博</w:t>
      </w:r>
      <w:r w:rsidRPr="00CC7F82">
        <w:rPr>
          <w:rFonts w:ascii="Microsoft YaHei" w:eastAsia="Microsoft YaHei" w:hAnsi="Microsoft YaHei" w:cs="Microsoft YaHei" w:hint="eastAsia"/>
          <w:i/>
          <w:iCs/>
          <w:lang w:eastAsia="zh-CN"/>
        </w:rPr>
        <w:t>览</w:t>
      </w:r>
      <w:r w:rsidRPr="000604A6">
        <w:rPr>
          <w:rFonts w:ascii="Helvetica" w:hAnsi="Helvetica" w:cs="Helvetica" w:hint="eastAsia"/>
          <w:i/>
          <w:iCs/>
          <w:lang w:eastAsia="zh-CN"/>
        </w:rPr>
        <w:t>[</w:t>
      </w:r>
      <w:r w:rsidRPr="000604A6">
        <w:rPr>
          <w:rFonts w:ascii="Helvetica" w:hAnsi="Helvetica" w:cs="Helvetica"/>
          <w:i/>
          <w:iCs/>
        </w:rPr>
        <w:t>Legal System and Society],</w:t>
      </w:r>
      <w:r w:rsidRPr="00303C70">
        <w:rPr>
          <w:rFonts w:ascii="Helvetica" w:hAnsi="Helvetica" w:cs="Helvetica"/>
        </w:rPr>
        <w:t xml:space="preserve"> (14), pp. 154–156.</w:t>
      </w:r>
    </w:p>
    <w:p w14:paraId="1ABA2E69" w14:textId="77777777" w:rsidR="001F3C01" w:rsidRDefault="001F3C01" w:rsidP="001F3C01">
      <w:pPr>
        <w:pStyle w:val="Heading1"/>
        <w:rPr>
          <w:rFonts w:ascii="Arial" w:eastAsia="Times New Roman" w:hAnsi="Arial" w:cs="Arial"/>
          <w:color w:val="auto"/>
          <w:sz w:val="24"/>
          <w:szCs w:val="24"/>
        </w:rPr>
      </w:pPr>
      <w:r w:rsidRPr="001A1705">
        <w:rPr>
          <w:rFonts w:ascii="Arial" w:eastAsia="Times New Roman" w:hAnsi="Arial" w:cs="Arial"/>
          <w:b/>
          <w:bCs/>
          <w:color w:val="auto"/>
          <w:kern w:val="0"/>
          <w:sz w:val="24"/>
          <w:szCs w:val="24"/>
          <w14:ligatures w14:val="none"/>
        </w:rPr>
        <w:lastRenderedPageBreak/>
        <w:t>Additional sources consulted (not cited in text)</w:t>
      </w:r>
    </w:p>
    <w:p w14:paraId="7393423D" w14:textId="77777777" w:rsidR="001F3C01" w:rsidRPr="00CC7F82" w:rsidRDefault="001F3C01" w:rsidP="001F3C01">
      <w:pPr>
        <w:rPr>
          <w:rFonts w:hint="eastAsia"/>
          <w:lang w:eastAsia="zh-CN"/>
        </w:rPr>
      </w:pPr>
    </w:p>
    <w:p w14:paraId="73612507"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Beck, T., Giese, S. and Khoo, T.K. (2024). Harnessing the power of empathy, visual art and patient narratives to improve health literacy: An exploratory study. </w:t>
      </w:r>
      <w:r>
        <w:rPr>
          <w:rFonts w:ascii="Helvetica" w:hAnsi="Helvetica" w:cs="Helvetica"/>
          <w:i/>
          <w:iCs/>
        </w:rPr>
        <w:t>Health Promotion Journal of Australia</w:t>
      </w:r>
      <w:r>
        <w:rPr>
          <w:rFonts w:ascii="Helvetica" w:hAnsi="Helvetica" w:cs="Helvetica"/>
        </w:rPr>
        <w:t xml:space="preserve">, 36(1). </w:t>
      </w:r>
      <w:proofErr w:type="spellStart"/>
      <w:r>
        <w:rPr>
          <w:rFonts w:ascii="Helvetica" w:hAnsi="Helvetica" w:cs="Helvetica"/>
        </w:rPr>
        <w:t>doi:</w:t>
      </w:r>
      <w:hyperlink r:id="rId12" w:history="1">
        <w:r>
          <w:rPr>
            <w:rFonts w:ascii="Helvetica" w:hAnsi="Helvetica" w:cs="Helvetica"/>
          </w:rPr>
          <w:t>https</w:t>
        </w:r>
        <w:proofErr w:type="spellEnd"/>
        <w:r>
          <w:rPr>
            <w:rFonts w:ascii="Helvetica" w:hAnsi="Helvetica" w:cs="Helvetica"/>
          </w:rPr>
          <w:t>://doi.org/10.1002/hpja.893</w:t>
        </w:r>
      </w:hyperlink>
      <w:r>
        <w:rPr>
          <w:rFonts w:ascii="Helvetica" w:hAnsi="Helvetica" w:cs="Helvetica"/>
        </w:rPr>
        <w:t>.</w:t>
      </w:r>
    </w:p>
    <w:p w14:paraId="70D67BF2"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Benford, S., </w:t>
      </w:r>
      <w:proofErr w:type="spellStart"/>
      <w:r>
        <w:rPr>
          <w:rFonts w:ascii="Helvetica" w:hAnsi="Helvetica" w:cs="Helvetica"/>
        </w:rPr>
        <w:t>Løvlie</w:t>
      </w:r>
      <w:proofErr w:type="spellEnd"/>
      <w:r>
        <w:rPr>
          <w:rFonts w:ascii="Helvetica" w:hAnsi="Helvetica" w:cs="Helvetica"/>
        </w:rPr>
        <w:t xml:space="preserve">, A., </w:t>
      </w:r>
      <w:proofErr w:type="spellStart"/>
      <w:r>
        <w:rPr>
          <w:rFonts w:ascii="Helvetica" w:hAnsi="Helvetica" w:cs="Helvetica"/>
        </w:rPr>
        <w:t>Ryding</w:t>
      </w:r>
      <w:proofErr w:type="spellEnd"/>
      <w:r>
        <w:rPr>
          <w:rFonts w:ascii="Helvetica" w:hAnsi="Helvetica" w:cs="Helvetica"/>
        </w:rPr>
        <w:t xml:space="preserve">, K., </w:t>
      </w:r>
      <w:proofErr w:type="spellStart"/>
      <w:r>
        <w:rPr>
          <w:rFonts w:ascii="Helvetica" w:hAnsi="Helvetica" w:cs="Helvetica"/>
        </w:rPr>
        <w:t>Rajkowska</w:t>
      </w:r>
      <w:proofErr w:type="spellEnd"/>
      <w:r>
        <w:rPr>
          <w:rFonts w:ascii="Helvetica" w:hAnsi="Helvetica" w:cs="Helvetica"/>
        </w:rPr>
        <w:t xml:space="preserve">, P., </w:t>
      </w:r>
      <w:proofErr w:type="spellStart"/>
      <w:r>
        <w:rPr>
          <w:rFonts w:ascii="Helvetica" w:hAnsi="Helvetica" w:cs="Helvetica"/>
        </w:rPr>
        <w:t>Bodiaj</w:t>
      </w:r>
      <w:proofErr w:type="spellEnd"/>
      <w:r>
        <w:rPr>
          <w:rFonts w:ascii="Helvetica" w:hAnsi="Helvetica" w:cs="Helvetica"/>
        </w:rPr>
        <w:t xml:space="preserve">, E., </w:t>
      </w:r>
      <w:proofErr w:type="spellStart"/>
      <w:r>
        <w:rPr>
          <w:rFonts w:ascii="Helvetica" w:hAnsi="Helvetica" w:cs="Helvetica"/>
        </w:rPr>
        <w:t>Darzentas</w:t>
      </w:r>
      <w:proofErr w:type="spellEnd"/>
      <w:r>
        <w:rPr>
          <w:rFonts w:ascii="Helvetica" w:hAnsi="Helvetica" w:cs="Helvetica"/>
        </w:rPr>
        <w:t xml:space="preserve">, D., Cameron, H., Spence, J., Egede, J., </w:t>
      </w:r>
      <w:proofErr w:type="spellStart"/>
      <w:r>
        <w:rPr>
          <w:rFonts w:ascii="Helvetica" w:hAnsi="Helvetica" w:cs="Helvetica"/>
        </w:rPr>
        <w:t>Nextgame</w:t>
      </w:r>
      <w:proofErr w:type="spellEnd"/>
      <w:r>
        <w:rPr>
          <w:rFonts w:ascii="Helvetica" w:hAnsi="Helvetica" w:cs="Helvetica"/>
        </w:rPr>
        <w:t xml:space="preserve">, B. and Montenegro (n.d.). </w:t>
      </w:r>
      <w:r>
        <w:rPr>
          <w:rFonts w:ascii="Helvetica" w:hAnsi="Helvetica" w:cs="Helvetica"/>
          <w:i/>
          <w:iCs/>
        </w:rPr>
        <w:t>Sensitive Pictures Sensitive Pictures Emotional Interpretation in the Museum</w:t>
      </w:r>
      <w:r>
        <w:rPr>
          <w:rFonts w:ascii="Helvetica" w:hAnsi="Helvetica" w:cs="Helvetica"/>
        </w:rPr>
        <w:t>.</w:t>
      </w:r>
    </w:p>
    <w:p w14:paraId="6F5DDD3C"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Berardi, A., </w:t>
      </w:r>
      <w:proofErr w:type="spellStart"/>
      <w:r>
        <w:rPr>
          <w:rFonts w:ascii="Helvetica" w:hAnsi="Helvetica" w:cs="Helvetica"/>
        </w:rPr>
        <w:t>Zavattaro</w:t>
      </w:r>
      <w:proofErr w:type="spellEnd"/>
      <w:r>
        <w:rPr>
          <w:rFonts w:ascii="Helvetica" w:hAnsi="Helvetica" w:cs="Helvetica"/>
        </w:rPr>
        <w:t xml:space="preserve">, C. and </w:t>
      </w:r>
      <w:proofErr w:type="spellStart"/>
      <w:r>
        <w:rPr>
          <w:rFonts w:ascii="Helvetica" w:hAnsi="Helvetica" w:cs="Helvetica"/>
        </w:rPr>
        <w:t>Hasna</w:t>
      </w:r>
      <w:proofErr w:type="spellEnd"/>
      <w:r>
        <w:rPr>
          <w:rFonts w:ascii="Helvetica" w:hAnsi="Helvetica" w:cs="Helvetica"/>
        </w:rPr>
        <w:t xml:space="preserve">, M. (n.d.). </w:t>
      </w:r>
      <w:r>
        <w:rPr>
          <w:rFonts w:ascii="Helvetica" w:hAnsi="Helvetica" w:cs="Helvetica"/>
          <w:i/>
          <w:iCs/>
        </w:rPr>
        <w:t>OPEN ACCESS EDITED BY</w:t>
      </w:r>
      <w:r>
        <w:rPr>
          <w:rFonts w:ascii="Helvetica" w:hAnsi="Helvetica" w:cs="Helvetica"/>
        </w:rPr>
        <w:t>.</w:t>
      </w:r>
    </w:p>
    <w:p w14:paraId="7EFD3D68"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Chen, X. and Ibrahim, Z. (2023). A Comprehensive Study of Emotional Responses in AI-Enhanced Interactive Installation Art. </w:t>
      </w:r>
      <w:r>
        <w:rPr>
          <w:rFonts w:ascii="Helvetica" w:hAnsi="Helvetica" w:cs="Helvetica"/>
          <w:i/>
          <w:iCs/>
        </w:rPr>
        <w:t>Sustainability</w:t>
      </w:r>
      <w:r>
        <w:rPr>
          <w:rFonts w:ascii="Helvetica" w:hAnsi="Helvetica" w:cs="Helvetica"/>
        </w:rPr>
        <w:t xml:space="preserve">, 15(22), p.15830. </w:t>
      </w:r>
      <w:proofErr w:type="spellStart"/>
      <w:r>
        <w:rPr>
          <w:rFonts w:ascii="Helvetica" w:hAnsi="Helvetica" w:cs="Helvetica"/>
        </w:rPr>
        <w:t>doi:</w:t>
      </w:r>
      <w:hyperlink r:id="rId13" w:history="1">
        <w:r>
          <w:rPr>
            <w:rFonts w:ascii="Helvetica" w:hAnsi="Helvetica" w:cs="Helvetica"/>
          </w:rPr>
          <w:t>https</w:t>
        </w:r>
        <w:proofErr w:type="spellEnd"/>
        <w:r>
          <w:rPr>
            <w:rFonts w:ascii="Helvetica" w:hAnsi="Helvetica" w:cs="Helvetica"/>
          </w:rPr>
          <w:t>://doi.org/10.3390/su152215830</w:t>
        </w:r>
      </w:hyperlink>
      <w:r>
        <w:rPr>
          <w:rFonts w:ascii="Helvetica" w:hAnsi="Helvetica" w:cs="Helvetica"/>
        </w:rPr>
        <w:t>.</w:t>
      </w:r>
    </w:p>
    <w:p w14:paraId="5429AD4D"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Davis, M.H. (1983). Measuring individual differences in empathy: Evidence for a multidimensional approach. </w:t>
      </w:r>
      <w:r>
        <w:rPr>
          <w:rFonts w:ascii="Helvetica" w:hAnsi="Helvetica" w:cs="Helvetica"/>
          <w:i/>
          <w:iCs/>
        </w:rPr>
        <w:t>Journal of Personality and Social Psychology</w:t>
      </w:r>
      <w:r>
        <w:rPr>
          <w:rFonts w:ascii="Helvetica" w:hAnsi="Helvetica" w:cs="Helvetica"/>
        </w:rPr>
        <w:t xml:space="preserve">, 44(1), pp.113–126. </w:t>
      </w:r>
      <w:proofErr w:type="spellStart"/>
      <w:r>
        <w:rPr>
          <w:rFonts w:ascii="Helvetica" w:hAnsi="Helvetica" w:cs="Helvetica"/>
        </w:rPr>
        <w:t>doi:</w:t>
      </w:r>
      <w:hyperlink r:id="rId14" w:history="1">
        <w:r>
          <w:rPr>
            <w:rFonts w:ascii="Helvetica" w:hAnsi="Helvetica" w:cs="Helvetica"/>
          </w:rPr>
          <w:t>https</w:t>
        </w:r>
        <w:proofErr w:type="spellEnd"/>
        <w:r>
          <w:rPr>
            <w:rFonts w:ascii="Helvetica" w:hAnsi="Helvetica" w:cs="Helvetica"/>
          </w:rPr>
          <w:t>://doi.org/10.1037/0022-3514.44.1.113</w:t>
        </w:r>
      </w:hyperlink>
      <w:r>
        <w:rPr>
          <w:rFonts w:ascii="Helvetica" w:hAnsi="Helvetica" w:cs="Helvetica"/>
        </w:rPr>
        <w:t>.</w:t>
      </w:r>
    </w:p>
    <w:p w14:paraId="5DEA39D0"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Eisen, M. (2024). </w:t>
      </w:r>
      <w:r>
        <w:rPr>
          <w:rFonts w:ascii="Helvetica" w:hAnsi="Helvetica" w:cs="Helvetica"/>
          <w:i/>
          <w:iCs/>
        </w:rPr>
        <w:t xml:space="preserve">Understanding Empathy vs. Sympathy: </w:t>
      </w:r>
      <w:proofErr w:type="spellStart"/>
      <w:r>
        <w:rPr>
          <w:rFonts w:ascii="Helvetica" w:hAnsi="Helvetica" w:cs="Helvetica"/>
          <w:i/>
          <w:iCs/>
        </w:rPr>
        <w:t>Wh</w:t>
      </w:r>
      <w:proofErr w:type="spellEnd"/>
      <w:r>
        <w:rPr>
          <w:rFonts w:ascii="Helvetica" w:hAnsi="Helvetica" w:cs="Helvetica"/>
          <w:i/>
          <w:iCs/>
        </w:rPr>
        <w:t xml:space="preserve"> Understanding Empathy vs. Sympathy: What’s the Difference? </w:t>
      </w:r>
      <w:proofErr w:type="spellStart"/>
      <w:r>
        <w:rPr>
          <w:rFonts w:ascii="Helvetica" w:hAnsi="Helvetica" w:cs="Helvetica"/>
          <w:i/>
          <w:iCs/>
        </w:rPr>
        <w:t>at’s</w:t>
      </w:r>
      <w:proofErr w:type="spellEnd"/>
      <w:r>
        <w:rPr>
          <w:rFonts w:ascii="Helvetica" w:hAnsi="Helvetica" w:cs="Helvetica"/>
          <w:i/>
          <w:iCs/>
        </w:rPr>
        <w:t xml:space="preserve"> the Difference? Key Insights </w:t>
      </w:r>
      <w:proofErr w:type="gramStart"/>
      <w:r>
        <w:rPr>
          <w:rFonts w:ascii="Helvetica" w:hAnsi="Helvetica" w:cs="Helvetica"/>
          <w:i/>
          <w:iCs/>
        </w:rPr>
        <w:t>12 minute</w:t>
      </w:r>
      <w:proofErr w:type="gramEnd"/>
      <w:r>
        <w:rPr>
          <w:rFonts w:ascii="Helvetica" w:hAnsi="Helvetica" w:cs="Helvetica"/>
          <w:i/>
          <w:iCs/>
        </w:rPr>
        <w:t xml:space="preserve"> read</w:t>
      </w:r>
      <w:r>
        <w:rPr>
          <w:rFonts w:ascii="Helvetica" w:hAnsi="Helvetica" w:cs="Helvetica"/>
        </w:rPr>
        <w:t>.</w:t>
      </w:r>
    </w:p>
    <w:p w14:paraId="7DB8CE67" w14:textId="77777777" w:rsidR="001F3C01" w:rsidRDefault="001F3C01" w:rsidP="001F3C01">
      <w:pPr>
        <w:autoSpaceDE w:val="0"/>
        <w:autoSpaceDN w:val="0"/>
        <w:adjustRightInd w:val="0"/>
        <w:spacing w:after="240" w:line="360" w:lineRule="auto"/>
        <w:rPr>
          <w:rFonts w:ascii="Helvetica" w:hAnsi="Helvetica" w:cs="Helvetica"/>
        </w:rPr>
      </w:pPr>
      <w:proofErr w:type="spellStart"/>
      <w:r>
        <w:rPr>
          <w:rFonts w:ascii="Helvetica" w:hAnsi="Helvetica" w:cs="Helvetica"/>
        </w:rPr>
        <w:t>Fenici</w:t>
      </w:r>
      <w:proofErr w:type="spellEnd"/>
      <w:r>
        <w:rPr>
          <w:rFonts w:ascii="Helvetica" w:hAnsi="Helvetica" w:cs="Helvetica"/>
        </w:rPr>
        <w:t xml:space="preserve">, M. and Mosca, I. (2024). Gamebooks and branching narratives in education: fostering sustainability competences to promote positive social change. </w:t>
      </w:r>
      <w:r>
        <w:rPr>
          <w:rFonts w:ascii="Helvetica" w:hAnsi="Helvetica" w:cs="Helvetica"/>
          <w:i/>
          <w:iCs/>
        </w:rPr>
        <w:t>Frontiers in Education</w:t>
      </w:r>
      <w:r>
        <w:rPr>
          <w:rFonts w:ascii="Helvetica" w:hAnsi="Helvetica" w:cs="Helvetica"/>
        </w:rPr>
        <w:t xml:space="preserve">, 8. </w:t>
      </w:r>
      <w:proofErr w:type="spellStart"/>
      <w:r>
        <w:rPr>
          <w:rFonts w:ascii="Helvetica" w:hAnsi="Helvetica" w:cs="Helvetica"/>
        </w:rPr>
        <w:t>doi:</w:t>
      </w:r>
      <w:hyperlink r:id="rId15" w:history="1">
        <w:r>
          <w:rPr>
            <w:rFonts w:ascii="Helvetica" w:hAnsi="Helvetica" w:cs="Helvetica"/>
          </w:rPr>
          <w:t>https</w:t>
        </w:r>
        <w:proofErr w:type="spellEnd"/>
        <w:r>
          <w:rPr>
            <w:rFonts w:ascii="Helvetica" w:hAnsi="Helvetica" w:cs="Helvetica"/>
          </w:rPr>
          <w:t>://doi.org/10.3389/feduc.2023.1335605</w:t>
        </w:r>
      </w:hyperlink>
      <w:r>
        <w:rPr>
          <w:rFonts w:ascii="Helvetica" w:hAnsi="Helvetica" w:cs="Helvetica"/>
        </w:rPr>
        <w:t>.</w:t>
      </w:r>
    </w:p>
    <w:p w14:paraId="35D35090" w14:textId="77777777" w:rsidR="001F3C01" w:rsidRDefault="001F3C01" w:rsidP="001F3C01">
      <w:pPr>
        <w:autoSpaceDE w:val="0"/>
        <w:autoSpaceDN w:val="0"/>
        <w:adjustRightInd w:val="0"/>
        <w:spacing w:after="240" w:line="360" w:lineRule="auto"/>
        <w:rPr>
          <w:rFonts w:ascii="Helvetica" w:hAnsi="Helvetica" w:cs="Helvetica"/>
        </w:rPr>
      </w:pPr>
      <w:proofErr w:type="spellStart"/>
      <w:r>
        <w:rPr>
          <w:rFonts w:ascii="Helvetica" w:hAnsi="Helvetica" w:cs="Helvetica"/>
        </w:rPr>
        <w:t>Gazioğlu</w:t>
      </w:r>
      <w:proofErr w:type="spellEnd"/>
      <w:r>
        <w:rPr>
          <w:rFonts w:ascii="Helvetica" w:hAnsi="Helvetica" w:cs="Helvetica"/>
        </w:rPr>
        <w:t xml:space="preserve">, M. and </w:t>
      </w:r>
      <w:proofErr w:type="spellStart"/>
      <w:r>
        <w:rPr>
          <w:rFonts w:ascii="Helvetica" w:hAnsi="Helvetica" w:cs="Helvetica"/>
        </w:rPr>
        <w:t>Karakuş</w:t>
      </w:r>
      <w:proofErr w:type="spellEnd"/>
      <w:r>
        <w:rPr>
          <w:rFonts w:ascii="Helvetica" w:hAnsi="Helvetica" w:cs="Helvetica"/>
        </w:rPr>
        <w:t xml:space="preserve">, N. (2023). The impact of multisensory learning model-based </w:t>
      </w:r>
      <w:proofErr w:type="gramStart"/>
      <w:r>
        <w:rPr>
          <w:rFonts w:ascii="Helvetica" w:hAnsi="Helvetica" w:cs="Helvetica"/>
        </w:rPr>
        <w:t>tale-telling</w:t>
      </w:r>
      <w:proofErr w:type="gramEnd"/>
      <w:r>
        <w:rPr>
          <w:rFonts w:ascii="Helvetica" w:hAnsi="Helvetica" w:cs="Helvetica"/>
        </w:rPr>
        <w:t xml:space="preserve"> on listening skills and student opinions about it. </w:t>
      </w:r>
      <w:r>
        <w:rPr>
          <w:rFonts w:ascii="Helvetica" w:hAnsi="Helvetica" w:cs="Helvetica"/>
          <w:i/>
          <w:iCs/>
        </w:rPr>
        <w:t>Frontiers in Education</w:t>
      </w:r>
      <w:r>
        <w:rPr>
          <w:rFonts w:ascii="Helvetica" w:hAnsi="Helvetica" w:cs="Helvetica"/>
        </w:rPr>
        <w:t xml:space="preserve">, 8. </w:t>
      </w:r>
      <w:proofErr w:type="spellStart"/>
      <w:r>
        <w:rPr>
          <w:rFonts w:ascii="Helvetica" w:hAnsi="Helvetica" w:cs="Helvetica"/>
        </w:rPr>
        <w:t>doi:</w:t>
      </w:r>
      <w:hyperlink r:id="rId16" w:history="1">
        <w:r>
          <w:rPr>
            <w:rFonts w:ascii="Helvetica" w:hAnsi="Helvetica" w:cs="Helvetica"/>
          </w:rPr>
          <w:t>https</w:t>
        </w:r>
        <w:proofErr w:type="spellEnd"/>
        <w:r>
          <w:rPr>
            <w:rFonts w:ascii="Helvetica" w:hAnsi="Helvetica" w:cs="Helvetica"/>
          </w:rPr>
          <w:t>://doi.org/10.3389/feduc.2023.1137042</w:t>
        </w:r>
      </w:hyperlink>
      <w:r>
        <w:rPr>
          <w:rFonts w:ascii="Helvetica" w:hAnsi="Helvetica" w:cs="Helvetica"/>
        </w:rPr>
        <w:t>.</w:t>
      </w:r>
    </w:p>
    <w:p w14:paraId="06C663A1"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Goetz, J.L., Keltner, D. and Simon-Thomas, E. (2010). Compassion: An evolutionary analysis and empirical review. </w:t>
      </w:r>
      <w:r>
        <w:rPr>
          <w:rFonts w:ascii="Helvetica" w:hAnsi="Helvetica" w:cs="Helvetica"/>
          <w:i/>
          <w:iCs/>
        </w:rPr>
        <w:t>Psychological Bulletin</w:t>
      </w:r>
      <w:r>
        <w:rPr>
          <w:rFonts w:ascii="Helvetica" w:hAnsi="Helvetica" w:cs="Helvetica"/>
        </w:rPr>
        <w:t xml:space="preserve">, 136(3), pp.351–374. </w:t>
      </w:r>
      <w:proofErr w:type="spellStart"/>
      <w:r>
        <w:rPr>
          <w:rFonts w:ascii="Helvetica" w:hAnsi="Helvetica" w:cs="Helvetica"/>
        </w:rPr>
        <w:t>doi:</w:t>
      </w:r>
      <w:hyperlink r:id="rId17" w:history="1">
        <w:r>
          <w:rPr>
            <w:rFonts w:ascii="Helvetica" w:hAnsi="Helvetica" w:cs="Helvetica"/>
          </w:rPr>
          <w:t>https</w:t>
        </w:r>
        <w:proofErr w:type="spellEnd"/>
        <w:r>
          <w:rPr>
            <w:rFonts w:ascii="Helvetica" w:hAnsi="Helvetica" w:cs="Helvetica"/>
          </w:rPr>
          <w:t>://doi.org/10.1037/a0018807</w:t>
        </w:r>
      </w:hyperlink>
      <w:r>
        <w:rPr>
          <w:rFonts w:ascii="Helvetica" w:hAnsi="Helvetica" w:cs="Helvetica"/>
        </w:rPr>
        <w:t>.</w:t>
      </w:r>
    </w:p>
    <w:p w14:paraId="03E8DDA0"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lastRenderedPageBreak/>
        <w:t xml:space="preserve">Guy-Evans, O. (2023). </w:t>
      </w:r>
      <w:r>
        <w:rPr>
          <w:rFonts w:ascii="Helvetica" w:hAnsi="Helvetica" w:cs="Helvetica"/>
          <w:i/>
          <w:iCs/>
        </w:rPr>
        <w:t xml:space="preserve">The Difference Between Empathy </w:t>
      </w:r>
      <w:proofErr w:type="gramStart"/>
      <w:r>
        <w:rPr>
          <w:rFonts w:ascii="Helvetica" w:hAnsi="Helvetica" w:cs="Helvetica"/>
          <w:i/>
          <w:iCs/>
        </w:rPr>
        <w:t>And</w:t>
      </w:r>
      <w:proofErr w:type="gramEnd"/>
      <w:r>
        <w:rPr>
          <w:rFonts w:ascii="Helvetica" w:hAnsi="Helvetica" w:cs="Helvetica"/>
          <w:i/>
          <w:iCs/>
        </w:rPr>
        <w:t xml:space="preserve"> Sympathy simplypsychology.org/sympathy-empathy-compassion.html</w:t>
      </w:r>
      <w:r>
        <w:rPr>
          <w:rFonts w:ascii="Helvetica" w:hAnsi="Helvetica" w:cs="Helvetica"/>
        </w:rPr>
        <w:t>.</w:t>
      </w:r>
    </w:p>
    <w:p w14:paraId="178AF734"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Hand, S. and Varan, D. (2009). Interactive stories and the audience. </w:t>
      </w:r>
      <w:r>
        <w:rPr>
          <w:rFonts w:ascii="Helvetica" w:hAnsi="Helvetica" w:cs="Helvetica"/>
          <w:i/>
          <w:iCs/>
        </w:rPr>
        <w:t>Computers in Entertainment</w:t>
      </w:r>
      <w:r>
        <w:rPr>
          <w:rFonts w:ascii="Helvetica" w:hAnsi="Helvetica" w:cs="Helvetica"/>
        </w:rPr>
        <w:t xml:space="preserve">, 7(3), pp.1–14. </w:t>
      </w:r>
      <w:proofErr w:type="spellStart"/>
      <w:r>
        <w:rPr>
          <w:rFonts w:ascii="Helvetica" w:hAnsi="Helvetica" w:cs="Helvetica"/>
        </w:rPr>
        <w:t>doi:</w:t>
      </w:r>
      <w:hyperlink r:id="rId18" w:history="1">
        <w:r>
          <w:rPr>
            <w:rFonts w:ascii="Helvetica" w:hAnsi="Helvetica" w:cs="Helvetica"/>
          </w:rPr>
          <w:t>https</w:t>
        </w:r>
        <w:proofErr w:type="spellEnd"/>
        <w:r>
          <w:rPr>
            <w:rFonts w:ascii="Helvetica" w:hAnsi="Helvetica" w:cs="Helvetica"/>
          </w:rPr>
          <w:t>://doi.org/10.1145/1594943.1594951</w:t>
        </w:r>
      </w:hyperlink>
      <w:r>
        <w:rPr>
          <w:rFonts w:ascii="Helvetica" w:hAnsi="Helvetica" w:cs="Helvetica"/>
        </w:rPr>
        <w:t>.</w:t>
      </w:r>
    </w:p>
    <w:p w14:paraId="493A4295"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Hildebrandt, M., Richardson, R., Ma, J. and Scanlon (2022). AMA Journal of Ethics ® Activating Empathy Through Art in Cancer Communities. 24(7), pp.590–598.</w:t>
      </w:r>
    </w:p>
    <w:p w14:paraId="5B192CE9"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López-</w:t>
      </w:r>
      <w:proofErr w:type="spellStart"/>
      <w:r>
        <w:rPr>
          <w:rFonts w:ascii="Helvetica" w:hAnsi="Helvetica" w:cs="Helvetica"/>
        </w:rPr>
        <w:t>Faican</w:t>
      </w:r>
      <w:proofErr w:type="spellEnd"/>
      <w:r>
        <w:rPr>
          <w:rFonts w:ascii="Helvetica" w:hAnsi="Helvetica" w:cs="Helvetica"/>
        </w:rPr>
        <w:t xml:space="preserve">, L., Jaen, J. and Montaner, J. (2023). Exploring Augmented Reality in Multiplayer Game Design to Promote Empathy and Prosocial Behavior. </w:t>
      </w:r>
      <w:r>
        <w:rPr>
          <w:rFonts w:ascii="Helvetica" w:hAnsi="Helvetica" w:cs="Helvetica"/>
          <w:i/>
          <w:iCs/>
        </w:rPr>
        <w:t>XXIII International Conference on Human Computer Interaction</w:t>
      </w:r>
      <w:r>
        <w:rPr>
          <w:rFonts w:ascii="Helvetica" w:hAnsi="Helvetica" w:cs="Helvetica"/>
        </w:rPr>
        <w:t xml:space="preserve">, pp.1–8. </w:t>
      </w:r>
      <w:proofErr w:type="spellStart"/>
      <w:r>
        <w:rPr>
          <w:rFonts w:ascii="Helvetica" w:hAnsi="Helvetica" w:cs="Helvetica"/>
        </w:rPr>
        <w:t>doi:</w:t>
      </w:r>
      <w:hyperlink r:id="rId19" w:history="1">
        <w:r>
          <w:rPr>
            <w:rFonts w:ascii="Helvetica" w:hAnsi="Helvetica" w:cs="Helvetica"/>
          </w:rPr>
          <w:t>https</w:t>
        </w:r>
        <w:proofErr w:type="spellEnd"/>
        <w:r>
          <w:rPr>
            <w:rFonts w:ascii="Helvetica" w:hAnsi="Helvetica" w:cs="Helvetica"/>
          </w:rPr>
          <w:t>://doi.org/10.1145/3612783.3612794</w:t>
        </w:r>
      </w:hyperlink>
      <w:r>
        <w:rPr>
          <w:rFonts w:ascii="Helvetica" w:hAnsi="Helvetica" w:cs="Helvetica"/>
        </w:rPr>
        <w:t>.</w:t>
      </w:r>
    </w:p>
    <w:p w14:paraId="6FDCDE3A" w14:textId="77777777" w:rsidR="001F3C01" w:rsidRPr="000D1B48" w:rsidRDefault="001F3C01" w:rsidP="001F3C01">
      <w:pPr>
        <w:autoSpaceDE w:val="0"/>
        <w:autoSpaceDN w:val="0"/>
        <w:adjustRightInd w:val="0"/>
        <w:spacing w:after="240" w:line="360" w:lineRule="auto"/>
        <w:rPr>
          <w:rFonts w:ascii="Helvetica" w:hAnsi="Helvetica" w:cs="Helvetica"/>
        </w:rPr>
      </w:pPr>
      <w:r w:rsidRPr="000D1B48">
        <w:rPr>
          <w:rFonts w:ascii="Helvetica" w:hAnsi="Helvetica" w:cs="Helvetica"/>
        </w:rPr>
        <w:t>Ji, T., Wang, J. and Ding, Y. (2025) ‘</w:t>
      </w:r>
      <w:proofErr w:type="spellStart"/>
      <w:r w:rsidRPr="00CC7F82">
        <w:rPr>
          <w:rFonts w:asciiTheme="majorEastAsia" w:eastAsiaTheme="majorEastAsia" w:hAnsiTheme="majorEastAsia" w:cs="Helvetica"/>
        </w:rPr>
        <w:t>人</w:t>
      </w:r>
      <w:r w:rsidRPr="00CC7F82">
        <w:rPr>
          <w:rFonts w:ascii="Microsoft YaHei" w:eastAsia="Microsoft YaHei" w:hAnsi="Microsoft YaHei" w:cs="Microsoft YaHei" w:hint="eastAsia"/>
        </w:rPr>
        <w:t>们</w:t>
      </w:r>
      <w:r w:rsidRPr="00CC7F82">
        <w:rPr>
          <w:rFonts w:asciiTheme="majorEastAsia" w:eastAsiaTheme="majorEastAsia" w:hAnsiTheme="majorEastAsia" w:cs="Helvetica"/>
        </w:rPr>
        <w:t>更同情流浪</w:t>
      </w:r>
      <w:r w:rsidRPr="00CC7F82">
        <w:rPr>
          <w:rFonts w:ascii="Microsoft YaHei" w:eastAsia="Microsoft YaHei" w:hAnsi="Microsoft YaHei" w:cs="Microsoft YaHei" w:hint="eastAsia"/>
        </w:rPr>
        <w:t>动</w:t>
      </w:r>
      <w:r w:rsidRPr="00CC7F82">
        <w:rPr>
          <w:rFonts w:asciiTheme="majorEastAsia" w:eastAsiaTheme="majorEastAsia" w:hAnsiTheme="majorEastAsia" w:cs="Helvetica"/>
        </w:rPr>
        <w:t>物</w:t>
      </w:r>
      <w:r w:rsidRPr="00CC7F82">
        <w:rPr>
          <w:rFonts w:ascii="Microsoft YaHei" w:eastAsia="Microsoft YaHei" w:hAnsi="Microsoft YaHei" w:cs="Microsoft YaHei" w:hint="eastAsia"/>
        </w:rPr>
        <w:t>还</w:t>
      </w:r>
      <w:r w:rsidRPr="00CC7F82">
        <w:rPr>
          <w:rFonts w:asciiTheme="majorEastAsia" w:eastAsiaTheme="majorEastAsia" w:hAnsiTheme="majorEastAsia" w:cs="Helvetica"/>
        </w:rPr>
        <w:t>是流浪</w:t>
      </w:r>
      <w:r w:rsidRPr="00CC7F82">
        <w:rPr>
          <w:rFonts w:ascii="Microsoft YaHei" w:eastAsia="Microsoft YaHei" w:hAnsi="Microsoft YaHei" w:cs="Microsoft YaHei" w:hint="eastAsia"/>
        </w:rPr>
        <w:t>汉</w:t>
      </w:r>
      <w:r w:rsidRPr="00CC7F82">
        <w:rPr>
          <w:rFonts w:asciiTheme="majorEastAsia" w:eastAsiaTheme="majorEastAsia" w:hAnsiTheme="majorEastAsia" w:cs="Helvetica"/>
        </w:rPr>
        <w:t>？基于</w:t>
      </w:r>
      <w:r w:rsidRPr="00CC7F82">
        <w:rPr>
          <w:rFonts w:ascii="Microsoft YaHei" w:eastAsia="Microsoft YaHei" w:hAnsi="Microsoft YaHei" w:cs="Microsoft YaHei" w:hint="eastAsia"/>
        </w:rPr>
        <w:t>责</w:t>
      </w:r>
      <w:r w:rsidRPr="00CC7F82">
        <w:rPr>
          <w:rFonts w:asciiTheme="majorEastAsia" w:eastAsiaTheme="majorEastAsia" w:hAnsiTheme="majorEastAsia" w:cs="Helvetica"/>
        </w:rPr>
        <w:t>任</w:t>
      </w:r>
      <w:r w:rsidRPr="00CC7F82">
        <w:rPr>
          <w:rFonts w:ascii="Microsoft YaHei" w:eastAsia="Microsoft YaHei" w:hAnsi="Microsoft YaHei" w:cs="Microsoft YaHei" w:hint="eastAsia"/>
        </w:rPr>
        <w:t>归</w:t>
      </w:r>
      <w:r w:rsidRPr="00CC7F82">
        <w:rPr>
          <w:rFonts w:asciiTheme="majorEastAsia" w:eastAsiaTheme="majorEastAsia" w:hAnsiTheme="majorEastAsia" w:cs="Helvetica"/>
        </w:rPr>
        <w:t>因</w:t>
      </w:r>
      <w:r w:rsidRPr="00CC7F82">
        <w:rPr>
          <w:rFonts w:ascii="Microsoft YaHei" w:eastAsia="Microsoft YaHei" w:hAnsi="Microsoft YaHei" w:cs="Microsoft YaHei" w:hint="eastAsia"/>
        </w:rPr>
        <w:t>视</w:t>
      </w:r>
      <w:r w:rsidRPr="00CC7F82">
        <w:rPr>
          <w:rFonts w:asciiTheme="majorEastAsia" w:eastAsiaTheme="majorEastAsia" w:hAnsiTheme="majorEastAsia" w:cs="Helvetica"/>
        </w:rPr>
        <w:t>角的</w:t>
      </w:r>
      <w:r w:rsidRPr="00CC7F82">
        <w:rPr>
          <w:rFonts w:asciiTheme="majorEastAsia" w:eastAsiaTheme="majorEastAsia" w:hAnsiTheme="majorEastAsia" w:cs="Helvetica" w:hint="eastAsia"/>
        </w:rPr>
        <w:t>解</w:t>
      </w:r>
      <w:r w:rsidRPr="00CC7F82">
        <w:rPr>
          <w:rFonts w:ascii="Microsoft YaHei" w:eastAsia="Microsoft YaHei" w:hAnsi="Microsoft YaHei" w:cs="Microsoft YaHei" w:hint="eastAsia"/>
        </w:rPr>
        <w:t>释</w:t>
      </w:r>
      <w:proofErr w:type="spellEnd"/>
      <w:r w:rsidRPr="00CC7F82">
        <w:rPr>
          <w:rFonts w:asciiTheme="majorEastAsia" w:eastAsiaTheme="majorEastAsia" w:hAnsiTheme="majorEastAsia" w:cs="Helvetica"/>
        </w:rPr>
        <w:t xml:space="preserve"> </w:t>
      </w:r>
      <w:r w:rsidRPr="000D1B48">
        <w:rPr>
          <w:rFonts w:ascii="Helvetica" w:hAnsi="Helvetica" w:cs="Helvetica"/>
        </w:rPr>
        <w:t xml:space="preserve">[Are people more sympathetic to stray animals or homeless individuals? A responsibility-attribution account]’, </w:t>
      </w:r>
      <w:r w:rsidRPr="000D1B48">
        <w:rPr>
          <w:rFonts w:ascii="Helvetica" w:hAnsi="Helvetica" w:cs="Helvetica"/>
          <w:i/>
          <w:iCs/>
        </w:rPr>
        <w:t xml:space="preserve">Acta </w:t>
      </w:r>
      <w:proofErr w:type="spellStart"/>
      <w:r w:rsidRPr="000D1B48">
        <w:rPr>
          <w:rFonts w:ascii="Helvetica" w:hAnsi="Helvetica" w:cs="Helvetica"/>
          <w:i/>
          <w:iCs/>
        </w:rPr>
        <w:t>Psychologica</w:t>
      </w:r>
      <w:proofErr w:type="spellEnd"/>
      <w:r w:rsidRPr="000D1B48">
        <w:rPr>
          <w:rFonts w:ascii="Helvetica" w:hAnsi="Helvetica" w:cs="Helvetica"/>
          <w:i/>
          <w:iCs/>
        </w:rPr>
        <w:t xml:space="preserve"> Sinica (</w:t>
      </w:r>
      <w:proofErr w:type="spellStart"/>
      <w:r w:rsidRPr="00CC7F82">
        <w:rPr>
          <w:rFonts w:asciiTheme="majorEastAsia" w:eastAsiaTheme="majorEastAsia" w:hAnsiTheme="majorEastAsia" w:cs="Helvetica"/>
          <w:i/>
          <w:iCs/>
        </w:rPr>
        <w:t>心理学</w:t>
      </w:r>
      <w:r w:rsidRPr="00CC7F82">
        <w:rPr>
          <w:rFonts w:ascii="Microsoft YaHei" w:eastAsia="Microsoft YaHei" w:hAnsi="Microsoft YaHei" w:cs="Microsoft YaHei" w:hint="eastAsia"/>
          <w:i/>
          <w:iCs/>
        </w:rPr>
        <w:t>报</w:t>
      </w:r>
      <w:proofErr w:type="spellEnd"/>
      <w:r w:rsidRPr="000D1B48">
        <w:rPr>
          <w:rFonts w:ascii="Helvetica" w:hAnsi="Helvetica" w:cs="Helvetica"/>
          <w:i/>
          <w:iCs/>
        </w:rPr>
        <w:t>),</w:t>
      </w:r>
      <w:r w:rsidRPr="000D1B48">
        <w:rPr>
          <w:rFonts w:ascii="Helvetica" w:hAnsi="Helvetica" w:cs="Helvetica"/>
        </w:rPr>
        <w:t xml:space="preserve"> 57(5), pp. 838–859. https://doi.org/10.3724/SP.J.1041.2025.0838.</w:t>
      </w:r>
    </w:p>
    <w:p w14:paraId="07465361"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Morrison, S., Luke, J., Pollard, J. and Yee, S. (n.d.). </w:t>
      </w:r>
      <w:r>
        <w:rPr>
          <w:rFonts w:ascii="Helvetica" w:hAnsi="Helvetica" w:cs="Helvetica"/>
          <w:i/>
          <w:iCs/>
        </w:rPr>
        <w:t xml:space="preserve">In Pursuit of Connection: Exploring Visitors’ Empathy in </w:t>
      </w:r>
      <w:proofErr w:type="gramStart"/>
      <w:r>
        <w:rPr>
          <w:rFonts w:ascii="Helvetica" w:hAnsi="Helvetica" w:cs="Helvetica"/>
          <w:i/>
          <w:iCs/>
        </w:rPr>
        <w:t>Culturally-Centered</w:t>
      </w:r>
      <w:proofErr w:type="gramEnd"/>
      <w:r>
        <w:rPr>
          <w:rFonts w:ascii="Helvetica" w:hAnsi="Helvetica" w:cs="Helvetica"/>
          <w:i/>
          <w:iCs/>
        </w:rPr>
        <w:t xml:space="preserve"> Museums</w:t>
      </w:r>
      <w:r>
        <w:rPr>
          <w:rFonts w:ascii="Helvetica" w:hAnsi="Helvetica" w:cs="Helvetica"/>
        </w:rPr>
        <w:t>.</w:t>
      </w:r>
    </w:p>
    <w:p w14:paraId="2FF970E7"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Shi, Y. (2021). </w:t>
      </w:r>
      <w:r>
        <w:rPr>
          <w:rFonts w:ascii="Helvetica" w:hAnsi="Helvetica" w:cs="Helvetica"/>
          <w:i/>
          <w:iCs/>
        </w:rPr>
        <w:t>First-Person Narrative and Story Meaningfulness: Promoting Empathy via Storytelling</w:t>
      </w:r>
      <w:r>
        <w:rPr>
          <w:rFonts w:ascii="Helvetica" w:hAnsi="Helvetica" w:cs="Helvetica"/>
        </w:rPr>
        <w:t>.</w:t>
      </w:r>
    </w:p>
    <w:p w14:paraId="0F6D1E65"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Sinclair, S., Beamer, K., Hack, T.F., McClement, S., Raffin </w:t>
      </w:r>
      <w:proofErr w:type="spellStart"/>
      <w:r>
        <w:rPr>
          <w:rFonts w:ascii="Helvetica" w:hAnsi="Helvetica" w:cs="Helvetica"/>
        </w:rPr>
        <w:t>Bouchal</w:t>
      </w:r>
      <w:proofErr w:type="spellEnd"/>
      <w:r>
        <w:rPr>
          <w:rFonts w:ascii="Helvetica" w:hAnsi="Helvetica" w:cs="Helvetica"/>
        </w:rPr>
        <w:t xml:space="preserve">, S., </w:t>
      </w:r>
      <w:proofErr w:type="spellStart"/>
      <w:r>
        <w:rPr>
          <w:rFonts w:ascii="Helvetica" w:hAnsi="Helvetica" w:cs="Helvetica"/>
        </w:rPr>
        <w:t>Chochinov</w:t>
      </w:r>
      <w:proofErr w:type="spellEnd"/>
      <w:r>
        <w:rPr>
          <w:rFonts w:ascii="Helvetica" w:hAnsi="Helvetica" w:cs="Helvetica"/>
        </w:rPr>
        <w:t xml:space="preserve">, H.M. and Hagen, N.A. (2017). Sympathy, empathy, and compassion: A grounded theory study of palliative care patients’ understandings, experiences, and preferences. </w:t>
      </w:r>
      <w:r>
        <w:rPr>
          <w:rFonts w:ascii="Helvetica" w:hAnsi="Helvetica" w:cs="Helvetica"/>
          <w:i/>
          <w:iCs/>
        </w:rPr>
        <w:t>Palliative Medicine</w:t>
      </w:r>
      <w:r>
        <w:rPr>
          <w:rFonts w:ascii="Helvetica" w:hAnsi="Helvetica" w:cs="Helvetica"/>
        </w:rPr>
        <w:t xml:space="preserve">, [online] 31(5), pp.437–447. </w:t>
      </w:r>
      <w:proofErr w:type="spellStart"/>
      <w:r>
        <w:rPr>
          <w:rFonts w:ascii="Helvetica" w:hAnsi="Helvetica" w:cs="Helvetica"/>
        </w:rPr>
        <w:t>doi:</w:t>
      </w:r>
      <w:hyperlink r:id="rId20" w:history="1">
        <w:r>
          <w:rPr>
            <w:rFonts w:ascii="Helvetica" w:hAnsi="Helvetica" w:cs="Helvetica"/>
          </w:rPr>
          <w:t>https</w:t>
        </w:r>
        <w:proofErr w:type="spellEnd"/>
        <w:r>
          <w:rPr>
            <w:rFonts w:ascii="Helvetica" w:hAnsi="Helvetica" w:cs="Helvetica"/>
          </w:rPr>
          <w:t>://doi.org/10.1177/0269216316663499</w:t>
        </w:r>
      </w:hyperlink>
      <w:r>
        <w:rPr>
          <w:rFonts w:ascii="Helvetica" w:hAnsi="Helvetica" w:cs="Helvetica"/>
        </w:rPr>
        <w:t>.</w:t>
      </w:r>
    </w:p>
    <w:p w14:paraId="6833BF50"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Yi, S., Cao, X., Wang, X. and Zhang, Q. (2025). Comparing Narrative and Visual Arts for Empathy Enhancement in Nursing Postgraduate Education: A Mixed Method </w:t>
      </w:r>
      <w:r>
        <w:rPr>
          <w:rFonts w:ascii="Helvetica" w:hAnsi="Helvetica" w:cs="Helvetica"/>
        </w:rPr>
        <w:lastRenderedPageBreak/>
        <w:t xml:space="preserve">Study. </w:t>
      </w:r>
      <w:r>
        <w:rPr>
          <w:rFonts w:ascii="Helvetica" w:hAnsi="Helvetica" w:cs="Helvetica"/>
          <w:i/>
          <w:iCs/>
        </w:rPr>
        <w:t>The Journal of Continuing Education in Nursing</w:t>
      </w:r>
      <w:r>
        <w:rPr>
          <w:rFonts w:ascii="Helvetica" w:hAnsi="Helvetica" w:cs="Helvetica"/>
        </w:rPr>
        <w:t xml:space="preserve">, 56(2), pp.78–84. </w:t>
      </w:r>
      <w:proofErr w:type="spellStart"/>
      <w:r>
        <w:rPr>
          <w:rFonts w:ascii="Helvetica" w:hAnsi="Helvetica" w:cs="Helvetica"/>
        </w:rPr>
        <w:t>doi:</w:t>
      </w:r>
      <w:hyperlink r:id="rId21" w:history="1">
        <w:r>
          <w:rPr>
            <w:rFonts w:ascii="Helvetica" w:hAnsi="Helvetica" w:cs="Helvetica"/>
          </w:rPr>
          <w:t>https</w:t>
        </w:r>
        <w:proofErr w:type="spellEnd"/>
        <w:r>
          <w:rPr>
            <w:rFonts w:ascii="Helvetica" w:hAnsi="Helvetica" w:cs="Helvetica"/>
          </w:rPr>
          <w:t>://doi.org/10.3928/00220124-20250121-08</w:t>
        </w:r>
      </w:hyperlink>
      <w:r>
        <w:rPr>
          <w:rFonts w:ascii="Helvetica" w:hAnsi="Helvetica" w:cs="Helvetica"/>
        </w:rPr>
        <w:t>.</w:t>
      </w:r>
    </w:p>
    <w:p w14:paraId="243F49DD"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Yue, D., Tong, Z., Tian, J., Li, Y., Zhang, L. and Sun, Y. (2021). Anthropomorphic Strategies Promote Wildlife Conservation through Empathy: The Moderation Role of the Public Epidemic Situation. </w:t>
      </w:r>
      <w:r>
        <w:rPr>
          <w:rFonts w:ascii="Helvetica" w:hAnsi="Helvetica" w:cs="Helvetica"/>
          <w:i/>
          <w:iCs/>
        </w:rPr>
        <w:t>International Journal of Environmental Research and Public Health</w:t>
      </w:r>
      <w:r>
        <w:rPr>
          <w:rFonts w:ascii="Helvetica" w:hAnsi="Helvetica" w:cs="Helvetica"/>
        </w:rPr>
        <w:t xml:space="preserve">, 18(7), p.3565. </w:t>
      </w:r>
      <w:proofErr w:type="spellStart"/>
      <w:r>
        <w:rPr>
          <w:rFonts w:ascii="Helvetica" w:hAnsi="Helvetica" w:cs="Helvetica"/>
        </w:rPr>
        <w:t>doi:</w:t>
      </w:r>
      <w:hyperlink r:id="rId22" w:history="1">
        <w:r>
          <w:rPr>
            <w:rFonts w:ascii="Helvetica" w:hAnsi="Helvetica" w:cs="Helvetica"/>
          </w:rPr>
          <w:t>https</w:t>
        </w:r>
        <w:proofErr w:type="spellEnd"/>
        <w:r>
          <w:rPr>
            <w:rFonts w:ascii="Helvetica" w:hAnsi="Helvetica" w:cs="Helvetica"/>
          </w:rPr>
          <w:t>://doi.org/10.3390/ijerph18073565</w:t>
        </w:r>
      </w:hyperlink>
      <w:r>
        <w:rPr>
          <w:rFonts w:ascii="Helvetica" w:hAnsi="Helvetica" w:cs="Helvetica"/>
        </w:rPr>
        <w:t>.</w:t>
      </w:r>
    </w:p>
    <w:p w14:paraId="2B01690C" w14:textId="77777777" w:rsidR="001F3C01" w:rsidRDefault="001F3C01" w:rsidP="001F3C01">
      <w:pPr>
        <w:autoSpaceDE w:val="0"/>
        <w:autoSpaceDN w:val="0"/>
        <w:adjustRightInd w:val="0"/>
        <w:spacing w:after="240" w:line="360" w:lineRule="auto"/>
        <w:rPr>
          <w:rFonts w:ascii="Helvetica" w:hAnsi="Helvetica" w:cs="Helvetica"/>
        </w:rPr>
      </w:pPr>
      <w:r>
        <w:rPr>
          <w:rFonts w:ascii="Helvetica" w:hAnsi="Helvetica" w:cs="Helvetica"/>
        </w:rPr>
        <w:t xml:space="preserve">Zhou, X. (2021). On the In-application Value of Emotional Intelligence Interaction Based on Interactive Art Installation. </w:t>
      </w:r>
      <w:r>
        <w:rPr>
          <w:rFonts w:ascii="Helvetica" w:hAnsi="Helvetica" w:cs="Helvetica"/>
          <w:i/>
          <w:iCs/>
        </w:rPr>
        <w:t>Journal of Physics: Conference Series</w:t>
      </w:r>
      <w:r>
        <w:rPr>
          <w:rFonts w:ascii="Helvetica" w:hAnsi="Helvetica" w:cs="Helvetica"/>
        </w:rPr>
        <w:t xml:space="preserve">, 1827(1), p.012183. </w:t>
      </w:r>
      <w:proofErr w:type="spellStart"/>
      <w:r>
        <w:rPr>
          <w:rFonts w:ascii="Helvetica" w:hAnsi="Helvetica" w:cs="Helvetica"/>
        </w:rPr>
        <w:t>doi:</w:t>
      </w:r>
      <w:hyperlink r:id="rId23" w:history="1">
        <w:r>
          <w:rPr>
            <w:rFonts w:ascii="Helvetica" w:hAnsi="Helvetica" w:cs="Helvetica"/>
          </w:rPr>
          <w:t>https</w:t>
        </w:r>
        <w:proofErr w:type="spellEnd"/>
        <w:r>
          <w:rPr>
            <w:rFonts w:ascii="Helvetica" w:hAnsi="Helvetica" w:cs="Helvetica"/>
          </w:rPr>
          <w:t>://doi.org/10.1088/1742-6596/1827/1/012183</w:t>
        </w:r>
      </w:hyperlink>
      <w:r>
        <w:rPr>
          <w:rFonts w:ascii="Helvetica" w:hAnsi="Helvetica" w:cs="Helvetica"/>
        </w:rPr>
        <w:t>.</w:t>
      </w:r>
    </w:p>
    <w:p w14:paraId="7027A8F4" w14:textId="77777777" w:rsidR="001F3C01" w:rsidRDefault="001F3C01" w:rsidP="001F3C01"/>
    <w:p w14:paraId="3C89904D" w14:textId="77777777" w:rsidR="001F3C01" w:rsidRPr="00303C70" w:rsidRDefault="001F3C01" w:rsidP="001F3C01">
      <w:pPr>
        <w:autoSpaceDE w:val="0"/>
        <w:autoSpaceDN w:val="0"/>
        <w:adjustRightInd w:val="0"/>
        <w:spacing w:after="0" w:line="480" w:lineRule="auto"/>
        <w:ind w:left="720" w:hanging="720"/>
        <w:rPr>
          <w:rFonts w:ascii="Helvetica" w:hAnsi="Helvetica" w:cs="Helvetica"/>
        </w:rPr>
      </w:pPr>
    </w:p>
    <w:p w14:paraId="0471B6F6" w14:textId="77777777" w:rsidR="001F3C01" w:rsidRDefault="001F3C01" w:rsidP="001F3C01">
      <w:pPr>
        <w:autoSpaceDE w:val="0"/>
        <w:autoSpaceDN w:val="0"/>
        <w:adjustRightInd w:val="0"/>
        <w:spacing w:after="0" w:line="480" w:lineRule="auto"/>
        <w:ind w:left="720" w:hanging="720"/>
        <w:rPr>
          <w:rFonts w:ascii="Helvetica" w:hAnsi="Helvetica" w:cs="Helvetica"/>
        </w:rPr>
      </w:pPr>
    </w:p>
    <w:p w14:paraId="1984BECE" w14:textId="77777777" w:rsidR="001F3C01" w:rsidRDefault="001F3C01" w:rsidP="001F3C01"/>
    <w:p w14:paraId="1498AA99" w14:textId="77777777" w:rsidR="001F3C01" w:rsidRDefault="001F3C01" w:rsidP="001F3C01">
      <w:pPr>
        <w:rPr>
          <w:lang w:eastAsia="zh-CN"/>
        </w:rPr>
      </w:pPr>
    </w:p>
    <w:p w14:paraId="3FD5672E" w14:textId="77777777" w:rsidR="001F3C01" w:rsidRPr="008E7D1B" w:rsidRDefault="001F3C01" w:rsidP="001F3C01">
      <w:pPr>
        <w:jc w:val="both"/>
        <w:rPr>
          <w:rFonts w:ascii="Arial" w:hAnsi="Arial" w:cs="Arial"/>
        </w:rPr>
      </w:pPr>
    </w:p>
    <w:p w14:paraId="78E42101" w14:textId="77777777" w:rsidR="001F3C01" w:rsidRPr="008E7D1B" w:rsidRDefault="001F3C01" w:rsidP="001F3C01">
      <w:pPr>
        <w:pStyle w:val="p1"/>
        <w:jc w:val="both"/>
        <w:rPr>
          <w:rFonts w:ascii="Arial" w:hAnsi="Arial" w:cs="Arial"/>
        </w:rPr>
      </w:pPr>
      <w:r w:rsidRPr="008E7D1B">
        <w:rPr>
          <w:rFonts w:ascii="Arial" w:hAnsi="Arial" w:cs="Arial"/>
        </w:rPr>
        <w:br/>
      </w:r>
    </w:p>
    <w:p w14:paraId="62D326A3" w14:textId="77777777" w:rsidR="001F3C01" w:rsidRPr="008E7D1B" w:rsidRDefault="001F3C01" w:rsidP="001F3C01">
      <w:pPr>
        <w:jc w:val="both"/>
        <w:rPr>
          <w:rStyle w:val="s2"/>
          <w:rFonts w:ascii="Arial" w:hAnsi="Arial" w:cs="Arial"/>
        </w:rPr>
      </w:pPr>
    </w:p>
    <w:p w14:paraId="597E1E0B" w14:textId="77777777" w:rsidR="001F3C01" w:rsidRPr="008E7D1B" w:rsidRDefault="001F3C01" w:rsidP="001F3C01">
      <w:pPr>
        <w:jc w:val="both"/>
        <w:rPr>
          <w:rFonts w:ascii="Arial" w:hAnsi="Arial" w:cs="Arial"/>
          <w:lang w:eastAsia="zh-CN"/>
        </w:rPr>
      </w:pPr>
    </w:p>
    <w:p w14:paraId="56537C3D" w14:textId="77777777" w:rsidR="001F3C01" w:rsidRPr="008E7D1B" w:rsidRDefault="001F3C01" w:rsidP="001F3C01">
      <w:pPr>
        <w:jc w:val="both"/>
        <w:rPr>
          <w:rFonts w:ascii="Arial" w:hAnsi="Arial" w:cs="Arial"/>
        </w:rPr>
      </w:pPr>
      <w:r w:rsidRPr="008E7D1B">
        <w:rPr>
          <w:rFonts w:ascii="Arial" w:hAnsi="Arial" w:cs="Arial"/>
        </w:rPr>
        <w:br/>
      </w:r>
    </w:p>
    <w:p w14:paraId="5BD20DBF" w14:textId="77777777" w:rsidR="001F3C01" w:rsidRPr="008E7D1B" w:rsidRDefault="001F3C01" w:rsidP="001F3C01">
      <w:pPr>
        <w:jc w:val="both"/>
        <w:rPr>
          <w:rFonts w:ascii="Arial" w:hAnsi="Arial" w:cs="Arial"/>
        </w:rPr>
      </w:pPr>
    </w:p>
    <w:p w14:paraId="24662D35" w14:textId="77777777" w:rsidR="001F3C01" w:rsidRPr="008E7D1B" w:rsidRDefault="001F3C01" w:rsidP="001F3C01">
      <w:pPr>
        <w:spacing w:line="360" w:lineRule="auto"/>
        <w:ind w:hanging="360"/>
        <w:jc w:val="both"/>
        <w:rPr>
          <w:rFonts w:ascii="Arial" w:hAnsi="Arial" w:cs="Arial"/>
        </w:rPr>
      </w:pPr>
    </w:p>
    <w:p w14:paraId="28CB1747" w14:textId="77777777" w:rsidR="001F3C01" w:rsidRPr="008E7D1B" w:rsidRDefault="001F3C01" w:rsidP="001F3C01">
      <w:pPr>
        <w:kinsoku w:val="0"/>
        <w:autoSpaceDE w:val="0"/>
        <w:autoSpaceDN w:val="0"/>
        <w:jc w:val="both"/>
        <w:rPr>
          <w:rFonts w:ascii="Arial" w:hAnsi="Arial" w:cs="Arial" w:hint="eastAsia"/>
          <w:lang w:eastAsia="zh-CN"/>
        </w:rPr>
      </w:pPr>
    </w:p>
    <w:bookmarkEnd w:id="0"/>
    <w:p w14:paraId="7A85F104" w14:textId="77777777" w:rsidR="001F3C01" w:rsidRDefault="001F3C01"/>
    <w:sectPr w:rsidR="001F3C0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pleSystemUIFon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C01"/>
    <w:rsid w:val="001F3C01"/>
    <w:rsid w:val="00E84D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84ABC28"/>
  <w15:chartTrackingRefBased/>
  <w15:docId w15:val="{F854BD2C-06A8-7947-8FF7-DE4458527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C01"/>
    <w:pPr>
      <w:spacing w:after="200" w:line="276" w:lineRule="auto"/>
    </w:pPr>
    <w:rPr>
      <w:rFonts w:ascii="Times New Roman" w:hAnsi="Times New Roman"/>
      <w:kern w:val="0"/>
      <w:szCs w:val="22"/>
      <w:lang w:val="en-US" w:eastAsia="en-US"/>
      <w14:ligatures w14:val="none"/>
    </w:rPr>
  </w:style>
  <w:style w:type="paragraph" w:styleId="Heading1">
    <w:name w:val="heading 1"/>
    <w:basedOn w:val="Normal"/>
    <w:next w:val="Normal"/>
    <w:link w:val="Heading1Char"/>
    <w:uiPriority w:val="9"/>
    <w:qFormat/>
    <w:rsid w:val="001F3C0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eastAsia="zh-CN"/>
      <w14:ligatures w14:val="standardContextual"/>
    </w:rPr>
  </w:style>
  <w:style w:type="paragraph" w:styleId="Heading2">
    <w:name w:val="heading 2"/>
    <w:basedOn w:val="Normal"/>
    <w:next w:val="Normal"/>
    <w:link w:val="Heading2Char"/>
    <w:uiPriority w:val="9"/>
    <w:semiHidden/>
    <w:unhideWhenUsed/>
    <w:qFormat/>
    <w:rsid w:val="001F3C0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eastAsia="zh-CN"/>
      <w14:ligatures w14:val="standardContextual"/>
    </w:rPr>
  </w:style>
  <w:style w:type="paragraph" w:styleId="Heading3">
    <w:name w:val="heading 3"/>
    <w:basedOn w:val="Normal"/>
    <w:next w:val="Normal"/>
    <w:link w:val="Heading3Char"/>
    <w:uiPriority w:val="9"/>
    <w:semiHidden/>
    <w:unhideWhenUsed/>
    <w:qFormat/>
    <w:rsid w:val="001F3C0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eastAsia="zh-CN"/>
      <w14:ligatures w14:val="standardContextual"/>
    </w:rPr>
  </w:style>
  <w:style w:type="paragraph" w:styleId="Heading4">
    <w:name w:val="heading 4"/>
    <w:basedOn w:val="Normal"/>
    <w:next w:val="Normal"/>
    <w:link w:val="Heading4Char"/>
    <w:uiPriority w:val="9"/>
    <w:semiHidden/>
    <w:unhideWhenUsed/>
    <w:qFormat/>
    <w:rsid w:val="001F3C01"/>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n-GB" w:eastAsia="zh-CN"/>
      <w14:ligatures w14:val="standardContextual"/>
    </w:rPr>
  </w:style>
  <w:style w:type="paragraph" w:styleId="Heading5">
    <w:name w:val="heading 5"/>
    <w:basedOn w:val="Normal"/>
    <w:next w:val="Normal"/>
    <w:link w:val="Heading5Char"/>
    <w:uiPriority w:val="9"/>
    <w:semiHidden/>
    <w:unhideWhenUsed/>
    <w:qFormat/>
    <w:rsid w:val="001F3C01"/>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n-GB" w:eastAsia="zh-CN"/>
      <w14:ligatures w14:val="standardContextual"/>
    </w:rPr>
  </w:style>
  <w:style w:type="paragraph" w:styleId="Heading6">
    <w:name w:val="heading 6"/>
    <w:basedOn w:val="Normal"/>
    <w:next w:val="Normal"/>
    <w:link w:val="Heading6Char"/>
    <w:uiPriority w:val="9"/>
    <w:semiHidden/>
    <w:unhideWhenUsed/>
    <w:qFormat/>
    <w:rsid w:val="001F3C01"/>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lang w:val="en-GB" w:eastAsia="zh-CN"/>
      <w14:ligatures w14:val="standardContextual"/>
    </w:rPr>
  </w:style>
  <w:style w:type="paragraph" w:styleId="Heading7">
    <w:name w:val="heading 7"/>
    <w:basedOn w:val="Normal"/>
    <w:next w:val="Normal"/>
    <w:link w:val="Heading7Char"/>
    <w:uiPriority w:val="9"/>
    <w:semiHidden/>
    <w:unhideWhenUsed/>
    <w:qFormat/>
    <w:rsid w:val="001F3C01"/>
    <w:pPr>
      <w:keepNext/>
      <w:keepLines/>
      <w:spacing w:before="40" w:after="0" w:line="278" w:lineRule="auto"/>
      <w:outlineLvl w:val="6"/>
    </w:pPr>
    <w:rPr>
      <w:rFonts w:asciiTheme="minorHAnsi" w:eastAsiaTheme="majorEastAsia" w:hAnsiTheme="minorHAnsi" w:cstheme="majorBidi"/>
      <w:color w:val="595959" w:themeColor="text1" w:themeTint="A6"/>
      <w:kern w:val="2"/>
      <w:szCs w:val="24"/>
      <w:lang w:val="en-GB" w:eastAsia="zh-CN"/>
      <w14:ligatures w14:val="standardContextual"/>
    </w:rPr>
  </w:style>
  <w:style w:type="paragraph" w:styleId="Heading8">
    <w:name w:val="heading 8"/>
    <w:basedOn w:val="Normal"/>
    <w:next w:val="Normal"/>
    <w:link w:val="Heading8Char"/>
    <w:uiPriority w:val="9"/>
    <w:semiHidden/>
    <w:unhideWhenUsed/>
    <w:qFormat/>
    <w:rsid w:val="001F3C01"/>
    <w:pPr>
      <w:keepNext/>
      <w:keepLines/>
      <w:spacing w:after="0" w:line="278" w:lineRule="auto"/>
      <w:outlineLvl w:val="7"/>
    </w:pPr>
    <w:rPr>
      <w:rFonts w:asciiTheme="minorHAnsi" w:eastAsiaTheme="majorEastAsia" w:hAnsiTheme="minorHAnsi" w:cstheme="majorBidi"/>
      <w:i/>
      <w:iCs/>
      <w:color w:val="272727" w:themeColor="text1" w:themeTint="D8"/>
      <w:kern w:val="2"/>
      <w:szCs w:val="24"/>
      <w:lang w:val="en-GB" w:eastAsia="zh-CN"/>
      <w14:ligatures w14:val="standardContextual"/>
    </w:rPr>
  </w:style>
  <w:style w:type="paragraph" w:styleId="Heading9">
    <w:name w:val="heading 9"/>
    <w:basedOn w:val="Normal"/>
    <w:next w:val="Normal"/>
    <w:link w:val="Heading9Char"/>
    <w:uiPriority w:val="9"/>
    <w:semiHidden/>
    <w:unhideWhenUsed/>
    <w:qFormat/>
    <w:rsid w:val="001F3C01"/>
    <w:pPr>
      <w:keepNext/>
      <w:keepLines/>
      <w:spacing w:after="0" w:line="278" w:lineRule="auto"/>
      <w:outlineLvl w:val="8"/>
    </w:pPr>
    <w:rPr>
      <w:rFonts w:asciiTheme="minorHAnsi" w:eastAsiaTheme="majorEastAsia" w:hAnsiTheme="minorHAnsi" w:cstheme="majorBidi"/>
      <w:color w:val="272727" w:themeColor="text1" w:themeTint="D8"/>
      <w:kern w:val="2"/>
      <w:szCs w:val="24"/>
      <w:lang w:val="en-GB"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3C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3C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3C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3C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3C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3C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3C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3C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3C01"/>
    <w:rPr>
      <w:rFonts w:eastAsiaTheme="majorEastAsia" w:cstheme="majorBidi"/>
      <w:color w:val="272727" w:themeColor="text1" w:themeTint="D8"/>
    </w:rPr>
  </w:style>
  <w:style w:type="paragraph" w:styleId="Title">
    <w:name w:val="Title"/>
    <w:basedOn w:val="Normal"/>
    <w:next w:val="Normal"/>
    <w:link w:val="TitleChar"/>
    <w:uiPriority w:val="10"/>
    <w:qFormat/>
    <w:rsid w:val="001F3C01"/>
    <w:pPr>
      <w:spacing w:after="80" w:line="240" w:lineRule="auto"/>
      <w:contextualSpacing/>
    </w:pPr>
    <w:rPr>
      <w:rFonts w:asciiTheme="majorHAnsi" w:eastAsiaTheme="majorEastAsia" w:hAnsiTheme="majorHAnsi" w:cstheme="majorBidi"/>
      <w:spacing w:val="-10"/>
      <w:kern w:val="28"/>
      <w:sz w:val="56"/>
      <w:szCs w:val="56"/>
      <w:lang w:val="en-GB" w:eastAsia="zh-CN"/>
      <w14:ligatures w14:val="standardContextual"/>
    </w:rPr>
  </w:style>
  <w:style w:type="character" w:customStyle="1" w:styleId="TitleChar">
    <w:name w:val="Title Char"/>
    <w:basedOn w:val="DefaultParagraphFont"/>
    <w:link w:val="Title"/>
    <w:uiPriority w:val="10"/>
    <w:rsid w:val="001F3C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3C0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eastAsia="zh-CN"/>
      <w14:ligatures w14:val="standardContextual"/>
    </w:rPr>
  </w:style>
  <w:style w:type="character" w:customStyle="1" w:styleId="SubtitleChar">
    <w:name w:val="Subtitle Char"/>
    <w:basedOn w:val="DefaultParagraphFont"/>
    <w:link w:val="Subtitle"/>
    <w:uiPriority w:val="11"/>
    <w:rsid w:val="001F3C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3C01"/>
    <w:pPr>
      <w:spacing w:before="160" w:after="160" w:line="278" w:lineRule="auto"/>
      <w:jc w:val="center"/>
    </w:pPr>
    <w:rPr>
      <w:rFonts w:asciiTheme="minorHAnsi" w:hAnsiTheme="minorHAnsi"/>
      <w:i/>
      <w:iCs/>
      <w:color w:val="404040" w:themeColor="text1" w:themeTint="BF"/>
      <w:kern w:val="2"/>
      <w:szCs w:val="24"/>
      <w:lang w:val="en-GB" w:eastAsia="zh-CN"/>
      <w14:ligatures w14:val="standardContextual"/>
    </w:rPr>
  </w:style>
  <w:style w:type="character" w:customStyle="1" w:styleId="QuoteChar">
    <w:name w:val="Quote Char"/>
    <w:basedOn w:val="DefaultParagraphFont"/>
    <w:link w:val="Quote"/>
    <w:uiPriority w:val="29"/>
    <w:rsid w:val="001F3C01"/>
    <w:rPr>
      <w:i/>
      <w:iCs/>
      <w:color w:val="404040" w:themeColor="text1" w:themeTint="BF"/>
    </w:rPr>
  </w:style>
  <w:style w:type="paragraph" w:styleId="ListParagraph">
    <w:name w:val="List Paragraph"/>
    <w:basedOn w:val="Normal"/>
    <w:uiPriority w:val="34"/>
    <w:qFormat/>
    <w:rsid w:val="001F3C01"/>
    <w:pPr>
      <w:spacing w:after="160" w:line="278" w:lineRule="auto"/>
      <w:ind w:left="720"/>
      <w:contextualSpacing/>
    </w:pPr>
    <w:rPr>
      <w:rFonts w:asciiTheme="minorHAnsi" w:hAnsiTheme="minorHAnsi"/>
      <w:kern w:val="2"/>
      <w:szCs w:val="24"/>
      <w:lang w:val="en-GB" w:eastAsia="zh-CN"/>
      <w14:ligatures w14:val="standardContextual"/>
    </w:rPr>
  </w:style>
  <w:style w:type="character" w:styleId="IntenseEmphasis">
    <w:name w:val="Intense Emphasis"/>
    <w:basedOn w:val="DefaultParagraphFont"/>
    <w:uiPriority w:val="21"/>
    <w:qFormat/>
    <w:rsid w:val="001F3C01"/>
    <w:rPr>
      <w:i/>
      <w:iCs/>
      <w:color w:val="0F4761" w:themeColor="accent1" w:themeShade="BF"/>
    </w:rPr>
  </w:style>
  <w:style w:type="paragraph" w:styleId="IntenseQuote">
    <w:name w:val="Intense Quote"/>
    <w:basedOn w:val="Normal"/>
    <w:next w:val="Normal"/>
    <w:link w:val="IntenseQuoteChar"/>
    <w:uiPriority w:val="30"/>
    <w:qFormat/>
    <w:rsid w:val="001F3C0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lang w:val="en-GB" w:eastAsia="zh-CN"/>
      <w14:ligatures w14:val="standardContextual"/>
    </w:rPr>
  </w:style>
  <w:style w:type="character" w:customStyle="1" w:styleId="IntenseQuoteChar">
    <w:name w:val="Intense Quote Char"/>
    <w:basedOn w:val="DefaultParagraphFont"/>
    <w:link w:val="IntenseQuote"/>
    <w:uiPriority w:val="30"/>
    <w:rsid w:val="001F3C01"/>
    <w:rPr>
      <w:i/>
      <w:iCs/>
      <w:color w:val="0F4761" w:themeColor="accent1" w:themeShade="BF"/>
    </w:rPr>
  </w:style>
  <w:style w:type="character" w:styleId="IntenseReference">
    <w:name w:val="Intense Reference"/>
    <w:basedOn w:val="DefaultParagraphFont"/>
    <w:uiPriority w:val="32"/>
    <w:qFormat/>
    <w:rsid w:val="001F3C01"/>
    <w:rPr>
      <w:b/>
      <w:bCs/>
      <w:smallCaps/>
      <w:color w:val="0F4761" w:themeColor="accent1" w:themeShade="BF"/>
      <w:spacing w:val="5"/>
    </w:rPr>
  </w:style>
  <w:style w:type="paragraph" w:customStyle="1" w:styleId="p1">
    <w:name w:val="p1"/>
    <w:basedOn w:val="Normal"/>
    <w:rsid w:val="001F3C01"/>
    <w:pPr>
      <w:spacing w:before="100" w:beforeAutospacing="1" w:after="100" w:afterAutospacing="1" w:line="240" w:lineRule="auto"/>
    </w:pPr>
    <w:rPr>
      <w:rFonts w:eastAsia="Times New Roman" w:cs="Times New Roman"/>
      <w:szCs w:val="24"/>
      <w:lang w:val="en-GB" w:eastAsia="zh-CN"/>
    </w:rPr>
  </w:style>
  <w:style w:type="character" w:customStyle="1" w:styleId="s2">
    <w:name w:val="s2"/>
    <w:basedOn w:val="DefaultParagraphFont"/>
    <w:rsid w:val="001F3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1.749315" TargetMode="External"/><Relationship Id="rId13" Type="http://schemas.openxmlformats.org/officeDocument/2006/relationships/hyperlink" Target="https://doi.org/10.3390/su152215830" TargetMode="External"/><Relationship Id="rId18" Type="http://schemas.openxmlformats.org/officeDocument/2006/relationships/hyperlink" Target="https://doi.org/10.1145/1594943.1594951" TargetMode="External"/><Relationship Id="rId3" Type="http://schemas.openxmlformats.org/officeDocument/2006/relationships/webSettings" Target="webSettings.xml"/><Relationship Id="rId21" Type="http://schemas.openxmlformats.org/officeDocument/2006/relationships/hyperlink" Target="https://doi.org/10.3928/00220124-20250121-08" TargetMode="External"/><Relationship Id="rId7" Type="http://schemas.openxmlformats.org/officeDocument/2006/relationships/hyperlink" Target="https://doi.org/10.1080/09647775.2024.2357071" TargetMode="External"/><Relationship Id="rId12" Type="http://schemas.openxmlformats.org/officeDocument/2006/relationships/hyperlink" Target="https://doi.org/10.1002/hpja.893" TargetMode="External"/><Relationship Id="rId17" Type="http://schemas.openxmlformats.org/officeDocument/2006/relationships/hyperlink" Target="https://doi.org/10.1037/a0018807"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doi.org/10.3389/feduc.2023.1137042" TargetMode="External"/><Relationship Id="rId20" Type="http://schemas.openxmlformats.org/officeDocument/2006/relationships/hyperlink" Target="https://doi.org/10.1177/0269216316663499" TargetMode="External"/><Relationship Id="rId1" Type="http://schemas.openxmlformats.org/officeDocument/2006/relationships/styles" Target="styles.xml"/><Relationship Id="rId6" Type="http://schemas.openxmlformats.org/officeDocument/2006/relationships/hyperlink" Target="https://doi.org/10.1111/medu.12926" TargetMode="External"/><Relationship Id="rId11" Type="http://schemas.openxmlformats.org/officeDocument/2006/relationships/hyperlink" Target="https://doi.org/10.3928/00220124-20250121-08" TargetMode="External"/><Relationship Id="rId24" Type="http://schemas.openxmlformats.org/officeDocument/2006/relationships/fontTable" Target="fontTable.xml"/><Relationship Id="rId5" Type="http://schemas.openxmlformats.org/officeDocument/2006/relationships/hyperlink" Target="https://doi.org/10.3402/jac.v2i0.5525" TargetMode="External"/><Relationship Id="rId15" Type="http://schemas.openxmlformats.org/officeDocument/2006/relationships/hyperlink" Target="https://doi.org/10.3389/feduc.2023.1335605" TargetMode="External"/><Relationship Id="rId23" Type="http://schemas.openxmlformats.org/officeDocument/2006/relationships/hyperlink" Target="https://doi.org/10.1088/1742-6596/1827/1/012183" TargetMode="External"/><Relationship Id="rId10" Type="http://schemas.openxmlformats.org/officeDocument/2006/relationships/hyperlink" Target="https://doi.org/10.1177/0013916520928429" TargetMode="External"/><Relationship Id="rId19" Type="http://schemas.openxmlformats.org/officeDocument/2006/relationships/hyperlink" Target="https://doi.org/10.1145/3612783.3612794" TargetMode="External"/><Relationship Id="rId4" Type="http://schemas.openxmlformats.org/officeDocument/2006/relationships/hyperlink" Target="https://doi.org/10.1016/j.geb.2022.06.008" TargetMode="External"/><Relationship Id="rId9" Type="http://schemas.openxmlformats.org/officeDocument/2006/relationships/hyperlink" Target="https://doi.org/10.1086/673383" TargetMode="External"/><Relationship Id="rId14" Type="http://schemas.openxmlformats.org/officeDocument/2006/relationships/hyperlink" Target="https://doi.org/10.1037/0022-3514.44.1.113" TargetMode="External"/><Relationship Id="rId22" Type="http://schemas.openxmlformats.org/officeDocument/2006/relationships/hyperlink" Target="https://doi.org/10.3390/ijerph180735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6119</Words>
  <Characters>34882</Characters>
  <Application>Microsoft Office Word</Application>
  <DocSecurity>0</DocSecurity>
  <Lines>290</Lines>
  <Paragraphs>81</Paragraphs>
  <ScaleCrop>false</ScaleCrop>
  <Company/>
  <LinksUpToDate>false</LinksUpToDate>
  <CharactersWithSpaces>40920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Chenxi Song (2405542)</dc:creator>
  <cp:keywords/>
  <dc:description/>
  <cp:lastModifiedBy>Chenxi Song (2405542)</cp:lastModifiedBy>
  <cp:revision>1</cp:revision>
  <dcterms:created xsi:type="dcterms:W3CDTF">2025-08-31T11:40:00Z</dcterms:created>
  <dcterms:modified xsi:type="dcterms:W3CDTF">2025-08-31T11:44:00Z</dcterms:modified>
</cp:coreProperties>
</file>