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BDC3D3" w14:textId="77777777" w:rsidR="001F7E97" w:rsidRDefault="001F7E97" w:rsidP="00DD6E28">
      <w:pPr>
        <w:pStyle w:val="TOCHeading"/>
        <w:spacing w:line="360" w:lineRule="auto"/>
        <w:rPr>
          <w:rFonts w:ascii="Arial" w:hAnsi="Arial" w:cs="Arial"/>
          <w:b/>
          <w:bCs/>
          <w:color w:val="auto"/>
          <w:sz w:val="24"/>
          <w:szCs w:val="24"/>
          <w:lang w:val="en-GB"/>
        </w:rPr>
      </w:pPr>
    </w:p>
    <w:p w14:paraId="2D3411CF" w14:textId="77777777" w:rsidR="00FC2E6A" w:rsidRDefault="00FC2E6A" w:rsidP="00FC2E6A">
      <w:pPr>
        <w:rPr>
          <w:lang w:eastAsia="en-US"/>
        </w:rPr>
      </w:pPr>
    </w:p>
    <w:p w14:paraId="1650BDCE" w14:textId="77777777" w:rsidR="00FC2E6A" w:rsidRDefault="00FC2E6A" w:rsidP="00FC2E6A">
      <w:pPr>
        <w:rPr>
          <w:lang w:eastAsia="en-US"/>
        </w:rPr>
      </w:pPr>
    </w:p>
    <w:p w14:paraId="1715CBC3" w14:textId="77777777" w:rsidR="00FC2E6A" w:rsidRDefault="00FC2E6A" w:rsidP="00FC2E6A">
      <w:pPr>
        <w:rPr>
          <w:lang w:eastAsia="en-US"/>
        </w:rPr>
      </w:pPr>
    </w:p>
    <w:p w14:paraId="5EAA7058" w14:textId="77777777" w:rsidR="00FC2E6A" w:rsidRDefault="00FC2E6A" w:rsidP="00FC2E6A">
      <w:pPr>
        <w:rPr>
          <w:lang w:eastAsia="en-US"/>
        </w:rPr>
      </w:pPr>
    </w:p>
    <w:p w14:paraId="0E7DF211" w14:textId="77777777" w:rsidR="00FC2E6A" w:rsidRDefault="00FC2E6A" w:rsidP="00FC2E6A">
      <w:pPr>
        <w:rPr>
          <w:lang w:eastAsia="en-US"/>
        </w:rPr>
      </w:pPr>
    </w:p>
    <w:p w14:paraId="1D6B9F48" w14:textId="77777777" w:rsidR="00FC2E6A" w:rsidRDefault="00FC2E6A" w:rsidP="00FC2E6A">
      <w:pPr>
        <w:rPr>
          <w:lang w:eastAsia="en-US"/>
        </w:rPr>
      </w:pPr>
    </w:p>
    <w:p w14:paraId="2190D0D3" w14:textId="77777777" w:rsidR="00FC2E6A" w:rsidRDefault="00FC2E6A" w:rsidP="00FC2E6A">
      <w:pPr>
        <w:rPr>
          <w:lang w:eastAsia="en-US"/>
        </w:rPr>
      </w:pPr>
    </w:p>
    <w:p w14:paraId="02A93D04" w14:textId="77777777" w:rsidR="00FC2E6A" w:rsidRDefault="00FC2E6A" w:rsidP="00FC2E6A">
      <w:pPr>
        <w:rPr>
          <w:lang w:eastAsia="en-US"/>
        </w:rPr>
      </w:pPr>
    </w:p>
    <w:p w14:paraId="76CEFF42" w14:textId="77777777" w:rsidR="00FC2E6A" w:rsidRDefault="00FC2E6A" w:rsidP="00FC2E6A">
      <w:pPr>
        <w:rPr>
          <w:lang w:eastAsia="en-US"/>
        </w:rPr>
      </w:pPr>
    </w:p>
    <w:p w14:paraId="32B85076" w14:textId="77777777" w:rsidR="00FC2E6A" w:rsidRDefault="00FC2E6A" w:rsidP="00FC2E6A">
      <w:pPr>
        <w:rPr>
          <w:lang w:eastAsia="en-US"/>
        </w:rPr>
      </w:pPr>
    </w:p>
    <w:p w14:paraId="1119C1BE" w14:textId="77777777" w:rsidR="00FC2E6A" w:rsidRDefault="00FC2E6A" w:rsidP="00FC2E6A">
      <w:pPr>
        <w:rPr>
          <w:lang w:eastAsia="en-US"/>
        </w:rPr>
      </w:pPr>
    </w:p>
    <w:p w14:paraId="0660B905" w14:textId="77777777" w:rsidR="00FC2E6A" w:rsidRDefault="00FC2E6A" w:rsidP="00710B6A">
      <w:pPr>
        <w:jc w:val="center"/>
        <w:rPr>
          <w:lang w:eastAsia="en-US"/>
        </w:rPr>
      </w:pPr>
    </w:p>
    <w:p w14:paraId="5EF21E29" w14:textId="49F7D597" w:rsidR="00FC2E6A" w:rsidRDefault="00C51A30" w:rsidP="00710B6A">
      <w:pPr>
        <w:jc w:val="center"/>
        <w:rPr>
          <w:rFonts w:ascii="Arial" w:hAnsi="Arial" w:cs="Arial"/>
          <w:b/>
          <w:bCs/>
          <w:sz w:val="28"/>
          <w:szCs w:val="28"/>
          <w:lang w:eastAsia="en-US"/>
        </w:rPr>
      </w:pPr>
      <w:r w:rsidRPr="00C51A30">
        <w:rPr>
          <w:rFonts w:ascii="Arial" w:hAnsi="Arial" w:cs="Arial"/>
          <w:b/>
          <w:bCs/>
          <w:sz w:val="28"/>
          <w:szCs w:val="28"/>
          <w:lang w:eastAsia="en-US"/>
        </w:rPr>
        <w:t>MOD</w:t>
      </w:r>
      <w:r>
        <w:rPr>
          <w:rFonts w:ascii="Arial" w:hAnsi="Arial" w:cs="Arial"/>
          <w:b/>
          <w:bCs/>
          <w:sz w:val="28"/>
          <w:szCs w:val="28"/>
          <w:lang w:eastAsia="en-US"/>
        </w:rPr>
        <w:t>ULE: HEALTH CARE</w:t>
      </w:r>
      <w:r w:rsidR="00872648">
        <w:rPr>
          <w:rFonts w:ascii="Arial" w:hAnsi="Arial" w:cs="Arial"/>
          <w:b/>
          <w:bCs/>
          <w:sz w:val="28"/>
          <w:szCs w:val="28"/>
          <w:lang w:eastAsia="en-US"/>
        </w:rPr>
        <w:t xml:space="preserve"> SYSTEMS, ORGINISATIONS AND LEADERSHIP</w:t>
      </w:r>
    </w:p>
    <w:p w14:paraId="179F1AF2" w14:textId="21BCC77C" w:rsidR="00872648" w:rsidRDefault="00872648" w:rsidP="00710B6A">
      <w:pPr>
        <w:jc w:val="center"/>
        <w:rPr>
          <w:rFonts w:ascii="Arial" w:hAnsi="Arial" w:cs="Arial"/>
          <w:b/>
          <w:bCs/>
          <w:sz w:val="28"/>
          <w:szCs w:val="28"/>
          <w:lang w:eastAsia="en-US"/>
        </w:rPr>
      </w:pPr>
      <w:r>
        <w:rPr>
          <w:rFonts w:ascii="Arial" w:hAnsi="Arial" w:cs="Arial"/>
          <w:b/>
          <w:bCs/>
          <w:sz w:val="28"/>
          <w:szCs w:val="28"/>
          <w:lang w:eastAsia="en-US"/>
        </w:rPr>
        <w:t>MODULE CODE: LC</w:t>
      </w:r>
      <w:r w:rsidR="002B4A3E">
        <w:rPr>
          <w:rFonts w:ascii="Arial" w:hAnsi="Arial" w:cs="Arial"/>
          <w:b/>
          <w:bCs/>
          <w:sz w:val="28"/>
          <w:szCs w:val="28"/>
          <w:lang w:eastAsia="en-US"/>
        </w:rPr>
        <w:t>HS7002</w:t>
      </w:r>
    </w:p>
    <w:p w14:paraId="70F4FA78" w14:textId="1C07C236" w:rsidR="002B4A3E" w:rsidRDefault="002B4A3E" w:rsidP="00710B6A">
      <w:pPr>
        <w:jc w:val="center"/>
        <w:rPr>
          <w:rFonts w:ascii="Arial" w:hAnsi="Arial" w:cs="Arial"/>
          <w:b/>
          <w:bCs/>
          <w:sz w:val="28"/>
          <w:szCs w:val="28"/>
          <w:lang w:eastAsia="en-US"/>
        </w:rPr>
      </w:pPr>
      <w:r>
        <w:rPr>
          <w:rFonts w:ascii="Arial" w:hAnsi="Arial" w:cs="Arial"/>
          <w:b/>
          <w:bCs/>
          <w:sz w:val="28"/>
          <w:szCs w:val="28"/>
          <w:lang w:eastAsia="en-US"/>
        </w:rPr>
        <w:t>ASSIGNMENT TITLE: CASE STUDY REPORT</w:t>
      </w:r>
    </w:p>
    <w:p w14:paraId="128A5F06" w14:textId="365B79F6" w:rsidR="002B4A3E" w:rsidRDefault="00710B6A" w:rsidP="00710B6A">
      <w:pPr>
        <w:jc w:val="center"/>
        <w:rPr>
          <w:rFonts w:ascii="Arial" w:hAnsi="Arial" w:cs="Arial"/>
          <w:b/>
          <w:bCs/>
          <w:sz w:val="28"/>
          <w:szCs w:val="28"/>
          <w:lang w:eastAsia="en-US"/>
        </w:rPr>
      </w:pPr>
      <w:r>
        <w:rPr>
          <w:rFonts w:ascii="Arial" w:hAnsi="Arial" w:cs="Arial"/>
          <w:b/>
          <w:bCs/>
          <w:sz w:val="28"/>
          <w:szCs w:val="28"/>
          <w:lang w:eastAsia="en-US"/>
        </w:rPr>
        <w:t>LECTURER: DR FAHAD KHAN</w:t>
      </w:r>
    </w:p>
    <w:p w14:paraId="5B1077F1" w14:textId="326BEB96" w:rsidR="00710B6A" w:rsidRDefault="00710B6A" w:rsidP="00710B6A">
      <w:pPr>
        <w:jc w:val="center"/>
        <w:rPr>
          <w:rFonts w:ascii="Arial" w:hAnsi="Arial" w:cs="Arial"/>
          <w:b/>
          <w:bCs/>
          <w:sz w:val="28"/>
          <w:szCs w:val="28"/>
          <w:lang w:eastAsia="en-US"/>
        </w:rPr>
      </w:pPr>
    </w:p>
    <w:p w14:paraId="4BC46B05" w14:textId="181FBECE" w:rsidR="00710B6A" w:rsidRDefault="00710B6A" w:rsidP="00710B6A">
      <w:pPr>
        <w:jc w:val="center"/>
        <w:rPr>
          <w:rFonts w:ascii="Arial" w:hAnsi="Arial" w:cs="Arial"/>
          <w:b/>
          <w:bCs/>
          <w:sz w:val="28"/>
          <w:szCs w:val="28"/>
          <w:lang w:eastAsia="en-US"/>
        </w:rPr>
      </w:pPr>
      <w:r>
        <w:rPr>
          <w:rFonts w:ascii="Arial" w:hAnsi="Arial" w:cs="Arial"/>
          <w:b/>
          <w:bCs/>
          <w:sz w:val="28"/>
          <w:szCs w:val="28"/>
          <w:lang w:eastAsia="en-US"/>
        </w:rPr>
        <w:t>STUDENT NAME: NAGINA BEGUM</w:t>
      </w:r>
    </w:p>
    <w:p w14:paraId="157FF314" w14:textId="0861690D" w:rsidR="00710B6A" w:rsidRDefault="00710B6A" w:rsidP="00710B6A">
      <w:pPr>
        <w:jc w:val="center"/>
        <w:rPr>
          <w:rFonts w:ascii="Arial" w:hAnsi="Arial" w:cs="Arial"/>
          <w:b/>
          <w:bCs/>
          <w:sz w:val="28"/>
          <w:szCs w:val="28"/>
          <w:lang w:eastAsia="en-US"/>
        </w:rPr>
      </w:pPr>
      <w:r>
        <w:rPr>
          <w:rFonts w:ascii="Arial" w:hAnsi="Arial" w:cs="Arial"/>
          <w:b/>
          <w:bCs/>
          <w:sz w:val="28"/>
          <w:szCs w:val="28"/>
          <w:lang w:eastAsia="en-US"/>
        </w:rPr>
        <w:t>STUDENT NUMBER: 2215742</w:t>
      </w:r>
    </w:p>
    <w:p w14:paraId="32430A3C" w14:textId="77777777" w:rsidR="00872648" w:rsidRPr="00C51A30" w:rsidRDefault="00872648" w:rsidP="00FC2E6A">
      <w:pPr>
        <w:rPr>
          <w:rFonts w:ascii="Arial" w:hAnsi="Arial" w:cs="Arial"/>
          <w:b/>
          <w:bCs/>
          <w:sz w:val="28"/>
          <w:szCs w:val="28"/>
          <w:lang w:eastAsia="en-US"/>
        </w:rPr>
      </w:pPr>
    </w:p>
    <w:p w14:paraId="710891B5" w14:textId="77777777" w:rsidR="00FC2E6A" w:rsidRDefault="00FC2E6A" w:rsidP="00FC2E6A">
      <w:pPr>
        <w:rPr>
          <w:lang w:eastAsia="en-US"/>
        </w:rPr>
      </w:pPr>
    </w:p>
    <w:p w14:paraId="2DD833C1" w14:textId="77777777" w:rsidR="00FC2E6A" w:rsidRDefault="00FC2E6A" w:rsidP="00FC2E6A">
      <w:pPr>
        <w:rPr>
          <w:lang w:eastAsia="en-US"/>
        </w:rPr>
      </w:pPr>
    </w:p>
    <w:p w14:paraId="53E696A0" w14:textId="77777777" w:rsidR="00FC2E6A" w:rsidRDefault="00FC2E6A" w:rsidP="00FC2E6A">
      <w:pPr>
        <w:rPr>
          <w:lang w:eastAsia="en-US"/>
        </w:rPr>
      </w:pPr>
    </w:p>
    <w:p w14:paraId="76BC763E" w14:textId="77777777" w:rsidR="00FC2E6A" w:rsidRDefault="00FC2E6A" w:rsidP="00FC2E6A">
      <w:pPr>
        <w:rPr>
          <w:lang w:eastAsia="en-US"/>
        </w:rPr>
      </w:pPr>
    </w:p>
    <w:p w14:paraId="27B34090" w14:textId="77777777" w:rsidR="00FC2E6A" w:rsidRDefault="00FC2E6A" w:rsidP="00FC2E6A">
      <w:pPr>
        <w:rPr>
          <w:lang w:eastAsia="en-US"/>
        </w:rPr>
      </w:pPr>
    </w:p>
    <w:p w14:paraId="503735C5" w14:textId="77777777" w:rsidR="00FC2E6A" w:rsidRDefault="00FC2E6A" w:rsidP="00FC2E6A">
      <w:pPr>
        <w:rPr>
          <w:lang w:eastAsia="en-US"/>
        </w:rPr>
      </w:pPr>
    </w:p>
    <w:p w14:paraId="0AD575D0" w14:textId="77777777" w:rsidR="00FC2E6A" w:rsidRDefault="00FC2E6A" w:rsidP="00FC2E6A">
      <w:pPr>
        <w:rPr>
          <w:lang w:eastAsia="en-US"/>
        </w:rPr>
      </w:pPr>
    </w:p>
    <w:p w14:paraId="6093B6FE" w14:textId="77777777" w:rsidR="00FC2E6A" w:rsidRDefault="00FC2E6A" w:rsidP="00FC2E6A">
      <w:pPr>
        <w:rPr>
          <w:lang w:eastAsia="en-US"/>
        </w:rPr>
      </w:pPr>
    </w:p>
    <w:p w14:paraId="3AC022E0" w14:textId="77777777" w:rsidR="00FC2E6A" w:rsidRDefault="00FC2E6A" w:rsidP="00FC2E6A">
      <w:pPr>
        <w:rPr>
          <w:lang w:eastAsia="en-US"/>
        </w:rPr>
      </w:pPr>
    </w:p>
    <w:p w14:paraId="4D78DA90" w14:textId="77777777" w:rsidR="001F7E97" w:rsidRPr="002A3DA1" w:rsidRDefault="001F7E97" w:rsidP="001F7E97">
      <w:pPr>
        <w:rPr>
          <w:rFonts w:ascii="Arial" w:hAnsi="Arial" w:cs="Arial"/>
          <w:b/>
          <w:bCs/>
          <w:sz w:val="24"/>
          <w:szCs w:val="24"/>
          <w:lang w:eastAsia="en-US"/>
        </w:rPr>
      </w:pPr>
      <w:r w:rsidRPr="002A3DA1">
        <w:rPr>
          <w:rFonts w:ascii="Arial" w:hAnsi="Arial" w:cs="Arial"/>
          <w:b/>
          <w:bCs/>
          <w:sz w:val="24"/>
          <w:szCs w:val="24"/>
          <w:lang w:eastAsia="en-US"/>
        </w:rPr>
        <w:t>Table of Contents</w:t>
      </w:r>
    </w:p>
    <w:p w14:paraId="3065931E" w14:textId="68EAA5FF" w:rsidR="001F7E97" w:rsidRPr="003748A9" w:rsidRDefault="001F7E97" w:rsidP="001F7E97">
      <w:pPr>
        <w:rPr>
          <w:rFonts w:ascii="Arial" w:hAnsi="Arial" w:cs="Arial"/>
          <w:lang w:eastAsia="en-US"/>
        </w:rPr>
      </w:pPr>
      <w:r w:rsidRPr="003748A9">
        <w:rPr>
          <w:rFonts w:ascii="Arial" w:hAnsi="Arial" w:cs="Arial"/>
          <w:lang w:eastAsia="en-US"/>
        </w:rPr>
        <w:t>Executive Summary</w:t>
      </w:r>
      <w:r w:rsidRPr="003748A9">
        <w:rPr>
          <w:rFonts w:ascii="Arial" w:hAnsi="Arial" w:cs="Arial"/>
          <w:lang w:eastAsia="en-US"/>
        </w:rPr>
        <w:tab/>
      </w:r>
      <w:r w:rsidR="00AC209C" w:rsidRPr="003748A9">
        <w:rPr>
          <w:rFonts w:ascii="Arial" w:hAnsi="Arial" w:cs="Arial"/>
          <w:lang w:eastAsia="en-US"/>
        </w:rPr>
        <w:t xml:space="preserve">                                                                                          </w:t>
      </w:r>
      <w:r w:rsidR="002A3DA1">
        <w:rPr>
          <w:rFonts w:ascii="Arial" w:hAnsi="Arial" w:cs="Arial"/>
          <w:lang w:eastAsia="en-US"/>
        </w:rPr>
        <w:t xml:space="preserve">       </w:t>
      </w:r>
      <w:r w:rsidR="00AC209C" w:rsidRPr="003748A9">
        <w:rPr>
          <w:rFonts w:ascii="Arial" w:hAnsi="Arial" w:cs="Arial"/>
          <w:lang w:eastAsia="en-US"/>
        </w:rPr>
        <w:t xml:space="preserve">   </w:t>
      </w:r>
      <w:r w:rsidR="003748A9">
        <w:rPr>
          <w:rFonts w:ascii="Arial" w:hAnsi="Arial" w:cs="Arial"/>
          <w:lang w:eastAsia="en-US"/>
        </w:rPr>
        <w:t>1</w:t>
      </w:r>
    </w:p>
    <w:p w14:paraId="43C9A058" w14:textId="10A1A0AE" w:rsidR="001F7E97" w:rsidRPr="003748A9" w:rsidRDefault="001F7E97" w:rsidP="001F7E97">
      <w:pPr>
        <w:rPr>
          <w:rFonts w:ascii="Arial" w:hAnsi="Arial" w:cs="Arial"/>
          <w:lang w:eastAsia="en-US"/>
        </w:rPr>
      </w:pPr>
      <w:r w:rsidRPr="003748A9">
        <w:rPr>
          <w:rFonts w:ascii="Arial" w:hAnsi="Arial" w:cs="Arial"/>
          <w:lang w:eastAsia="en-US"/>
        </w:rPr>
        <w:t>Introduction</w:t>
      </w:r>
      <w:r w:rsidRPr="003748A9">
        <w:rPr>
          <w:rFonts w:ascii="Arial" w:hAnsi="Arial" w:cs="Arial"/>
          <w:lang w:eastAsia="en-US"/>
        </w:rPr>
        <w:tab/>
      </w:r>
      <w:r w:rsidR="00AC209C" w:rsidRPr="003748A9">
        <w:rPr>
          <w:rFonts w:ascii="Arial" w:hAnsi="Arial" w:cs="Arial"/>
          <w:lang w:eastAsia="en-US"/>
        </w:rPr>
        <w:t xml:space="preserve">                                                                                                        </w:t>
      </w:r>
      <w:r w:rsidR="002A3DA1">
        <w:rPr>
          <w:rFonts w:ascii="Arial" w:hAnsi="Arial" w:cs="Arial"/>
          <w:lang w:eastAsia="en-US"/>
        </w:rPr>
        <w:t xml:space="preserve">      </w:t>
      </w:r>
      <w:r w:rsidR="00AC209C" w:rsidRPr="003748A9">
        <w:rPr>
          <w:rFonts w:ascii="Arial" w:hAnsi="Arial" w:cs="Arial"/>
          <w:lang w:eastAsia="en-US"/>
        </w:rPr>
        <w:t xml:space="preserve">  </w:t>
      </w:r>
      <w:r w:rsidR="003748A9">
        <w:rPr>
          <w:rFonts w:ascii="Arial" w:hAnsi="Arial" w:cs="Arial"/>
          <w:lang w:eastAsia="en-US"/>
        </w:rPr>
        <w:t>2</w:t>
      </w:r>
    </w:p>
    <w:p w14:paraId="29191D85" w14:textId="5C6DDDDF" w:rsidR="001F7E97" w:rsidRPr="003748A9" w:rsidRDefault="001F7E97" w:rsidP="001F7E97">
      <w:pPr>
        <w:rPr>
          <w:rFonts w:ascii="Arial" w:hAnsi="Arial" w:cs="Arial"/>
          <w:lang w:eastAsia="en-US"/>
        </w:rPr>
      </w:pPr>
      <w:r w:rsidRPr="003748A9">
        <w:rPr>
          <w:rFonts w:ascii="Arial" w:hAnsi="Arial" w:cs="Arial"/>
          <w:lang w:eastAsia="en-US"/>
        </w:rPr>
        <w:t>Rich Picture</w:t>
      </w:r>
      <w:r w:rsidRPr="003748A9">
        <w:rPr>
          <w:rFonts w:ascii="Arial" w:hAnsi="Arial" w:cs="Arial"/>
          <w:lang w:eastAsia="en-US"/>
        </w:rPr>
        <w:tab/>
      </w:r>
      <w:r w:rsidR="00AC209C" w:rsidRPr="003748A9">
        <w:rPr>
          <w:rFonts w:ascii="Arial" w:hAnsi="Arial" w:cs="Arial"/>
          <w:lang w:eastAsia="en-US"/>
        </w:rPr>
        <w:t xml:space="preserve">                                                                                                         </w:t>
      </w:r>
      <w:r w:rsidR="002A3DA1">
        <w:rPr>
          <w:rFonts w:ascii="Arial" w:hAnsi="Arial" w:cs="Arial"/>
          <w:lang w:eastAsia="en-US"/>
        </w:rPr>
        <w:t xml:space="preserve">     </w:t>
      </w:r>
      <w:r w:rsidR="00AC209C" w:rsidRPr="003748A9">
        <w:rPr>
          <w:rFonts w:ascii="Arial" w:hAnsi="Arial" w:cs="Arial"/>
          <w:lang w:eastAsia="en-US"/>
        </w:rPr>
        <w:t xml:space="preserve">  </w:t>
      </w:r>
      <w:r w:rsidR="003748A9">
        <w:rPr>
          <w:rFonts w:ascii="Arial" w:hAnsi="Arial" w:cs="Arial"/>
          <w:lang w:eastAsia="en-US"/>
        </w:rPr>
        <w:t>4</w:t>
      </w:r>
    </w:p>
    <w:p w14:paraId="438E5115" w14:textId="21AF4AA1" w:rsidR="001F7E97" w:rsidRPr="003748A9" w:rsidRDefault="001F7E97" w:rsidP="001F7E97">
      <w:pPr>
        <w:rPr>
          <w:rFonts w:ascii="Arial" w:hAnsi="Arial" w:cs="Arial"/>
          <w:lang w:eastAsia="en-US"/>
        </w:rPr>
      </w:pPr>
      <w:r w:rsidRPr="003748A9">
        <w:rPr>
          <w:rFonts w:ascii="Arial" w:hAnsi="Arial" w:cs="Arial"/>
          <w:lang w:eastAsia="en-US"/>
        </w:rPr>
        <w:t>Centralisation and Decentralisation</w:t>
      </w:r>
      <w:r w:rsidRPr="003748A9">
        <w:rPr>
          <w:rFonts w:ascii="Arial" w:hAnsi="Arial" w:cs="Arial"/>
          <w:lang w:eastAsia="en-US"/>
        </w:rPr>
        <w:tab/>
      </w:r>
      <w:r w:rsidR="00AC209C" w:rsidRPr="003748A9">
        <w:rPr>
          <w:rFonts w:ascii="Arial" w:hAnsi="Arial" w:cs="Arial"/>
          <w:lang w:eastAsia="en-US"/>
        </w:rPr>
        <w:t xml:space="preserve">                                                                       </w:t>
      </w:r>
      <w:r w:rsidR="002A3DA1">
        <w:rPr>
          <w:rFonts w:ascii="Arial" w:hAnsi="Arial" w:cs="Arial"/>
          <w:lang w:eastAsia="en-US"/>
        </w:rPr>
        <w:t xml:space="preserve">    </w:t>
      </w:r>
      <w:r w:rsidR="00AC209C" w:rsidRPr="003748A9">
        <w:rPr>
          <w:rFonts w:ascii="Arial" w:hAnsi="Arial" w:cs="Arial"/>
          <w:lang w:eastAsia="en-US"/>
        </w:rPr>
        <w:t xml:space="preserve">  </w:t>
      </w:r>
      <w:r w:rsidRPr="003748A9">
        <w:rPr>
          <w:rFonts w:ascii="Arial" w:hAnsi="Arial" w:cs="Arial"/>
          <w:lang w:eastAsia="en-US"/>
        </w:rPr>
        <w:t>6</w:t>
      </w:r>
    </w:p>
    <w:p w14:paraId="45C95D55" w14:textId="03EFE146" w:rsidR="001F7E97" w:rsidRPr="003748A9" w:rsidRDefault="001F7E97" w:rsidP="001F7E97">
      <w:pPr>
        <w:rPr>
          <w:rFonts w:ascii="Arial" w:hAnsi="Arial" w:cs="Arial"/>
          <w:lang w:eastAsia="en-US"/>
        </w:rPr>
      </w:pPr>
      <w:r w:rsidRPr="003748A9">
        <w:rPr>
          <w:rFonts w:ascii="Arial" w:hAnsi="Arial" w:cs="Arial"/>
          <w:lang w:eastAsia="en-US"/>
        </w:rPr>
        <w:t xml:space="preserve">    2.1 Spain: Decentralisation</w:t>
      </w:r>
      <w:r w:rsidRPr="003748A9">
        <w:rPr>
          <w:rFonts w:ascii="Arial" w:hAnsi="Arial" w:cs="Arial"/>
          <w:lang w:eastAsia="en-US"/>
        </w:rPr>
        <w:tab/>
      </w:r>
      <w:r w:rsidR="00AC209C" w:rsidRPr="003748A9">
        <w:rPr>
          <w:rFonts w:ascii="Arial" w:hAnsi="Arial" w:cs="Arial"/>
          <w:lang w:eastAsia="en-US"/>
        </w:rPr>
        <w:t xml:space="preserve">                                                                                     </w:t>
      </w:r>
      <w:r w:rsidR="002A3DA1">
        <w:rPr>
          <w:rFonts w:ascii="Arial" w:hAnsi="Arial" w:cs="Arial"/>
          <w:lang w:eastAsia="en-US"/>
        </w:rPr>
        <w:t xml:space="preserve">   </w:t>
      </w:r>
      <w:r w:rsidR="00AC209C" w:rsidRPr="003748A9">
        <w:rPr>
          <w:rFonts w:ascii="Arial" w:hAnsi="Arial" w:cs="Arial"/>
          <w:lang w:eastAsia="en-US"/>
        </w:rPr>
        <w:t xml:space="preserve"> </w:t>
      </w:r>
      <w:r w:rsidRPr="003748A9">
        <w:rPr>
          <w:rFonts w:ascii="Arial" w:hAnsi="Arial" w:cs="Arial"/>
          <w:lang w:eastAsia="en-US"/>
        </w:rPr>
        <w:t>6</w:t>
      </w:r>
    </w:p>
    <w:p w14:paraId="590E6363" w14:textId="36BF7BA0" w:rsidR="001F7E97" w:rsidRPr="003748A9" w:rsidRDefault="001F7E97" w:rsidP="001F7E97">
      <w:pPr>
        <w:rPr>
          <w:rFonts w:ascii="Arial" w:hAnsi="Arial" w:cs="Arial"/>
          <w:lang w:eastAsia="en-US"/>
        </w:rPr>
      </w:pPr>
      <w:r w:rsidRPr="003748A9">
        <w:rPr>
          <w:rFonts w:ascii="Arial" w:hAnsi="Arial" w:cs="Arial"/>
          <w:lang w:eastAsia="en-US"/>
        </w:rPr>
        <w:t xml:space="preserve">    2.2 South Korea: Centralised</w:t>
      </w:r>
      <w:r w:rsidRPr="003748A9">
        <w:rPr>
          <w:rFonts w:ascii="Arial" w:hAnsi="Arial" w:cs="Arial"/>
          <w:lang w:eastAsia="en-US"/>
        </w:rPr>
        <w:tab/>
      </w:r>
      <w:r w:rsidR="00AC209C" w:rsidRPr="003748A9">
        <w:rPr>
          <w:rFonts w:ascii="Arial" w:hAnsi="Arial" w:cs="Arial"/>
          <w:lang w:eastAsia="en-US"/>
        </w:rPr>
        <w:t xml:space="preserve">                                                                            </w:t>
      </w:r>
      <w:r w:rsidR="003F5B6D">
        <w:rPr>
          <w:rFonts w:ascii="Arial" w:hAnsi="Arial" w:cs="Arial"/>
          <w:lang w:eastAsia="en-US"/>
        </w:rPr>
        <w:t>12</w:t>
      </w:r>
    </w:p>
    <w:p w14:paraId="1807C12E" w14:textId="7E7F67B7" w:rsidR="001F7E97" w:rsidRPr="003748A9" w:rsidRDefault="001F7E97" w:rsidP="001F7E97">
      <w:pPr>
        <w:rPr>
          <w:rFonts w:ascii="Arial" w:hAnsi="Arial" w:cs="Arial"/>
          <w:lang w:eastAsia="en-US"/>
        </w:rPr>
      </w:pPr>
      <w:r w:rsidRPr="003748A9">
        <w:rPr>
          <w:rFonts w:ascii="Arial" w:hAnsi="Arial" w:cs="Arial"/>
          <w:lang w:eastAsia="en-US"/>
        </w:rPr>
        <w:t xml:space="preserve">    2.3 Canada: Federal Decentralisation</w:t>
      </w:r>
      <w:r w:rsidRPr="003748A9">
        <w:rPr>
          <w:rFonts w:ascii="Arial" w:hAnsi="Arial" w:cs="Arial"/>
          <w:lang w:eastAsia="en-US"/>
        </w:rPr>
        <w:tab/>
      </w:r>
      <w:r w:rsidR="00AC209C" w:rsidRPr="003748A9">
        <w:rPr>
          <w:rFonts w:ascii="Arial" w:hAnsi="Arial" w:cs="Arial"/>
          <w:lang w:eastAsia="en-US"/>
        </w:rPr>
        <w:t xml:space="preserve">                                                              </w:t>
      </w:r>
      <w:r w:rsidR="00831BDE">
        <w:rPr>
          <w:rFonts w:ascii="Arial" w:hAnsi="Arial" w:cs="Arial"/>
          <w:lang w:eastAsia="en-US"/>
        </w:rPr>
        <w:t xml:space="preserve">   </w:t>
      </w:r>
      <w:r w:rsidR="003F5B6D">
        <w:rPr>
          <w:rFonts w:ascii="Arial" w:hAnsi="Arial" w:cs="Arial"/>
          <w:lang w:eastAsia="en-US"/>
        </w:rPr>
        <w:t>18</w:t>
      </w:r>
    </w:p>
    <w:p w14:paraId="7C8AD0FB" w14:textId="770C620D" w:rsidR="001F7E97" w:rsidRPr="003748A9" w:rsidRDefault="001F7E97" w:rsidP="001F7E97">
      <w:pPr>
        <w:rPr>
          <w:rFonts w:ascii="Arial" w:hAnsi="Arial" w:cs="Arial"/>
          <w:lang w:eastAsia="en-US"/>
        </w:rPr>
      </w:pPr>
      <w:r w:rsidRPr="003748A9">
        <w:rPr>
          <w:rFonts w:ascii="Arial" w:hAnsi="Arial" w:cs="Arial"/>
          <w:lang w:eastAsia="en-US"/>
        </w:rPr>
        <w:t>Leadership Styles</w:t>
      </w:r>
      <w:r w:rsidRPr="003748A9">
        <w:rPr>
          <w:rFonts w:ascii="Arial" w:hAnsi="Arial" w:cs="Arial"/>
          <w:lang w:eastAsia="en-US"/>
        </w:rPr>
        <w:tab/>
      </w:r>
      <w:r w:rsidR="00AC209C" w:rsidRPr="003748A9">
        <w:rPr>
          <w:rFonts w:ascii="Arial" w:hAnsi="Arial" w:cs="Arial"/>
          <w:lang w:eastAsia="en-US"/>
        </w:rPr>
        <w:t xml:space="preserve">                                                                                                     </w:t>
      </w:r>
      <w:r w:rsidR="003F5B6D">
        <w:rPr>
          <w:rFonts w:ascii="Arial" w:hAnsi="Arial" w:cs="Arial"/>
          <w:lang w:eastAsia="en-US"/>
        </w:rPr>
        <w:t>24</w:t>
      </w:r>
      <w:r w:rsidR="00AC209C" w:rsidRPr="003748A9">
        <w:rPr>
          <w:rFonts w:ascii="Arial" w:hAnsi="Arial" w:cs="Arial"/>
          <w:lang w:eastAsia="en-US"/>
        </w:rPr>
        <w:t xml:space="preserve">   </w:t>
      </w:r>
    </w:p>
    <w:p w14:paraId="74803420" w14:textId="5A76FC53" w:rsidR="001F7E97" w:rsidRPr="003748A9" w:rsidRDefault="001F7E97" w:rsidP="001F7E97">
      <w:pPr>
        <w:rPr>
          <w:rFonts w:ascii="Arial" w:hAnsi="Arial" w:cs="Arial"/>
          <w:lang w:eastAsia="en-US"/>
        </w:rPr>
      </w:pPr>
      <w:r w:rsidRPr="003748A9">
        <w:rPr>
          <w:rFonts w:ascii="Arial" w:hAnsi="Arial" w:cs="Arial"/>
          <w:lang w:eastAsia="en-US"/>
        </w:rPr>
        <w:t xml:space="preserve">    3.1 Spain: Pedro Sánchez – Reactive Leadership</w:t>
      </w:r>
      <w:r w:rsidRPr="003748A9">
        <w:rPr>
          <w:rFonts w:ascii="Arial" w:hAnsi="Arial" w:cs="Arial"/>
          <w:lang w:eastAsia="en-US"/>
        </w:rPr>
        <w:tab/>
      </w:r>
      <w:r w:rsidR="00AC209C" w:rsidRPr="003748A9">
        <w:rPr>
          <w:rFonts w:ascii="Arial" w:hAnsi="Arial" w:cs="Arial"/>
          <w:lang w:eastAsia="en-US"/>
        </w:rPr>
        <w:t xml:space="preserve">                                           </w:t>
      </w:r>
      <w:r w:rsidR="003F5B6D">
        <w:rPr>
          <w:rFonts w:ascii="Arial" w:hAnsi="Arial" w:cs="Arial"/>
          <w:lang w:eastAsia="en-US"/>
        </w:rPr>
        <w:t>24</w:t>
      </w:r>
    </w:p>
    <w:p w14:paraId="755CB512" w14:textId="402EF638" w:rsidR="001F7E97" w:rsidRPr="003748A9" w:rsidRDefault="001F7E97" w:rsidP="001F7E97">
      <w:pPr>
        <w:rPr>
          <w:rFonts w:ascii="Arial" w:hAnsi="Arial" w:cs="Arial"/>
          <w:lang w:eastAsia="en-US"/>
        </w:rPr>
      </w:pPr>
      <w:r w:rsidRPr="003748A9">
        <w:rPr>
          <w:rFonts w:ascii="Arial" w:hAnsi="Arial" w:cs="Arial"/>
          <w:lang w:eastAsia="en-US"/>
        </w:rPr>
        <w:t xml:space="preserve">    3.2 South Korea: Moon Jae-in – Directive Yet Transparent</w:t>
      </w:r>
      <w:r w:rsidRPr="003748A9">
        <w:rPr>
          <w:rFonts w:ascii="Arial" w:hAnsi="Arial" w:cs="Arial"/>
          <w:lang w:eastAsia="en-US"/>
        </w:rPr>
        <w:tab/>
      </w:r>
      <w:r w:rsidR="00AC209C" w:rsidRPr="003748A9">
        <w:rPr>
          <w:rFonts w:ascii="Arial" w:hAnsi="Arial" w:cs="Arial"/>
          <w:lang w:eastAsia="en-US"/>
        </w:rPr>
        <w:t xml:space="preserve">                               </w:t>
      </w:r>
      <w:r w:rsidR="003F5B6D">
        <w:rPr>
          <w:rFonts w:ascii="Arial" w:hAnsi="Arial" w:cs="Arial"/>
          <w:lang w:eastAsia="en-US"/>
        </w:rPr>
        <w:t>27</w:t>
      </w:r>
      <w:r w:rsidR="00AC209C" w:rsidRPr="003748A9">
        <w:rPr>
          <w:rFonts w:ascii="Arial" w:hAnsi="Arial" w:cs="Arial"/>
          <w:lang w:eastAsia="en-US"/>
        </w:rPr>
        <w:t xml:space="preserve">   </w:t>
      </w:r>
    </w:p>
    <w:p w14:paraId="4526EAD7" w14:textId="4A96DB08" w:rsidR="003F5B6D" w:rsidRPr="003748A9" w:rsidRDefault="001F7E97" w:rsidP="001F7E97">
      <w:pPr>
        <w:rPr>
          <w:rFonts w:ascii="Arial" w:hAnsi="Arial" w:cs="Arial"/>
          <w:lang w:eastAsia="en-US"/>
        </w:rPr>
      </w:pPr>
      <w:r w:rsidRPr="003748A9">
        <w:rPr>
          <w:rFonts w:ascii="Arial" w:hAnsi="Arial" w:cs="Arial"/>
          <w:lang w:eastAsia="en-US"/>
        </w:rPr>
        <w:t xml:space="preserve">    3.3 Canada: Justin Trudeau – Democratic and Collaborative</w:t>
      </w:r>
      <w:r w:rsidRPr="003748A9">
        <w:rPr>
          <w:rFonts w:ascii="Arial" w:hAnsi="Arial" w:cs="Arial"/>
          <w:lang w:eastAsia="en-US"/>
        </w:rPr>
        <w:tab/>
      </w:r>
      <w:r w:rsidR="00AC209C" w:rsidRPr="003748A9">
        <w:rPr>
          <w:rFonts w:ascii="Arial" w:hAnsi="Arial" w:cs="Arial"/>
          <w:lang w:eastAsia="en-US"/>
        </w:rPr>
        <w:t xml:space="preserve">                               </w:t>
      </w:r>
      <w:r w:rsidRPr="003748A9">
        <w:rPr>
          <w:rFonts w:ascii="Arial" w:hAnsi="Arial" w:cs="Arial"/>
          <w:lang w:eastAsia="en-US"/>
        </w:rPr>
        <w:t>30</w:t>
      </w:r>
    </w:p>
    <w:p w14:paraId="63D9F29E" w14:textId="7F0BE50B" w:rsidR="001F7E97" w:rsidRPr="003748A9" w:rsidRDefault="001F7E97" w:rsidP="001F7E97">
      <w:pPr>
        <w:rPr>
          <w:rFonts w:ascii="Arial" w:hAnsi="Arial" w:cs="Arial"/>
          <w:lang w:eastAsia="en-US"/>
        </w:rPr>
      </w:pPr>
      <w:r w:rsidRPr="003748A9">
        <w:rPr>
          <w:rFonts w:ascii="Arial" w:hAnsi="Arial" w:cs="Arial"/>
          <w:lang w:eastAsia="en-US"/>
        </w:rPr>
        <w:t>Comparative Insight</w:t>
      </w:r>
      <w:r w:rsidRPr="003748A9">
        <w:rPr>
          <w:rFonts w:ascii="Arial" w:hAnsi="Arial" w:cs="Arial"/>
          <w:lang w:eastAsia="en-US"/>
        </w:rPr>
        <w:tab/>
      </w:r>
      <w:r w:rsidR="00AC209C" w:rsidRPr="003748A9">
        <w:rPr>
          <w:rFonts w:ascii="Arial" w:hAnsi="Arial" w:cs="Arial"/>
          <w:lang w:eastAsia="en-US"/>
        </w:rPr>
        <w:t xml:space="preserve">                                                                                                      </w:t>
      </w:r>
      <w:r w:rsidR="003F5B6D">
        <w:rPr>
          <w:rFonts w:ascii="Arial" w:hAnsi="Arial" w:cs="Arial"/>
          <w:lang w:eastAsia="en-US"/>
        </w:rPr>
        <w:t>33</w:t>
      </w:r>
    </w:p>
    <w:p w14:paraId="3B3D82B3" w14:textId="0A797CBD" w:rsidR="001F7E97" w:rsidRPr="003748A9" w:rsidRDefault="001F7E97" w:rsidP="001F7E97">
      <w:pPr>
        <w:rPr>
          <w:rFonts w:ascii="Arial" w:hAnsi="Arial" w:cs="Arial"/>
          <w:lang w:eastAsia="en-US"/>
        </w:rPr>
      </w:pPr>
      <w:r w:rsidRPr="003748A9">
        <w:rPr>
          <w:rFonts w:ascii="Arial" w:hAnsi="Arial" w:cs="Arial"/>
          <w:lang w:eastAsia="en-US"/>
        </w:rPr>
        <w:t>Conclusion</w:t>
      </w:r>
      <w:r w:rsidRPr="003748A9">
        <w:rPr>
          <w:rFonts w:ascii="Arial" w:hAnsi="Arial" w:cs="Arial"/>
          <w:lang w:eastAsia="en-US"/>
        </w:rPr>
        <w:tab/>
      </w:r>
      <w:r w:rsidR="00AC209C" w:rsidRPr="003748A9">
        <w:rPr>
          <w:rFonts w:ascii="Arial" w:hAnsi="Arial" w:cs="Arial"/>
          <w:lang w:eastAsia="en-US"/>
        </w:rPr>
        <w:t xml:space="preserve">                                                                                                                  </w:t>
      </w:r>
      <w:r w:rsidR="00831BDE">
        <w:rPr>
          <w:rFonts w:ascii="Arial" w:hAnsi="Arial" w:cs="Arial"/>
          <w:lang w:eastAsia="en-US"/>
        </w:rPr>
        <w:t>35</w:t>
      </w:r>
    </w:p>
    <w:p w14:paraId="4AE0DA48" w14:textId="2ABEE697" w:rsidR="001F7E97" w:rsidRPr="003748A9" w:rsidRDefault="001F7E97" w:rsidP="001F7E97">
      <w:pPr>
        <w:rPr>
          <w:rFonts w:ascii="Arial" w:hAnsi="Arial" w:cs="Arial"/>
          <w:lang w:eastAsia="en-US"/>
        </w:rPr>
      </w:pPr>
      <w:r w:rsidRPr="003748A9">
        <w:rPr>
          <w:rFonts w:ascii="Arial" w:hAnsi="Arial" w:cs="Arial"/>
          <w:lang w:eastAsia="en-US"/>
        </w:rPr>
        <w:t>Reference List</w:t>
      </w:r>
      <w:r w:rsidRPr="003748A9">
        <w:rPr>
          <w:rFonts w:ascii="Arial" w:hAnsi="Arial" w:cs="Arial"/>
          <w:lang w:eastAsia="en-US"/>
        </w:rPr>
        <w:tab/>
      </w:r>
      <w:r w:rsidR="00AC209C" w:rsidRPr="003748A9">
        <w:rPr>
          <w:rFonts w:ascii="Arial" w:hAnsi="Arial" w:cs="Arial"/>
          <w:lang w:eastAsia="en-US"/>
        </w:rPr>
        <w:t xml:space="preserve">                                                                                                                  </w:t>
      </w:r>
      <w:r w:rsidR="00831BDE">
        <w:rPr>
          <w:rFonts w:ascii="Arial" w:hAnsi="Arial" w:cs="Arial"/>
          <w:lang w:eastAsia="en-US"/>
        </w:rPr>
        <w:t>37</w:t>
      </w:r>
    </w:p>
    <w:p w14:paraId="68B46F92" w14:textId="77777777" w:rsidR="001F7E97" w:rsidRPr="003748A9" w:rsidRDefault="001F7E97" w:rsidP="001F7E97">
      <w:pPr>
        <w:rPr>
          <w:rFonts w:ascii="Arial" w:hAnsi="Arial" w:cs="Arial"/>
          <w:lang w:eastAsia="en-US"/>
        </w:rPr>
      </w:pPr>
    </w:p>
    <w:p w14:paraId="5E89F9EE" w14:textId="77777777" w:rsidR="001F7E97" w:rsidRPr="003748A9" w:rsidRDefault="001F7E97" w:rsidP="001F7E97">
      <w:pPr>
        <w:rPr>
          <w:rFonts w:ascii="Calibri" w:hAnsi="Calibri" w:cs="Calibri"/>
          <w:lang w:eastAsia="en-US"/>
        </w:rPr>
      </w:pPr>
    </w:p>
    <w:p w14:paraId="0F963856" w14:textId="77777777" w:rsidR="001F7E97" w:rsidRDefault="001F7E97" w:rsidP="001F7E97">
      <w:pPr>
        <w:rPr>
          <w:lang w:eastAsia="en-US"/>
        </w:rPr>
      </w:pPr>
    </w:p>
    <w:p w14:paraId="2AD6E7F8" w14:textId="77777777" w:rsidR="001F7E97" w:rsidRDefault="001F7E97" w:rsidP="001F7E97">
      <w:pPr>
        <w:rPr>
          <w:lang w:eastAsia="en-US"/>
        </w:rPr>
      </w:pPr>
    </w:p>
    <w:p w14:paraId="0840101C" w14:textId="77777777" w:rsidR="001F7E97" w:rsidRDefault="001F7E97" w:rsidP="001F7E97">
      <w:pPr>
        <w:rPr>
          <w:lang w:eastAsia="en-US"/>
        </w:rPr>
      </w:pPr>
    </w:p>
    <w:p w14:paraId="296BE715" w14:textId="77777777" w:rsidR="001F7E97" w:rsidRDefault="001F7E97" w:rsidP="001F7E97">
      <w:pPr>
        <w:rPr>
          <w:lang w:eastAsia="en-US"/>
        </w:rPr>
      </w:pPr>
    </w:p>
    <w:p w14:paraId="1592596A" w14:textId="77777777" w:rsidR="001F7E97" w:rsidRDefault="001F7E97" w:rsidP="00DD6E28">
      <w:pPr>
        <w:pStyle w:val="TOCHeading"/>
        <w:spacing w:line="360" w:lineRule="auto"/>
        <w:rPr>
          <w:rFonts w:ascii="Arial" w:hAnsi="Arial" w:cs="Arial"/>
          <w:b/>
          <w:bCs/>
          <w:color w:val="auto"/>
          <w:sz w:val="24"/>
          <w:szCs w:val="24"/>
          <w:lang w:val="en-GB"/>
        </w:rPr>
      </w:pPr>
    </w:p>
    <w:p w14:paraId="1DA75319" w14:textId="77777777" w:rsidR="001F7E97" w:rsidRDefault="001F7E97" w:rsidP="001F7E97">
      <w:pPr>
        <w:rPr>
          <w:lang w:eastAsia="en-US"/>
        </w:rPr>
      </w:pPr>
    </w:p>
    <w:p w14:paraId="21919363" w14:textId="77777777" w:rsidR="001F7E97" w:rsidRDefault="001F7E97" w:rsidP="001F7E97">
      <w:pPr>
        <w:rPr>
          <w:lang w:eastAsia="en-US"/>
        </w:rPr>
      </w:pPr>
    </w:p>
    <w:p w14:paraId="0E787782" w14:textId="77777777" w:rsidR="001F7E97" w:rsidRDefault="001F7E97" w:rsidP="001F7E97">
      <w:pPr>
        <w:rPr>
          <w:lang w:eastAsia="en-US"/>
        </w:rPr>
      </w:pPr>
    </w:p>
    <w:p w14:paraId="52594D59" w14:textId="77777777" w:rsidR="001F7E97" w:rsidRDefault="001F7E97" w:rsidP="001F7E97">
      <w:pPr>
        <w:rPr>
          <w:lang w:eastAsia="en-US"/>
        </w:rPr>
      </w:pPr>
    </w:p>
    <w:p w14:paraId="5E23805F" w14:textId="77777777" w:rsidR="001F7E97" w:rsidRDefault="001F7E97" w:rsidP="001F7E97">
      <w:pPr>
        <w:rPr>
          <w:lang w:eastAsia="en-US"/>
        </w:rPr>
      </w:pPr>
    </w:p>
    <w:p w14:paraId="1CA27DAF" w14:textId="77777777" w:rsidR="001F7E97" w:rsidRDefault="001F7E97" w:rsidP="001F7E97">
      <w:pPr>
        <w:rPr>
          <w:lang w:eastAsia="en-US"/>
        </w:rPr>
      </w:pPr>
    </w:p>
    <w:p w14:paraId="7571948E" w14:textId="77777777" w:rsidR="001F7E97" w:rsidRDefault="001F7E97" w:rsidP="001F7E97">
      <w:pPr>
        <w:rPr>
          <w:lang w:eastAsia="en-US"/>
        </w:rPr>
      </w:pPr>
    </w:p>
    <w:p w14:paraId="06B1978E" w14:textId="77777777" w:rsidR="001F7E97" w:rsidRPr="001F7E97" w:rsidRDefault="001F7E97" w:rsidP="001F7E97">
      <w:pPr>
        <w:rPr>
          <w:lang w:eastAsia="en-US"/>
        </w:rPr>
      </w:pPr>
    </w:p>
    <w:p w14:paraId="186613A8" w14:textId="77777777" w:rsidR="001F7E97" w:rsidRDefault="001F7E97" w:rsidP="00DD6E28">
      <w:pPr>
        <w:pStyle w:val="TOCHeading"/>
        <w:spacing w:line="360" w:lineRule="auto"/>
        <w:rPr>
          <w:rFonts w:ascii="Arial" w:hAnsi="Arial" w:cs="Arial"/>
          <w:b/>
          <w:bCs/>
          <w:color w:val="auto"/>
          <w:sz w:val="24"/>
          <w:szCs w:val="24"/>
          <w:lang w:val="en-GB"/>
        </w:rPr>
      </w:pPr>
    </w:p>
    <w:p w14:paraId="658B0819" w14:textId="2A7CFF97" w:rsidR="00FF4D78" w:rsidRPr="00FF4D78" w:rsidRDefault="00FF4D78" w:rsidP="00DD6E28">
      <w:pPr>
        <w:pStyle w:val="TOCHeading"/>
        <w:spacing w:line="360" w:lineRule="auto"/>
        <w:rPr>
          <w:rFonts w:ascii="Arial" w:hAnsi="Arial" w:cs="Arial"/>
          <w:b/>
          <w:bCs/>
          <w:color w:val="auto"/>
          <w:sz w:val="24"/>
          <w:szCs w:val="24"/>
          <w:lang w:val="en-GB"/>
        </w:rPr>
      </w:pPr>
      <w:r w:rsidRPr="00FF4D78">
        <w:rPr>
          <w:rFonts w:ascii="Arial" w:hAnsi="Arial" w:cs="Arial"/>
          <w:b/>
          <w:bCs/>
          <w:color w:val="auto"/>
          <w:sz w:val="24"/>
          <w:szCs w:val="24"/>
          <w:lang w:val="en-GB"/>
        </w:rPr>
        <w:t>Executive Summary</w:t>
      </w:r>
    </w:p>
    <w:p w14:paraId="21C283D8" w14:textId="615872EC" w:rsidR="00FF4D78" w:rsidRDefault="00FF4D78" w:rsidP="00DD6E28">
      <w:pPr>
        <w:pStyle w:val="TOCHeading"/>
        <w:spacing w:line="360" w:lineRule="auto"/>
        <w:rPr>
          <w:rFonts w:ascii="Arial" w:hAnsi="Arial" w:cs="Arial"/>
          <w:color w:val="auto"/>
          <w:sz w:val="22"/>
          <w:szCs w:val="22"/>
          <w:lang w:val="en-GB"/>
        </w:rPr>
      </w:pPr>
      <w:r w:rsidRPr="00FF4D78">
        <w:rPr>
          <w:rFonts w:ascii="Arial" w:hAnsi="Arial" w:cs="Arial"/>
          <w:color w:val="auto"/>
          <w:sz w:val="22"/>
          <w:szCs w:val="22"/>
          <w:lang w:val="en-GB"/>
        </w:rPr>
        <w:t>This report looks at how centralised and decentralised Spain, South Korea, and Canada</w:t>
      </w:r>
      <w:r w:rsidR="0075056D">
        <w:rPr>
          <w:rFonts w:ascii="Arial" w:hAnsi="Arial" w:cs="Arial"/>
          <w:color w:val="auto"/>
          <w:sz w:val="22"/>
          <w:szCs w:val="22"/>
          <w:lang w:val="en-GB"/>
        </w:rPr>
        <w:t xml:space="preserve"> where during the pandemic covid-19</w:t>
      </w:r>
      <w:r w:rsidRPr="00FF4D78">
        <w:rPr>
          <w:rFonts w:ascii="Arial" w:hAnsi="Arial" w:cs="Arial"/>
          <w:color w:val="auto"/>
          <w:sz w:val="22"/>
          <w:szCs w:val="22"/>
          <w:lang w:val="en-GB"/>
        </w:rPr>
        <w:t xml:space="preserve">. It reviews how each country organised its healthcare system, the policies it used, the challenges it faced, and the results it achieved, especially in vaccination rollouts, mortality rates, and public trust. Spain’s decentralised system struggled with coordination at </w:t>
      </w:r>
      <w:r w:rsidR="009412BD" w:rsidRPr="00FF4D78">
        <w:rPr>
          <w:rFonts w:ascii="Arial" w:hAnsi="Arial" w:cs="Arial"/>
          <w:color w:val="auto"/>
          <w:sz w:val="22"/>
          <w:szCs w:val="22"/>
          <w:lang w:val="en-GB"/>
        </w:rPr>
        <w:t>first but</w:t>
      </w:r>
      <w:r w:rsidRPr="00FF4D78">
        <w:rPr>
          <w:rFonts w:ascii="Arial" w:hAnsi="Arial" w:cs="Arial"/>
          <w:color w:val="auto"/>
          <w:sz w:val="22"/>
          <w:szCs w:val="22"/>
          <w:lang w:val="en-GB"/>
        </w:rPr>
        <w:t xml:space="preserve"> later succeeded in local vaccination efforts by establishing regional task forces and granting local </w:t>
      </w:r>
      <w:r w:rsidR="00DC7EAE" w:rsidRPr="00FF4D78">
        <w:rPr>
          <w:rFonts w:ascii="Arial" w:hAnsi="Arial" w:cs="Arial"/>
          <w:color w:val="auto"/>
          <w:sz w:val="22"/>
          <w:szCs w:val="22"/>
          <w:lang w:val="en-GB"/>
        </w:rPr>
        <w:t>leader</w:t>
      </w:r>
      <w:r w:rsidR="00DE735B">
        <w:rPr>
          <w:rFonts w:ascii="Arial" w:hAnsi="Arial" w:cs="Arial"/>
          <w:color w:val="auto"/>
          <w:sz w:val="22"/>
          <w:szCs w:val="22"/>
          <w:lang w:val="en-GB"/>
        </w:rPr>
        <w:t xml:space="preserve">’s </w:t>
      </w:r>
      <w:r w:rsidRPr="00FF4D78">
        <w:rPr>
          <w:rFonts w:ascii="Arial" w:hAnsi="Arial" w:cs="Arial"/>
          <w:color w:val="auto"/>
          <w:sz w:val="22"/>
          <w:szCs w:val="22"/>
          <w:lang w:val="en-GB"/>
        </w:rPr>
        <w:t xml:space="preserve">greater authority. South Korea’s centralised system allowed for quick containment through digital tools and strong leadership, though its vaccination rollout was slower. The country used a nationwide contact tracing system and encouraged public-private partnerships to speed up testing and quarantine. Canada’s federal system allows provinces to tailor their responses, but this has led to fragmented data and weaknesses in long-term care. Canada focused on better local data integration and created a national plan to improve emergency protocols. This comparison shows the balance between flexibility and </w:t>
      </w:r>
      <w:r w:rsidR="009412BD" w:rsidRPr="00FF4D78">
        <w:rPr>
          <w:rFonts w:ascii="Arial" w:hAnsi="Arial" w:cs="Arial"/>
          <w:color w:val="auto"/>
          <w:sz w:val="22"/>
          <w:szCs w:val="22"/>
          <w:lang w:val="en-GB"/>
        </w:rPr>
        <w:t>fairness and</w:t>
      </w:r>
      <w:r w:rsidRPr="00FF4D78">
        <w:rPr>
          <w:rFonts w:ascii="Arial" w:hAnsi="Arial" w:cs="Arial"/>
          <w:color w:val="auto"/>
          <w:sz w:val="22"/>
          <w:szCs w:val="22"/>
          <w:lang w:val="en-GB"/>
        </w:rPr>
        <w:t xml:space="preserve"> suggests that combining strong central leadership with local flexibility is key to managing future health crises.</w:t>
      </w:r>
    </w:p>
    <w:p w14:paraId="54DFAF7E" w14:textId="77777777" w:rsidR="00D06F54" w:rsidRDefault="00D06F54" w:rsidP="00DD6E28">
      <w:pPr>
        <w:spacing w:line="360" w:lineRule="auto"/>
        <w:rPr>
          <w:lang w:eastAsia="en-US"/>
        </w:rPr>
      </w:pPr>
    </w:p>
    <w:p w14:paraId="071DADBC" w14:textId="77777777" w:rsidR="00D06F54" w:rsidRDefault="00D06F54" w:rsidP="00DD6E28">
      <w:pPr>
        <w:spacing w:line="360" w:lineRule="auto"/>
        <w:rPr>
          <w:lang w:eastAsia="en-US"/>
        </w:rPr>
      </w:pPr>
    </w:p>
    <w:p w14:paraId="19D05060" w14:textId="77777777" w:rsidR="00D06F54" w:rsidRDefault="00D06F54" w:rsidP="00DD6E28">
      <w:pPr>
        <w:spacing w:line="360" w:lineRule="auto"/>
        <w:rPr>
          <w:lang w:eastAsia="en-US"/>
        </w:rPr>
      </w:pPr>
    </w:p>
    <w:p w14:paraId="3A1EAD7F" w14:textId="77777777" w:rsidR="00D06F54" w:rsidRDefault="00D06F54" w:rsidP="00DD6E28">
      <w:pPr>
        <w:spacing w:line="360" w:lineRule="auto"/>
        <w:rPr>
          <w:lang w:eastAsia="en-US"/>
        </w:rPr>
      </w:pPr>
    </w:p>
    <w:p w14:paraId="09E252AE" w14:textId="77777777" w:rsidR="00D06F54" w:rsidRDefault="00D06F54" w:rsidP="00DD6E28">
      <w:pPr>
        <w:spacing w:line="360" w:lineRule="auto"/>
        <w:rPr>
          <w:lang w:eastAsia="en-US"/>
        </w:rPr>
      </w:pPr>
    </w:p>
    <w:p w14:paraId="414D9C91" w14:textId="77777777" w:rsidR="00D06F54" w:rsidRDefault="00D06F54" w:rsidP="00DD6E28">
      <w:pPr>
        <w:spacing w:line="360" w:lineRule="auto"/>
        <w:rPr>
          <w:lang w:eastAsia="en-US"/>
        </w:rPr>
      </w:pPr>
    </w:p>
    <w:p w14:paraId="0D9BC6F3" w14:textId="77777777" w:rsidR="00D06F54" w:rsidRDefault="00D06F54" w:rsidP="00DD6E28">
      <w:pPr>
        <w:spacing w:line="360" w:lineRule="auto"/>
        <w:rPr>
          <w:lang w:eastAsia="en-US"/>
        </w:rPr>
      </w:pPr>
    </w:p>
    <w:p w14:paraId="3119594B" w14:textId="77777777" w:rsidR="00D06F54" w:rsidRDefault="00D06F54" w:rsidP="00DD6E28">
      <w:pPr>
        <w:spacing w:line="360" w:lineRule="auto"/>
        <w:rPr>
          <w:lang w:eastAsia="en-US"/>
        </w:rPr>
      </w:pPr>
    </w:p>
    <w:p w14:paraId="3157B3D8" w14:textId="77777777" w:rsidR="00D06F54" w:rsidRDefault="00D06F54" w:rsidP="00DD6E28">
      <w:pPr>
        <w:spacing w:line="360" w:lineRule="auto"/>
        <w:rPr>
          <w:lang w:eastAsia="en-US"/>
        </w:rPr>
      </w:pPr>
    </w:p>
    <w:p w14:paraId="3BBBA128" w14:textId="77777777" w:rsidR="00D06F54" w:rsidRDefault="00D06F54" w:rsidP="00DD6E28">
      <w:pPr>
        <w:spacing w:line="360" w:lineRule="auto"/>
        <w:rPr>
          <w:lang w:eastAsia="en-US"/>
        </w:rPr>
      </w:pPr>
    </w:p>
    <w:p w14:paraId="4554F029" w14:textId="77777777" w:rsidR="00D06F54" w:rsidRDefault="00D06F54" w:rsidP="00DD6E28">
      <w:pPr>
        <w:spacing w:line="360" w:lineRule="auto"/>
        <w:rPr>
          <w:lang w:eastAsia="en-US"/>
        </w:rPr>
      </w:pPr>
    </w:p>
    <w:p w14:paraId="79D43ABF" w14:textId="77777777" w:rsidR="00D06F54" w:rsidRDefault="00D06F54" w:rsidP="00DD6E28">
      <w:pPr>
        <w:spacing w:line="360" w:lineRule="auto"/>
        <w:rPr>
          <w:lang w:eastAsia="en-US"/>
        </w:rPr>
      </w:pPr>
    </w:p>
    <w:p w14:paraId="438C1CD0" w14:textId="77777777" w:rsidR="00D06F54" w:rsidRDefault="00D06F54" w:rsidP="00DD6E28">
      <w:pPr>
        <w:spacing w:line="360" w:lineRule="auto"/>
        <w:rPr>
          <w:lang w:eastAsia="en-US"/>
        </w:rPr>
      </w:pPr>
    </w:p>
    <w:p w14:paraId="366AEF5B" w14:textId="77777777" w:rsidR="00FF4D78" w:rsidRDefault="00FF4D78" w:rsidP="00DD6E28">
      <w:pPr>
        <w:spacing w:line="360" w:lineRule="auto"/>
        <w:rPr>
          <w:lang w:val="en-US" w:eastAsia="en-US"/>
        </w:rPr>
      </w:pPr>
    </w:p>
    <w:p w14:paraId="2A756524" w14:textId="77777777" w:rsidR="00FF4D78" w:rsidRPr="00FF4D78" w:rsidRDefault="00FF4D78" w:rsidP="00DD6E28">
      <w:pPr>
        <w:spacing w:line="360" w:lineRule="auto"/>
        <w:rPr>
          <w:lang w:val="en-US" w:eastAsia="en-US"/>
        </w:rPr>
      </w:pPr>
    </w:p>
    <w:p w14:paraId="6458C4F5" w14:textId="5579C123" w:rsidR="002727C1" w:rsidRPr="0002590D" w:rsidRDefault="002727C1" w:rsidP="00DD6E28">
      <w:pPr>
        <w:spacing w:line="360" w:lineRule="auto"/>
      </w:pPr>
      <w:r w:rsidRPr="00070EC2">
        <w:rPr>
          <w:rFonts w:ascii="Arial" w:hAnsi="Arial" w:cs="Arial"/>
          <w:b/>
          <w:bCs/>
          <w:sz w:val="24"/>
          <w:szCs w:val="24"/>
        </w:rPr>
        <w:t>Introduction</w:t>
      </w:r>
    </w:p>
    <w:p w14:paraId="241F3120" w14:textId="4510E5B4" w:rsidR="00F63ABA" w:rsidRPr="00070EC2" w:rsidRDefault="002727C1" w:rsidP="00DD6E28">
      <w:pPr>
        <w:spacing w:line="360" w:lineRule="auto"/>
        <w:rPr>
          <w:rFonts w:ascii="Arial" w:hAnsi="Arial" w:cs="Arial"/>
        </w:rPr>
      </w:pPr>
      <w:r w:rsidRPr="002727C1">
        <w:rPr>
          <w:rFonts w:ascii="Arial" w:hAnsi="Arial" w:cs="Arial"/>
        </w:rPr>
        <w:t>COVID</w:t>
      </w:r>
      <w:r w:rsidRPr="002727C1">
        <w:rPr>
          <w:rFonts w:ascii="Arial" w:hAnsi="Arial" w:cs="Arial"/>
        </w:rPr>
        <w:noBreakHyphen/>
        <w:t>19, emerging in Wuhan in December 2019 and declared a global pandemic by the WHO in March 2020.</w:t>
      </w:r>
      <w:r w:rsidR="00F90222">
        <w:rPr>
          <w:rFonts w:ascii="Arial" w:hAnsi="Arial" w:cs="Arial"/>
        </w:rPr>
        <w:t xml:space="preserve"> </w:t>
      </w:r>
      <w:r w:rsidR="00B2087D" w:rsidRPr="00B2087D">
        <w:rPr>
          <w:rFonts w:ascii="Arial" w:hAnsi="Arial" w:cs="Arial"/>
        </w:rPr>
        <w:t>By mid-2022, COVID-19 had resulted in over 574 million confirmed cases and 6.3 million deaths worldwide (World Health Organization, 2022).</w:t>
      </w:r>
      <w:r w:rsidRPr="002727C1">
        <w:rPr>
          <w:rFonts w:ascii="Arial" w:hAnsi="Arial" w:cs="Arial"/>
        </w:rPr>
        <w:t xml:space="preserve"> The resulting disruption to healthcare, economies, and societies caused a 1.8-year drop in global life expectancy from 2019 to 2021, the sharpest recent decline, underscoring the urgent need for effective healthcare governance and crisis leadership (WHO, 2024). In response to such emergencies, healthcare governance typically follows two main approaches. </w:t>
      </w:r>
    </w:p>
    <w:p w14:paraId="1EEC3269" w14:textId="66569F03" w:rsidR="00F63ABA" w:rsidRPr="00070EC2" w:rsidRDefault="002727C1" w:rsidP="00DD6E28">
      <w:pPr>
        <w:spacing w:line="360" w:lineRule="auto"/>
        <w:rPr>
          <w:rFonts w:ascii="Arial" w:hAnsi="Arial" w:cs="Arial"/>
        </w:rPr>
      </w:pPr>
      <w:r w:rsidRPr="002727C1">
        <w:rPr>
          <w:rFonts w:ascii="Arial" w:hAnsi="Arial" w:cs="Arial"/>
        </w:rPr>
        <w:t>The first is centralisation, where decision-making and resources are concentrated at the national level, allowing for uniformity and rapid coordination but sometimes neglecting local needs. The second is decentralisation, which delegates authority to regional or local levels, increasing flexibility and accountability, though at the risk of fragmented responses (BMJ Global Health, 2023; American Hospital Association, 2025). Leadership also plays a critical role in shaping outcomes. Effective leaders foster collaboration, resilience, and public trust during uncertainty.</w:t>
      </w:r>
    </w:p>
    <w:p w14:paraId="5015F233" w14:textId="74F966DD" w:rsidR="00F63ABA" w:rsidRPr="00070EC2" w:rsidRDefault="002727C1" w:rsidP="00DD6E28">
      <w:pPr>
        <w:spacing w:line="360" w:lineRule="auto"/>
        <w:rPr>
          <w:rFonts w:ascii="Arial" w:hAnsi="Arial" w:cs="Arial"/>
        </w:rPr>
      </w:pPr>
      <w:r w:rsidRPr="002727C1">
        <w:rPr>
          <w:rFonts w:ascii="Arial" w:hAnsi="Arial" w:cs="Arial"/>
        </w:rPr>
        <w:t xml:space="preserve"> Leadership styles such as autocratic, democratic, and laissez-faire (Lewin et al., 1939), along with Theory X and Theory Y (McGregor, 1960), and the Tannenbaum &amp; Schmidt continuum, which illustrates leadership as a spectrum from directive to participative (Tannenbaum &amp; Schmidt, 1958). These frameworks provide the basis for </w:t>
      </w:r>
      <w:r w:rsidR="00F63ABA" w:rsidRPr="00070EC2">
        <w:rPr>
          <w:rFonts w:ascii="Arial" w:hAnsi="Arial" w:cs="Arial"/>
        </w:rPr>
        <w:t>analysing</w:t>
      </w:r>
      <w:r w:rsidRPr="002727C1">
        <w:rPr>
          <w:rFonts w:ascii="Arial" w:hAnsi="Arial" w:cs="Arial"/>
        </w:rPr>
        <w:t xml:space="preserve"> how leaders in Spain, South Korea, and Canada responded to the pandemic. </w:t>
      </w:r>
    </w:p>
    <w:p w14:paraId="317FCD8F" w14:textId="122C7F22" w:rsidR="002727C1" w:rsidRPr="00070EC2" w:rsidRDefault="002727C1" w:rsidP="00DD6E28">
      <w:pPr>
        <w:spacing w:line="360" w:lineRule="auto"/>
        <w:rPr>
          <w:rFonts w:ascii="Arial" w:hAnsi="Arial" w:cs="Arial"/>
        </w:rPr>
      </w:pPr>
      <w:r w:rsidRPr="002727C1">
        <w:rPr>
          <w:rFonts w:ascii="Arial" w:hAnsi="Arial" w:cs="Arial"/>
        </w:rPr>
        <w:t xml:space="preserve">This report examines the influence of centralised and decentralised governance structures, as well as various leadership styles, on healthcare responses to </w:t>
      </w:r>
      <w:r w:rsidR="00F63ABA" w:rsidRPr="00070EC2">
        <w:rPr>
          <w:rFonts w:ascii="Arial" w:hAnsi="Arial" w:cs="Arial"/>
        </w:rPr>
        <w:t>COVID-19</w:t>
      </w:r>
      <w:r w:rsidRPr="002727C1">
        <w:rPr>
          <w:rFonts w:ascii="Arial" w:hAnsi="Arial" w:cs="Arial"/>
        </w:rPr>
        <w:t xml:space="preserve"> in Spain, South Korea, and Canada. Specifically, it evaluates how these approaches affected crisis management, vaccination strategies, and health outcomes. By comparing these cases, the report draws lessons for developing resilient healthcare systems and effective leadership frameworks for future global health emergencies.</w:t>
      </w:r>
    </w:p>
    <w:p w14:paraId="7D66024D" w14:textId="77777777" w:rsidR="00F63ABA" w:rsidRPr="00070EC2" w:rsidRDefault="00F63ABA" w:rsidP="00DD6E28">
      <w:pPr>
        <w:spacing w:line="360" w:lineRule="auto"/>
        <w:rPr>
          <w:rFonts w:ascii="Arial" w:hAnsi="Arial" w:cs="Arial"/>
        </w:rPr>
      </w:pPr>
    </w:p>
    <w:p w14:paraId="5877AD5A" w14:textId="77777777" w:rsidR="0002590D" w:rsidRDefault="0002590D" w:rsidP="00DD6E28">
      <w:pPr>
        <w:spacing w:line="360" w:lineRule="auto"/>
        <w:rPr>
          <w:rFonts w:ascii="Arial" w:hAnsi="Arial" w:cs="Arial"/>
          <w:b/>
          <w:bCs/>
        </w:rPr>
      </w:pPr>
    </w:p>
    <w:p w14:paraId="40C1A575" w14:textId="77777777" w:rsidR="0002590D" w:rsidRDefault="0002590D" w:rsidP="00DD6E28">
      <w:pPr>
        <w:spacing w:line="360" w:lineRule="auto"/>
        <w:rPr>
          <w:rFonts w:ascii="Arial" w:hAnsi="Arial" w:cs="Arial"/>
          <w:b/>
          <w:bCs/>
        </w:rPr>
      </w:pPr>
    </w:p>
    <w:p w14:paraId="629F333A" w14:textId="77777777" w:rsidR="0002590D" w:rsidRDefault="0002590D" w:rsidP="00DD6E28">
      <w:pPr>
        <w:spacing w:line="360" w:lineRule="auto"/>
        <w:rPr>
          <w:rFonts w:ascii="Arial" w:hAnsi="Arial" w:cs="Arial"/>
          <w:b/>
          <w:bCs/>
        </w:rPr>
      </w:pPr>
    </w:p>
    <w:p w14:paraId="2BABAC38" w14:textId="77777777" w:rsidR="0002590D" w:rsidRDefault="0002590D" w:rsidP="00DD6E28">
      <w:pPr>
        <w:spacing w:line="360" w:lineRule="auto"/>
        <w:rPr>
          <w:rFonts w:ascii="Arial" w:hAnsi="Arial" w:cs="Arial"/>
          <w:b/>
          <w:bCs/>
        </w:rPr>
      </w:pPr>
    </w:p>
    <w:p w14:paraId="73BA1AC5" w14:textId="0A650F2B" w:rsidR="0002590D" w:rsidRDefault="00A45C81" w:rsidP="00DD6E28">
      <w:pPr>
        <w:spacing w:line="360" w:lineRule="auto"/>
        <w:rPr>
          <w:rFonts w:ascii="Arial" w:hAnsi="Arial" w:cs="Arial"/>
          <w:b/>
          <w:bCs/>
          <w:sz w:val="24"/>
          <w:szCs w:val="24"/>
        </w:rPr>
      </w:pPr>
      <w:r w:rsidRPr="00A45C81">
        <w:rPr>
          <w:rFonts w:ascii="Arial" w:hAnsi="Arial" w:cs="Arial"/>
          <w:b/>
          <w:bCs/>
          <w:sz w:val="24"/>
          <w:szCs w:val="24"/>
        </w:rPr>
        <w:t>Rich Picture</w:t>
      </w:r>
    </w:p>
    <w:p w14:paraId="38CE69BE" w14:textId="27D0425F" w:rsidR="0065486C" w:rsidRDefault="00BD0C92" w:rsidP="00DD6E28">
      <w:pPr>
        <w:spacing w:line="360" w:lineRule="auto"/>
        <w:rPr>
          <w:rFonts w:ascii="Arial" w:hAnsi="Arial" w:cs="Arial"/>
        </w:rPr>
      </w:pPr>
      <w:r w:rsidRPr="005830DD">
        <w:rPr>
          <w:rFonts w:ascii="Arial" w:hAnsi="Arial" w:cs="Arial"/>
        </w:rPr>
        <w:t xml:space="preserve">A rich </w:t>
      </w:r>
      <w:r w:rsidR="00BF2014" w:rsidRPr="005830DD">
        <w:rPr>
          <w:rFonts w:ascii="Arial" w:hAnsi="Arial" w:cs="Arial"/>
        </w:rPr>
        <w:t xml:space="preserve">picture is a diagram that </w:t>
      </w:r>
      <w:r w:rsidR="00F64FD7" w:rsidRPr="005830DD">
        <w:rPr>
          <w:rFonts w:ascii="Arial" w:hAnsi="Arial" w:cs="Arial"/>
        </w:rPr>
        <w:t xml:space="preserve">symbolises various </w:t>
      </w:r>
      <w:r w:rsidR="00A271ED" w:rsidRPr="005830DD">
        <w:rPr>
          <w:rFonts w:ascii="Arial" w:hAnsi="Arial" w:cs="Arial"/>
        </w:rPr>
        <w:t>components</w:t>
      </w:r>
      <w:r w:rsidR="00F64FD7" w:rsidRPr="005830DD">
        <w:rPr>
          <w:rFonts w:ascii="Arial" w:hAnsi="Arial" w:cs="Arial"/>
        </w:rPr>
        <w:t xml:space="preserve"> of a complex</w:t>
      </w:r>
      <w:r w:rsidR="00A271ED" w:rsidRPr="005830DD">
        <w:rPr>
          <w:rFonts w:ascii="Arial" w:hAnsi="Arial" w:cs="Arial"/>
        </w:rPr>
        <w:t xml:space="preserve"> situation or system highlighting </w:t>
      </w:r>
      <w:r w:rsidR="009513F0" w:rsidRPr="005830DD">
        <w:rPr>
          <w:rFonts w:ascii="Arial" w:hAnsi="Arial" w:cs="Arial"/>
        </w:rPr>
        <w:t xml:space="preserve">different elements. </w:t>
      </w:r>
      <w:proofErr w:type="gramStart"/>
      <w:r w:rsidR="009513F0" w:rsidRPr="005830DD">
        <w:rPr>
          <w:rFonts w:ascii="Arial" w:hAnsi="Arial" w:cs="Arial"/>
        </w:rPr>
        <w:t>So</w:t>
      </w:r>
      <w:proofErr w:type="gramEnd"/>
      <w:r w:rsidR="009513F0" w:rsidRPr="005830DD">
        <w:rPr>
          <w:rFonts w:ascii="Arial" w:hAnsi="Arial" w:cs="Arial"/>
        </w:rPr>
        <w:t xml:space="preserve"> I will be applying a rich picture </w:t>
      </w:r>
      <w:r w:rsidR="009B71DA" w:rsidRPr="005830DD">
        <w:rPr>
          <w:rFonts w:ascii="Arial" w:hAnsi="Arial" w:cs="Arial"/>
        </w:rPr>
        <w:t xml:space="preserve">for COVID-19 situation </w:t>
      </w:r>
      <w:r w:rsidR="00607FE4" w:rsidRPr="005830DD">
        <w:rPr>
          <w:rFonts w:ascii="Arial" w:hAnsi="Arial" w:cs="Arial"/>
        </w:rPr>
        <w:t>in Canada</w:t>
      </w:r>
      <w:r w:rsidR="009B71DA" w:rsidRPr="005830DD">
        <w:rPr>
          <w:rFonts w:ascii="Arial" w:hAnsi="Arial" w:cs="Arial"/>
        </w:rPr>
        <w:t xml:space="preserve">, Spain and </w:t>
      </w:r>
      <w:r w:rsidR="00607FE4" w:rsidRPr="005830DD">
        <w:rPr>
          <w:rFonts w:ascii="Arial" w:hAnsi="Arial" w:cs="Arial"/>
        </w:rPr>
        <w:t>S</w:t>
      </w:r>
      <w:r w:rsidR="009B71DA" w:rsidRPr="005830DD">
        <w:rPr>
          <w:rFonts w:ascii="Arial" w:hAnsi="Arial" w:cs="Arial"/>
        </w:rPr>
        <w:t xml:space="preserve">outh </w:t>
      </w:r>
      <w:r w:rsidR="00607FE4" w:rsidRPr="005830DD">
        <w:rPr>
          <w:rFonts w:ascii="Arial" w:hAnsi="Arial" w:cs="Arial"/>
        </w:rPr>
        <w:t xml:space="preserve">Korea. The rich picture </w:t>
      </w:r>
      <w:r w:rsidR="00741457" w:rsidRPr="005830DD">
        <w:rPr>
          <w:rFonts w:ascii="Arial" w:hAnsi="Arial" w:cs="Arial"/>
        </w:rPr>
        <w:t xml:space="preserve">will illustrate elements like health response, prime </w:t>
      </w:r>
      <w:r w:rsidR="009A163F" w:rsidRPr="005830DD">
        <w:rPr>
          <w:rFonts w:ascii="Arial" w:hAnsi="Arial" w:cs="Arial"/>
        </w:rPr>
        <w:t>minister</w:t>
      </w:r>
      <w:r w:rsidR="00741457" w:rsidRPr="005830DD">
        <w:rPr>
          <w:rFonts w:ascii="Arial" w:hAnsi="Arial" w:cs="Arial"/>
        </w:rPr>
        <w:t xml:space="preserve"> leadership styles and so forth. </w:t>
      </w:r>
      <w:r w:rsidR="003F456E" w:rsidRPr="005830DD">
        <w:rPr>
          <w:rFonts w:ascii="Arial" w:hAnsi="Arial" w:cs="Arial"/>
        </w:rPr>
        <w:t xml:space="preserve">The representation will allow the readers to get a better understanding </w:t>
      </w:r>
      <w:r w:rsidR="005830DD" w:rsidRPr="005830DD">
        <w:rPr>
          <w:rFonts w:ascii="Arial" w:hAnsi="Arial" w:cs="Arial"/>
        </w:rPr>
        <w:t>and analysis of differences and similarities across the three countries.</w:t>
      </w:r>
      <w:r w:rsidR="005830DD">
        <w:rPr>
          <w:rFonts w:ascii="Arial" w:hAnsi="Arial" w:cs="Arial"/>
        </w:rPr>
        <w:t xml:space="preserve"> </w:t>
      </w:r>
    </w:p>
    <w:p w14:paraId="39312CDA" w14:textId="77777777" w:rsidR="005830DD" w:rsidRDefault="005830DD" w:rsidP="00DD6E28">
      <w:pPr>
        <w:spacing w:line="360" w:lineRule="auto"/>
        <w:rPr>
          <w:rFonts w:ascii="Arial" w:hAnsi="Arial" w:cs="Arial"/>
        </w:rPr>
      </w:pPr>
    </w:p>
    <w:p w14:paraId="458F8664" w14:textId="4AC90963" w:rsidR="005830DD" w:rsidRDefault="00CF28D1" w:rsidP="00DD6E28">
      <w:pPr>
        <w:spacing w:line="360" w:lineRule="auto"/>
        <w:rPr>
          <w:rFonts w:ascii="Arial" w:hAnsi="Arial" w:cs="Arial"/>
        </w:rPr>
      </w:pPr>
      <w:r>
        <w:rPr>
          <w:rFonts w:ascii="Arial" w:hAnsi="Arial" w:cs="Arial"/>
          <w:noProof/>
        </w:rPr>
        <w:drawing>
          <wp:inline distT="0" distB="0" distL="0" distR="0" wp14:anchorId="1D7A0B0F" wp14:editId="47154A27">
            <wp:extent cx="5731510" cy="4016703"/>
            <wp:effectExtent l="0" t="0" r="2540" b="3175"/>
            <wp:docPr id="491670078" name="Picture 2" descr="A diagram of a coronavir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670078" name="Picture 2" descr="A diagram of a coronaviru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16703"/>
                    </a:xfrm>
                    <a:prstGeom prst="rect">
                      <a:avLst/>
                    </a:prstGeom>
                    <a:noFill/>
                  </pic:spPr>
                </pic:pic>
              </a:graphicData>
            </a:graphic>
          </wp:inline>
        </w:drawing>
      </w:r>
    </w:p>
    <w:p w14:paraId="3C81C30D" w14:textId="65BB01B9" w:rsidR="00A71F05" w:rsidRPr="002A15BE" w:rsidRDefault="00A71F05" w:rsidP="00A71F05">
      <w:pPr>
        <w:spacing w:line="360" w:lineRule="auto"/>
        <w:rPr>
          <w:rFonts w:ascii="Arial" w:hAnsi="Arial" w:cs="Arial"/>
        </w:rPr>
      </w:pPr>
      <w:r>
        <w:rPr>
          <w:rFonts w:ascii="Arial" w:hAnsi="Arial" w:cs="Arial"/>
        </w:rPr>
        <w:t xml:space="preserve">                                                                                                   </w:t>
      </w:r>
      <w:r w:rsidRPr="002A15BE">
        <w:rPr>
          <w:rFonts w:ascii="Arial" w:hAnsi="Arial" w:cs="Arial"/>
        </w:rPr>
        <w:t>(created on adobe photoshop)</w:t>
      </w:r>
    </w:p>
    <w:p w14:paraId="21D78B36" w14:textId="41B12A6D" w:rsidR="005830DD" w:rsidRDefault="005830DD" w:rsidP="00DD6E28">
      <w:pPr>
        <w:spacing w:line="360" w:lineRule="auto"/>
        <w:rPr>
          <w:rFonts w:ascii="Arial" w:hAnsi="Arial" w:cs="Arial"/>
        </w:rPr>
      </w:pPr>
    </w:p>
    <w:p w14:paraId="73A92936" w14:textId="77777777" w:rsidR="005830DD" w:rsidRDefault="005830DD" w:rsidP="00DD6E28">
      <w:pPr>
        <w:spacing w:line="360" w:lineRule="auto"/>
        <w:rPr>
          <w:rFonts w:ascii="Arial" w:hAnsi="Arial" w:cs="Arial"/>
        </w:rPr>
      </w:pPr>
    </w:p>
    <w:p w14:paraId="38B377CD" w14:textId="7B4DA2DF" w:rsidR="00EF1C38" w:rsidRDefault="00EF1C38" w:rsidP="00EF1C38">
      <w:pPr>
        <w:spacing w:line="360" w:lineRule="auto"/>
        <w:rPr>
          <w:rFonts w:ascii="Arial" w:hAnsi="Arial" w:cs="Arial"/>
          <w:b/>
          <w:bCs/>
        </w:rPr>
      </w:pPr>
    </w:p>
    <w:p w14:paraId="5B6DF73B" w14:textId="77777777" w:rsidR="00147FFB" w:rsidRPr="00EF1C38" w:rsidRDefault="00147FFB" w:rsidP="00EF1C38">
      <w:pPr>
        <w:spacing w:line="360" w:lineRule="auto"/>
        <w:rPr>
          <w:rFonts w:ascii="Arial" w:hAnsi="Arial" w:cs="Arial"/>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879"/>
        <w:gridCol w:w="66"/>
        <w:gridCol w:w="81"/>
      </w:tblGrid>
      <w:tr w:rsidR="00EF1C38" w:rsidRPr="00EF1C38" w14:paraId="1FD5F6D4" w14:textId="77777777" w:rsidTr="00224B23">
        <w:trPr>
          <w:tblHeader/>
          <w:tblCellSpacing w:w="15" w:type="dxa"/>
        </w:trPr>
        <w:tc>
          <w:tcPr>
            <w:tcW w:w="0" w:type="auto"/>
            <w:vAlign w:val="center"/>
          </w:tcPr>
          <w:p w14:paraId="63F2AA74" w14:textId="0E9B37A4" w:rsidR="00F20213" w:rsidRPr="00F20213" w:rsidRDefault="00F20213" w:rsidP="00F20213">
            <w:pPr>
              <w:spacing w:line="360" w:lineRule="auto"/>
              <w:rPr>
                <w:rFonts w:ascii="Arial" w:hAnsi="Arial" w:cs="Arial"/>
                <w:b/>
                <w:bCs/>
                <w:sz w:val="24"/>
                <w:szCs w:val="24"/>
                <w:lang w:val="en-US"/>
              </w:rPr>
            </w:pPr>
            <w:r w:rsidRPr="00187196">
              <w:rPr>
                <w:rFonts w:ascii="Arial" w:hAnsi="Arial" w:cs="Arial"/>
                <w:b/>
                <w:bCs/>
                <w:sz w:val="24"/>
                <w:szCs w:val="24"/>
                <w:lang w:val="en-US"/>
              </w:rPr>
              <w:lastRenderedPageBreak/>
              <w:t>South Ko</w:t>
            </w:r>
            <w:r w:rsidR="00642C7F" w:rsidRPr="00187196">
              <w:rPr>
                <w:rFonts w:ascii="Arial" w:hAnsi="Arial" w:cs="Arial"/>
                <w:b/>
                <w:bCs/>
                <w:sz w:val="24"/>
                <w:szCs w:val="24"/>
                <w:lang w:val="en-US"/>
              </w:rPr>
              <w:t>rea</w:t>
            </w:r>
          </w:p>
          <w:tbl>
            <w:tblPr>
              <w:tblStyle w:val="TableGrid"/>
              <w:tblW w:w="0" w:type="auto"/>
              <w:tblLook w:val="04A0" w:firstRow="1" w:lastRow="0" w:firstColumn="1" w:lastColumn="0" w:noHBand="0" w:noVBand="1"/>
            </w:tblPr>
            <w:tblGrid>
              <w:gridCol w:w="2876"/>
              <w:gridCol w:w="2948"/>
              <w:gridCol w:w="2970"/>
            </w:tblGrid>
            <w:tr w:rsidR="00F20213" w:rsidRPr="00F20213" w14:paraId="6C94A4D1" w14:textId="77777777">
              <w:tc>
                <w:tcPr>
                  <w:tcW w:w="3120" w:type="dxa"/>
                  <w:tcBorders>
                    <w:top w:val="single" w:sz="4" w:space="0" w:color="auto"/>
                    <w:left w:val="single" w:sz="4" w:space="0" w:color="auto"/>
                    <w:bottom w:val="single" w:sz="4" w:space="0" w:color="auto"/>
                    <w:right w:val="single" w:sz="4" w:space="0" w:color="auto"/>
                  </w:tcBorders>
                  <w:hideMark/>
                </w:tcPr>
                <w:p w14:paraId="6F82082B"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Arrow Color</w:t>
                  </w:r>
                </w:p>
              </w:tc>
              <w:tc>
                <w:tcPr>
                  <w:tcW w:w="3120" w:type="dxa"/>
                  <w:tcBorders>
                    <w:top w:val="single" w:sz="4" w:space="0" w:color="auto"/>
                    <w:left w:val="single" w:sz="4" w:space="0" w:color="auto"/>
                    <w:bottom w:val="single" w:sz="4" w:space="0" w:color="auto"/>
                    <w:right w:val="single" w:sz="4" w:space="0" w:color="auto"/>
                  </w:tcBorders>
                  <w:hideMark/>
                </w:tcPr>
                <w:p w14:paraId="6A804644"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Represents</w:t>
                  </w:r>
                </w:p>
              </w:tc>
              <w:tc>
                <w:tcPr>
                  <w:tcW w:w="3120" w:type="dxa"/>
                  <w:tcBorders>
                    <w:top w:val="single" w:sz="4" w:space="0" w:color="auto"/>
                    <w:left w:val="single" w:sz="4" w:space="0" w:color="auto"/>
                    <w:bottom w:val="single" w:sz="4" w:space="0" w:color="auto"/>
                    <w:right w:val="single" w:sz="4" w:space="0" w:color="auto"/>
                  </w:tcBorders>
                  <w:hideMark/>
                </w:tcPr>
                <w:p w14:paraId="5614873A"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Explanation</w:t>
                  </w:r>
                </w:p>
              </w:tc>
            </w:tr>
            <w:tr w:rsidR="00F20213" w:rsidRPr="00F20213" w14:paraId="2CE1453E" w14:textId="77777777" w:rsidTr="00F20213">
              <w:tc>
                <w:tcPr>
                  <w:tcW w:w="312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D83E395"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Blue</w:t>
                  </w:r>
                </w:p>
              </w:tc>
              <w:tc>
                <w:tcPr>
                  <w:tcW w:w="3120" w:type="dxa"/>
                  <w:tcBorders>
                    <w:top w:val="single" w:sz="4" w:space="0" w:color="auto"/>
                    <w:left w:val="single" w:sz="4" w:space="0" w:color="auto"/>
                    <w:bottom w:val="single" w:sz="4" w:space="0" w:color="auto"/>
                    <w:right w:val="single" w:sz="4" w:space="0" w:color="auto"/>
                  </w:tcBorders>
                  <w:hideMark/>
                </w:tcPr>
                <w:p w14:paraId="67BE9621"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Direct Impact / Response Measures</w:t>
                  </w:r>
                </w:p>
              </w:tc>
              <w:tc>
                <w:tcPr>
                  <w:tcW w:w="3120" w:type="dxa"/>
                  <w:tcBorders>
                    <w:top w:val="single" w:sz="4" w:space="0" w:color="auto"/>
                    <w:left w:val="single" w:sz="4" w:space="0" w:color="auto"/>
                    <w:bottom w:val="single" w:sz="4" w:space="0" w:color="auto"/>
                    <w:right w:val="single" w:sz="4" w:space="0" w:color="auto"/>
                  </w:tcBorders>
                  <w:hideMark/>
                </w:tcPr>
                <w:p w14:paraId="15926960"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Points from COVID-19 to areas of direct governmental and societal responses, such as extensive testing, healthcare capacity expansion, and leadership communication strategies.</w:t>
                  </w:r>
                </w:p>
              </w:tc>
            </w:tr>
            <w:tr w:rsidR="00F20213" w:rsidRPr="00F20213" w14:paraId="564605E1" w14:textId="77777777" w:rsidTr="00F20213">
              <w:tc>
                <w:tcPr>
                  <w:tcW w:w="312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92A2C4C"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Green</w:t>
                  </w:r>
                </w:p>
              </w:tc>
              <w:tc>
                <w:tcPr>
                  <w:tcW w:w="3120" w:type="dxa"/>
                  <w:tcBorders>
                    <w:top w:val="single" w:sz="4" w:space="0" w:color="auto"/>
                    <w:left w:val="single" w:sz="4" w:space="0" w:color="auto"/>
                    <w:bottom w:val="single" w:sz="4" w:space="0" w:color="auto"/>
                    <w:right w:val="single" w:sz="4" w:space="0" w:color="auto"/>
                  </w:tcBorders>
                  <w:hideMark/>
                </w:tcPr>
                <w:p w14:paraId="41F2321B"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Societal Behaviors / Economic Adaptations</w:t>
                  </w:r>
                </w:p>
              </w:tc>
              <w:tc>
                <w:tcPr>
                  <w:tcW w:w="3120" w:type="dxa"/>
                  <w:tcBorders>
                    <w:top w:val="single" w:sz="4" w:space="0" w:color="auto"/>
                    <w:left w:val="single" w:sz="4" w:space="0" w:color="auto"/>
                    <w:bottom w:val="single" w:sz="4" w:space="0" w:color="auto"/>
                    <w:right w:val="single" w:sz="4" w:space="0" w:color="auto"/>
                  </w:tcBorders>
                  <w:hideMark/>
                </w:tcPr>
                <w:p w14:paraId="03790F21"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Shows how the public and businesses adapted, including mask-wearing and economic shifts driven by policies and awareness campaigns.</w:t>
                  </w:r>
                </w:p>
              </w:tc>
            </w:tr>
            <w:tr w:rsidR="00F20213" w:rsidRPr="00F20213" w14:paraId="49F58557" w14:textId="77777777" w:rsidTr="00F20213">
              <w:tc>
                <w:tcPr>
                  <w:tcW w:w="312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75C7EF9"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Orange</w:t>
                  </w:r>
                </w:p>
              </w:tc>
              <w:tc>
                <w:tcPr>
                  <w:tcW w:w="3120" w:type="dxa"/>
                  <w:tcBorders>
                    <w:top w:val="single" w:sz="4" w:space="0" w:color="auto"/>
                    <w:left w:val="single" w:sz="4" w:space="0" w:color="auto"/>
                    <w:bottom w:val="single" w:sz="4" w:space="0" w:color="auto"/>
                    <w:right w:val="single" w:sz="4" w:space="0" w:color="auto"/>
                  </w:tcBorders>
                  <w:hideMark/>
                </w:tcPr>
                <w:p w14:paraId="1280086D"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Support Systems / Logistics</w:t>
                  </w:r>
                </w:p>
              </w:tc>
              <w:tc>
                <w:tcPr>
                  <w:tcW w:w="3120" w:type="dxa"/>
                  <w:tcBorders>
                    <w:top w:val="single" w:sz="4" w:space="0" w:color="auto"/>
                    <w:left w:val="single" w:sz="4" w:space="0" w:color="auto"/>
                    <w:bottom w:val="single" w:sz="4" w:space="0" w:color="auto"/>
                    <w:right w:val="single" w:sz="4" w:space="0" w:color="auto"/>
                  </w:tcBorders>
                  <w:hideMark/>
                </w:tcPr>
                <w:p w14:paraId="54CFFBA3"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Highlights logistical and support elements like relief efforts (ambulance services) and South Korea’s supply chain capabilities (represented by the ship).</w:t>
                  </w:r>
                </w:p>
              </w:tc>
            </w:tr>
            <w:tr w:rsidR="00F20213" w:rsidRPr="00F20213" w14:paraId="2527D146" w14:textId="77777777" w:rsidTr="00F20213">
              <w:tc>
                <w:tcPr>
                  <w:tcW w:w="312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B092E5F"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Red</w:t>
                  </w:r>
                </w:p>
              </w:tc>
              <w:tc>
                <w:tcPr>
                  <w:tcW w:w="3120" w:type="dxa"/>
                  <w:tcBorders>
                    <w:top w:val="single" w:sz="4" w:space="0" w:color="auto"/>
                    <w:left w:val="single" w:sz="4" w:space="0" w:color="auto"/>
                    <w:bottom w:val="single" w:sz="4" w:space="0" w:color="auto"/>
                    <w:right w:val="single" w:sz="4" w:space="0" w:color="auto"/>
                  </w:tcBorders>
                  <w:hideMark/>
                </w:tcPr>
                <w:p w14:paraId="5A44F58F"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Adverse Outcomes / Specific Initiatives</w:t>
                  </w:r>
                </w:p>
              </w:tc>
              <w:tc>
                <w:tcPr>
                  <w:tcW w:w="3120" w:type="dxa"/>
                  <w:tcBorders>
                    <w:top w:val="single" w:sz="4" w:space="0" w:color="auto"/>
                    <w:left w:val="single" w:sz="4" w:space="0" w:color="auto"/>
                    <w:bottom w:val="single" w:sz="4" w:space="0" w:color="auto"/>
                    <w:right w:val="single" w:sz="4" w:space="0" w:color="auto"/>
                  </w:tcBorders>
                  <w:hideMark/>
                </w:tcPr>
                <w:p w14:paraId="228D6351"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Indicates negative consequences (e.g., disproportionate impact) or focused initiatives like mass vaccination efforts.</w:t>
                  </w:r>
                </w:p>
              </w:tc>
            </w:tr>
            <w:tr w:rsidR="00F20213" w:rsidRPr="00F20213" w14:paraId="7C5134E4" w14:textId="77777777" w:rsidTr="00F20213">
              <w:tc>
                <w:tcPr>
                  <w:tcW w:w="3120" w:type="dxa"/>
                  <w:tcBorders>
                    <w:top w:val="single" w:sz="4" w:space="0" w:color="auto"/>
                    <w:left w:val="single" w:sz="4" w:space="0" w:color="auto"/>
                    <w:bottom w:val="single" w:sz="4" w:space="0" w:color="auto"/>
                    <w:right w:val="single" w:sz="4" w:space="0" w:color="auto"/>
                  </w:tcBorders>
                  <w:hideMark/>
                </w:tcPr>
                <w:p w14:paraId="039442C6"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Yellow</w:t>
                  </w:r>
                </w:p>
              </w:tc>
              <w:tc>
                <w:tcPr>
                  <w:tcW w:w="3120" w:type="dxa"/>
                  <w:tcBorders>
                    <w:top w:val="single" w:sz="4" w:space="0" w:color="auto"/>
                    <w:left w:val="single" w:sz="4" w:space="0" w:color="auto"/>
                    <w:bottom w:val="single" w:sz="4" w:space="0" w:color="auto"/>
                    <w:right w:val="single" w:sz="4" w:space="0" w:color="auto"/>
                  </w:tcBorders>
                  <w:hideMark/>
                </w:tcPr>
                <w:p w14:paraId="69D25F53"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Public Engagement / Preventative Actions</w:t>
                  </w:r>
                </w:p>
              </w:tc>
              <w:tc>
                <w:tcPr>
                  <w:tcW w:w="3120" w:type="dxa"/>
                  <w:tcBorders>
                    <w:top w:val="single" w:sz="4" w:space="0" w:color="auto"/>
                    <w:left w:val="single" w:sz="4" w:space="0" w:color="auto"/>
                    <w:bottom w:val="single" w:sz="4" w:space="0" w:color="auto"/>
                    <w:right w:val="single" w:sz="4" w:space="0" w:color="auto"/>
                  </w:tcBorders>
                  <w:hideMark/>
                </w:tcPr>
                <w:p w14:paraId="469FD23C"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Represents the public’s active role in prevention, such as mask-wearing, which was key to mitigating spread.</w:t>
                  </w:r>
                </w:p>
              </w:tc>
            </w:tr>
            <w:tr w:rsidR="00F20213" w:rsidRPr="00F20213" w14:paraId="26B7F97F" w14:textId="77777777" w:rsidTr="00F20213">
              <w:tc>
                <w:tcPr>
                  <w:tcW w:w="3120" w:type="dxa"/>
                  <w:tcBorders>
                    <w:top w:val="single" w:sz="4" w:space="0" w:color="auto"/>
                    <w:left w:val="single" w:sz="4" w:space="0" w:color="auto"/>
                    <w:bottom w:val="single" w:sz="4" w:space="0" w:color="auto"/>
                    <w:right w:val="single" w:sz="4" w:space="0" w:color="auto"/>
                  </w:tcBorders>
                  <w:hideMark/>
                </w:tcPr>
                <w:p w14:paraId="5266FAA6"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lastRenderedPageBreak/>
                    <w:t>Brown</w:t>
                  </w:r>
                </w:p>
              </w:tc>
              <w:tc>
                <w:tcPr>
                  <w:tcW w:w="3120" w:type="dxa"/>
                  <w:tcBorders>
                    <w:top w:val="single" w:sz="4" w:space="0" w:color="auto"/>
                    <w:left w:val="single" w:sz="4" w:space="0" w:color="auto"/>
                    <w:bottom w:val="single" w:sz="4" w:space="0" w:color="auto"/>
                    <w:right w:val="single" w:sz="4" w:space="0" w:color="auto"/>
                  </w:tcBorders>
                  <w:hideMark/>
                </w:tcPr>
                <w:p w14:paraId="53AA9AD4"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Governmental Structure / Coordination</w:t>
                  </w:r>
                </w:p>
              </w:tc>
              <w:tc>
                <w:tcPr>
                  <w:tcW w:w="3120" w:type="dxa"/>
                  <w:tcBorders>
                    <w:top w:val="single" w:sz="4" w:space="0" w:color="auto"/>
                    <w:left w:val="single" w:sz="4" w:space="0" w:color="auto"/>
                    <w:bottom w:val="single" w:sz="4" w:space="0" w:color="auto"/>
                    <w:right w:val="single" w:sz="4" w:space="0" w:color="auto"/>
                  </w:tcBorders>
                  <w:hideMark/>
                </w:tcPr>
                <w:p w14:paraId="53029FC4" w14:textId="77777777" w:rsidR="00F20213" w:rsidRPr="00F20213" w:rsidRDefault="00F20213" w:rsidP="00F20213">
                  <w:pPr>
                    <w:spacing w:after="160" w:line="360" w:lineRule="auto"/>
                    <w:rPr>
                      <w:rFonts w:ascii="Arial" w:hAnsi="Arial" w:cs="Arial"/>
                      <w:lang w:val="en-US"/>
                    </w:rPr>
                  </w:pPr>
                  <w:r w:rsidRPr="00F20213">
                    <w:rPr>
                      <w:rFonts w:ascii="Arial" w:hAnsi="Arial" w:cs="Arial"/>
                      <w:lang w:val="en-US"/>
                    </w:rPr>
                    <w:t>Points to the role of different governmental levels and their coordination in managing the pandemic.</w:t>
                  </w:r>
                </w:p>
              </w:tc>
            </w:tr>
          </w:tbl>
          <w:p w14:paraId="7AEB4810" w14:textId="77777777" w:rsidR="00F20213" w:rsidRPr="00F20213" w:rsidRDefault="00F20213" w:rsidP="00F20213">
            <w:pPr>
              <w:spacing w:line="360" w:lineRule="auto"/>
              <w:rPr>
                <w:rFonts w:ascii="Arial" w:hAnsi="Arial" w:cs="Arial"/>
                <w:lang w:val="en-US"/>
              </w:rPr>
            </w:pPr>
          </w:p>
          <w:p w14:paraId="5807BEC6" w14:textId="67CB99D6" w:rsidR="00EF1C38" w:rsidRPr="00EF1C38" w:rsidRDefault="00EF1C38" w:rsidP="00EF1C38">
            <w:pPr>
              <w:spacing w:line="360" w:lineRule="auto"/>
              <w:rPr>
                <w:rFonts w:ascii="Arial" w:hAnsi="Arial" w:cs="Arial"/>
                <w:lang w:val="en-US"/>
              </w:rPr>
            </w:pPr>
          </w:p>
        </w:tc>
        <w:tc>
          <w:tcPr>
            <w:tcW w:w="0" w:type="auto"/>
            <w:vAlign w:val="center"/>
          </w:tcPr>
          <w:p w14:paraId="3C2EA0D3" w14:textId="183FEF4A" w:rsidR="00EF1C38" w:rsidRPr="00EF1C38" w:rsidRDefault="00EF1C38" w:rsidP="00EF1C38">
            <w:pPr>
              <w:spacing w:line="360" w:lineRule="auto"/>
              <w:rPr>
                <w:rFonts w:ascii="Arial" w:hAnsi="Arial" w:cs="Arial"/>
                <w:b/>
                <w:bCs/>
              </w:rPr>
            </w:pPr>
          </w:p>
        </w:tc>
        <w:tc>
          <w:tcPr>
            <w:tcW w:w="0" w:type="auto"/>
            <w:vAlign w:val="center"/>
          </w:tcPr>
          <w:p w14:paraId="63DC91E5" w14:textId="3EC149FB" w:rsidR="00EF1C38" w:rsidRPr="00EF1C38" w:rsidRDefault="00EF1C38" w:rsidP="00EF1C38">
            <w:pPr>
              <w:spacing w:line="360" w:lineRule="auto"/>
              <w:rPr>
                <w:rFonts w:ascii="Arial" w:hAnsi="Arial" w:cs="Arial"/>
                <w:b/>
                <w:bCs/>
              </w:rPr>
            </w:pPr>
          </w:p>
        </w:tc>
      </w:tr>
      <w:tr w:rsidR="00EF1C38" w:rsidRPr="00EF1C38" w14:paraId="110EA9E4" w14:textId="77777777" w:rsidTr="00224B23">
        <w:trPr>
          <w:tblCellSpacing w:w="15" w:type="dxa"/>
        </w:trPr>
        <w:tc>
          <w:tcPr>
            <w:tcW w:w="0" w:type="auto"/>
            <w:vAlign w:val="center"/>
          </w:tcPr>
          <w:p w14:paraId="6E6AE76C" w14:textId="57E874DE" w:rsidR="00EF1C38" w:rsidRPr="00EF1C38" w:rsidRDefault="00EF1C38" w:rsidP="00EF1C38">
            <w:pPr>
              <w:spacing w:line="360" w:lineRule="auto"/>
              <w:rPr>
                <w:rFonts w:ascii="Arial" w:hAnsi="Arial" w:cs="Arial"/>
              </w:rPr>
            </w:pPr>
          </w:p>
        </w:tc>
        <w:tc>
          <w:tcPr>
            <w:tcW w:w="0" w:type="auto"/>
            <w:vAlign w:val="center"/>
          </w:tcPr>
          <w:p w14:paraId="163D1438" w14:textId="1C969540" w:rsidR="00EF1C38" w:rsidRPr="00EF1C38" w:rsidRDefault="00EF1C38" w:rsidP="00EF1C38">
            <w:pPr>
              <w:spacing w:line="360" w:lineRule="auto"/>
              <w:rPr>
                <w:rFonts w:ascii="Arial" w:hAnsi="Arial" w:cs="Arial"/>
              </w:rPr>
            </w:pPr>
          </w:p>
        </w:tc>
        <w:tc>
          <w:tcPr>
            <w:tcW w:w="0" w:type="auto"/>
            <w:vAlign w:val="center"/>
          </w:tcPr>
          <w:p w14:paraId="403D7718" w14:textId="08D98A2D" w:rsidR="00EF1C38" w:rsidRPr="00EF1C38" w:rsidRDefault="00EF1C38" w:rsidP="00EF1C38">
            <w:pPr>
              <w:spacing w:line="360" w:lineRule="auto"/>
              <w:rPr>
                <w:rFonts w:ascii="Arial" w:hAnsi="Arial" w:cs="Arial"/>
              </w:rPr>
            </w:pPr>
          </w:p>
        </w:tc>
      </w:tr>
      <w:tr w:rsidR="00EF1C38" w:rsidRPr="00EF1C38" w14:paraId="11BB505E" w14:textId="77777777" w:rsidTr="00224B23">
        <w:trPr>
          <w:tblCellSpacing w:w="15" w:type="dxa"/>
        </w:trPr>
        <w:tc>
          <w:tcPr>
            <w:tcW w:w="0" w:type="auto"/>
            <w:vAlign w:val="center"/>
          </w:tcPr>
          <w:p w14:paraId="7A983EF4" w14:textId="368CDEF9" w:rsidR="00EF1C38" w:rsidRPr="00EF1C38" w:rsidRDefault="00EF1C38" w:rsidP="00EF1C38">
            <w:pPr>
              <w:spacing w:line="360" w:lineRule="auto"/>
              <w:rPr>
                <w:rFonts w:ascii="Arial" w:hAnsi="Arial" w:cs="Arial"/>
              </w:rPr>
            </w:pPr>
          </w:p>
        </w:tc>
        <w:tc>
          <w:tcPr>
            <w:tcW w:w="0" w:type="auto"/>
            <w:vAlign w:val="center"/>
          </w:tcPr>
          <w:p w14:paraId="3DB42082" w14:textId="022DEA94" w:rsidR="00EF1C38" w:rsidRPr="00EF1C38" w:rsidRDefault="00EF1C38" w:rsidP="00EF1C38">
            <w:pPr>
              <w:spacing w:line="360" w:lineRule="auto"/>
              <w:rPr>
                <w:rFonts w:ascii="Arial" w:hAnsi="Arial" w:cs="Arial"/>
              </w:rPr>
            </w:pPr>
          </w:p>
        </w:tc>
        <w:tc>
          <w:tcPr>
            <w:tcW w:w="0" w:type="auto"/>
            <w:vAlign w:val="center"/>
          </w:tcPr>
          <w:p w14:paraId="424FFD75" w14:textId="0BD84078" w:rsidR="00EF1C38" w:rsidRPr="00EF1C38" w:rsidRDefault="00EF1C38" w:rsidP="00EF1C38">
            <w:pPr>
              <w:spacing w:line="360" w:lineRule="auto"/>
              <w:rPr>
                <w:rFonts w:ascii="Arial" w:hAnsi="Arial" w:cs="Arial"/>
              </w:rPr>
            </w:pPr>
          </w:p>
        </w:tc>
      </w:tr>
      <w:tr w:rsidR="00EF1C38" w:rsidRPr="00EF1C38" w14:paraId="08A59745" w14:textId="77777777" w:rsidTr="00224B23">
        <w:trPr>
          <w:tblCellSpacing w:w="15" w:type="dxa"/>
        </w:trPr>
        <w:tc>
          <w:tcPr>
            <w:tcW w:w="0" w:type="auto"/>
            <w:vAlign w:val="center"/>
          </w:tcPr>
          <w:p w14:paraId="5A06D7F9" w14:textId="7404B88C" w:rsidR="00EF1C38" w:rsidRPr="00EF1C38" w:rsidRDefault="00EF1C38" w:rsidP="00EF1C38">
            <w:pPr>
              <w:spacing w:line="360" w:lineRule="auto"/>
              <w:rPr>
                <w:rFonts w:ascii="Arial" w:hAnsi="Arial" w:cs="Arial"/>
              </w:rPr>
            </w:pPr>
          </w:p>
        </w:tc>
        <w:tc>
          <w:tcPr>
            <w:tcW w:w="0" w:type="auto"/>
            <w:vAlign w:val="center"/>
          </w:tcPr>
          <w:p w14:paraId="539863A4" w14:textId="61CC41C9" w:rsidR="00EF1C38" w:rsidRPr="00EF1C38" w:rsidRDefault="00EF1C38" w:rsidP="00EF1C38">
            <w:pPr>
              <w:spacing w:line="360" w:lineRule="auto"/>
              <w:rPr>
                <w:rFonts w:ascii="Arial" w:hAnsi="Arial" w:cs="Arial"/>
              </w:rPr>
            </w:pPr>
          </w:p>
        </w:tc>
        <w:tc>
          <w:tcPr>
            <w:tcW w:w="0" w:type="auto"/>
            <w:vAlign w:val="center"/>
          </w:tcPr>
          <w:p w14:paraId="183371E8" w14:textId="5552BA91" w:rsidR="00EF1C38" w:rsidRPr="00EF1C38" w:rsidRDefault="00EF1C38" w:rsidP="00EF1C38">
            <w:pPr>
              <w:spacing w:line="360" w:lineRule="auto"/>
              <w:rPr>
                <w:rFonts w:ascii="Arial" w:hAnsi="Arial" w:cs="Arial"/>
              </w:rPr>
            </w:pPr>
          </w:p>
        </w:tc>
      </w:tr>
      <w:tr w:rsidR="00EF1C38" w:rsidRPr="00EF1C38" w14:paraId="564F8B39" w14:textId="77777777" w:rsidTr="00224B23">
        <w:trPr>
          <w:tblCellSpacing w:w="15" w:type="dxa"/>
        </w:trPr>
        <w:tc>
          <w:tcPr>
            <w:tcW w:w="0" w:type="auto"/>
            <w:vAlign w:val="center"/>
          </w:tcPr>
          <w:p w14:paraId="53A8D834" w14:textId="7AB3F6B8" w:rsidR="00EF1C38" w:rsidRPr="00EF1C38" w:rsidRDefault="00EF1C38" w:rsidP="00EF1C38">
            <w:pPr>
              <w:spacing w:line="360" w:lineRule="auto"/>
              <w:rPr>
                <w:rFonts w:ascii="Arial" w:hAnsi="Arial" w:cs="Arial"/>
              </w:rPr>
            </w:pPr>
          </w:p>
        </w:tc>
        <w:tc>
          <w:tcPr>
            <w:tcW w:w="0" w:type="auto"/>
            <w:vAlign w:val="center"/>
          </w:tcPr>
          <w:p w14:paraId="0F7B2E31" w14:textId="5C8F260F" w:rsidR="00EF1C38" w:rsidRPr="00EF1C38" w:rsidRDefault="00EF1C38" w:rsidP="00EF1C38">
            <w:pPr>
              <w:spacing w:line="360" w:lineRule="auto"/>
              <w:rPr>
                <w:rFonts w:ascii="Arial" w:hAnsi="Arial" w:cs="Arial"/>
              </w:rPr>
            </w:pPr>
          </w:p>
        </w:tc>
        <w:tc>
          <w:tcPr>
            <w:tcW w:w="0" w:type="auto"/>
            <w:vAlign w:val="center"/>
          </w:tcPr>
          <w:p w14:paraId="03A7C57A" w14:textId="7428CEB7" w:rsidR="00EF1C38" w:rsidRPr="00EF1C38" w:rsidRDefault="00EF1C38" w:rsidP="00EF1C38">
            <w:pPr>
              <w:spacing w:line="360" w:lineRule="auto"/>
              <w:rPr>
                <w:rFonts w:ascii="Arial" w:hAnsi="Arial" w:cs="Arial"/>
              </w:rPr>
            </w:pPr>
          </w:p>
        </w:tc>
      </w:tr>
      <w:tr w:rsidR="00EF1C38" w:rsidRPr="00EF1C38" w14:paraId="2D3AAA7F" w14:textId="77777777" w:rsidTr="00224B23">
        <w:trPr>
          <w:tblCellSpacing w:w="15" w:type="dxa"/>
        </w:trPr>
        <w:tc>
          <w:tcPr>
            <w:tcW w:w="0" w:type="auto"/>
            <w:vAlign w:val="center"/>
          </w:tcPr>
          <w:p w14:paraId="449CE27F" w14:textId="09C919D2" w:rsidR="00EF1C38" w:rsidRPr="00EF1C38" w:rsidRDefault="00EF1C38" w:rsidP="00EF1C38">
            <w:pPr>
              <w:spacing w:line="360" w:lineRule="auto"/>
              <w:rPr>
                <w:rFonts w:ascii="Arial" w:hAnsi="Arial" w:cs="Arial"/>
              </w:rPr>
            </w:pPr>
          </w:p>
        </w:tc>
        <w:tc>
          <w:tcPr>
            <w:tcW w:w="0" w:type="auto"/>
            <w:vAlign w:val="center"/>
          </w:tcPr>
          <w:p w14:paraId="51AA0557" w14:textId="3DB5FD74" w:rsidR="00EF1C38" w:rsidRPr="00EF1C38" w:rsidRDefault="00EF1C38" w:rsidP="00EF1C38">
            <w:pPr>
              <w:spacing w:line="360" w:lineRule="auto"/>
              <w:rPr>
                <w:rFonts w:ascii="Arial" w:hAnsi="Arial" w:cs="Arial"/>
              </w:rPr>
            </w:pPr>
          </w:p>
        </w:tc>
        <w:tc>
          <w:tcPr>
            <w:tcW w:w="0" w:type="auto"/>
            <w:vAlign w:val="center"/>
          </w:tcPr>
          <w:p w14:paraId="029BC755" w14:textId="650CF8E9" w:rsidR="00EF1C38" w:rsidRPr="00EF1C38" w:rsidRDefault="00EF1C38" w:rsidP="00EF1C38">
            <w:pPr>
              <w:spacing w:line="360" w:lineRule="auto"/>
              <w:rPr>
                <w:rFonts w:ascii="Arial" w:hAnsi="Arial" w:cs="Arial"/>
              </w:rPr>
            </w:pPr>
          </w:p>
        </w:tc>
      </w:tr>
      <w:tr w:rsidR="00EF1C38" w:rsidRPr="00EF1C38" w14:paraId="3A9C9367" w14:textId="77777777" w:rsidTr="00224B23">
        <w:trPr>
          <w:tblCellSpacing w:w="15" w:type="dxa"/>
        </w:trPr>
        <w:tc>
          <w:tcPr>
            <w:tcW w:w="0" w:type="auto"/>
            <w:vAlign w:val="center"/>
          </w:tcPr>
          <w:p w14:paraId="3EABA0D5" w14:textId="7F755E4A" w:rsidR="00EF1C38" w:rsidRPr="00EF1C38" w:rsidRDefault="00EF1C38" w:rsidP="00EF1C38">
            <w:pPr>
              <w:spacing w:line="360" w:lineRule="auto"/>
              <w:rPr>
                <w:rFonts w:ascii="Arial" w:hAnsi="Arial" w:cs="Arial"/>
              </w:rPr>
            </w:pPr>
          </w:p>
        </w:tc>
        <w:tc>
          <w:tcPr>
            <w:tcW w:w="0" w:type="auto"/>
            <w:vAlign w:val="center"/>
          </w:tcPr>
          <w:p w14:paraId="5945DBED" w14:textId="5459433D" w:rsidR="00EF1C38" w:rsidRPr="00EF1C38" w:rsidRDefault="00EF1C38" w:rsidP="00EF1C38">
            <w:pPr>
              <w:spacing w:line="360" w:lineRule="auto"/>
              <w:rPr>
                <w:rFonts w:ascii="Arial" w:hAnsi="Arial" w:cs="Arial"/>
              </w:rPr>
            </w:pPr>
          </w:p>
        </w:tc>
        <w:tc>
          <w:tcPr>
            <w:tcW w:w="0" w:type="auto"/>
            <w:vAlign w:val="center"/>
          </w:tcPr>
          <w:p w14:paraId="6812F70D" w14:textId="02F03621" w:rsidR="00EF1C38" w:rsidRPr="00EF1C38" w:rsidRDefault="00EF1C38" w:rsidP="00EF1C38">
            <w:pPr>
              <w:spacing w:line="360" w:lineRule="auto"/>
              <w:rPr>
                <w:rFonts w:ascii="Arial" w:hAnsi="Arial" w:cs="Arial"/>
              </w:rPr>
            </w:pPr>
          </w:p>
        </w:tc>
      </w:tr>
    </w:tbl>
    <w:p w14:paraId="23CF9C8E" w14:textId="3F970A03" w:rsidR="00EF1C38" w:rsidRPr="00EF1C38" w:rsidRDefault="00EF1C38" w:rsidP="00EF1C38">
      <w:pPr>
        <w:spacing w:line="360" w:lineRule="auto"/>
        <w:rPr>
          <w:rFonts w:ascii="Arial" w:hAnsi="Arial" w:cs="Arial"/>
        </w:rPr>
      </w:pPr>
    </w:p>
    <w:p w14:paraId="5C02A54B" w14:textId="77777777" w:rsidR="005830DD" w:rsidRDefault="005830DD" w:rsidP="00DD6E28">
      <w:pPr>
        <w:spacing w:line="360" w:lineRule="auto"/>
        <w:rPr>
          <w:rFonts w:ascii="Arial" w:hAnsi="Arial" w:cs="Arial"/>
        </w:rPr>
      </w:pPr>
    </w:p>
    <w:p w14:paraId="57FBADAA" w14:textId="77777777" w:rsidR="005830DD" w:rsidRDefault="005830DD" w:rsidP="00DD6E28">
      <w:pPr>
        <w:spacing w:line="360" w:lineRule="auto"/>
        <w:rPr>
          <w:rFonts w:ascii="Arial" w:hAnsi="Arial" w:cs="Arial"/>
        </w:rPr>
      </w:pPr>
    </w:p>
    <w:p w14:paraId="21731BB3" w14:textId="3BDC6D30" w:rsidR="005830DD" w:rsidRDefault="005830DD" w:rsidP="00DD6E28">
      <w:pPr>
        <w:spacing w:line="360" w:lineRule="auto"/>
        <w:rPr>
          <w:rFonts w:ascii="Arial" w:hAnsi="Arial" w:cs="Arial"/>
        </w:rPr>
      </w:pPr>
    </w:p>
    <w:p w14:paraId="3E2CD3CE" w14:textId="77777777" w:rsidR="005830DD" w:rsidRDefault="005830DD" w:rsidP="00DD6E28">
      <w:pPr>
        <w:spacing w:line="360" w:lineRule="auto"/>
        <w:rPr>
          <w:rFonts w:ascii="Arial" w:hAnsi="Arial" w:cs="Arial"/>
        </w:rPr>
      </w:pPr>
    </w:p>
    <w:p w14:paraId="4D6E003A" w14:textId="77777777" w:rsidR="005830DD" w:rsidRDefault="005830DD" w:rsidP="00DD6E28">
      <w:pPr>
        <w:spacing w:line="360" w:lineRule="auto"/>
        <w:rPr>
          <w:rFonts w:ascii="Arial" w:hAnsi="Arial" w:cs="Arial"/>
        </w:rPr>
      </w:pPr>
    </w:p>
    <w:p w14:paraId="255E6402" w14:textId="77777777" w:rsidR="005830DD" w:rsidRDefault="005830DD" w:rsidP="00DD6E28">
      <w:pPr>
        <w:spacing w:line="360" w:lineRule="auto"/>
        <w:rPr>
          <w:rFonts w:ascii="Arial" w:hAnsi="Arial" w:cs="Arial"/>
        </w:rPr>
      </w:pPr>
    </w:p>
    <w:p w14:paraId="03DA313C" w14:textId="77777777" w:rsidR="005830DD" w:rsidRDefault="005830DD" w:rsidP="00DD6E28">
      <w:pPr>
        <w:spacing w:line="360" w:lineRule="auto"/>
        <w:rPr>
          <w:rFonts w:ascii="Arial" w:hAnsi="Arial" w:cs="Arial"/>
        </w:rPr>
      </w:pPr>
    </w:p>
    <w:p w14:paraId="53D92AD4" w14:textId="77777777" w:rsidR="005830DD" w:rsidRDefault="005830DD" w:rsidP="00DD6E28">
      <w:pPr>
        <w:spacing w:line="360" w:lineRule="auto"/>
        <w:rPr>
          <w:rFonts w:ascii="Arial" w:hAnsi="Arial" w:cs="Arial"/>
        </w:rPr>
      </w:pPr>
    </w:p>
    <w:p w14:paraId="198EC0E8" w14:textId="77777777" w:rsidR="005830DD" w:rsidRDefault="005830DD" w:rsidP="00DD6E28">
      <w:pPr>
        <w:spacing w:line="360" w:lineRule="auto"/>
        <w:rPr>
          <w:rFonts w:ascii="Arial" w:hAnsi="Arial" w:cs="Arial"/>
        </w:rPr>
      </w:pPr>
    </w:p>
    <w:p w14:paraId="4A8EE25D" w14:textId="77777777" w:rsidR="00DB1D84" w:rsidRDefault="00B56AFE" w:rsidP="00DD6E28">
      <w:pPr>
        <w:spacing w:line="360" w:lineRule="auto"/>
        <w:rPr>
          <w:rFonts w:ascii="Arial" w:hAnsi="Arial" w:cs="Arial"/>
        </w:rPr>
      </w:pPr>
      <w:r>
        <w:rPr>
          <w:rFonts w:ascii="Arial" w:hAnsi="Arial" w:cs="Arial"/>
          <w:noProof/>
        </w:rPr>
        <w:lastRenderedPageBreak/>
        <w:drawing>
          <wp:inline distT="0" distB="0" distL="0" distR="0" wp14:anchorId="6FDA114E" wp14:editId="5B0AD549">
            <wp:extent cx="4576445" cy="3499992"/>
            <wp:effectExtent l="0" t="0" r="0" b="5715"/>
            <wp:docPr id="9436736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04687" cy="3521591"/>
                    </a:xfrm>
                    <a:prstGeom prst="rect">
                      <a:avLst/>
                    </a:prstGeom>
                    <a:noFill/>
                  </pic:spPr>
                </pic:pic>
              </a:graphicData>
            </a:graphic>
          </wp:inline>
        </w:drawing>
      </w:r>
    </w:p>
    <w:p w14:paraId="4B8B9844" w14:textId="4366660C" w:rsidR="002A15BE" w:rsidRPr="002A15BE" w:rsidRDefault="002A15BE" w:rsidP="002A15BE">
      <w:pPr>
        <w:spacing w:line="360" w:lineRule="auto"/>
        <w:rPr>
          <w:rFonts w:ascii="Arial" w:hAnsi="Arial" w:cs="Arial"/>
        </w:rPr>
      </w:pPr>
      <w:r>
        <w:rPr>
          <w:rFonts w:ascii="Arial" w:hAnsi="Arial" w:cs="Arial"/>
        </w:rPr>
        <w:t xml:space="preserve">                                                                      </w:t>
      </w:r>
      <w:r w:rsidRPr="002A15BE">
        <w:rPr>
          <w:rFonts w:ascii="Arial" w:hAnsi="Arial" w:cs="Arial"/>
        </w:rPr>
        <w:t>(created on adobe photoshop)</w:t>
      </w:r>
    </w:p>
    <w:p w14:paraId="30E49096" w14:textId="77777777" w:rsidR="002A15BE" w:rsidRDefault="002A15BE" w:rsidP="00DD6E28">
      <w:pPr>
        <w:spacing w:line="360" w:lineRule="auto"/>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DB1D84" w14:paraId="229561F9" w14:textId="77777777" w:rsidTr="00DB1D84">
        <w:tc>
          <w:tcPr>
            <w:tcW w:w="3005" w:type="dxa"/>
          </w:tcPr>
          <w:p w14:paraId="572DF289" w14:textId="3751025D" w:rsidR="00DB1D84" w:rsidRDefault="00416721" w:rsidP="00DD6E28">
            <w:pPr>
              <w:spacing w:line="360" w:lineRule="auto"/>
              <w:rPr>
                <w:rFonts w:ascii="Arial" w:hAnsi="Arial" w:cs="Arial"/>
              </w:rPr>
            </w:pPr>
            <w:r>
              <w:rPr>
                <w:rFonts w:ascii="Arial" w:hAnsi="Arial" w:cs="Arial"/>
              </w:rPr>
              <w:t>Arrow Colour</w:t>
            </w:r>
          </w:p>
        </w:tc>
        <w:tc>
          <w:tcPr>
            <w:tcW w:w="3005" w:type="dxa"/>
          </w:tcPr>
          <w:p w14:paraId="18BE52BB" w14:textId="6BE04E71" w:rsidR="00DB1D84" w:rsidRDefault="00416721" w:rsidP="00DD6E28">
            <w:pPr>
              <w:spacing w:line="360" w:lineRule="auto"/>
              <w:rPr>
                <w:rFonts w:ascii="Arial" w:hAnsi="Arial" w:cs="Arial"/>
              </w:rPr>
            </w:pPr>
            <w:r>
              <w:rPr>
                <w:rFonts w:ascii="Arial" w:hAnsi="Arial" w:cs="Arial"/>
              </w:rPr>
              <w:t>Represents</w:t>
            </w:r>
          </w:p>
        </w:tc>
        <w:tc>
          <w:tcPr>
            <w:tcW w:w="3006" w:type="dxa"/>
          </w:tcPr>
          <w:p w14:paraId="5878850E" w14:textId="11BAE700" w:rsidR="00DB1D84" w:rsidRDefault="00416721" w:rsidP="00DD6E28">
            <w:pPr>
              <w:spacing w:line="360" w:lineRule="auto"/>
              <w:rPr>
                <w:rFonts w:ascii="Arial" w:hAnsi="Arial" w:cs="Arial"/>
              </w:rPr>
            </w:pPr>
            <w:r>
              <w:rPr>
                <w:rFonts w:ascii="Arial" w:hAnsi="Arial" w:cs="Arial"/>
              </w:rPr>
              <w:t>Explanation</w:t>
            </w:r>
          </w:p>
        </w:tc>
      </w:tr>
      <w:tr w:rsidR="00DB1D84" w14:paraId="78967926" w14:textId="77777777" w:rsidTr="00DB1D84">
        <w:tc>
          <w:tcPr>
            <w:tcW w:w="3005" w:type="dxa"/>
          </w:tcPr>
          <w:p w14:paraId="57DC58E9" w14:textId="66731F59" w:rsidR="00416721" w:rsidRDefault="00416721" w:rsidP="00DD6E28">
            <w:pPr>
              <w:spacing w:line="360" w:lineRule="auto"/>
              <w:rPr>
                <w:rFonts w:ascii="Arial" w:hAnsi="Arial" w:cs="Arial"/>
              </w:rPr>
            </w:pPr>
            <w:r>
              <w:rPr>
                <w:rFonts w:ascii="Arial" w:hAnsi="Arial" w:cs="Arial"/>
              </w:rPr>
              <w:t>Blue</w:t>
            </w:r>
          </w:p>
        </w:tc>
        <w:tc>
          <w:tcPr>
            <w:tcW w:w="3005" w:type="dxa"/>
          </w:tcPr>
          <w:p w14:paraId="20BE4FCE" w14:textId="77777777" w:rsidR="008E4A79" w:rsidRPr="008E4A79" w:rsidRDefault="008E4A79" w:rsidP="008E4A79">
            <w:pPr>
              <w:spacing w:line="360" w:lineRule="auto"/>
              <w:rPr>
                <w:rFonts w:ascii="Arial" w:hAnsi="Arial" w:cs="Arial"/>
              </w:rPr>
            </w:pPr>
            <w:r w:rsidRPr="008E4A79">
              <w:rPr>
                <w:rFonts w:ascii="Arial" w:hAnsi="Arial" w:cs="Arial"/>
              </w:rPr>
              <w:t>Direct Control &amp; Economic Support</w:t>
            </w:r>
          </w:p>
          <w:p w14:paraId="3B4BB91D" w14:textId="77777777" w:rsidR="00DB1D84" w:rsidRDefault="00DB1D84" w:rsidP="00DD6E28">
            <w:pPr>
              <w:spacing w:line="360" w:lineRule="auto"/>
              <w:rPr>
                <w:rFonts w:ascii="Arial" w:hAnsi="Arial" w:cs="Arial"/>
              </w:rPr>
            </w:pPr>
          </w:p>
        </w:tc>
        <w:tc>
          <w:tcPr>
            <w:tcW w:w="3006" w:type="dxa"/>
          </w:tcPr>
          <w:p w14:paraId="243DECD4" w14:textId="77777777" w:rsidR="00A80754" w:rsidRPr="00A80754" w:rsidRDefault="00A80754" w:rsidP="00A80754">
            <w:pPr>
              <w:spacing w:line="360" w:lineRule="auto"/>
              <w:rPr>
                <w:rFonts w:ascii="Arial" w:hAnsi="Arial" w:cs="Arial"/>
              </w:rPr>
            </w:pPr>
            <w:r w:rsidRPr="00A80754">
              <w:rPr>
                <w:rFonts w:ascii="Arial" w:hAnsi="Arial" w:cs="Arial"/>
              </w:rPr>
              <w:t>These arrows point to the central government's direct measures under the State of Alarm, including strict lockdowns, and key economic support schemes like the ERTE (temporary employment regulation file) to prevent mass layoffs.</w:t>
            </w:r>
          </w:p>
          <w:p w14:paraId="63095889" w14:textId="77777777" w:rsidR="00DB1D84" w:rsidRDefault="00DB1D84" w:rsidP="00DD6E28">
            <w:pPr>
              <w:spacing w:line="360" w:lineRule="auto"/>
              <w:rPr>
                <w:rFonts w:ascii="Arial" w:hAnsi="Arial" w:cs="Arial"/>
              </w:rPr>
            </w:pPr>
          </w:p>
        </w:tc>
      </w:tr>
      <w:tr w:rsidR="00DB1D84" w14:paraId="0769D34C" w14:textId="77777777" w:rsidTr="00DB1D84">
        <w:tc>
          <w:tcPr>
            <w:tcW w:w="3005" w:type="dxa"/>
          </w:tcPr>
          <w:p w14:paraId="3FB2B0E6" w14:textId="7AF20238" w:rsidR="00DB1D84" w:rsidRDefault="00416721" w:rsidP="00DD6E28">
            <w:pPr>
              <w:spacing w:line="360" w:lineRule="auto"/>
              <w:rPr>
                <w:rFonts w:ascii="Arial" w:hAnsi="Arial" w:cs="Arial"/>
              </w:rPr>
            </w:pPr>
            <w:r>
              <w:rPr>
                <w:rFonts w:ascii="Arial" w:hAnsi="Arial" w:cs="Arial"/>
              </w:rPr>
              <w:t>Red</w:t>
            </w:r>
          </w:p>
        </w:tc>
        <w:tc>
          <w:tcPr>
            <w:tcW w:w="3005" w:type="dxa"/>
          </w:tcPr>
          <w:p w14:paraId="73342905" w14:textId="77777777" w:rsidR="00737BA1" w:rsidRDefault="00737BA1" w:rsidP="00737BA1">
            <w:pPr>
              <w:pStyle w:val="NormalWeb"/>
              <w:rPr>
                <w:rFonts w:ascii="Segoe UI" w:hAnsi="Segoe UI" w:cs="Segoe UI"/>
                <w:color w:val="242424"/>
                <w:sz w:val="23"/>
                <w:szCs w:val="23"/>
              </w:rPr>
            </w:pPr>
            <w:r>
              <w:rPr>
                <w:rFonts w:ascii="Segoe UI" w:hAnsi="Segoe UI" w:cs="Segoe UI"/>
                <w:color w:val="242424"/>
                <w:sz w:val="23"/>
                <w:szCs w:val="23"/>
              </w:rPr>
              <w:br/>
              <w:t>Critical Timeline Events</w:t>
            </w:r>
          </w:p>
          <w:p w14:paraId="45393867" w14:textId="77777777" w:rsidR="00DB1D84" w:rsidRDefault="00DB1D84" w:rsidP="00DD6E28">
            <w:pPr>
              <w:spacing w:line="360" w:lineRule="auto"/>
              <w:rPr>
                <w:rFonts w:ascii="Arial" w:hAnsi="Arial" w:cs="Arial"/>
              </w:rPr>
            </w:pPr>
          </w:p>
        </w:tc>
        <w:tc>
          <w:tcPr>
            <w:tcW w:w="3006" w:type="dxa"/>
          </w:tcPr>
          <w:p w14:paraId="62523332" w14:textId="66D0DA44" w:rsidR="00325301" w:rsidRPr="00325301" w:rsidRDefault="00325301" w:rsidP="00325301">
            <w:pPr>
              <w:spacing w:line="360" w:lineRule="auto"/>
              <w:rPr>
                <w:rFonts w:ascii="Arial" w:hAnsi="Arial" w:cs="Arial"/>
              </w:rPr>
            </w:pPr>
            <w:r w:rsidRPr="00325301">
              <w:rPr>
                <w:rFonts w:ascii="Arial" w:hAnsi="Arial" w:cs="Arial"/>
              </w:rPr>
              <w:t>This arrow indicates the start of the Vaccination Efforts in late December 2020, a critical point that marked the transition from pure containment to widespread immuni</w:t>
            </w:r>
            <w:r>
              <w:rPr>
                <w:rFonts w:ascii="Arial" w:hAnsi="Arial" w:cs="Arial"/>
              </w:rPr>
              <w:t>s</w:t>
            </w:r>
            <w:r w:rsidRPr="00325301">
              <w:rPr>
                <w:rFonts w:ascii="Arial" w:hAnsi="Arial" w:cs="Arial"/>
              </w:rPr>
              <w:t>ation.</w:t>
            </w:r>
          </w:p>
          <w:p w14:paraId="3F35A0E2" w14:textId="77777777" w:rsidR="00DB1D84" w:rsidRDefault="00DB1D84" w:rsidP="00DD6E28">
            <w:pPr>
              <w:spacing w:line="360" w:lineRule="auto"/>
              <w:rPr>
                <w:rFonts w:ascii="Arial" w:hAnsi="Arial" w:cs="Arial"/>
              </w:rPr>
            </w:pPr>
          </w:p>
        </w:tc>
      </w:tr>
      <w:tr w:rsidR="00DB1D84" w14:paraId="374B7F94" w14:textId="77777777" w:rsidTr="00DB1D84">
        <w:tc>
          <w:tcPr>
            <w:tcW w:w="3005" w:type="dxa"/>
          </w:tcPr>
          <w:p w14:paraId="01DBD23F" w14:textId="2C6BBC1C" w:rsidR="00DB1D84" w:rsidRDefault="00416721" w:rsidP="00DD6E28">
            <w:pPr>
              <w:spacing w:line="360" w:lineRule="auto"/>
              <w:rPr>
                <w:rFonts w:ascii="Arial" w:hAnsi="Arial" w:cs="Arial"/>
              </w:rPr>
            </w:pPr>
            <w:r>
              <w:rPr>
                <w:rFonts w:ascii="Arial" w:hAnsi="Arial" w:cs="Arial"/>
              </w:rPr>
              <w:lastRenderedPageBreak/>
              <w:t>Yellow</w:t>
            </w:r>
          </w:p>
        </w:tc>
        <w:tc>
          <w:tcPr>
            <w:tcW w:w="3005" w:type="dxa"/>
          </w:tcPr>
          <w:p w14:paraId="4C38FD95" w14:textId="77777777" w:rsidR="00A80754" w:rsidRPr="00A80754" w:rsidRDefault="00A80754" w:rsidP="00A80754">
            <w:pPr>
              <w:spacing w:line="360" w:lineRule="auto"/>
              <w:rPr>
                <w:rFonts w:ascii="Arial" w:hAnsi="Arial" w:cs="Arial"/>
              </w:rPr>
            </w:pPr>
            <w:r w:rsidRPr="00A80754">
              <w:rPr>
                <w:rFonts w:ascii="Arial" w:hAnsi="Arial" w:cs="Arial"/>
              </w:rPr>
              <w:t>Government Structure Tension</w:t>
            </w:r>
          </w:p>
          <w:p w14:paraId="691D60E0" w14:textId="77777777" w:rsidR="00DB1D84" w:rsidRDefault="00DB1D84" w:rsidP="00DD6E28">
            <w:pPr>
              <w:spacing w:line="360" w:lineRule="auto"/>
              <w:rPr>
                <w:rFonts w:ascii="Arial" w:hAnsi="Arial" w:cs="Arial"/>
              </w:rPr>
            </w:pPr>
          </w:p>
        </w:tc>
        <w:tc>
          <w:tcPr>
            <w:tcW w:w="3006" w:type="dxa"/>
          </w:tcPr>
          <w:p w14:paraId="6BAE6CD2" w14:textId="5EB10F23" w:rsidR="00325301" w:rsidRPr="00325301" w:rsidRDefault="00325301" w:rsidP="00325301">
            <w:pPr>
              <w:spacing w:line="360" w:lineRule="auto"/>
              <w:rPr>
                <w:rFonts w:ascii="Arial" w:hAnsi="Arial" w:cs="Arial"/>
              </w:rPr>
            </w:pPr>
            <w:r w:rsidRPr="00325301">
              <w:rPr>
                <w:rFonts w:ascii="Arial" w:hAnsi="Arial" w:cs="Arial"/>
              </w:rPr>
              <w:t>This highlights the inherent tension between the centralized decision-making (Prime Minister) during the State of Alarm and the operation of the highly decentrali</w:t>
            </w:r>
            <w:r>
              <w:rPr>
                <w:rFonts w:ascii="Arial" w:hAnsi="Arial" w:cs="Arial"/>
              </w:rPr>
              <w:t>s</w:t>
            </w:r>
            <w:r w:rsidRPr="00325301">
              <w:rPr>
                <w:rFonts w:ascii="Arial" w:hAnsi="Arial" w:cs="Arial"/>
              </w:rPr>
              <w:t>ed regional health systems (Autonomous Communities).</w:t>
            </w:r>
          </w:p>
          <w:p w14:paraId="271A4EBD" w14:textId="77777777" w:rsidR="00DB1D84" w:rsidRDefault="00DB1D84" w:rsidP="00DD6E28">
            <w:pPr>
              <w:spacing w:line="360" w:lineRule="auto"/>
              <w:rPr>
                <w:rFonts w:ascii="Arial" w:hAnsi="Arial" w:cs="Arial"/>
              </w:rPr>
            </w:pPr>
          </w:p>
        </w:tc>
      </w:tr>
      <w:tr w:rsidR="00DB1D84" w14:paraId="33FA89CF" w14:textId="77777777" w:rsidTr="00DB1D84">
        <w:tc>
          <w:tcPr>
            <w:tcW w:w="3005" w:type="dxa"/>
          </w:tcPr>
          <w:p w14:paraId="666A1F37" w14:textId="62408EC1" w:rsidR="00DB1D84" w:rsidRDefault="00416721" w:rsidP="00DD6E28">
            <w:pPr>
              <w:spacing w:line="360" w:lineRule="auto"/>
              <w:rPr>
                <w:rFonts w:ascii="Arial" w:hAnsi="Arial" w:cs="Arial"/>
              </w:rPr>
            </w:pPr>
            <w:r>
              <w:rPr>
                <w:rFonts w:ascii="Arial" w:hAnsi="Arial" w:cs="Arial"/>
              </w:rPr>
              <w:t>Green</w:t>
            </w:r>
          </w:p>
        </w:tc>
        <w:tc>
          <w:tcPr>
            <w:tcW w:w="3005" w:type="dxa"/>
          </w:tcPr>
          <w:p w14:paraId="5BDEB102" w14:textId="77777777" w:rsidR="00737BA1" w:rsidRDefault="00737BA1" w:rsidP="00737BA1">
            <w:pPr>
              <w:pStyle w:val="NormalWeb"/>
              <w:rPr>
                <w:rFonts w:ascii="Segoe UI" w:hAnsi="Segoe UI" w:cs="Segoe UI"/>
                <w:color w:val="242424"/>
                <w:sz w:val="23"/>
                <w:szCs w:val="23"/>
              </w:rPr>
            </w:pPr>
            <w:r>
              <w:rPr>
                <w:rFonts w:ascii="Segoe UI" w:hAnsi="Segoe UI" w:cs="Segoe UI"/>
                <w:color w:val="242424"/>
                <w:sz w:val="23"/>
                <w:szCs w:val="23"/>
              </w:rPr>
              <w:br/>
              <w:t>Societal &amp; Regional Pressure</w:t>
            </w:r>
          </w:p>
          <w:p w14:paraId="103C61A4" w14:textId="77777777" w:rsidR="00DB1D84" w:rsidRDefault="00DB1D84" w:rsidP="00DD6E28">
            <w:pPr>
              <w:spacing w:line="360" w:lineRule="auto"/>
              <w:rPr>
                <w:rFonts w:ascii="Arial" w:hAnsi="Arial" w:cs="Arial"/>
              </w:rPr>
            </w:pPr>
          </w:p>
        </w:tc>
        <w:tc>
          <w:tcPr>
            <w:tcW w:w="3006" w:type="dxa"/>
          </w:tcPr>
          <w:p w14:paraId="72A01190" w14:textId="77777777" w:rsidR="00DF604C" w:rsidRPr="00DF604C" w:rsidRDefault="00DF604C" w:rsidP="00DF604C">
            <w:pPr>
              <w:spacing w:line="360" w:lineRule="auto"/>
              <w:rPr>
                <w:rFonts w:ascii="Arial" w:hAnsi="Arial" w:cs="Arial"/>
              </w:rPr>
            </w:pPr>
            <w:r w:rsidRPr="00DF604C">
              <w:rPr>
                <w:rFonts w:ascii="Arial" w:hAnsi="Arial" w:cs="Arial"/>
              </w:rPr>
              <w:t>This arrow highlights the immense pressure placed on the regional healthcare systems, which are responsible for day-to-day care, and the necessity of public adherence to the national lockdown measures.</w:t>
            </w:r>
          </w:p>
          <w:p w14:paraId="777A9030" w14:textId="77777777" w:rsidR="00DB1D84" w:rsidRDefault="00DB1D84" w:rsidP="00DD6E28">
            <w:pPr>
              <w:spacing w:line="360" w:lineRule="auto"/>
              <w:rPr>
                <w:rFonts w:ascii="Arial" w:hAnsi="Arial" w:cs="Arial"/>
              </w:rPr>
            </w:pPr>
          </w:p>
        </w:tc>
      </w:tr>
      <w:tr w:rsidR="00DB1D84" w14:paraId="12FCD4E3" w14:textId="77777777" w:rsidTr="00DB1D84">
        <w:tc>
          <w:tcPr>
            <w:tcW w:w="3005" w:type="dxa"/>
          </w:tcPr>
          <w:p w14:paraId="2D859428" w14:textId="467D062D" w:rsidR="00DB1D84" w:rsidRDefault="008E4A79" w:rsidP="00DD6E28">
            <w:pPr>
              <w:spacing w:line="360" w:lineRule="auto"/>
              <w:rPr>
                <w:rFonts w:ascii="Arial" w:hAnsi="Arial" w:cs="Arial"/>
              </w:rPr>
            </w:pPr>
            <w:r>
              <w:rPr>
                <w:rFonts w:ascii="Arial" w:hAnsi="Arial" w:cs="Arial"/>
              </w:rPr>
              <w:t>Orange</w:t>
            </w:r>
          </w:p>
        </w:tc>
        <w:tc>
          <w:tcPr>
            <w:tcW w:w="3005" w:type="dxa"/>
          </w:tcPr>
          <w:p w14:paraId="5B4ABA08" w14:textId="77777777" w:rsidR="00737BA1" w:rsidRPr="00737BA1" w:rsidRDefault="00737BA1" w:rsidP="00737BA1">
            <w:pPr>
              <w:spacing w:line="360" w:lineRule="auto"/>
              <w:rPr>
                <w:rFonts w:ascii="Arial" w:hAnsi="Arial" w:cs="Arial"/>
              </w:rPr>
            </w:pPr>
            <w:r w:rsidRPr="00737BA1">
              <w:rPr>
                <w:rFonts w:ascii="Arial" w:hAnsi="Arial" w:cs="Arial"/>
              </w:rPr>
              <w:t>Vulnerability &amp; High Impact</w:t>
            </w:r>
          </w:p>
          <w:p w14:paraId="789180B8" w14:textId="77777777" w:rsidR="00DB1D84" w:rsidRDefault="00DB1D84" w:rsidP="00DD6E28">
            <w:pPr>
              <w:spacing w:line="360" w:lineRule="auto"/>
              <w:rPr>
                <w:rFonts w:ascii="Arial" w:hAnsi="Arial" w:cs="Arial"/>
              </w:rPr>
            </w:pPr>
          </w:p>
        </w:tc>
        <w:tc>
          <w:tcPr>
            <w:tcW w:w="3006" w:type="dxa"/>
          </w:tcPr>
          <w:p w14:paraId="3279E82A" w14:textId="77777777" w:rsidR="00DF604C" w:rsidRPr="00DF604C" w:rsidRDefault="00DF604C" w:rsidP="00DF604C">
            <w:pPr>
              <w:spacing w:line="360" w:lineRule="auto"/>
              <w:rPr>
                <w:rFonts w:ascii="Arial" w:hAnsi="Arial" w:cs="Arial"/>
              </w:rPr>
            </w:pPr>
            <w:r w:rsidRPr="00DF604C">
              <w:rPr>
                <w:rFonts w:ascii="Arial" w:hAnsi="Arial" w:cs="Arial"/>
              </w:rPr>
              <w:t>This arrow points to the sectors and populations that were most severely affected, such as the elderly (disproportionate impact) and the heavily tourism-dependent economy, leading to the sharp GDP contraction.</w:t>
            </w:r>
          </w:p>
          <w:p w14:paraId="010409E9" w14:textId="77777777" w:rsidR="00DB1D84" w:rsidRDefault="00DB1D84" w:rsidP="00DD6E28">
            <w:pPr>
              <w:spacing w:line="360" w:lineRule="auto"/>
              <w:rPr>
                <w:rFonts w:ascii="Arial" w:hAnsi="Arial" w:cs="Arial"/>
              </w:rPr>
            </w:pPr>
          </w:p>
        </w:tc>
      </w:tr>
    </w:tbl>
    <w:p w14:paraId="3C375B87" w14:textId="5F89F528" w:rsidR="005830DD" w:rsidRDefault="005830DD" w:rsidP="00DD6E28">
      <w:pPr>
        <w:spacing w:line="360" w:lineRule="auto"/>
        <w:rPr>
          <w:rFonts w:ascii="Arial" w:hAnsi="Arial" w:cs="Arial"/>
        </w:rPr>
      </w:pPr>
    </w:p>
    <w:p w14:paraId="69B3A810" w14:textId="77777777" w:rsidR="005830DD" w:rsidRDefault="005830DD" w:rsidP="00DD6E28">
      <w:pPr>
        <w:spacing w:line="360" w:lineRule="auto"/>
        <w:rPr>
          <w:rFonts w:ascii="Arial" w:hAnsi="Arial" w:cs="Arial"/>
        </w:rPr>
      </w:pPr>
    </w:p>
    <w:p w14:paraId="323C5CFD" w14:textId="77777777" w:rsidR="005830DD" w:rsidRDefault="005830DD" w:rsidP="00DD6E28">
      <w:pPr>
        <w:spacing w:line="360" w:lineRule="auto"/>
        <w:rPr>
          <w:rFonts w:ascii="Arial" w:hAnsi="Arial" w:cs="Arial"/>
        </w:rPr>
      </w:pPr>
    </w:p>
    <w:p w14:paraId="2847882B" w14:textId="77777777" w:rsidR="005830DD" w:rsidRDefault="005830DD" w:rsidP="00DD6E28">
      <w:pPr>
        <w:spacing w:line="360" w:lineRule="auto"/>
        <w:rPr>
          <w:rFonts w:ascii="Arial" w:hAnsi="Arial" w:cs="Arial"/>
        </w:rPr>
      </w:pPr>
    </w:p>
    <w:p w14:paraId="34141BB7" w14:textId="77777777" w:rsidR="005830DD" w:rsidRPr="005830DD" w:rsidRDefault="005830DD" w:rsidP="00DD6E28">
      <w:pPr>
        <w:spacing w:line="360" w:lineRule="auto"/>
        <w:rPr>
          <w:rFonts w:ascii="Arial" w:hAnsi="Arial" w:cs="Arial"/>
          <w:b/>
          <w:bCs/>
        </w:rPr>
      </w:pPr>
    </w:p>
    <w:p w14:paraId="3F398564" w14:textId="77777777" w:rsidR="00A45C81" w:rsidRPr="00A45C81" w:rsidRDefault="00A45C81" w:rsidP="00DD6E28">
      <w:pPr>
        <w:spacing w:line="360" w:lineRule="auto"/>
        <w:rPr>
          <w:rFonts w:ascii="Arial" w:hAnsi="Arial" w:cs="Arial"/>
          <w:b/>
          <w:bCs/>
          <w:sz w:val="24"/>
          <w:szCs w:val="24"/>
        </w:rPr>
      </w:pPr>
    </w:p>
    <w:p w14:paraId="6D6DE15C" w14:textId="326B1EEE" w:rsidR="00A45C81" w:rsidRDefault="0000708A" w:rsidP="00DD6E28">
      <w:pPr>
        <w:spacing w:line="360" w:lineRule="auto"/>
        <w:rPr>
          <w:rFonts w:ascii="Arial" w:hAnsi="Arial" w:cs="Arial"/>
          <w:b/>
          <w:bCs/>
        </w:rPr>
      </w:pPr>
      <w:r>
        <w:rPr>
          <w:rFonts w:ascii="Arial" w:hAnsi="Arial" w:cs="Arial"/>
          <w:b/>
          <w:bCs/>
          <w:noProof/>
        </w:rPr>
        <w:drawing>
          <wp:inline distT="0" distB="0" distL="0" distR="0" wp14:anchorId="47635F2F" wp14:editId="4A9DE85C">
            <wp:extent cx="5622290" cy="3594295"/>
            <wp:effectExtent l="0" t="0" r="0" b="6350"/>
            <wp:docPr id="6832053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a:extLst>
                        <a:ext uri="{28A0092B-C50C-407E-A947-70E740481C1C}">
                          <a14:useLocalDpi xmlns:a14="http://schemas.microsoft.com/office/drawing/2010/main" val="0"/>
                        </a:ext>
                      </a:extLst>
                    </a:blip>
                    <a:srcRect b="18231"/>
                    <a:stretch>
                      <a:fillRect/>
                    </a:stretch>
                  </pic:blipFill>
                  <pic:spPr bwMode="auto">
                    <a:xfrm>
                      <a:off x="0" y="0"/>
                      <a:ext cx="5663199" cy="3620448"/>
                    </a:xfrm>
                    <a:prstGeom prst="rect">
                      <a:avLst/>
                    </a:prstGeom>
                    <a:noFill/>
                    <a:ln>
                      <a:noFill/>
                    </a:ln>
                    <a:extLst>
                      <a:ext uri="{53640926-AAD7-44D8-BBD7-CCE9431645EC}">
                        <a14:shadowObscured xmlns:a14="http://schemas.microsoft.com/office/drawing/2010/main"/>
                      </a:ext>
                    </a:extLst>
                  </pic:spPr>
                </pic:pic>
              </a:graphicData>
            </a:graphic>
          </wp:inline>
        </w:drawing>
      </w:r>
    </w:p>
    <w:p w14:paraId="1C07CC13" w14:textId="5595E836" w:rsidR="00D16266" w:rsidRPr="002A15BE" w:rsidRDefault="00D16266" w:rsidP="00DD6E28">
      <w:pPr>
        <w:spacing w:line="360" w:lineRule="auto"/>
        <w:rPr>
          <w:rFonts w:ascii="Arial" w:hAnsi="Arial" w:cs="Arial"/>
        </w:rPr>
      </w:pPr>
      <w:r>
        <w:rPr>
          <w:rFonts w:ascii="Arial" w:hAnsi="Arial" w:cs="Arial"/>
          <w:b/>
          <w:bCs/>
        </w:rPr>
        <w:t xml:space="preserve">                                                                                              </w:t>
      </w:r>
      <w:r w:rsidRPr="002A15BE">
        <w:rPr>
          <w:rFonts w:ascii="Arial" w:hAnsi="Arial" w:cs="Arial"/>
        </w:rPr>
        <w:t xml:space="preserve"> (created on </w:t>
      </w:r>
      <w:r w:rsidR="002A15BE" w:rsidRPr="002A15BE">
        <w:rPr>
          <w:rFonts w:ascii="Arial" w:hAnsi="Arial" w:cs="Arial"/>
        </w:rPr>
        <w:t>adobe photoshop)</w:t>
      </w:r>
    </w:p>
    <w:p w14:paraId="18BE0E9A" w14:textId="77777777" w:rsidR="00E87505" w:rsidRPr="00E87505" w:rsidRDefault="00E87505" w:rsidP="00E87505">
      <w:pPr>
        <w:spacing w:line="360" w:lineRule="auto"/>
        <w:rPr>
          <w:rFonts w:ascii="Arial" w:hAnsi="Arial" w:cs="Arial"/>
          <w:b/>
          <w:bCs/>
          <w:lang w:val="en-US"/>
        </w:rPr>
      </w:pPr>
      <w:r w:rsidRPr="00E87505">
        <w:rPr>
          <w:rFonts w:ascii="Arial" w:hAnsi="Arial" w:cs="Arial"/>
          <w:b/>
          <w:bCs/>
          <w:lang w:val="en-US"/>
        </w:rPr>
        <w:t>Arrow Color Key (Canada)</w:t>
      </w:r>
    </w:p>
    <w:tbl>
      <w:tblPr>
        <w:tblStyle w:val="TableGrid"/>
        <w:tblW w:w="0" w:type="auto"/>
        <w:tblLook w:val="04A0" w:firstRow="1" w:lastRow="0" w:firstColumn="1" w:lastColumn="0" w:noHBand="0" w:noVBand="1"/>
      </w:tblPr>
      <w:tblGrid>
        <w:gridCol w:w="2978"/>
        <w:gridCol w:w="3012"/>
        <w:gridCol w:w="3026"/>
      </w:tblGrid>
      <w:tr w:rsidR="00E87505" w:rsidRPr="00E87505" w14:paraId="08E094C7" w14:textId="77777777">
        <w:tc>
          <w:tcPr>
            <w:tcW w:w="3120" w:type="dxa"/>
            <w:tcBorders>
              <w:top w:val="single" w:sz="4" w:space="0" w:color="auto"/>
              <w:left w:val="single" w:sz="4" w:space="0" w:color="auto"/>
              <w:bottom w:val="single" w:sz="4" w:space="0" w:color="auto"/>
              <w:right w:val="single" w:sz="4" w:space="0" w:color="auto"/>
            </w:tcBorders>
            <w:hideMark/>
          </w:tcPr>
          <w:p w14:paraId="4E42D9C0" w14:textId="77777777" w:rsidR="00E87505" w:rsidRPr="00E87505" w:rsidRDefault="00E87505" w:rsidP="00E87505">
            <w:pPr>
              <w:spacing w:after="160" w:line="360" w:lineRule="auto"/>
              <w:rPr>
                <w:rFonts w:ascii="Arial" w:hAnsi="Arial" w:cs="Arial"/>
                <w:lang w:val="en-US"/>
              </w:rPr>
            </w:pPr>
            <w:r w:rsidRPr="00E87505">
              <w:rPr>
                <w:rFonts w:ascii="Arial" w:hAnsi="Arial" w:cs="Arial"/>
                <w:lang w:val="en-US"/>
              </w:rPr>
              <w:t>Arrow Color</w:t>
            </w:r>
          </w:p>
        </w:tc>
        <w:tc>
          <w:tcPr>
            <w:tcW w:w="3120" w:type="dxa"/>
            <w:tcBorders>
              <w:top w:val="single" w:sz="4" w:space="0" w:color="auto"/>
              <w:left w:val="single" w:sz="4" w:space="0" w:color="auto"/>
              <w:bottom w:val="single" w:sz="4" w:space="0" w:color="auto"/>
              <w:right w:val="single" w:sz="4" w:space="0" w:color="auto"/>
            </w:tcBorders>
            <w:hideMark/>
          </w:tcPr>
          <w:p w14:paraId="75A8703D" w14:textId="77777777" w:rsidR="00E87505" w:rsidRPr="00E87505" w:rsidRDefault="00E87505" w:rsidP="00E87505">
            <w:pPr>
              <w:spacing w:after="160" w:line="360" w:lineRule="auto"/>
              <w:rPr>
                <w:rFonts w:ascii="Arial" w:hAnsi="Arial" w:cs="Arial"/>
                <w:lang w:val="en-US"/>
              </w:rPr>
            </w:pPr>
            <w:r w:rsidRPr="00E87505">
              <w:rPr>
                <w:rFonts w:ascii="Arial" w:hAnsi="Arial" w:cs="Arial"/>
                <w:lang w:val="en-US"/>
              </w:rPr>
              <w:t>Represents</w:t>
            </w:r>
          </w:p>
        </w:tc>
        <w:tc>
          <w:tcPr>
            <w:tcW w:w="3120" w:type="dxa"/>
            <w:tcBorders>
              <w:top w:val="single" w:sz="4" w:space="0" w:color="auto"/>
              <w:left w:val="single" w:sz="4" w:space="0" w:color="auto"/>
              <w:bottom w:val="single" w:sz="4" w:space="0" w:color="auto"/>
              <w:right w:val="single" w:sz="4" w:space="0" w:color="auto"/>
            </w:tcBorders>
            <w:hideMark/>
          </w:tcPr>
          <w:p w14:paraId="59E6DE07" w14:textId="77777777" w:rsidR="00E87505" w:rsidRPr="00E87505" w:rsidRDefault="00E87505" w:rsidP="00E87505">
            <w:pPr>
              <w:spacing w:after="160" w:line="360" w:lineRule="auto"/>
              <w:rPr>
                <w:rFonts w:ascii="Arial" w:hAnsi="Arial" w:cs="Arial"/>
                <w:lang w:val="en-US"/>
              </w:rPr>
            </w:pPr>
            <w:r w:rsidRPr="00E87505">
              <w:rPr>
                <w:rFonts w:ascii="Arial" w:hAnsi="Arial" w:cs="Arial"/>
                <w:lang w:val="en-US"/>
              </w:rPr>
              <w:t>Explanation</w:t>
            </w:r>
          </w:p>
        </w:tc>
      </w:tr>
      <w:tr w:rsidR="00E87505" w:rsidRPr="00E87505" w14:paraId="0BC09209" w14:textId="77777777" w:rsidTr="00D16266">
        <w:tc>
          <w:tcPr>
            <w:tcW w:w="312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AB84ECA" w14:textId="77777777" w:rsidR="00E87505" w:rsidRPr="00E87505" w:rsidRDefault="00E87505" w:rsidP="00E87505">
            <w:pPr>
              <w:spacing w:after="160" w:line="360" w:lineRule="auto"/>
              <w:rPr>
                <w:rFonts w:ascii="Arial" w:hAnsi="Arial" w:cs="Arial"/>
                <w:color w:val="FFFFFF" w:themeColor="background1"/>
                <w:lang w:val="en-US"/>
              </w:rPr>
            </w:pPr>
            <w:r w:rsidRPr="00E87505">
              <w:rPr>
                <w:rFonts w:ascii="Arial" w:hAnsi="Arial" w:cs="Arial"/>
                <w:lang w:val="en-US"/>
              </w:rPr>
              <w:t>Blue</w:t>
            </w:r>
          </w:p>
        </w:tc>
        <w:tc>
          <w:tcPr>
            <w:tcW w:w="3120" w:type="dxa"/>
            <w:tcBorders>
              <w:top w:val="single" w:sz="4" w:space="0" w:color="auto"/>
              <w:left w:val="single" w:sz="4" w:space="0" w:color="auto"/>
              <w:bottom w:val="single" w:sz="4" w:space="0" w:color="auto"/>
              <w:right w:val="single" w:sz="4" w:space="0" w:color="auto"/>
            </w:tcBorders>
            <w:hideMark/>
          </w:tcPr>
          <w:p w14:paraId="7BB37392" w14:textId="77777777" w:rsidR="00E87505" w:rsidRPr="00E87505" w:rsidRDefault="00E87505" w:rsidP="00E87505">
            <w:pPr>
              <w:spacing w:after="160" w:line="360" w:lineRule="auto"/>
              <w:rPr>
                <w:rFonts w:ascii="Arial" w:hAnsi="Arial" w:cs="Arial"/>
                <w:lang w:val="en-US"/>
              </w:rPr>
            </w:pPr>
            <w:r w:rsidRPr="00E87505">
              <w:rPr>
                <w:rFonts w:ascii="Arial" w:hAnsi="Arial" w:cs="Arial"/>
                <w:lang w:val="en-US"/>
              </w:rPr>
              <w:t>Federal Government Action</w:t>
            </w:r>
          </w:p>
        </w:tc>
        <w:tc>
          <w:tcPr>
            <w:tcW w:w="3120" w:type="dxa"/>
            <w:tcBorders>
              <w:top w:val="single" w:sz="4" w:space="0" w:color="auto"/>
              <w:left w:val="single" w:sz="4" w:space="0" w:color="auto"/>
              <w:bottom w:val="single" w:sz="4" w:space="0" w:color="auto"/>
              <w:right w:val="single" w:sz="4" w:space="0" w:color="auto"/>
            </w:tcBorders>
            <w:hideMark/>
          </w:tcPr>
          <w:p w14:paraId="2E65A03A" w14:textId="77777777" w:rsidR="00E87505" w:rsidRPr="00E87505" w:rsidRDefault="00E87505" w:rsidP="00E87505">
            <w:pPr>
              <w:spacing w:after="160" w:line="360" w:lineRule="auto"/>
              <w:rPr>
                <w:rFonts w:ascii="Arial" w:hAnsi="Arial" w:cs="Arial"/>
                <w:lang w:val="en-US"/>
              </w:rPr>
            </w:pPr>
            <w:r w:rsidRPr="00E87505">
              <w:rPr>
                <w:rFonts w:ascii="Arial" w:hAnsi="Arial" w:cs="Arial"/>
                <w:lang w:val="en-US"/>
              </w:rPr>
              <w:t>Points to key areas of federal leadership, including Prime Minister Trudeau's empathetic communication and the massive, non-means-tested income support programs like CERB (Canada Emergency Response Benefit).</w:t>
            </w:r>
          </w:p>
        </w:tc>
      </w:tr>
      <w:tr w:rsidR="00E87505" w:rsidRPr="00E87505" w14:paraId="4E6F2749" w14:textId="77777777" w:rsidTr="00D16266">
        <w:tc>
          <w:tcPr>
            <w:tcW w:w="312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5AF2940" w14:textId="77777777" w:rsidR="00E87505" w:rsidRPr="00E87505" w:rsidRDefault="00E87505" w:rsidP="00E87505">
            <w:pPr>
              <w:spacing w:after="160" w:line="360" w:lineRule="auto"/>
              <w:rPr>
                <w:rFonts w:ascii="Arial" w:hAnsi="Arial" w:cs="Arial"/>
                <w:lang w:val="en-US"/>
              </w:rPr>
            </w:pPr>
            <w:r w:rsidRPr="00E87505">
              <w:rPr>
                <w:rFonts w:ascii="Arial" w:hAnsi="Arial" w:cs="Arial"/>
                <w:lang w:val="en-US"/>
              </w:rPr>
              <w:t>Green</w:t>
            </w:r>
          </w:p>
        </w:tc>
        <w:tc>
          <w:tcPr>
            <w:tcW w:w="3120" w:type="dxa"/>
            <w:tcBorders>
              <w:top w:val="single" w:sz="4" w:space="0" w:color="auto"/>
              <w:left w:val="single" w:sz="4" w:space="0" w:color="auto"/>
              <w:bottom w:val="single" w:sz="4" w:space="0" w:color="auto"/>
              <w:right w:val="single" w:sz="4" w:space="0" w:color="auto"/>
            </w:tcBorders>
            <w:hideMark/>
          </w:tcPr>
          <w:p w14:paraId="5BCE6F1D" w14:textId="77777777" w:rsidR="00E87505" w:rsidRPr="00E87505" w:rsidRDefault="00E87505" w:rsidP="00E87505">
            <w:pPr>
              <w:spacing w:after="160" w:line="360" w:lineRule="auto"/>
              <w:rPr>
                <w:rFonts w:ascii="Arial" w:hAnsi="Arial" w:cs="Arial"/>
                <w:lang w:val="en-US"/>
              </w:rPr>
            </w:pPr>
            <w:r w:rsidRPr="00E87505">
              <w:rPr>
                <w:rFonts w:ascii="Arial" w:hAnsi="Arial" w:cs="Arial"/>
                <w:lang w:val="en-US"/>
              </w:rPr>
              <w:t>Provincial Jurisdiction &amp; Variation</w:t>
            </w:r>
          </w:p>
        </w:tc>
        <w:tc>
          <w:tcPr>
            <w:tcW w:w="3120" w:type="dxa"/>
            <w:tcBorders>
              <w:top w:val="single" w:sz="4" w:space="0" w:color="auto"/>
              <w:left w:val="single" w:sz="4" w:space="0" w:color="auto"/>
              <w:bottom w:val="single" w:sz="4" w:space="0" w:color="auto"/>
              <w:right w:val="single" w:sz="4" w:space="0" w:color="auto"/>
            </w:tcBorders>
            <w:hideMark/>
          </w:tcPr>
          <w:p w14:paraId="198996E9" w14:textId="77777777" w:rsidR="00E87505" w:rsidRPr="00E87505" w:rsidRDefault="00E87505" w:rsidP="00E87505">
            <w:pPr>
              <w:spacing w:after="160" w:line="360" w:lineRule="auto"/>
              <w:rPr>
                <w:rFonts w:ascii="Arial" w:hAnsi="Arial" w:cs="Arial"/>
                <w:lang w:val="en-US"/>
              </w:rPr>
            </w:pPr>
            <w:r w:rsidRPr="00E87505">
              <w:rPr>
                <w:rFonts w:ascii="Arial" w:hAnsi="Arial" w:cs="Arial"/>
                <w:lang w:val="en-US"/>
              </w:rPr>
              <w:t xml:space="preserve">Highlights the constitutional reality that provinces are responsible for healthcare, leading to wide variation in </w:t>
            </w:r>
            <w:r w:rsidRPr="00E87505">
              <w:rPr>
                <w:rFonts w:ascii="Arial" w:hAnsi="Arial" w:cs="Arial"/>
                <w:lang w:val="en-US"/>
              </w:rPr>
              <w:lastRenderedPageBreak/>
              <w:t>lockdown stringency, testing capacity, and public health guidelines across the country.</w:t>
            </w:r>
          </w:p>
        </w:tc>
      </w:tr>
      <w:tr w:rsidR="00E87505" w:rsidRPr="00E87505" w14:paraId="345816FD" w14:textId="77777777" w:rsidTr="00D16266">
        <w:tc>
          <w:tcPr>
            <w:tcW w:w="312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942EFAB" w14:textId="77777777" w:rsidR="00E87505" w:rsidRPr="00E87505" w:rsidRDefault="00E87505" w:rsidP="00E87505">
            <w:pPr>
              <w:spacing w:after="160" w:line="360" w:lineRule="auto"/>
              <w:rPr>
                <w:rFonts w:ascii="Arial" w:hAnsi="Arial" w:cs="Arial"/>
                <w:lang w:val="en-US"/>
              </w:rPr>
            </w:pPr>
            <w:r w:rsidRPr="00E87505">
              <w:rPr>
                <w:rFonts w:ascii="Arial" w:hAnsi="Arial" w:cs="Arial"/>
                <w:lang w:val="en-US"/>
              </w:rPr>
              <w:lastRenderedPageBreak/>
              <w:t>Orange</w:t>
            </w:r>
          </w:p>
        </w:tc>
        <w:tc>
          <w:tcPr>
            <w:tcW w:w="3120" w:type="dxa"/>
            <w:tcBorders>
              <w:top w:val="single" w:sz="4" w:space="0" w:color="auto"/>
              <w:left w:val="single" w:sz="4" w:space="0" w:color="auto"/>
              <w:bottom w:val="single" w:sz="4" w:space="0" w:color="auto"/>
              <w:right w:val="single" w:sz="4" w:space="0" w:color="auto"/>
            </w:tcBorders>
            <w:hideMark/>
          </w:tcPr>
          <w:p w14:paraId="37F125EC" w14:textId="77777777" w:rsidR="00E87505" w:rsidRPr="00E87505" w:rsidRDefault="00E87505" w:rsidP="00E87505">
            <w:pPr>
              <w:spacing w:after="160" w:line="360" w:lineRule="auto"/>
              <w:rPr>
                <w:rFonts w:ascii="Arial" w:hAnsi="Arial" w:cs="Arial"/>
                <w:lang w:val="en-US"/>
              </w:rPr>
            </w:pPr>
            <w:r w:rsidRPr="00E87505">
              <w:rPr>
                <w:rFonts w:ascii="Arial" w:hAnsi="Arial" w:cs="Arial"/>
                <w:lang w:val="en-US"/>
              </w:rPr>
              <w:t>Vulnerability &amp; Economic Impact</w:t>
            </w:r>
          </w:p>
        </w:tc>
        <w:tc>
          <w:tcPr>
            <w:tcW w:w="3120" w:type="dxa"/>
            <w:tcBorders>
              <w:top w:val="single" w:sz="4" w:space="0" w:color="auto"/>
              <w:left w:val="single" w:sz="4" w:space="0" w:color="auto"/>
              <w:bottom w:val="single" w:sz="4" w:space="0" w:color="auto"/>
              <w:right w:val="single" w:sz="4" w:space="0" w:color="auto"/>
            </w:tcBorders>
            <w:hideMark/>
          </w:tcPr>
          <w:p w14:paraId="3948AE6B" w14:textId="77777777" w:rsidR="00E87505" w:rsidRPr="00E87505" w:rsidRDefault="00E87505" w:rsidP="00E87505">
            <w:pPr>
              <w:spacing w:after="160" w:line="360" w:lineRule="auto"/>
              <w:rPr>
                <w:rFonts w:ascii="Arial" w:hAnsi="Arial" w:cs="Arial"/>
                <w:lang w:val="en-US"/>
              </w:rPr>
            </w:pPr>
            <w:proofErr w:type="gramStart"/>
            <w:r w:rsidRPr="00E87505">
              <w:rPr>
                <w:rFonts w:ascii="Arial" w:hAnsi="Arial" w:cs="Arial"/>
                <w:lang w:val="en-US"/>
              </w:rPr>
              <w:t>Indicates</w:t>
            </w:r>
            <w:proofErr w:type="gramEnd"/>
            <w:r w:rsidRPr="00E87505">
              <w:rPr>
                <w:rFonts w:ascii="Arial" w:hAnsi="Arial" w:cs="Arial"/>
                <w:lang w:val="en-US"/>
              </w:rPr>
              <w:t xml:space="preserve"> the heavy impact on vulnerable populations, especially the elderly in Long-Term Care Facilities (LTCFs), and the sharp GDP contraction from business closures.</w:t>
            </w:r>
          </w:p>
        </w:tc>
      </w:tr>
      <w:tr w:rsidR="00E87505" w:rsidRPr="00E87505" w14:paraId="377E5BCC" w14:textId="77777777" w:rsidTr="00D16266">
        <w:tc>
          <w:tcPr>
            <w:tcW w:w="312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276B2C4" w14:textId="77777777" w:rsidR="00E87505" w:rsidRPr="00E87505" w:rsidRDefault="00E87505" w:rsidP="00E87505">
            <w:pPr>
              <w:spacing w:after="160" w:line="360" w:lineRule="auto"/>
              <w:rPr>
                <w:rFonts w:ascii="Arial" w:hAnsi="Arial" w:cs="Arial"/>
                <w:lang w:val="en-US"/>
              </w:rPr>
            </w:pPr>
            <w:r w:rsidRPr="00E87505">
              <w:rPr>
                <w:rFonts w:ascii="Arial" w:hAnsi="Arial" w:cs="Arial"/>
                <w:lang w:val="en-US"/>
              </w:rPr>
              <w:t>Red</w:t>
            </w:r>
          </w:p>
        </w:tc>
        <w:tc>
          <w:tcPr>
            <w:tcW w:w="3120" w:type="dxa"/>
            <w:tcBorders>
              <w:top w:val="single" w:sz="4" w:space="0" w:color="auto"/>
              <w:left w:val="single" w:sz="4" w:space="0" w:color="auto"/>
              <w:bottom w:val="single" w:sz="4" w:space="0" w:color="auto"/>
              <w:right w:val="single" w:sz="4" w:space="0" w:color="auto"/>
            </w:tcBorders>
            <w:hideMark/>
          </w:tcPr>
          <w:p w14:paraId="0EB4CE4A" w14:textId="77777777" w:rsidR="00E87505" w:rsidRPr="00E87505" w:rsidRDefault="00E87505" w:rsidP="00E87505">
            <w:pPr>
              <w:spacing w:after="160" w:line="360" w:lineRule="auto"/>
              <w:rPr>
                <w:rFonts w:ascii="Arial" w:hAnsi="Arial" w:cs="Arial"/>
                <w:lang w:val="en-US"/>
              </w:rPr>
            </w:pPr>
            <w:r w:rsidRPr="00E87505">
              <w:rPr>
                <w:rFonts w:ascii="Arial" w:hAnsi="Arial" w:cs="Arial"/>
                <w:lang w:val="en-US"/>
              </w:rPr>
              <w:t>Critical Timeline Events</w:t>
            </w:r>
          </w:p>
        </w:tc>
        <w:tc>
          <w:tcPr>
            <w:tcW w:w="3120" w:type="dxa"/>
            <w:tcBorders>
              <w:top w:val="single" w:sz="4" w:space="0" w:color="auto"/>
              <w:left w:val="single" w:sz="4" w:space="0" w:color="auto"/>
              <w:bottom w:val="single" w:sz="4" w:space="0" w:color="auto"/>
              <w:right w:val="single" w:sz="4" w:space="0" w:color="auto"/>
            </w:tcBorders>
            <w:hideMark/>
          </w:tcPr>
          <w:p w14:paraId="495AB27E" w14:textId="77777777" w:rsidR="00E87505" w:rsidRPr="00E87505" w:rsidRDefault="00E87505" w:rsidP="00E87505">
            <w:pPr>
              <w:spacing w:after="160" w:line="360" w:lineRule="auto"/>
              <w:rPr>
                <w:rFonts w:ascii="Arial" w:hAnsi="Arial" w:cs="Arial"/>
                <w:lang w:val="en-US"/>
              </w:rPr>
            </w:pPr>
            <w:r w:rsidRPr="00E87505">
              <w:rPr>
                <w:rFonts w:ascii="Arial" w:hAnsi="Arial" w:cs="Arial"/>
                <w:lang w:val="en-US"/>
              </w:rPr>
              <w:t>Marks the start of Vaccination Efforts in December 2020, involving massive federal procurement to secure a large eventual supply.</w:t>
            </w:r>
          </w:p>
        </w:tc>
      </w:tr>
      <w:tr w:rsidR="00E87505" w:rsidRPr="00E87505" w14:paraId="1F39398A" w14:textId="77777777" w:rsidTr="00D16266">
        <w:tc>
          <w:tcPr>
            <w:tcW w:w="312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5947AA7" w14:textId="77777777" w:rsidR="00E87505" w:rsidRPr="00E87505" w:rsidRDefault="00E87505" w:rsidP="00E87505">
            <w:pPr>
              <w:spacing w:after="160" w:line="360" w:lineRule="auto"/>
              <w:rPr>
                <w:rFonts w:ascii="Arial" w:hAnsi="Arial" w:cs="Arial"/>
                <w:lang w:val="en-US"/>
              </w:rPr>
            </w:pPr>
            <w:r w:rsidRPr="00E87505">
              <w:rPr>
                <w:rFonts w:ascii="Arial" w:hAnsi="Arial" w:cs="Arial"/>
                <w:lang w:val="en-US"/>
              </w:rPr>
              <w:t>Yellow</w:t>
            </w:r>
          </w:p>
        </w:tc>
        <w:tc>
          <w:tcPr>
            <w:tcW w:w="3120" w:type="dxa"/>
            <w:tcBorders>
              <w:top w:val="single" w:sz="4" w:space="0" w:color="auto"/>
              <w:left w:val="single" w:sz="4" w:space="0" w:color="auto"/>
              <w:bottom w:val="single" w:sz="4" w:space="0" w:color="auto"/>
              <w:right w:val="single" w:sz="4" w:space="0" w:color="auto"/>
            </w:tcBorders>
            <w:hideMark/>
          </w:tcPr>
          <w:p w14:paraId="2C320E78" w14:textId="77777777" w:rsidR="00E87505" w:rsidRPr="00E87505" w:rsidRDefault="00E87505" w:rsidP="00E87505">
            <w:pPr>
              <w:spacing w:after="160" w:line="360" w:lineRule="auto"/>
              <w:rPr>
                <w:rFonts w:ascii="Arial" w:hAnsi="Arial" w:cs="Arial"/>
                <w:lang w:val="en-US"/>
              </w:rPr>
            </w:pPr>
            <w:r w:rsidRPr="00E87505">
              <w:rPr>
                <w:rFonts w:ascii="Arial" w:hAnsi="Arial" w:cs="Arial"/>
                <w:lang w:val="en-US"/>
              </w:rPr>
              <w:t>Supply Chain &amp; Procurement</w:t>
            </w:r>
          </w:p>
        </w:tc>
        <w:tc>
          <w:tcPr>
            <w:tcW w:w="3120" w:type="dxa"/>
            <w:tcBorders>
              <w:top w:val="single" w:sz="4" w:space="0" w:color="auto"/>
              <w:left w:val="single" w:sz="4" w:space="0" w:color="auto"/>
              <w:bottom w:val="single" w:sz="4" w:space="0" w:color="auto"/>
              <w:right w:val="single" w:sz="4" w:space="0" w:color="auto"/>
            </w:tcBorders>
            <w:hideMark/>
          </w:tcPr>
          <w:p w14:paraId="1761D51B" w14:textId="77777777" w:rsidR="00E87505" w:rsidRPr="00E87505" w:rsidRDefault="00E87505" w:rsidP="00E87505">
            <w:pPr>
              <w:spacing w:after="160" w:line="360" w:lineRule="auto"/>
              <w:rPr>
                <w:rFonts w:ascii="Arial" w:hAnsi="Arial" w:cs="Arial"/>
                <w:lang w:val="en-US"/>
              </w:rPr>
            </w:pPr>
            <w:r w:rsidRPr="00E87505">
              <w:rPr>
                <w:rFonts w:ascii="Arial" w:hAnsi="Arial" w:cs="Arial"/>
                <w:lang w:val="en-US"/>
              </w:rPr>
              <w:t>Highlights Canada's focus on securing PPE and vaccines from international and domestic sources, a major initial challenge for the federal government.</w:t>
            </w:r>
          </w:p>
        </w:tc>
      </w:tr>
    </w:tbl>
    <w:p w14:paraId="75BE2925" w14:textId="77777777" w:rsidR="008E41A4" w:rsidRDefault="008E41A4" w:rsidP="00DD6E28">
      <w:pPr>
        <w:spacing w:line="360" w:lineRule="auto"/>
        <w:rPr>
          <w:rFonts w:ascii="Arial" w:hAnsi="Arial" w:cs="Arial"/>
          <w:b/>
          <w:bCs/>
        </w:rPr>
      </w:pPr>
    </w:p>
    <w:p w14:paraId="1EBB3FD4" w14:textId="77777777" w:rsidR="008E41A4" w:rsidRDefault="008E41A4" w:rsidP="00DD6E28">
      <w:pPr>
        <w:spacing w:line="360" w:lineRule="auto"/>
        <w:rPr>
          <w:rFonts w:ascii="Arial" w:hAnsi="Arial" w:cs="Arial"/>
          <w:b/>
          <w:bCs/>
        </w:rPr>
      </w:pPr>
    </w:p>
    <w:p w14:paraId="771CBA39" w14:textId="77777777" w:rsidR="008E41A4" w:rsidRDefault="008E41A4" w:rsidP="00DD6E28">
      <w:pPr>
        <w:spacing w:line="360" w:lineRule="auto"/>
        <w:rPr>
          <w:rFonts w:ascii="Arial" w:hAnsi="Arial" w:cs="Arial"/>
          <w:b/>
          <w:bCs/>
        </w:rPr>
      </w:pPr>
    </w:p>
    <w:p w14:paraId="22F4E420" w14:textId="77777777" w:rsidR="008E41A4" w:rsidRDefault="008E41A4" w:rsidP="00DD6E28">
      <w:pPr>
        <w:spacing w:line="360" w:lineRule="auto"/>
        <w:rPr>
          <w:rFonts w:ascii="Arial" w:hAnsi="Arial" w:cs="Arial"/>
          <w:b/>
          <w:bCs/>
        </w:rPr>
      </w:pPr>
    </w:p>
    <w:p w14:paraId="645C788E" w14:textId="77777777" w:rsidR="008E41A4" w:rsidRDefault="008E41A4" w:rsidP="00DD6E28">
      <w:pPr>
        <w:spacing w:line="360" w:lineRule="auto"/>
        <w:rPr>
          <w:rFonts w:ascii="Arial" w:hAnsi="Arial" w:cs="Arial"/>
          <w:b/>
          <w:bCs/>
        </w:rPr>
      </w:pPr>
    </w:p>
    <w:p w14:paraId="22BAA3D4" w14:textId="77777777" w:rsidR="008E41A4" w:rsidRDefault="008E41A4" w:rsidP="00DD6E28">
      <w:pPr>
        <w:spacing w:line="360" w:lineRule="auto"/>
        <w:rPr>
          <w:rFonts w:ascii="Arial" w:hAnsi="Arial" w:cs="Arial"/>
          <w:b/>
          <w:bCs/>
        </w:rPr>
      </w:pPr>
    </w:p>
    <w:p w14:paraId="43E9390D" w14:textId="77777777" w:rsidR="008E41A4" w:rsidRDefault="008E41A4" w:rsidP="00DD6E28">
      <w:pPr>
        <w:spacing w:line="360" w:lineRule="auto"/>
        <w:rPr>
          <w:rFonts w:ascii="Arial" w:hAnsi="Arial" w:cs="Arial"/>
          <w:b/>
          <w:bCs/>
        </w:rPr>
      </w:pPr>
    </w:p>
    <w:p w14:paraId="2D30F234" w14:textId="77777777" w:rsidR="008E41A4" w:rsidRDefault="008E41A4" w:rsidP="00DD6E28">
      <w:pPr>
        <w:spacing w:line="360" w:lineRule="auto"/>
        <w:rPr>
          <w:rFonts w:ascii="Arial" w:hAnsi="Arial" w:cs="Arial"/>
          <w:b/>
          <w:bCs/>
        </w:rPr>
      </w:pPr>
    </w:p>
    <w:p w14:paraId="11D5D994" w14:textId="6B04AB6A" w:rsidR="00E27087" w:rsidRDefault="00F63ABA" w:rsidP="00DD6E28">
      <w:pPr>
        <w:spacing w:line="360" w:lineRule="auto"/>
        <w:rPr>
          <w:rFonts w:ascii="Arial" w:hAnsi="Arial" w:cs="Arial"/>
          <w:b/>
          <w:bCs/>
        </w:rPr>
      </w:pPr>
      <w:r w:rsidRPr="00070EC2">
        <w:rPr>
          <w:rFonts w:ascii="Arial" w:hAnsi="Arial" w:cs="Arial"/>
          <w:b/>
          <w:bCs/>
        </w:rPr>
        <w:lastRenderedPageBreak/>
        <w:t xml:space="preserve">Centralisation </w:t>
      </w:r>
      <w:r w:rsidR="00F36B00">
        <w:rPr>
          <w:rFonts w:ascii="Arial" w:hAnsi="Arial" w:cs="Arial"/>
          <w:b/>
          <w:bCs/>
        </w:rPr>
        <w:t>and</w:t>
      </w:r>
      <w:r w:rsidRPr="00070EC2">
        <w:rPr>
          <w:rFonts w:ascii="Arial" w:hAnsi="Arial" w:cs="Arial"/>
          <w:b/>
          <w:bCs/>
        </w:rPr>
        <w:t xml:space="preserve"> Decentralisation </w:t>
      </w:r>
    </w:p>
    <w:p w14:paraId="62897320" w14:textId="77777777" w:rsidR="0065486C" w:rsidRPr="00070EC2" w:rsidRDefault="0065486C" w:rsidP="00DD6E28">
      <w:pPr>
        <w:spacing w:line="360" w:lineRule="auto"/>
        <w:rPr>
          <w:rFonts w:ascii="Arial" w:hAnsi="Arial" w:cs="Arial"/>
          <w:b/>
          <w:bCs/>
        </w:rPr>
      </w:pPr>
    </w:p>
    <w:p w14:paraId="534AAA91" w14:textId="5F0C6D3D" w:rsidR="00A7739E" w:rsidRPr="00A7739E" w:rsidRDefault="007F434C" w:rsidP="00DD6E28">
      <w:pPr>
        <w:spacing w:line="360" w:lineRule="auto"/>
        <w:rPr>
          <w:rFonts w:ascii="Arial" w:hAnsi="Arial" w:cs="Arial"/>
          <w:b/>
          <w:bCs/>
        </w:rPr>
      </w:pPr>
      <w:r w:rsidRPr="00070EC2">
        <w:rPr>
          <w:rFonts w:ascii="Arial" w:hAnsi="Arial" w:cs="Arial"/>
          <w:b/>
          <w:bCs/>
        </w:rPr>
        <w:t>2</w:t>
      </w:r>
      <w:r>
        <w:rPr>
          <w:rFonts w:ascii="Arial" w:hAnsi="Arial" w:cs="Arial"/>
          <w:b/>
          <w:bCs/>
        </w:rPr>
        <w:t>.1</w:t>
      </w:r>
      <w:r w:rsidRPr="00070EC2">
        <w:rPr>
          <w:rFonts w:ascii="Arial" w:hAnsi="Arial" w:cs="Arial"/>
          <w:b/>
          <w:bCs/>
        </w:rPr>
        <w:t>:</w:t>
      </w:r>
      <w:r w:rsidRPr="00A7739E">
        <w:rPr>
          <w:rFonts w:ascii="Arial" w:hAnsi="Arial" w:cs="Arial"/>
          <w:b/>
          <w:bCs/>
        </w:rPr>
        <w:t xml:space="preserve"> Spain</w:t>
      </w:r>
      <w:r w:rsidR="00A7739E" w:rsidRPr="00A7739E">
        <w:rPr>
          <w:rFonts w:ascii="Arial" w:hAnsi="Arial" w:cs="Arial"/>
          <w:b/>
          <w:bCs/>
        </w:rPr>
        <w:t xml:space="preserve">: Decentralisation </w:t>
      </w:r>
    </w:p>
    <w:p w14:paraId="727E59E2" w14:textId="77777777" w:rsidR="00A7739E" w:rsidRPr="00A7739E" w:rsidRDefault="00A7739E" w:rsidP="00DD6E28">
      <w:pPr>
        <w:spacing w:line="360" w:lineRule="auto"/>
        <w:rPr>
          <w:rFonts w:ascii="Arial" w:hAnsi="Arial" w:cs="Arial"/>
        </w:rPr>
      </w:pPr>
      <w:r w:rsidRPr="00A7739E">
        <w:rPr>
          <w:rFonts w:ascii="Arial" w:hAnsi="Arial" w:cs="Arial"/>
        </w:rPr>
        <w:t>Spain’s healthcare system is one of the most decentralised in Europe. Seventeen autonomous communities manage health services, funding, and staff (OECD, 2021). (Community Action to Strengthen Health Equity in the Spanish Basque Country, 2025) The central government sets national policy and emergency laws but does not directly run services. This approach aimed to ensure fairness and meet local needs, but during the pandemic, it made coordination difficult (Saltman et al., 2021). (Saltman et al., 2021) Because regions acted independently, their decisions on testing, tracing, and hospital capacity differed, leading to gaps in preparedness.</w:t>
      </w:r>
    </w:p>
    <w:p w14:paraId="03C28BAC" w14:textId="77777777" w:rsidR="00A7739E" w:rsidRPr="00A7739E" w:rsidRDefault="00A7739E" w:rsidP="00DD6E28">
      <w:pPr>
        <w:spacing w:line="360" w:lineRule="auto"/>
        <w:rPr>
          <w:rFonts w:ascii="Arial" w:hAnsi="Arial" w:cs="Arial"/>
        </w:rPr>
      </w:pPr>
      <w:r w:rsidRPr="00A7739E">
        <w:rPr>
          <w:rFonts w:ascii="Arial" w:hAnsi="Arial" w:cs="Arial"/>
        </w:rPr>
        <w:t xml:space="preserve">When COVID-19 appeared in early 2020, Spain quickly saw infection rates rise. Regional governments were slow to impose restrictions, and ICU capacity varied between areas (European Observatory on Health Systems, 2021). (State of Health in the EU: Spain Country Health Profile 2021, 2021) Without a unified response, containment was delayed and deaths increased during the first wave. (Joint Analysis of the Epidemic Evolution and Human Mobility During the First Wave of COVID-19 in Spain: Retrospective Study, 2020) To take control, the central government declared </w:t>
      </w:r>
      <w:r w:rsidRPr="007F434C">
        <w:rPr>
          <w:rFonts w:ascii="Arial" w:hAnsi="Arial" w:cs="Arial"/>
        </w:rPr>
        <w:t>a State of Alarm on 14 March 2020, centralising decisions and enforcing a nationwide lockdown (Navarro &amp;</w:t>
      </w:r>
      <w:r w:rsidRPr="00A7739E">
        <w:rPr>
          <w:rFonts w:ascii="Arial" w:hAnsi="Arial" w:cs="Arial"/>
        </w:rPr>
        <w:t xml:space="preserve"> Velasco, 2022). (Jones &amp; Sam, 2020) This helped coordinate supplies and rules, but also caused political conflict with regional leaders, who felt their autonomy was threatened.</w:t>
      </w:r>
    </w:p>
    <w:p w14:paraId="211F7A18" w14:textId="380E39CD" w:rsidR="00A7739E" w:rsidRPr="00A7739E" w:rsidRDefault="00A7739E" w:rsidP="00DD6E28">
      <w:pPr>
        <w:spacing w:line="360" w:lineRule="auto"/>
        <w:rPr>
          <w:rFonts w:ascii="Arial" w:hAnsi="Arial" w:cs="Arial"/>
        </w:rPr>
      </w:pPr>
      <w:r w:rsidRPr="00A7739E">
        <w:rPr>
          <w:rFonts w:ascii="Arial" w:hAnsi="Arial" w:cs="Arial"/>
        </w:rPr>
        <w:t xml:space="preserve">After the first lockdown, Spain returned to a decentralised management model. Regions took back control over testing, tracing, and reopening plans. </w:t>
      </w:r>
      <w:r w:rsidRPr="007F434C">
        <w:rPr>
          <w:rFonts w:ascii="Arial" w:hAnsi="Arial" w:cs="Arial"/>
        </w:rPr>
        <w:t>Navarro &amp; Velasco (2022) note that this followed the constitution but also showed problems with coordination between governments. (Navarro et al., 2022) Some regions acted quickly with testing and tracing, while others were slower, leading to uneven control of the virus. López-Valcárcel &amp; López-Casasnovas (2025</w:t>
      </w:r>
      <w:r w:rsidRPr="00A7739E">
        <w:rPr>
          <w:rFonts w:ascii="Arial" w:hAnsi="Arial" w:cs="Arial"/>
          <w:b/>
          <w:bCs/>
        </w:rPr>
        <w:t>)</w:t>
      </w:r>
      <w:r w:rsidRPr="00A7739E">
        <w:rPr>
          <w:rFonts w:ascii="Arial" w:hAnsi="Arial" w:cs="Arial"/>
        </w:rPr>
        <w:t xml:space="preserve"> found that when regions shared data and collaborated, deaths and QALY losses decreased in later waves. (López-Valcárcel et al., 2025) This shows decentralisation can succeed if there is strong cooperation.</w:t>
      </w:r>
    </w:p>
    <w:p w14:paraId="4F9BA9BC" w14:textId="388C37C2" w:rsidR="00A7739E" w:rsidRPr="00A7739E" w:rsidRDefault="00A7739E" w:rsidP="00DD6E28">
      <w:pPr>
        <w:spacing w:line="360" w:lineRule="auto"/>
        <w:rPr>
          <w:rFonts w:ascii="Arial" w:hAnsi="Arial" w:cs="Arial"/>
        </w:rPr>
      </w:pPr>
      <w:r w:rsidRPr="00A7739E">
        <w:rPr>
          <w:rFonts w:ascii="Arial" w:hAnsi="Arial" w:cs="Arial"/>
        </w:rPr>
        <w:t xml:space="preserve">The pandemic exposed weaknesses in Spain’s health system. Some regions lacked sufficient ICU beds, so patients had to be transferred or treated in temporary hospitals (Ramos et al., 2021). (Pressure on Spain’s ICUs eases as coronavirus cases fall, 2021) Staff shortages worsened because hiring processes were inflexible. Long-term care facilities suffered the most. </w:t>
      </w:r>
      <w:r w:rsidR="00775315" w:rsidRPr="00070EC2">
        <w:rPr>
          <w:rFonts w:ascii="Arial" w:hAnsi="Arial" w:cs="Arial"/>
        </w:rPr>
        <w:t>(</w:t>
      </w:r>
      <w:r w:rsidRPr="00A7739E">
        <w:rPr>
          <w:rFonts w:ascii="Arial" w:hAnsi="Arial" w:cs="Arial"/>
        </w:rPr>
        <w:t>Hernández-Moreno et al</w:t>
      </w:r>
      <w:r w:rsidR="00775315" w:rsidRPr="00070EC2">
        <w:rPr>
          <w:rFonts w:ascii="Arial" w:hAnsi="Arial" w:cs="Arial"/>
        </w:rPr>
        <w:t>,</w:t>
      </w:r>
      <w:r w:rsidRPr="00A7739E">
        <w:rPr>
          <w:rFonts w:ascii="Arial" w:hAnsi="Arial" w:cs="Arial"/>
        </w:rPr>
        <w:t>2023</w:t>
      </w:r>
      <w:r w:rsidRPr="00A7739E">
        <w:rPr>
          <w:rFonts w:ascii="Arial" w:hAnsi="Arial" w:cs="Arial"/>
          <w:b/>
          <w:bCs/>
        </w:rPr>
        <w:t>)</w:t>
      </w:r>
      <w:r w:rsidRPr="00A7739E">
        <w:rPr>
          <w:rFonts w:ascii="Arial" w:hAnsi="Arial" w:cs="Arial"/>
        </w:rPr>
        <w:t xml:space="preserve"> found that poor coordination between </w:t>
      </w:r>
      <w:r w:rsidRPr="00A7739E">
        <w:rPr>
          <w:rFonts w:ascii="Arial" w:hAnsi="Arial" w:cs="Arial"/>
        </w:rPr>
        <w:lastRenderedPageBreak/>
        <w:t>health and social services led to severe outbreaks in nursing homes, with death rates over 30% in some places. (Hernández-Moreno et al., 2023) This showed the need for better integrated care and clearer responsibility.</w:t>
      </w:r>
    </w:p>
    <w:p w14:paraId="2EECA1CE" w14:textId="593DF3C4" w:rsidR="00A7739E" w:rsidRPr="00A7739E" w:rsidRDefault="00A7739E" w:rsidP="00DD6E28">
      <w:pPr>
        <w:spacing w:line="360" w:lineRule="auto"/>
        <w:rPr>
          <w:rFonts w:ascii="Arial" w:hAnsi="Arial" w:cs="Arial"/>
        </w:rPr>
      </w:pPr>
      <w:r w:rsidRPr="00A7739E">
        <w:rPr>
          <w:rFonts w:ascii="Arial" w:hAnsi="Arial" w:cs="Arial"/>
        </w:rPr>
        <w:t>Economic problems made the response even harder. Regional health budgets were already tight before the pandemic, making it difficult to increase capacity. The central government provided emergency funds, but differences remained, especially in rural areas (Sánchez-</w:t>
      </w:r>
      <w:proofErr w:type="spellStart"/>
      <w:r w:rsidRPr="00A7739E">
        <w:rPr>
          <w:rFonts w:ascii="Arial" w:hAnsi="Arial" w:cs="Arial"/>
        </w:rPr>
        <w:t>Bayón</w:t>
      </w:r>
      <w:proofErr w:type="spellEnd"/>
      <w:r w:rsidRPr="00A7739E">
        <w:rPr>
          <w:rFonts w:ascii="Arial" w:hAnsi="Arial" w:cs="Arial"/>
        </w:rPr>
        <w:t xml:space="preserve"> et al., 2022). (Sánchez-</w:t>
      </w:r>
      <w:proofErr w:type="spellStart"/>
      <w:r w:rsidRPr="00A7739E">
        <w:rPr>
          <w:rFonts w:ascii="Arial" w:hAnsi="Arial" w:cs="Arial"/>
        </w:rPr>
        <w:t>Bayón</w:t>
      </w:r>
      <w:proofErr w:type="spellEnd"/>
      <w:r w:rsidRPr="00A7739E">
        <w:rPr>
          <w:rFonts w:ascii="Arial" w:hAnsi="Arial" w:cs="Arial"/>
        </w:rPr>
        <w:t xml:space="preserve"> et al., 2022) Long lockdowns hurt the economy, with GDP falling by 10.8% in 2020, one of the biggest drops in the EU (European Commission, 2021). (Country Report Spain 2020, 2020) These money issues affected how regions decided to reopen, sometimes putting the economy ahead of health concerns.</w:t>
      </w:r>
    </w:p>
    <w:p w14:paraId="47082258" w14:textId="77777777" w:rsidR="00A7739E" w:rsidRPr="00A7739E" w:rsidRDefault="00A7739E" w:rsidP="00DD6E28">
      <w:pPr>
        <w:spacing w:line="360" w:lineRule="auto"/>
        <w:rPr>
          <w:rFonts w:ascii="Arial" w:hAnsi="Arial" w:cs="Arial"/>
        </w:rPr>
      </w:pPr>
      <w:r w:rsidRPr="00A7739E">
        <w:rPr>
          <w:rFonts w:ascii="Arial" w:hAnsi="Arial" w:cs="Arial"/>
        </w:rPr>
        <w:t xml:space="preserve">Even though coordination was poor at first, Spain became a leader in vaccination. By June 2021, 55% of people had received at least one dose (WHO, 2022). (La </w:t>
      </w:r>
      <w:proofErr w:type="spellStart"/>
      <w:r w:rsidRPr="00A7739E">
        <w:rPr>
          <w:rFonts w:ascii="Arial" w:hAnsi="Arial" w:cs="Arial"/>
        </w:rPr>
        <w:t>vacunación</w:t>
      </w:r>
      <w:proofErr w:type="spellEnd"/>
      <w:r w:rsidRPr="00A7739E">
        <w:rPr>
          <w:rFonts w:ascii="Arial" w:hAnsi="Arial" w:cs="Arial"/>
        </w:rPr>
        <w:t xml:space="preserve">, a un </w:t>
      </w:r>
      <w:proofErr w:type="spellStart"/>
      <w:r w:rsidRPr="00A7739E">
        <w:rPr>
          <w:rFonts w:ascii="Arial" w:hAnsi="Arial" w:cs="Arial"/>
        </w:rPr>
        <w:t>ritmo</w:t>
      </w:r>
      <w:proofErr w:type="spellEnd"/>
      <w:r w:rsidRPr="00A7739E">
        <w:rPr>
          <w:rFonts w:ascii="Arial" w:hAnsi="Arial" w:cs="Arial"/>
        </w:rPr>
        <w:t xml:space="preserve"> </w:t>
      </w:r>
      <w:proofErr w:type="spellStart"/>
      <w:r w:rsidRPr="00A7739E">
        <w:rPr>
          <w:rFonts w:ascii="Arial" w:hAnsi="Arial" w:cs="Arial"/>
        </w:rPr>
        <w:t>impensable</w:t>
      </w:r>
      <w:proofErr w:type="spellEnd"/>
      <w:r w:rsidRPr="00A7739E">
        <w:rPr>
          <w:rFonts w:ascii="Arial" w:hAnsi="Arial" w:cs="Arial"/>
        </w:rPr>
        <w:t xml:space="preserve">: </w:t>
      </w:r>
      <w:proofErr w:type="spellStart"/>
      <w:r w:rsidRPr="00A7739E">
        <w:rPr>
          <w:rFonts w:ascii="Arial" w:hAnsi="Arial" w:cs="Arial"/>
        </w:rPr>
        <w:t>más</w:t>
      </w:r>
      <w:proofErr w:type="spellEnd"/>
      <w:r w:rsidRPr="00A7739E">
        <w:rPr>
          <w:rFonts w:ascii="Arial" w:hAnsi="Arial" w:cs="Arial"/>
        </w:rPr>
        <w:t xml:space="preserve"> </w:t>
      </w:r>
      <w:proofErr w:type="spellStart"/>
      <w:r w:rsidRPr="00A7739E">
        <w:rPr>
          <w:rFonts w:ascii="Arial" w:hAnsi="Arial" w:cs="Arial"/>
        </w:rPr>
        <w:t>rápido</w:t>
      </w:r>
      <w:proofErr w:type="spellEnd"/>
      <w:r w:rsidRPr="00A7739E">
        <w:rPr>
          <w:rFonts w:ascii="Arial" w:hAnsi="Arial" w:cs="Arial"/>
        </w:rPr>
        <w:t xml:space="preserve"> de lo </w:t>
      </w:r>
      <w:proofErr w:type="spellStart"/>
      <w:r w:rsidRPr="00A7739E">
        <w:rPr>
          <w:rFonts w:ascii="Arial" w:hAnsi="Arial" w:cs="Arial"/>
        </w:rPr>
        <w:t>previsto</w:t>
      </w:r>
      <w:proofErr w:type="spellEnd"/>
      <w:r w:rsidRPr="00A7739E">
        <w:rPr>
          <w:rFonts w:ascii="Arial" w:hAnsi="Arial" w:cs="Arial"/>
        </w:rPr>
        <w:t>, 2021) Regional health authorities used local networks and primary care to speed up the rollout. This shows that decentralisation can be an advantage when there are enough resources and clear national guidance.</w:t>
      </w:r>
    </w:p>
    <w:p w14:paraId="1E1A60E3" w14:textId="77777777" w:rsidR="00A7739E" w:rsidRPr="00070EC2" w:rsidRDefault="00A7739E" w:rsidP="00DD6E28">
      <w:pPr>
        <w:spacing w:line="360" w:lineRule="auto"/>
        <w:rPr>
          <w:rFonts w:ascii="Arial" w:hAnsi="Arial" w:cs="Arial"/>
        </w:rPr>
      </w:pPr>
      <w:r w:rsidRPr="00A7739E">
        <w:rPr>
          <w:rFonts w:ascii="Arial" w:hAnsi="Arial" w:cs="Arial"/>
          <w:i/>
          <w:iCs/>
        </w:rPr>
        <w:t>Figure 1 compares Spain’s vaccination success with South Korea and Canada, showing how governance affected rollout speed.</w:t>
      </w:r>
      <w:r w:rsidRPr="00A7739E">
        <w:rPr>
          <w:rFonts w:ascii="Arial" w:hAnsi="Arial" w:cs="Arial"/>
        </w:rPr>
        <w:t xml:space="preserve"> Spain’s path, from early disorganisation to later efficiency, highlights that decentralisation can slow crisis response but help with recovery and adaptation.</w:t>
      </w:r>
    </w:p>
    <w:p w14:paraId="40219565" w14:textId="07BCE9CE" w:rsidR="006D0102" w:rsidRPr="006D0102" w:rsidRDefault="006D0102" w:rsidP="00DD6E28">
      <w:pPr>
        <w:spacing w:line="360" w:lineRule="auto"/>
        <w:rPr>
          <w:rFonts w:ascii="Arial" w:hAnsi="Arial" w:cs="Arial"/>
        </w:rPr>
      </w:pPr>
      <w:r w:rsidRPr="00070EC2">
        <w:rPr>
          <w:rFonts w:ascii="Arial" w:hAnsi="Arial" w:cs="Arial"/>
          <w:noProof/>
        </w:rPr>
        <w:lastRenderedPageBreak/>
        <w:drawing>
          <wp:inline distT="0" distB="0" distL="0" distR="0" wp14:anchorId="1E691399" wp14:editId="034288C4">
            <wp:extent cx="5731510" cy="4093845"/>
            <wp:effectExtent l="0" t="0" r="2540" b="1905"/>
            <wp:docPr id="484381498" name="Picture 6" descr="A graph of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381498" name="Picture 6" descr="A graph of different colored square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093845"/>
                    </a:xfrm>
                    <a:prstGeom prst="rect">
                      <a:avLst/>
                    </a:prstGeom>
                    <a:noFill/>
                    <a:ln>
                      <a:noFill/>
                    </a:ln>
                  </pic:spPr>
                </pic:pic>
              </a:graphicData>
            </a:graphic>
          </wp:inline>
        </w:drawing>
      </w:r>
    </w:p>
    <w:p w14:paraId="69ACB584" w14:textId="77777777" w:rsidR="006D0102" w:rsidRPr="00A7739E" w:rsidRDefault="006D0102" w:rsidP="00DD6E28">
      <w:pPr>
        <w:spacing w:line="360" w:lineRule="auto"/>
        <w:rPr>
          <w:rFonts w:ascii="Arial" w:hAnsi="Arial" w:cs="Arial"/>
        </w:rPr>
      </w:pPr>
    </w:p>
    <w:p w14:paraId="7503B2E9" w14:textId="77777777" w:rsidR="00A7739E" w:rsidRPr="00A7739E" w:rsidRDefault="00A7739E" w:rsidP="00DD6E28">
      <w:pPr>
        <w:spacing w:line="360" w:lineRule="auto"/>
        <w:rPr>
          <w:rFonts w:ascii="Arial" w:hAnsi="Arial" w:cs="Arial"/>
        </w:rPr>
      </w:pPr>
      <w:r w:rsidRPr="00A7739E">
        <w:rPr>
          <w:rFonts w:ascii="Arial" w:hAnsi="Arial" w:cs="Arial"/>
        </w:rPr>
        <w:t>Public trust was key to getting people to follow rules. At first, mixed messages from central and regional authorities hurt confidence. But during the vaccination phase, clear communication and focus on vulnerable groups helped rebuild trust (Navarro &amp; Velasco, 2022). Surveys showed that most people accepted the vaccine, which accelerated the rollout once supplies stabilized. (83% of the Spanish population trusts in vaccination against Covid, 25 points more than in January 2021)</w:t>
      </w:r>
    </w:p>
    <w:p w14:paraId="29F39BAB" w14:textId="77777777" w:rsidR="00A7739E" w:rsidRPr="00A7739E" w:rsidRDefault="00A7739E" w:rsidP="00DD6E28">
      <w:pPr>
        <w:spacing w:line="360" w:lineRule="auto"/>
        <w:rPr>
          <w:rFonts w:ascii="Arial" w:hAnsi="Arial" w:cs="Arial"/>
          <w:b/>
          <w:bCs/>
        </w:rPr>
      </w:pPr>
    </w:p>
    <w:p w14:paraId="01A7AEE4" w14:textId="77777777" w:rsidR="00A7739E" w:rsidRPr="00A7739E" w:rsidRDefault="00A7739E" w:rsidP="00DD6E28">
      <w:pPr>
        <w:spacing w:line="360" w:lineRule="auto"/>
        <w:rPr>
          <w:rFonts w:ascii="Arial" w:hAnsi="Arial" w:cs="Arial"/>
        </w:rPr>
      </w:pPr>
      <w:r w:rsidRPr="00A7739E">
        <w:rPr>
          <w:rFonts w:ascii="Arial" w:hAnsi="Arial" w:cs="Arial"/>
        </w:rPr>
        <w:t>Spain’s experience offers critical insights for future health crises:</w:t>
      </w:r>
    </w:p>
    <w:p w14:paraId="18ED040C" w14:textId="79F12EED" w:rsidR="00A7739E" w:rsidRPr="00A7739E" w:rsidRDefault="00A7739E" w:rsidP="00DD6E28">
      <w:pPr>
        <w:numPr>
          <w:ilvl w:val="0"/>
          <w:numId w:val="4"/>
        </w:numPr>
        <w:spacing w:line="360" w:lineRule="auto"/>
        <w:rPr>
          <w:rFonts w:ascii="Arial" w:hAnsi="Arial" w:cs="Arial"/>
        </w:rPr>
      </w:pPr>
      <w:r w:rsidRPr="00A7739E">
        <w:rPr>
          <w:rFonts w:ascii="Arial" w:hAnsi="Arial" w:cs="Arial"/>
        </w:rPr>
        <w:t xml:space="preserve">Emergency Spain’s experience provides important lessons for future health emergencies: </w:t>
      </w:r>
      <w:r w:rsidR="00173091" w:rsidRPr="00070EC2">
        <w:rPr>
          <w:rFonts w:ascii="Arial" w:hAnsi="Arial" w:cs="Arial"/>
        </w:rPr>
        <w:t>containment but</w:t>
      </w:r>
      <w:r w:rsidRPr="00A7739E">
        <w:rPr>
          <w:rFonts w:ascii="Arial" w:hAnsi="Arial" w:cs="Arial"/>
        </w:rPr>
        <w:t xml:space="preserve"> strained political relations. Future frameworks should define clear triggers and limits for the central authority.</w:t>
      </w:r>
    </w:p>
    <w:p w14:paraId="57C10212" w14:textId="1A1A944E" w:rsidR="00A7739E" w:rsidRPr="00A7739E" w:rsidRDefault="00A7739E" w:rsidP="00DD6E28">
      <w:pPr>
        <w:numPr>
          <w:ilvl w:val="0"/>
          <w:numId w:val="4"/>
        </w:numPr>
        <w:spacing w:line="360" w:lineRule="auto"/>
        <w:rPr>
          <w:rFonts w:ascii="Arial" w:hAnsi="Arial" w:cs="Arial"/>
        </w:rPr>
      </w:pPr>
      <w:r w:rsidRPr="00A7739E">
        <w:rPr>
          <w:rFonts w:ascii="Arial" w:hAnsi="Arial" w:cs="Arial"/>
        </w:rPr>
        <w:t xml:space="preserve">Integrated Care is Essential: LTC failures underscore the need for governance. Integrated care is essential. Problems in long-term care show that health and social services need to be better connected through improved governance. In later waves, </w:t>
      </w:r>
      <w:r w:rsidR="009E5D9F" w:rsidRPr="00070EC2">
        <w:rPr>
          <w:rFonts w:ascii="Arial" w:hAnsi="Arial" w:cs="Arial"/>
        </w:rPr>
        <w:t>it proved</w:t>
      </w:r>
      <w:r w:rsidRPr="00A7739E">
        <w:rPr>
          <w:rFonts w:ascii="Arial" w:hAnsi="Arial" w:cs="Arial"/>
        </w:rPr>
        <w:t xml:space="preserve"> that regional autonomy </w:t>
      </w:r>
      <w:proofErr w:type="gramStart"/>
      <w:r w:rsidRPr="00A7739E">
        <w:rPr>
          <w:rFonts w:ascii="Arial" w:hAnsi="Arial" w:cs="Arial"/>
        </w:rPr>
        <w:t>can</w:t>
      </w:r>
      <w:proofErr w:type="gramEnd"/>
      <w:r w:rsidRPr="00A7739E">
        <w:rPr>
          <w:rFonts w:ascii="Arial" w:hAnsi="Arial" w:cs="Arial"/>
        </w:rPr>
        <w:t xml:space="preserve"> coexist with national coherence if supported by robust data-sharing and joint planning mechanisms.</w:t>
      </w:r>
    </w:p>
    <w:p w14:paraId="22795D59" w14:textId="77777777" w:rsidR="00A7739E" w:rsidRPr="00A7739E" w:rsidRDefault="00A7739E" w:rsidP="00DD6E28">
      <w:pPr>
        <w:numPr>
          <w:ilvl w:val="0"/>
          <w:numId w:val="4"/>
        </w:numPr>
        <w:spacing w:line="360" w:lineRule="auto"/>
        <w:rPr>
          <w:rFonts w:ascii="Arial" w:hAnsi="Arial" w:cs="Arial"/>
        </w:rPr>
      </w:pPr>
      <w:r w:rsidRPr="00A7739E">
        <w:rPr>
          <w:rFonts w:ascii="Arial" w:hAnsi="Arial" w:cs="Arial"/>
        </w:rPr>
        <w:lastRenderedPageBreak/>
        <w:t>Economic resilience is necessary. Weak finances have strained the health system, so stable funding is crucial for handling future crises.</w:t>
      </w:r>
    </w:p>
    <w:p w14:paraId="768CE6F3" w14:textId="77777777" w:rsidR="00F63ABA" w:rsidRPr="00070EC2" w:rsidRDefault="00F63ABA" w:rsidP="00DD6E28">
      <w:pPr>
        <w:spacing w:line="360" w:lineRule="auto"/>
        <w:rPr>
          <w:rFonts w:ascii="Arial" w:hAnsi="Arial" w:cs="Arial"/>
        </w:rPr>
      </w:pPr>
    </w:p>
    <w:p w14:paraId="478E197F" w14:textId="477DD20E" w:rsidR="003B4EAE" w:rsidRPr="003B4EAE" w:rsidRDefault="00D2222B" w:rsidP="00DD6E28">
      <w:pPr>
        <w:spacing w:line="360" w:lineRule="auto"/>
        <w:rPr>
          <w:rFonts w:ascii="Arial" w:hAnsi="Arial" w:cs="Arial"/>
          <w:b/>
          <w:bCs/>
        </w:rPr>
      </w:pPr>
      <w:r w:rsidRPr="00070EC2">
        <w:rPr>
          <w:rFonts w:ascii="Arial" w:hAnsi="Arial" w:cs="Arial"/>
          <w:b/>
          <w:bCs/>
        </w:rPr>
        <w:t>2</w:t>
      </w:r>
      <w:r w:rsidR="00E9158A">
        <w:rPr>
          <w:rFonts w:ascii="Arial" w:hAnsi="Arial" w:cs="Arial"/>
          <w:b/>
          <w:bCs/>
        </w:rPr>
        <w:t>.2:</w:t>
      </w:r>
      <w:r w:rsidRPr="00070EC2">
        <w:rPr>
          <w:rFonts w:ascii="Arial" w:hAnsi="Arial" w:cs="Arial"/>
          <w:b/>
          <w:bCs/>
        </w:rPr>
        <w:t xml:space="preserve"> </w:t>
      </w:r>
      <w:r w:rsidR="003B4EAE" w:rsidRPr="003B4EAE">
        <w:rPr>
          <w:rFonts w:ascii="Arial" w:hAnsi="Arial" w:cs="Arial"/>
          <w:b/>
          <w:bCs/>
        </w:rPr>
        <w:t xml:space="preserve">South Korea: Centralised </w:t>
      </w:r>
    </w:p>
    <w:p w14:paraId="6DEBF53C" w14:textId="257AEB30" w:rsidR="003B4EAE" w:rsidRPr="003B4EAE" w:rsidRDefault="003B4EAE" w:rsidP="00DD6E28">
      <w:pPr>
        <w:spacing w:line="360" w:lineRule="auto"/>
        <w:rPr>
          <w:rFonts w:ascii="Arial" w:hAnsi="Arial" w:cs="Arial"/>
        </w:rPr>
      </w:pPr>
      <w:r w:rsidRPr="003B4EAE">
        <w:rPr>
          <w:rFonts w:ascii="Arial" w:hAnsi="Arial" w:cs="Arial"/>
        </w:rPr>
        <w:t xml:space="preserve">South Korea’s healthcare system is highly centralised, directed by the Korea Disease Control and Prevention Agency (KDCA) and the Ministry of Health and Welfare (MOHW). This structure enables rapid policy implementation and uniform standards nationwide. Sophisticated digital infrastructure was instrumental during COVID-19, facilitating surveillance and contact tracing (Hong et al., 2024). </w:t>
      </w:r>
    </w:p>
    <w:p w14:paraId="102BE1A1" w14:textId="77777777" w:rsidR="003B4EAE" w:rsidRPr="003B4EAE" w:rsidRDefault="003B4EAE" w:rsidP="00DD6E28">
      <w:pPr>
        <w:spacing w:line="360" w:lineRule="auto"/>
        <w:rPr>
          <w:rFonts w:ascii="Arial" w:hAnsi="Arial" w:cs="Arial"/>
        </w:rPr>
      </w:pPr>
      <w:r w:rsidRPr="003B4EAE">
        <w:rPr>
          <w:rFonts w:ascii="Arial" w:hAnsi="Arial" w:cs="Arial"/>
        </w:rPr>
        <w:t>South Korea adopted an approach to COVID-19 management that coordinated ministries, local governments, and the private sector under central leadership. Hong et al. (2024) note that this "whole-of-government" and "whole-of-nation" approach enhanced policy implementation and adaptability. Early interventions included:</w:t>
      </w:r>
    </w:p>
    <w:p w14:paraId="7E7BA770" w14:textId="77777777" w:rsidR="003B4EAE" w:rsidRPr="003B4EAE" w:rsidRDefault="003B4EAE" w:rsidP="00DD6E28">
      <w:pPr>
        <w:numPr>
          <w:ilvl w:val="0"/>
          <w:numId w:val="5"/>
        </w:numPr>
        <w:spacing w:line="360" w:lineRule="auto"/>
        <w:rPr>
          <w:rFonts w:ascii="Arial" w:hAnsi="Arial" w:cs="Arial"/>
        </w:rPr>
      </w:pPr>
      <w:r w:rsidRPr="003B4EAE">
        <w:rPr>
          <w:rFonts w:ascii="Arial" w:hAnsi="Arial" w:cs="Arial"/>
          <w:b/>
          <w:bCs/>
        </w:rPr>
        <w:t>Aggressive Testing and Tracing</w:t>
      </w:r>
      <w:r w:rsidRPr="003B4EAE">
        <w:rPr>
          <w:rFonts w:ascii="Arial" w:hAnsi="Arial" w:cs="Arial"/>
        </w:rPr>
        <w:t>: Drive-through testing sites and extensive PCR testing were deployed nationwide.</w:t>
      </w:r>
    </w:p>
    <w:p w14:paraId="68D37E9A" w14:textId="77777777" w:rsidR="003B4EAE" w:rsidRPr="003B4EAE" w:rsidRDefault="003B4EAE" w:rsidP="00DD6E28">
      <w:pPr>
        <w:numPr>
          <w:ilvl w:val="0"/>
          <w:numId w:val="5"/>
        </w:numPr>
        <w:spacing w:line="360" w:lineRule="auto"/>
        <w:rPr>
          <w:rFonts w:ascii="Arial" w:hAnsi="Arial" w:cs="Arial"/>
        </w:rPr>
      </w:pPr>
      <w:r w:rsidRPr="003B4EAE">
        <w:rPr>
          <w:rFonts w:ascii="Arial" w:hAnsi="Arial" w:cs="Arial"/>
          <w:b/>
          <w:bCs/>
        </w:rPr>
        <w:t>Digital Contact Tracing</w:t>
      </w:r>
      <w:r w:rsidRPr="003B4EAE">
        <w:rPr>
          <w:rFonts w:ascii="Arial" w:hAnsi="Arial" w:cs="Arial"/>
        </w:rPr>
        <w:t>: Mobile apps and credit card transaction data were used to track exposure, supported by legal frameworks for data use (Lee &amp; Wong, 2021). (Lessons from the Asia-Pacific: COVID-19 Response and Recovery, 2020)</w:t>
      </w:r>
    </w:p>
    <w:p w14:paraId="14ACD129" w14:textId="77777777" w:rsidR="003B4EAE" w:rsidRPr="003B4EAE" w:rsidRDefault="003B4EAE" w:rsidP="00DD6E28">
      <w:pPr>
        <w:numPr>
          <w:ilvl w:val="0"/>
          <w:numId w:val="5"/>
        </w:numPr>
        <w:spacing w:line="360" w:lineRule="auto"/>
        <w:rPr>
          <w:rFonts w:ascii="Arial" w:hAnsi="Arial" w:cs="Arial"/>
        </w:rPr>
      </w:pPr>
      <w:r w:rsidRPr="003B4EAE">
        <w:rPr>
          <w:rFonts w:ascii="Arial" w:hAnsi="Arial" w:cs="Arial"/>
          <w:b/>
          <w:bCs/>
        </w:rPr>
        <w:t>Transparent Communication</w:t>
      </w:r>
      <w:r w:rsidRPr="003B4EAE">
        <w:rPr>
          <w:rFonts w:ascii="Arial" w:hAnsi="Arial" w:cs="Arial"/>
        </w:rPr>
        <w:t>: Daily briefings and open data dashboards built public trust and compliance (Kim et al., 2021). (Public information disclosure, 2020)</w:t>
      </w:r>
    </w:p>
    <w:p w14:paraId="44E0C4FF" w14:textId="77777777" w:rsidR="003B4EAE" w:rsidRPr="003B4EAE" w:rsidRDefault="003B4EAE" w:rsidP="00DD6E28">
      <w:pPr>
        <w:spacing w:line="360" w:lineRule="auto"/>
        <w:rPr>
          <w:rFonts w:ascii="Arial" w:hAnsi="Arial" w:cs="Arial"/>
        </w:rPr>
      </w:pPr>
      <w:r w:rsidRPr="003B4EAE">
        <w:rPr>
          <w:rFonts w:ascii="Arial" w:hAnsi="Arial" w:cs="Arial"/>
        </w:rPr>
        <w:t>Unlike many other countries, South Korea did not use nationwide lockdowns. Instead, it relied on targeted restrictions and social distancing. This approach helped keep the economy stable while still controlling the virus's spread.</w:t>
      </w:r>
    </w:p>
    <w:p w14:paraId="51879602" w14:textId="64E8F796" w:rsidR="003B4EAE" w:rsidRPr="003B4EAE" w:rsidRDefault="003B4EAE" w:rsidP="00DD6E28">
      <w:pPr>
        <w:spacing w:line="360" w:lineRule="auto"/>
        <w:rPr>
          <w:rFonts w:ascii="Arial" w:hAnsi="Arial" w:cs="Arial"/>
        </w:rPr>
      </w:pPr>
      <w:r w:rsidRPr="003B4EAE">
        <w:rPr>
          <w:rFonts w:ascii="Arial" w:hAnsi="Arial" w:cs="Arial"/>
        </w:rPr>
        <w:t>Centralisation enabled quick resource mobilisation and the delivery of clear messages. Lee &amp; Wong (2021) argue that hybrid governance, which combines top-down authority with collaboration, was important for flexible policies. (Lee et al., 2021) Public-private partnerships helped produce test kits and personal protective equipment, thereby reducing the country's reliance on imports (Kim et al., 2021). (Oh &amp; J., 2020)</w:t>
      </w:r>
    </w:p>
    <w:p w14:paraId="5992BD71" w14:textId="77777777" w:rsidR="003B4EAE" w:rsidRPr="003B4EAE" w:rsidRDefault="003B4EAE" w:rsidP="00DD6E28">
      <w:pPr>
        <w:spacing w:line="360" w:lineRule="auto"/>
        <w:rPr>
          <w:rFonts w:ascii="Arial" w:hAnsi="Arial" w:cs="Arial"/>
        </w:rPr>
      </w:pPr>
      <w:r w:rsidRPr="003B4EAE">
        <w:rPr>
          <w:rFonts w:ascii="Arial" w:hAnsi="Arial" w:cs="Arial"/>
        </w:rPr>
        <w:t>Despite effective containment, South Korea encountered several challenges:</w:t>
      </w:r>
    </w:p>
    <w:p w14:paraId="6D7A7569" w14:textId="77777777" w:rsidR="003B4EAE" w:rsidRPr="003B4EAE" w:rsidRDefault="003B4EAE" w:rsidP="00DD6E28">
      <w:pPr>
        <w:numPr>
          <w:ilvl w:val="0"/>
          <w:numId w:val="6"/>
        </w:numPr>
        <w:spacing w:line="360" w:lineRule="auto"/>
        <w:rPr>
          <w:rFonts w:ascii="Arial" w:hAnsi="Arial" w:cs="Arial"/>
        </w:rPr>
      </w:pPr>
      <w:r w:rsidRPr="003B4EAE">
        <w:rPr>
          <w:rFonts w:ascii="Arial" w:hAnsi="Arial" w:cs="Arial"/>
          <w:b/>
          <w:bCs/>
        </w:rPr>
        <w:t>Vaccine Procurement Delays</w:t>
      </w:r>
      <w:r w:rsidRPr="003B4EAE">
        <w:rPr>
          <w:rFonts w:ascii="Arial" w:hAnsi="Arial" w:cs="Arial"/>
        </w:rPr>
        <w:t xml:space="preserve">: Prioritising containment over early vaccine acquisition led to a slower rollout. By June 2021, only 30% of the population was </w:t>
      </w:r>
      <w:r w:rsidRPr="003B4EAE">
        <w:rPr>
          <w:rFonts w:ascii="Arial" w:hAnsi="Arial" w:cs="Arial"/>
        </w:rPr>
        <w:lastRenderedPageBreak/>
        <w:t>vaccinated (OECD, 2021). (Korea's COVID-19 vaccination rate ranks 10th among OECD countries, 2021)</w:t>
      </w:r>
    </w:p>
    <w:p w14:paraId="0DF7236D" w14:textId="77777777" w:rsidR="003B4EAE" w:rsidRPr="003B4EAE" w:rsidRDefault="003B4EAE" w:rsidP="00DD6E28">
      <w:pPr>
        <w:numPr>
          <w:ilvl w:val="0"/>
          <w:numId w:val="6"/>
        </w:numPr>
        <w:spacing w:line="360" w:lineRule="auto"/>
        <w:rPr>
          <w:rFonts w:ascii="Arial" w:hAnsi="Arial" w:cs="Arial"/>
        </w:rPr>
      </w:pPr>
      <w:r w:rsidRPr="003B4EAE">
        <w:rPr>
          <w:rFonts w:ascii="Arial" w:hAnsi="Arial" w:cs="Arial"/>
          <w:b/>
          <w:bCs/>
        </w:rPr>
        <w:t>Fiscal Sustainability</w:t>
      </w:r>
      <w:r w:rsidRPr="003B4EAE">
        <w:rPr>
          <w:rFonts w:ascii="Arial" w:hAnsi="Arial" w:cs="Arial"/>
        </w:rPr>
        <w:t xml:space="preserve">: </w:t>
      </w:r>
      <w:r w:rsidRPr="007F434C">
        <w:rPr>
          <w:rFonts w:ascii="Arial" w:hAnsi="Arial" w:cs="Arial"/>
        </w:rPr>
        <w:t>Park et al. (2022)</w:t>
      </w:r>
      <w:r w:rsidRPr="003B4EAE">
        <w:rPr>
          <w:rFonts w:ascii="Arial" w:hAnsi="Arial" w:cs="Arial"/>
        </w:rPr>
        <w:t xml:space="preserve"> explain that crisis-driven health financing reforms, including emergency allocations for testing and tracing, compromised long-term fiscal stability. (Park et al., 2022)</w:t>
      </w:r>
    </w:p>
    <w:p w14:paraId="5D16BDD3" w14:textId="77777777" w:rsidR="003B4EAE" w:rsidRPr="003B4EAE" w:rsidRDefault="003B4EAE" w:rsidP="00DD6E28">
      <w:pPr>
        <w:numPr>
          <w:ilvl w:val="0"/>
          <w:numId w:val="6"/>
        </w:numPr>
        <w:spacing w:line="360" w:lineRule="auto"/>
        <w:rPr>
          <w:rFonts w:ascii="Arial" w:hAnsi="Arial" w:cs="Arial"/>
        </w:rPr>
      </w:pPr>
      <w:r w:rsidRPr="003B4EAE">
        <w:rPr>
          <w:rFonts w:ascii="Arial" w:hAnsi="Arial" w:cs="Arial"/>
          <w:b/>
          <w:bCs/>
        </w:rPr>
        <w:t>Privacy Concerns</w:t>
      </w:r>
      <w:r w:rsidRPr="003B4EAE">
        <w:rPr>
          <w:rFonts w:ascii="Arial" w:hAnsi="Arial" w:cs="Arial"/>
        </w:rPr>
        <w:t>: Digital tracing raised ethical debates about data protection, though public acceptance remained high due to perceived benefits (Hong et al., 2024). (Kim et al., 2022)</w:t>
      </w:r>
    </w:p>
    <w:p w14:paraId="4C7D2E74" w14:textId="77777777" w:rsidR="003B4EAE" w:rsidRPr="003B4EAE" w:rsidRDefault="003B4EAE" w:rsidP="00DD6E28">
      <w:pPr>
        <w:spacing w:line="360" w:lineRule="auto"/>
        <w:rPr>
          <w:rFonts w:ascii="Arial" w:hAnsi="Arial" w:cs="Arial"/>
          <w:b/>
          <w:bCs/>
        </w:rPr>
      </w:pPr>
    </w:p>
    <w:p w14:paraId="796BFA12" w14:textId="77777777" w:rsidR="003B4EAE" w:rsidRPr="003B4EAE" w:rsidRDefault="003B4EAE" w:rsidP="00DD6E28">
      <w:pPr>
        <w:spacing w:line="360" w:lineRule="auto"/>
        <w:rPr>
          <w:rFonts w:ascii="Arial" w:hAnsi="Arial" w:cs="Arial"/>
        </w:rPr>
      </w:pPr>
      <w:r w:rsidRPr="003B4EAE">
        <w:rPr>
          <w:rFonts w:ascii="Arial" w:hAnsi="Arial" w:cs="Arial"/>
        </w:rPr>
        <w:t>South Korea kept its COVID-19 fatality rate among the lowest in the world, showing the benefits of centralisation during a crisis. (Hong &amp; B., 2024) In the first year, mortality stayed below 0.5%, while Spain’s rate was over 2% (European Observatory, 2021). The economy shrank by only 0.9% in 2020, much less than Spain’s 10.8% drop (European Commission, 2021). (EU-Korea Relations: Facts and Figures) South Korea’s vaccination rate was lower than that in other OECD countries. Figure 1 shows 30% coverage in South Korea, compared to 55% in Spain and 45% in Canada. This outcome stemmed from prioritising containment over immunisation, which is often seen in centralised systems.</w:t>
      </w:r>
    </w:p>
    <w:p w14:paraId="5435864A" w14:textId="77777777" w:rsidR="003B4EAE" w:rsidRPr="003B4EAE" w:rsidRDefault="003B4EAE" w:rsidP="00DD6E28">
      <w:pPr>
        <w:spacing w:line="360" w:lineRule="auto"/>
        <w:rPr>
          <w:rFonts w:ascii="Arial" w:hAnsi="Arial" w:cs="Arial"/>
        </w:rPr>
      </w:pPr>
      <w:r w:rsidRPr="003B4EAE">
        <w:rPr>
          <w:rFonts w:ascii="Arial" w:hAnsi="Arial" w:cs="Arial"/>
        </w:rPr>
        <w:t>Public trust played a key role in South Korea’s success. Clear communication and a culture that values group cooperation helped people follow testing and isolation rules (Lee &amp; Wong, 2021). Surveys showed strong approval of government actions, which strengthened support for centralised leadership. (SOUTH KOREA 2021, 2020)</w:t>
      </w:r>
    </w:p>
    <w:p w14:paraId="1D188940" w14:textId="77777777" w:rsidR="003B4EAE" w:rsidRPr="003B4EAE" w:rsidRDefault="003B4EAE" w:rsidP="00DD6E28">
      <w:pPr>
        <w:spacing w:line="360" w:lineRule="auto"/>
        <w:rPr>
          <w:rFonts w:ascii="Arial" w:hAnsi="Arial" w:cs="Arial"/>
        </w:rPr>
      </w:pPr>
      <w:r w:rsidRPr="003B4EAE">
        <w:rPr>
          <w:rFonts w:ascii="Arial" w:hAnsi="Arial" w:cs="Arial"/>
        </w:rPr>
        <w:t>South Korea’s experience provides several key lessons:</w:t>
      </w:r>
    </w:p>
    <w:p w14:paraId="515628AD" w14:textId="77777777" w:rsidR="003B4EAE" w:rsidRPr="003B4EAE" w:rsidRDefault="003B4EAE" w:rsidP="00DD6E28">
      <w:pPr>
        <w:numPr>
          <w:ilvl w:val="0"/>
          <w:numId w:val="7"/>
        </w:numPr>
        <w:spacing w:line="360" w:lineRule="auto"/>
        <w:rPr>
          <w:rFonts w:ascii="Arial" w:hAnsi="Arial" w:cs="Arial"/>
        </w:rPr>
      </w:pPr>
      <w:r w:rsidRPr="003B4EAE">
        <w:rPr>
          <w:rFonts w:ascii="Arial" w:hAnsi="Arial" w:cs="Arial"/>
          <w:b/>
          <w:bCs/>
        </w:rPr>
        <w:t>Centralisation Enables Rapid Crisis Control</w:t>
      </w:r>
      <w:r w:rsidRPr="003B4EAE">
        <w:rPr>
          <w:rFonts w:ascii="Arial" w:hAnsi="Arial" w:cs="Arial"/>
        </w:rPr>
        <w:t>: Unified leadership and integrated digital systems allowed swift containment without full lockdowns.</w:t>
      </w:r>
    </w:p>
    <w:p w14:paraId="7163592D" w14:textId="77777777" w:rsidR="003B4EAE" w:rsidRPr="003B4EAE" w:rsidRDefault="003B4EAE" w:rsidP="00DD6E28">
      <w:pPr>
        <w:numPr>
          <w:ilvl w:val="0"/>
          <w:numId w:val="7"/>
        </w:numPr>
        <w:spacing w:line="360" w:lineRule="auto"/>
        <w:rPr>
          <w:rFonts w:ascii="Arial" w:hAnsi="Arial" w:cs="Arial"/>
        </w:rPr>
      </w:pPr>
      <w:r w:rsidRPr="003B4EAE">
        <w:rPr>
          <w:rFonts w:ascii="Arial" w:hAnsi="Arial" w:cs="Arial"/>
          <w:b/>
          <w:bCs/>
        </w:rPr>
        <w:t>Hybrid Governance Enhances Resilience</w:t>
      </w:r>
      <w:r w:rsidRPr="003B4EAE">
        <w:rPr>
          <w:rFonts w:ascii="Arial" w:hAnsi="Arial" w:cs="Arial"/>
        </w:rPr>
        <w:t>: Combining hierarchical authority with networked partnerships ensured resource mobilisation and innovation.</w:t>
      </w:r>
    </w:p>
    <w:p w14:paraId="0B60F582" w14:textId="77777777" w:rsidR="003B4EAE" w:rsidRPr="003B4EAE" w:rsidRDefault="003B4EAE" w:rsidP="00DD6E28">
      <w:pPr>
        <w:numPr>
          <w:ilvl w:val="0"/>
          <w:numId w:val="7"/>
        </w:numPr>
        <w:spacing w:line="360" w:lineRule="auto"/>
        <w:rPr>
          <w:rFonts w:ascii="Arial" w:hAnsi="Arial" w:cs="Arial"/>
        </w:rPr>
      </w:pPr>
      <w:r w:rsidRPr="003B4EAE">
        <w:rPr>
          <w:rFonts w:ascii="Arial" w:hAnsi="Arial" w:cs="Arial"/>
          <w:b/>
          <w:bCs/>
        </w:rPr>
        <w:t>Balancing Containment and Recovery</w:t>
      </w:r>
      <w:r w:rsidRPr="003B4EAE">
        <w:rPr>
          <w:rFonts w:ascii="Arial" w:hAnsi="Arial" w:cs="Arial"/>
        </w:rPr>
        <w:t>: Delayed vaccination underscores the need for simultaneous planning for both the acute and long-term phases.</w:t>
      </w:r>
    </w:p>
    <w:p w14:paraId="21B72DE8" w14:textId="77777777" w:rsidR="003B4EAE" w:rsidRPr="003B4EAE" w:rsidRDefault="003B4EAE" w:rsidP="00DD6E28">
      <w:pPr>
        <w:numPr>
          <w:ilvl w:val="0"/>
          <w:numId w:val="7"/>
        </w:numPr>
        <w:spacing w:line="360" w:lineRule="auto"/>
        <w:rPr>
          <w:rFonts w:ascii="Arial" w:hAnsi="Arial" w:cs="Arial"/>
        </w:rPr>
      </w:pPr>
      <w:r w:rsidRPr="003B4EAE">
        <w:rPr>
          <w:rFonts w:ascii="Arial" w:hAnsi="Arial" w:cs="Arial"/>
          <w:b/>
          <w:bCs/>
        </w:rPr>
        <w:t>Ethical Frameworks for Digital Health</w:t>
      </w:r>
      <w:r w:rsidRPr="003B4EAE">
        <w:rPr>
          <w:rFonts w:ascii="Arial" w:hAnsi="Arial" w:cs="Arial"/>
        </w:rPr>
        <w:t>: Privacy concerns should be addressed proactively to sustain public trust in technology-driven interventions.</w:t>
      </w:r>
    </w:p>
    <w:p w14:paraId="0B68E12B" w14:textId="77777777" w:rsidR="003B4EAE" w:rsidRPr="003B4EAE" w:rsidRDefault="003B4EAE" w:rsidP="00DD6E28">
      <w:pPr>
        <w:spacing w:line="360" w:lineRule="auto"/>
        <w:rPr>
          <w:rFonts w:ascii="Arial" w:hAnsi="Arial" w:cs="Arial"/>
        </w:rPr>
      </w:pPr>
    </w:p>
    <w:p w14:paraId="742DCB75" w14:textId="77777777" w:rsidR="00F63ABA" w:rsidRPr="00070EC2" w:rsidRDefault="00F63ABA" w:rsidP="00DD6E28">
      <w:pPr>
        <w:spacing w:line="360" w:lineRule="auto"/>
        <w:rPr>
          <w:rFonts w:ascii="Arial" w:hAnsi="Arial" w:cs="Arial"/>
        </w:rPr>
      </w:pPr>
    </w:p>
    <w:p w14:paraId="002DE418" w14:textId="77777777" w:rsidR="00DD2D52" w:rsidRPr="00070EC2" w:rsidRDefault="00DD2D52" w:rsidP="00DD6E28">
      <w:pPr>
        <w:spacing w:line="360" w:lineRule="auto"/>
        <w:rPr>
          <w:rFonts w:ascii="Arial" w:hAnsi="Arial" w:cs="Arial"/>
        </w:rPr>
      </w:pPr>
    </w:p>
    <w:p w14:paraId="346931D5" w14:textId="061877F6" w:rsidR="00510E5D" w:rsidRPr="00510E5D" w:rsidRDefault="00E9158A" w:rsidP="00DD6E28">
      <w:pPr>
        <w:spacing w:line="360" w:lineRule="auto"/>
        <w:rPr>
          <w:rFonts w:ascii="Arial" w:hAnsi="Arial" w:cs="Arial"/>
          <w:b/>
          <w:bCs/>
        </w:rPr>
      </w:pPr>
      <w:r>
        <w:rPr>
          <w:rFonts w:ascii="Arial" w:hAnsi="Arial" w:cs="Arial"/>
          <w:b/>
          <w:bCs/>
        </w:rPr>
        <w:t xml:space="preserve">2.3: </w:t>
      </w:r>
      <w:r w:rsidR="00510E5D" w:rsidRPr="00510E5D">
        <w:rPr>
          <w:rFonts w:ascii="Arial" w:hAnsi="Arial" w:cs="Arial"/>
          <w:b/>
          <w:bCs/>
        </w:rPr>
        <w:t xml:space="preserve">Canada: Federal Decentralisation </w:t>
      </w:r>
    </w:p>
    <w:p w14:paraId="42A999A3" w14:textId="77777777" w:rsidR="00510E5D" w:rsidRPr="00510E5D" w:rsidRDefault="00510E5D" w:rsidP="00DD6E28">
      <w:pPr>
        <w:spacing w:line="360" w:lineRule="auto"/>
        <w:rPr>
          <w:rFonts w:ascii="Arial" w:hAnsi="Arial" w:cs="Arial"/>
        </w:rPr>
      </w:pPr>
      <w:r w:rsidRPr="00510E5D">
        <w:rPr>
          <w:rFonts w:ascii="Arial" w:hAnsi="Arial" w:cs="Arial"/>
        </w:rPr>
        <w:t>Canada’s healthcare system is highly decentralised. Provinces and territories handle most service delivery, while the federal government oversees funding, procurement, and national guidelines (Government of Canada, 2021). (COVID-19 immunization: Federal, provincial and territorial statement of common principles, 2021) This setup allows for regional flexibility but makes it harder to respond quickly and consistently during crises. Public health responsibilities are split between federal agencies, like the Public Health Agency of Canada, and provincial health authorities, creating a complex governance structure (Flood &amp; Thomas, 2021). (A Vision to Transform Canada's Public Health System, 2021)</w:t>
      </w:r>
    </w:p>
    <w:p w14:paraId="7F77D335" w14:textId="77777777" w:rsidR="00510E5D" w:rsidRPr="00510E5D" w:rsidRDefault="00510E5D" w:rsidP="00DD6E28">
      <w:pPr>
        <w:spacing w:line="360" w:lineRule="auto"/>
        <w:rPr>
          <w:rFonts w:ascii="Arial" w:hAnsi="Arial" w:cs="Arial"/>
        </w:rPr>
      </w:pPr>
      <w:r w:rsidRPr="00510E5D">
        <w:rPr>
          <w:rFonts w:ascii="Arial" w:hAnsi="Arial" w:cs="Arial"/>
        </w:rPr>
        <w:t xml:space="preserve">During COVID-19, Canada faced major coordination problems. The federal government handled vaccine procurement and border controls, while provinces decided on lockdowns, testing, and distribution plans. </w:t>
      </w:r>
      <w:proofErr w:type="spellStart"/>
      <w:r w:rsidRPr="007F434C">
        <w:rPr>
          <w:rFonts w:ascii="Arial" w:hAnsi="Arial" w:cs="Arial"/>
        </w:rPr>
        <w:t>Migone</w:t>
      </w:r>
      <w:proofErr w:type="spellEnd"/>
      <w:r w:rsidRPr="007F434C">
        <w:rPr>
          <w:rFonts w:ascii="Arial" w:hAnsi="Arial" w:cs="Arial"/>
        </w:rPr>
        <w:t xml:space="preserve"> (2020)</w:t>
      </w:r>
      <w:r w:rsidRPr="00510E5D">
        <w:rPr>
          <w:rFonts w:ascii="Arial" w:hAnsi="Arial" w:cs="Arial"/>
        </w:rPr>
        <w:t xml:space="preserve"> calls this approach “punctuated gradualism”: provinces adapted their responses, but national action was slow, especially for vulnerable groups. (</w:t>
      </w:r>
      <w:proofErr w:type="spellStart"/>
      <w:r w:rsidRPr="00510E5D">
        <w:rPr>
          <w:rFonts w:ascii="Arial" w:hAnsi="Arial" w:cs="Arial"/>
        </w:rPr>
        <w:t>Migone</w:t>
      </w:r>
      <w:proofErr w:type="spellEnd"/>
      <w:r w:rsidRPr="00510E5D">
        <w:rPr>
          <w:rFonts w:ascii="Arial" w:hAnsi="Arial" w:cs="Arial"/>
        </w:rPr>
        <w:t xml:space="preserve"> &amp; Riccardo, 2020) As a result, restrictions and interventions varied across provinces (Cyr et al., 2021). (Cameron-Blake et al., 2021)</w:t>
      </w:r>
    </w:p>
    <w:p w14:paraId="32EEA605" w14:textId="77777777" w:rsidR="00510E5D" w:rsidRPr="00510E5D" w:rsidRDefault="00510E5D" w:rsidP="00DD6E28">
      <w:pPr>
        <w:spacing w:line="360" w:lineRule="auto"/>
        <w:rPr>
          <w:rFonts w:ascii="Arial" w:hAnsi="Arial" w:cs="Arial"/>
        </w:rPr>
      </w:pPr>
      <w:r w:rsidRPr="00510E5D">
        <w:rPr>
          <w:rFonts w:ascii="Arial" w:hAnsi="Arial" w:cs="Arial"/>
        </w:rPr>
        <w:t xml:space="preserve">The federal government tried to unify messaging with daily briefings and national guidelines, but it could not enforce compliance. </w:t>
      </w:r>
      <w:r w:rsidRPr="007F434C">
        <w:rPr>
          <w:rFonts w:ascii="Arial" w:hAnsi="Arial" w:cs="Arial"/>
        </w:rPr>
        <w:t>Allin et al. (2021</w:t>
      </w:r>
      <w:r w:rsidRPr="00510E5D">
        <w:rPr>
          <w:rFonts w:ascii="Arial" w:hAnsi="Arial" w:cs="Arial"/>
          <w:b/>
          <w:bCs/>
        </w:rPr>
        <w:t>)</w:t>
      </w:r>
      <w:r w:rsidRPr="00510E5D">
        <w:rPr>
          <w:rFonts w:ascii="Arial" w:hAnsi="Arial" w:cs="Arial"/>
        </w:rPr>
        <w:t xml:space="preserve"> note that federal leadership helped coordination, but constitutional limits stopped uniform measures, leading to gaps in long-term care (LTC) and surveillance systems. (Allin et al., 2021)</w:t>
      </w:r>
    </w:p>
    <w:p w14:paraId="0863DAC5" w14:textId="77777777" w:rsidR="00510E5D" w:rsidRPr="00510E5D" w:rsidRDefault="00510E5D" w:rsidP="00DD6E28">
      <w:pPr>
        <w:spacing w:line="360" w:lineRule="auto"/>
        <w:rPr>
          <w:rFonts w:ascii="Arial" w:hAnsi="Arial" w:cs="Arial"/>
        </w:rPr>
      </w:pPr>
      <w:r w:rsidRPr="00510E5D">
        <w:rPr>
          <w:rFonts w:ascii="Arial" w:hAnsi="Arial" w:cs="Arial"/>
        </w:rPr>
        <w:t>The pandemic revealed weaknesses in Canada’s health system:</w:t>
      </w:r>
    </w:p>
    <w:p w14:paraId="79CC7FF2" w14:textId="77777777" w:rsidR="00510E5D" w:rsidRPr="00510E5D" w:rsidRDefault="00510E5D" w:rsidP="00DD6E28">
      <w:pPr>
        <w:numPr>
          <w:ilvl w:val="0"/>
          <w:numId w:val="8"/>
        </w:numPr>
        <w:spacing w:line="360" w:lineRule="auto"/>
        <w:rPr>
          <w:rFonts w:ascii="Arial" w:hAnsi="Arial" w:cs="Arial"/>
        </w:rPr>
      </w:pPr>
      <w:r w:rsidRPr="00510E5D">
        <w:rPr>
          <w:rFonts w:ascii="Arial" w:hAnsi="Arial" w:cs="Arial"/>
          <w:b/>
          <w:bCs/>
        </w:rPr>
        <w:t>Long-Term Care Crisis</w:t>
      </w:r>
      <w:r w:rsidRPr="00510E5D">
        <w:rPr>
          <w:rFonts w:ascii="Arial" w:hAnsi="Arial" w:cs="Arial"/>
        </w:rPr>
        <w:t xml:space="preserve">: LTC facilities saw a much higher share of COVID-19 deaths. </w:t>
      </w:r>
      <w:r w:rsidRPr="007F434C">
        <w:rPr>
          <w:rFonts w:ascii="Arial" w:hAnsi="Arial" w:cs="Arial"/>
        </w:rPr>
        <w:t xml:space="preserve">Detsky &amp; </w:t>
      </w:r>
      <w:proofErr w:type="spellStart"/>
      <w:r w:rsidRPr="007F434C">
        <w:rPr>
          <w:rFonts w:ascii="Arial" w:hAnsi="Arial" w:cs="Arial"/>
        </w:rPr>
        <w:t>Bogoch</w:t>
      </w:r>
      <w:proofErr w:type="spellEnd"/>
      <w:r w:rsidRPr="007F434C">
        <w:rPr>
          <w:rFonts w:ascii="Arial" w:hAnsi="Arial" w:cs="Arial"/>
        </w:rPr>
        <w:t xml:space="preserve"> (2020)</w:t>
      </w:r>
      <w:r w:rsidRPr="00510E5D">
        <w:rPr>
          <w:rFonts w:ascii="Arial" w:hAnsi="Arial" w:cs="Arial"/>
        </w:rPr>
        <w:t xml:space="preserve"> point out that decentralised governance led to fragmented oversight. Provinces set the standards, and the federal government provided funding but had no direct control.</w:t>
      </w:r>
    </w:p>
    <w:p w14:paraId="35555296" w14:textId="77777777" w:rsidR="00510E5D" w:rsidRPr="00510E5D" w:rsidRDefault="00510E5D" w:rsidP="00DD6E28">
      <w:pPr>
        <w:numPr>
          <w:ilvl w:val="0"/>
          <w:numId w:val="8"/>
        </w:numPr>
        <w:spacing w:line="360" w:lineRule="auto"/>
        <w:rPr>
          <w:rFonts w:ascii="Arial" w:hAnsi="Arial" w:cs="Arial"/>
        </w:rPr>
      </w:pPr>
      <w:r w:rsidRPr="00510E5D">
        <w:rPr>
          <w:rFonts w:ascii="Arial" w:hAnsi="Arial" w:cs="Arial"/>
          <w:b/>
          <w:bCs/>
          <w:lang w:val="fr-FR"/>
        </w:rPr>
        <w:t xml:space="preserve">Data </w:t>
      </w:r>
      <w:proofErr w:type="gramStart"/>
      <w:r w:rsidRPr="00510E5D">
        <w:rPr>
          <w:rFonts w:ascii="Arial" w:hAnsi="Arial" w:cs="Arial"/>
          <w:b/>
          <w:bCs/>
          <w:lang w:val="fr-FR"/>
        </w:rPr>
        <w:t>Fragmentation</w:t>
      </w:r>
      <w:r w:rsidRPr="00510E5D">
        <w:rPr>
          <w:rFonts w:ascii="Arial" w:hAnsi="Arial" w:cs="Arial"/>
          <w:lang w:val="fr-FR"/>
        </w:rPr>
        <w:t>:</w:t>
      </w:r>
      <w:proofErr w:type="gramEnd"/>
      <w:r w:rsidRPr="00510E5D">
        <w:rPr>
          <w:rFonts w:ascii="Arial" w:hAnsi="Arial" w:cs="Arial"/>
          <w:lang w:val="fr-FR"/>
        </w:rPr>
        <w:t xml:space="preserve"> </w:t>
      </w:r>
      <w:proofErr w:type="spellStart"/>
      <w:r w:rsidRPr="007F434C">
        <w:rPr>
          <w:rFonts w:ascii="Arial" w:hAnsi="Arial" w:cs="Arial"/>
          <w:lang w:val="fr-FR"/>
        </w:rPr>
        <w:t>Bubela</w:t>
      </w:r>
      <w:proofErr w:type="spellEnd"/>
      <w:r w:rsidRPr="007F434C">
        <w:rPr>
          <w:rFonts w:ascii="Arial" w:hAnsi="Arial" w:cs="Arial"/>
          <w:lang w:val="fr-FR"/>
        </w:rPr>
        <w:t xml:space="preserve"> et al. </w:t>
      </w:r>
      <w:r w:rsidRPr="007F434C">
        <w:rPr>
          <w:rFonts w:ascii="Arial" w:hAnsi="Arial" w:cs="Arial"/>
        </w:rPr>
        <w:t>(2023)</w:t>
      </w:r>
      <w:r w:rsidRPr="00510E5D">
        <w:rPr>
          <w:rFonts w:ascii="Arial" w:hAnsi="Arial" w:cs="Arial"/>
        </w:rPr>
        <w:t xml:space="preserve"> highlight that decentralised data systems impede timely decision-making and national surveillance, reducing pandemic effectiveness.</w:t>
      </w:r>
    </w:p>
    <w:p w14:paraId="254E1F15" w14:textId="77777777" w:rsidR="00510E5D" w:rsidRPr="00510E5D" w:rsidRDefault="00510E5D" w:rsidP="00DD6E28">
      <w:pPr>
        <w:numPr>
          <w:ilvl w:val="0"/>
          <w:numId w:val="8"/>
        </w:numPr>
        <w:spacing w:line="360" w:lineRule="auto"/>
        <w:rPr>
          <w:rFonts w:ascii="Arial" w:hAnsi="Arial" w:cs="Arial"/>
        </w:rPr>
      </w:pPr>
      <w:r w:rsidRPr="00510E5D">
        <w:rPr>
          <w:rFonts w:ascii="Arial" w:hAnsi="Arial" w:cs="Arial"/>
          <w:b/>
          <w:bCs/>
        </w:rPr>
        <w:t>Supply Chain Delays</w:t>
      </w:r>
      <w:r w:rsidRPr="00510E5D">
        <w:rPr>
          <w:rFonts w:ascii="Arial" w:hAnsi="Arial" w:cs="Arial"/>
        </w:rPr>
        <w:t>: Reliance on international vaccine suppliers and limited domestic production delayed early rollout and increased regional disparities (Flood &amp; Thomas, 2021). (Canada’s Abysmal Vaccine Distribution, 2021)</w:t>
      </w:r>
    </w:p>
    <w:p w14:paraId="410B3342" w14:textId="77777777" w:rsidR="00510E5D" w:rsidRPr="00510E5D" w:rsidRDefault="00510E5D" w:rsidP="00DD6E28">
      <w:pPr>
        <w:numPr>
          <w:ilvl w:val="0"/>
          <w:numId w:val="8"/>
        </w:numPr>
        <w:spacing w:line="360" w:lineRule="auto"/>
        <w:rPr>
          <w:rFonts w:ascii="Arial" w:hAnsi="Arial" w:cs="Arial"/>
        </w:rPr>
      </w:pPr>
      <w:r w:rsidRPr="00510E5D">
        <w:rPr>
          <w:rFonts w:ascii="Arial" w:hAnsi="Arial" w:cs="Arial"/>
          <w:b/>
          <w:bCs/>
        </w:rPr>
        <w:t>Equity Concerns</w:t>
      </w:r>
      <w:r w:rsidRPr="00510E5D">
        <w:rPr>
          <w:rFonts w:ascii="Arial" w:hAnsi="Arial" w:cs="Arial"/>
        </w:rPr>
        <w:t xml:space="preserve">: Indigenous communities and remote areas faced additional challenges due to difficult logistics and a history of underfunding (Allin et al., 2021). </w:t>
      </w:r>
      <w:r w:rsidRPr="00510E5D">
        <w:rPr>
          <w:rFonts w:ascii="Arial" w:hAnsi="Arial" w:cs="Arial"/>
        </w:rPr>
        <w:lastRenderedPageBreak/>
        <w:t>(Tackling Antimicrobial Resistance in Indigenous, Rural and Remote Communities, 2024)</w:t>
      </w:r>
    </w:p>
    <w:p w14:paraId="65BA4184" w14:textId="77777777" w:rsidR="00510E5D" w:rsidRPr="00510E5D" w:rsidRDefault="00510E5D" w:rsidP="00DD6E28">
      <w:pPr>
        <w:spacing w:line="360" w:lineRule="auto"/>
        <w:rPr>
          <w:rFonts w:ascii="Arial" w:hAnsi="Arial" w:cs="Arial"/>
        </w:rPr>
      </w:pPr>
      <w:r w:rsidRPr="00510E5D">
        <w:rPr>
          <w:rFonts w:ascii="Arial" w:hAnsi="Arial" w:cs="Arial"/>
        </w:rPr>
        <w:t xml:space="preserve">Economic constraints influenced policy decisions. Canada’s GDP contracted. Economic pressures shaped policy decisions. Canada’s GDP shrank by 5.4% in 2020, which was less severe than Spain’s but still notable (OECD, 2021). (OECD Economic Surveys: Canada 2021, 2021) Federal transfers helped provincial health budgets, but resources were still unevenly distributed, and intergovernmental negotiations accelerated by mid-2021, reaching 45% coverage (WHO, 2022). (World Health Statistics 2022, 2022) </w:t>
      </w:r>
      <w:r w:rsidRPr="00510E5D">
        <w:rPr>
          <w:rFonts w:ascii="Arial" w:hAnsi="Arial" w:cs="Arial"/>
          <w:i/>
          <w:iCs/>
        </w:rPr>
        <w:t>Figure 1 situates Canada between Spain and South Korea.</w:t>
      </w:r>
      <w:r w:rsidRPr="00510E5D">
        <w:rPr>
          <w:rFonts w:ascii="Arial" w:hAnsi="Arial" w:cs="Arial"/>
        </w:rPr>
        <w:t xml:space="preserve"> While decentralisation enabled tailored responses to local epidemiology, it undermined national coherence during critical early phases. Mortality rates were higher than in South Korea but lower than in the United States, reflecting the mixed effectiveness of Canada’s federated model (Cyr et al., 2021). (Canada's Response to COVID-19: A Comparative Analysis, 2021)</w:t>
      </w:r>
    </w:p>
    <w:p w14:paraId="35705D4A" w14:textId="3BB91816" w:rsidR="00510E5D" w:rsidRPr="00BA1C6A" w:rsidRDefault="00510E5D" w:rsidP="00DD6E28">
      <w:pPr>
        <w:spacing w:line="360" w:lineRule="auto"/>
        <w:rPr>
          <w:rFonts w:ascii="Arial" w:hAnsi="Arial" w:cs="Arial"/>
        </w:rPr>
      </w:pPr>
      <w:r w:rsidRPr="00BA1C6A">
        <w:rPr>
          <w:rFonts w:ascii="Arial" w:hAnsi="Arial" w:cs="Arial"/>
        </w:rPr>
        <w:t>Figure 2 shows that Canada took longer to align policies, reflecting the negotiation-heavy nature of federalism. (Allin et al., 2021) Provinces had different reopening plans, mask rules, and vaccine priorities, which led to public confusion and made compliance harder. (Here’s a look at what COVID-19 reopening plans look like across Canada, 2022)</w:t>
      </w:r>
      <w:r w:rsidR="00574358" w:rsidRPr="00BA1C6A">
        <w:rPr>
          <w:rFonts w:ascii="Arial" w:hAnsi="Arial" w:cs="Arial"/>
        </w:rPr>
        <w:t>.</w:t>
      </w:r>
    </w:p>
    <w:p w14:paraId="28113D6C" w14:textId="4BFA416F" w:rsidR="00574358" w:rsidRPr="00574358" w:rsidRDefault="00574358" w:rsidP="00DD6E28">
      <w:pPr>
        <w:spacing w:line="360" w:lineRule="auto"/>
        <w:rPr>
          <w:rFonts w:ascii="Arial" w:hAnsi="Arial" w:cs="Arial"/>
        </w:rPr>
      </w:pPr>
      <w:r w:rsidRPr="00070EC2">
        <w:rPr>
          <w:rFonts w:ascii="Arial" w:hAnsi="Arial" w:cs="Arial"/>
          <w:noProof/>
        </w:rPr>
        <w:drawing>
          <wp:inline distT="0" distB="0" distL="0" distR="0" wp14:anchorId="564B7696" wp14:editId="4ADF455D">
            <wp:extent cx="5731510" cy="4093845"/>
            <wp:effectExtent l="0" t="0" r="2540" b="1905"/>
            <wp:docPr id="514364672" name="Picture 8" descr="A graph of a chart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364672" name="Picture 8" descr="A graph of a chart with different colored square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093845"/>
                    </a:xfrm>
                    <a:prstGeom prst="rect">
                      <a:avLst/>
                    </a:prstGeom>
                    <a:noFill/>
                    <a:ln>
                      <a:noFill/>
                    </a:ln>
                  </pic:spPr>
                </pic:pic>
              </a:graphicData>
            </a:graphic>
          </wp:inline>
        </w:drawing>
      </w:r>
    </w:p>
    <w:p w14:paraId="451EADE2" w14:textId="77777777" w:rsidR="00574358" w:rsidRPr="00510E5D" w:rsidRDefault="00574358" w:rsidP="00DD6E28">
      <w:pPr>
        <w:spacing w:line="360" w:lineRule="auto"/>
        <w:rPr>
          <w:rFonts w:ascii="Arial" w:hAnsi="Arial" w:cs="Arial"/>
        </w:rPr>
      </w:pPr>
    </w:p>
    <w:p w14:paraId="32B7AEC9" w14:textId="77777777" w:rsidR="00510E5D" w:rsidRPr="00510E5D" w:rsidRDefault="00510E5D" w:rsidP="00DD6E28">
      <w:pPr>
        <w:spacing w:line="360" w:lineRule="auto"/>
        <w:rPr>
          <w:rFonts w:ascii="Arial" w:hAnsi="Arial" w:cs="Arial"/>
        </w:rPr>
      </w:pPr>
      <w:r w:rsidRPr="00510E5D">
        <w:rPr>
          <w:rFonts w:ascii="Arial" w:hAnsi="Arial" w:cs="Arial"/>
        </w:rPr>
        <w:lastRenderedPageBreak/>
        <w:t>Public trust varied throughout the pandemic. (Carignan &amp; Marie-Eve, 2020) Initial federal leadership approval declined as vaccine delays and long-term care failures became evident. (Canada to shrug off 'momentary disruptions' in vaccine supply, working closely with U.S. - Trudeau, 2021) Transparent communication and targeted outreach to vulnerable communities improved confidence during the vaccination phase, but regional disparities remained (</w:t>
      </w:r>
      <w:proofErr w:type="spellStart"/>
      <w:r w:rsidRPr="00510E5D">
        <w:rPr>
          <w:rFonts w:ascii="Arial" w:hAnsi="Arial" w:cs="Arial"/>
        </w:rPr>
        <w:t>Migone</w:t>
      </w:r>
      <w:proofErr w:type="spellEnd"/>
      <w:r w:rsidRPr="00510E5D">
        <w:rPr>
          <w:rFonts w:ascii="Arial" w:hAnsi="Arial" w:cs="Arial"/>
        </w:rPr>
        <w:t>, 2020).</w:t>
      </w:r>
    </w:p>
    <w:p w14:paraId="4BB912C3" w14:textId="77777777" w:rsidR="00510E5D" w:rsidRPr="00510E5D" w:rsidRDefault="00510E5D" w:rsidP="00DD6E28">
      <w:pPr>
        <w:spacing w:line="360" w:lineRule="auto"/>
        <w:rPr>
          <w:rFonts w:ascii="Arial" w:hAnsi="Arial" w:cs="Arial"/>
        </w:rPr>
      </w:pPr>
      <w:r w:rsidRPr="00510E5D">
        <w:rPr>
          <w:rFonts w:ascii="Arial" w:hAnsi="Arial" w:cs="Arial"/>
        </w:rPr>
        <w:t>Canada’s experience highlights important lessons for federated systems:</w:t>
      </w:r>
    </w:p>
    <w:p w14:paraId="16119018" w14:textId="77777777" w:rsidR="00510E5D" w:rsidRPr="00510E5D" w:rsidRDefault="00510E5D" w:rsidP="00DD6E28">
      <w:pPr>
        <w:numPr>
          <w:ilvl w:val="0"/>
          <w:numId w:val="9"/>
        </w:numPr>
        <w:spacing w:line="360" w:lineRule="auto"/>
        <w:rPr>
          <w:rFonts w:ascii="Arial" w:hAnsi="Arial" w:cs="Arial"/>
        </w:rPr>
      </w:pPr>
      <w:r w:rsidRPr="00510E5D">
        <w:rPr>
          <w:rFonts w:ascii="Arial" w:hAnsi="Arial" w:cs="Arial"/>
          <w:b/>
          <w:bCs/>
        </w:rPr>
        <w:t>Strengthen Intergovernmental Coordination</w:t>
      </w:r>
      <w:r w:rsidRPr="00510E5D">
        <w:rPr>
          <w:rFonts w:ascii="Arial" w:hAnsi="Arial" w:cs="Arial"/>
        </w:rPr>
        <w:t>: Clear protocols for emergency decision-making are essential to avoid fragmented responses.</w:t>
      </w:r>
    </w:p>
    <w:p w14:paraId="3AD1A69C" w14:textId="77777777" w:rsidR="00510E5D" w:rsidRPr="00510E5D" w:rsidRDefault="00510E5D" w:rsidP="00DD6E28">
      <w:pPr>
        <w:numPr>
          <w:ilvl w:val="0"/>
          <w:numId w:val="9"/>
        </w:numPr>
        <w:spacing w:line="360" w:lineRule="auto"/>
        <w:rPr>
          <w:rFonts w:ascii="Arial" w:hAnsi="Arial" w:cs="Arial"/>
        </w:rPr>
      </w:pPr>
      <w:r w:rsidRPr="00510E5D">
        <w:rPr>
          <w:rFonts w:ascii="Arial" w:hAnsi="Arial" w:cs="Arial"/>
          <w:b/>
          <w:bCs/>
        </w:rPr>
        <w:t>Integrate Data Systems</w:t>
      </w:r>
      <w:r w:rsidRPr="00510E5D">
        <w:rPr>
          <w:rFonts w:ascii="Arial" w:hAnsi="Arial" w:cs="Arial"/>
        </w:rPr>
        <w:t>: National surveillance requires interoperable platforms to support timely policy action.</w:t>
      </w:r>
    </w:p>
    <w:p w14:paraId="17F189DD" w14:textId="77777777" w:rsidR="00510E5D" w:rsidRPr="00510E5D" w:rsidRDefault="00510E5D" w:rsidP="00DD6E28">
      <w:pPr>
        <w:numPr>
          <w:ilvl w:val="0"/>
          <w:numId w:val="9"/>
        </w:numPr>
        <w:spacing w:line="360" w:lineRule="auto"/>
        <w:rPr>
          <w:rFonts w:ascii="Arial" w:hAnsi="Arial" w:cs="Arial"/>
        </w:rPr>
      </w:pPr>
      <w:r w:rsidRPr="00510E5D">
        <w:rPr>
          <w:rFonts w:ascii="Arial" w:hAnsi="Arial" w:cs="Arial"/>
          <w:b/>
          <w:bCs/>
        </w:rPr>
        <w:t>Address LTC Vulnerabilities</w:t>
      </w:r>
      <w:r w:rsidRPr="00510E5D">
        <w:rPr>
          <w:rFonts w:ascii="Arial" w:hAnsi="Arial" w:cs="Arial"/>
        </w:rPr>
        <w:t>: Governance reforms must clarify accountability and ensure adequate staffing and infection control.</w:t>
      </w:r>
    </w:p>
    <w:p w14:paraId="284298F0" w14:textId="77777777" w:rsidR="00510E5D" w:rsidRPr="00510E5D" w:rsidRDefault="00510E5D" w:rsidP="00DD6E28">
      <w:pPr>
        <w:numPr>
          <w:ilvl w:val="0"/>
          <w:numId w:val="9"/>
        </w:numPr>
        <w:spacing w:line="360" w:lineRule="auto"/>
        <w:rPr>
          <w:rFonts w:ascii="Arial" w:hAnsi="Arial" w:cs="Arial"/>
        </w:rPr>
      </w:pPr>
      <w:r w:rsidRPr="00510E5D">
        <w:rPr>
          <w:rFonts w:ascii="Arial" w:hAnsi="Arial" w:cs="Arial"/>
          <w:b/>
          <w:bCs/>
        </w:rPr>
        <w:t>Build Domestic Capacity</w:t>
      </w:r>
      <w:r w:rsidRPr="00510E5D">
        <w:rPr>
          <w:rFonts w:ascii="Arial" w:hAnsi="Arial" w:cs="Arial"/>
        </w:rPr>
        <w:t>: Investment in vaccine production and supply chain resilience is critical for future preparedness.</w:t>
      </w:r>
    </w:p>
    <w:p w14:paraId="1DF1E4C3" w14:textId="77777777" w:rsidR="00510E5D" w:rsidRPr="00070EC2" w:rsidRDefault="00510E5D" w:rsidP="00DD6E28">
      <w:pPr>
        <w:numPr>
          <w:ilvl w:val="0"/>
          <w:numId w:val="9"/>
        </w:numPr>
        <w:spacing w:line="360" w:lineRule="auto"/>
        <w:rPr>
          <w:rFonts w:ascii="Arial" w:hAnsi="Arial" w:cs="Arial"/>
        </w:rPr>
      </w:pPr>
      <w:r w:rsidRPr="00510E5D">
        <w:rPr>
          <w:rFonts w:ascii="Arial" w:hAnsi="Arial" w:cs="Arial"/>
          <w:b/>
          <w:bCs/>
        </w:rPr>
        <w:t>Promote Equity</w:t>
      </w:r>
      <w:r w:rsidRPr="00510E5D">
        <w:rPr>
          <w:rFonts w:ascii="Arial" w:hAnsi="Arial" w:cs="Arial"/>
        </w:rPr>
        <w:t>: Indigenous and remote communities need targeted strategies to overcome structural barriers.</w:t>
      </w:r>
    </w:p>
    <w:p w14:paraId="2A9F5808" w14:textId="6CA8E6BA" w:rsidR="004E0CFE" w:rsidRPr="00070EC2" w:rsidRDefault="00F159E8" w:rsidP="00DD6E28">
      <w:pPr>
        <w:spacing w:line="360" w:lineRule="auto"/>
        <w:ind w:left="360"/>
        <w:rPr>
          <w:rFonts w:ascii="Arial" w:hAnsi="Arial" w:cs="Arial"/>
          <w:b/>
          <w:bCs/>
        </w:rPr>
      </w:pPr>
      <w:r w:rsidRPr="00070EC2">
        <w:rPr>
          <w:rFonts w:ascii="Arial" w:hAnsi="Arial" w:cs="Arial"/>
          <w:b/>
          <w:bCs/>
        </w:rPr>
        <w:t xml:space="preserve">3: </w:t>
      </w:r>
      <w:r w:rsidR="004E0CFE" w:rsidRPr="00070EC2">
        <w:rPr>
          <w:rFonts w:ascii="Arial" w:hAnsi="Arial" w:cs="Arial"/>
          <w:b/>
          <w:bCs/>
        </w:rPr>
        <w:t xml:space="preserve">Leadership Styles </w:t>
      </w:r>
    </w:p>
    <w:p w14:paraId="50716E3F" w14:textId="6E0B7B08" w:rsidR="004E0CFE" w:rsidRPr="00510E5D" w:rsidRDefault="004E0CFE" w:rsidP="00DD6E28">
      <w:pPr>
        <w:pStyle w:val="ListParagraph"/>
        <w:spacing w:line="360" w:lineRule="auto"/>
        <w:rPr>
          <w:rFonts w:ascii="Arial" w:hAnsi="Arial" w:cs="Arial"/>
        </w:rPr>
      </w:pPr>
      <w:r w:rsidRPr="00070EC2">
        <w:rPr>
          <w:rFonts w:ascii="Arial" w:hAnsi="Arial" w:cs="Arial"/>
        </w:rPr>
        <w:t xml:space="preserve">Leadership during a global health crisis is pivotal in shaping policy decisions, public compliance, and healthcare system </w:t>
      </w:r>
      <w:r w:rsidR="006E6FA3" w:rsidRPr="00070EC2">
        <w:rPr>
          <w:rFonts w:ascii="Arial" w:hAnsi="Arial" w:cs="Arial"/>
        </w:rPr>
        <w:t>resilience. The</w:t>
      </w:r>
      <w:r w:rsidRPr="00070EC2">
        <w:rPr>
          <w:rFonts w:ascii="Arial" w:hAnsi="Arial" w:cs="Arial"/>
        </w:rPr>
        <w:t xml:space="preserve"> leadership styles adopted, autocratic, democratic, laissez-faire, and theoretical frameworks such as McGregor’s Theory X/Y and the Tannenbaum &amp; Schmidt continuum, were evident in the actions of leaders in Spain, South Korea, and Canada. Cultural norms in each country significantly influenced the effectiveness of these leadership styles. In Spain, a preference for hierarchical structures and direct communication shaped a more centralized response. Conversely, South Korea's strong cultural collectivism facilitated high public compliance and trust in government initiatives. In Canada, the cultural value placed on individual rights and federal autonomy influenced the more democratic, participative leadership style. This section critically examines the influence of these styles on pandemic outcomes, drawing on real-life examples, cultural context, and communication strategies.</w:t>
      </w:r>
    </w:p>
    <w:p w14:paraId="604A19EC" w14:textId="506257DE" w:rsidR="00DD2D52" w:rsidRPr="00DD2D52" w:rsidRDefault="00DD2D52" w:rsidP="00DD6E28">
      <w:pPr>
        <w:spacing w:line="360" w:lineRule="auto"/>
        <w:rPr>
          <w:rFonts w:ascii="Arial" w:hAnsi="Arial" w:cs="Arial"/>
        </w:rPr>
      </w:pPr>
    </w:p>
    <w:p w14:paraId="15D16EE5" w14:textId="5B0B02FC" w:rsidR="00DD2D52" w:rsidRPr="00DD2D52" w:rsidRDefault="000B603C" w:rsidP="00DD6E28">
      <w:pPr>
        <w:spacing w:line="360" w:lineRule="auto"/>
        <w:rPr>
          <w:rFonts w:ascii="Arial" w:hAnsi="Arial" w:cs="Arial"/>
          <w:b/>
          <w:bCs/>
        </w:rPr>
      </w:pPr>
      <w:r w:rsidRPr="00070EC2">
        <w:rPr>
          <w:rFonts w:ascii="Arial" w:hAnsi="Arial" w:cs="Arial"/>
          <w:b/>
          <w:bCs/>
        </w:rPr>
        <w:lastRenderedPageBreak/>
        <w:t>3</w:t>
      </w:r>
      <w:r w:rsidR="00E9158A">
        <w:rPr>
          <w:rFonts w:ascii="Arial" w:hAnsi="Arial" w:cs="Arial"/>
          <w:b/>
          <w:bCs/>
        </w:rPr>
        <w:t xml:space="preserve">.1: </w:t>
      </w:r>
      <w:r w:rsidR="00DD2D52" w:rsidRPr="00DD2D52">
        <w:rPr>
          <w:rFonts w:ascii="Arial" w:hAnsi="Arial" w:cs="Arial"/>
          <w:b/>
          <w:bCs/>
        </w:rPr>
        <w:t>Spain: Pedro Sánchez – Reactive Leadership and Fragmentation</w:t>
      </w:r>
    </w:p>
    <w:p w14:paraId="1E97F9D8" w14:textId="497BE5C8" w:rsidR="00DD2D52" w:rsidRPr="00DD2D52" w:rsidRDefault="00DD2D52" w:rsidP="00DD6E28">
      <w:pPr>
        <w:spacing w:line="360" w:lineRule="auto"/>
        <w:rPr>
          <w:rFonts w:ascii="Arial" w:hAnsi="Arial" w:cs="Arial"/>
        </w:rPr>
      </w:pPr>
      <w:r w:rsidRPr="006E6FA3">
        <w:rPr>
          <w:rFonts w:ascii="Arial" w:hAnsi="Arial" w:cs="Arial"/>
        </w:rPr>
        <w:t>Prime Minister Pedro Sánchez initially adopted a laissez-faire approach, granting regional governments autonomy to manage early outbreaks. This placed leadership at the participative end of the Tannenbaum &amp; Schmidt continuum (Tannenbaum &amp; Schmidt, 1958), but it led to fragmented responses and delayed containment (OECD, 2021; BMJ Global Health, 2023).</w:t>
      </w:r>
      <w:r w:rsidRPr="006E6FA3">
        <w:rPr>
          <w:rFonts w:ascii="Arial" w:hAnsi="Arial" w:cs="Arial"/>
        </w:rPr>
        <w:br/>
        <w:t>When cases surged, Sánchez shifted to autocratic leadership, invoking a state of emergency and imposing strict national lockdowns in March 2020 (European Observatory on Health Systems, 2021). This aligns with Theory X, assuming citizens require strict control and enforcement to comply with restrictions (McGregor, 1960; Yukl, 2013).</w:t>
      </w:r>
      <w:r w:rsidRPr="006E6FA3">
        <w:rPr>
          <w:rFonts w:ascii="Arial" w:hAnsi="Arial" w:cs="Arial"/>
        </w:rPr>
        <w:br/>
        <w:t>Real-life example: Sánchez centralized procurement of PPE and ventilators after severe shortages, illustrating a move from decentralised laissez-faire governance to directive leadership under crisis pressure (OECD, 2021).</w:t>
      </w:r>
      <w:r w:rsidRPr="006E6FA3">
        <w:rPr>
          <w:rFonts w:ascii="Arial" w:hAnsi="Arial" w:cs="Arial"/>
        </w:rPr>
        <w:br/>
        <w:t>Communication Strategy: Messaging was inconsistent early on due to conflicting regional and national guidelines, eroding public trust (Coombs, 2014; OECD, 2021).</w:t>
      </w:r>
      <w:r w:rsidRPr="006E6FA3">
        <w:rPr>
          <w:rFonts w:ascii="Arial" w:hAnsi="Arial" w:cs="Arial"/>
        </w:rPr>
        <w:br/>
        <w:t>Health Outcomes: Mortality reached 1,600 deaths per million, among Europe’s highest, and vaccination rollout was uneven across regions (</w:t>
      </w:r>
      <w:proofErr w:type="spellStart"/>
      <w:r w:rsidRPr="006E6FA3">
        <w:rPr>
          <w:rFonts w:ascii="Arial" w:hAnsi="Arial" w:cs="Arial"/>
        </w:rPr>
        <w:t>Ministerio</w:t>
      </w:r>
      <w:proofErr w:type="spellEnd"/>
      <w:r w:rsidRPr="006E6FA3">
        <w:rPr>
          <w:rFonts w:ascii="Arial" w:hAnsi="Arial" w:cs="Arial"/>
        </w:rPr>
        <w:t xml:space="preserve"> de Sanidad, 2022).</w:t>
      </w:r>
      <w:r w:rsidRPr="006E6FA3">
        <w:rPr>
          <w:rFonts w:ascii="Arial" w:hAnsi="Arial" w:cs="Arial"/>
        </w:rPr>
        <w:br/>
        <w:t xml:space="preserve">Critical Insight: Spain’s leadership demonstrated limited adaptability, shifting between extremes without effective coordination. Although autocratic measures eventually facilitated </w:t>
      </w:r>
      <w:r w:rsidRPr="00DD2D52">
        <w:rPr>
          <w:rFonts w:ascii="Arial" w:hAnsi="Arial" w:cs="Arial"/>
        </w:rPr>
        <w:t>rapid containment, their delayed implementation reduced their effectiveness, while initial laissez-faire policies intensified hospital strain and mortality. This case illustrates that decentralisation, when combined with reactive leadership, undermines system resilience. However, decentralisation has been found effective in certain contexts where local governments possess strong capabilities and resources. For instance, some regions in other countries have successfully managed health crises through decentralised systems that leverage local knowledge and foster high community engagement, as highlighted in various studies. Exploring these success stories would enrich the understanding of decentralisation's potential benefits (BMJ Global Health, 2023).</w:t>
      </w:r>
    </w:p>
    <w:p w14:paraId="4758A537" w14:textId="573F0DDC" w:rsidR="00DD2D52" w:rsidRPr="00DD2D52" w:rsidRDefault="00DD2D52" w:rsidP="00DD6E28">
      <w:pPr>
        <w:spacing w:line="360" w:lineRule="auto"/>
        <w:rPr>
          <w:rFonts w:ascii="Arial" w:hAnsi="Arial" w:cs="Arial"/>
        </w:rPr>
      </w:pPr>
    </w:p>
    <w:p w14:paraId="3FEDC301" w14:textId="77777777" w:rsidR="00F60182" w:rsidRPr="00F60182" w:rsidRDefault="00F60182" w:rsidP="00F60182">
      <w:pPr>
        <w:spacing w:line="360" w:lineRule="auto"/>
        <w:rPr>
          <w:rFonts w:ascii="Arial" w:hAnsi="Arial" w:cs="Arial"/>
        </w:rPr>
      </w:pPr>
      <w:r w:rsidRPr="00F60182">
        <w:rPr>
          <w:rFonts w:ascii="Arial" w:hAnsi="Arial" w:cs="Arial"/>
          <w:b/>
          <w:bCs/>
        </w:rPr>
        <w:t>3.2: South Korea: Moon Jae-in – Directive Yet Transparent</w:t>
      </w:r>
    </w:p>
    <w:p w14:paraId="1F5EE31E" w14:textId="767FCC80" w:rsidR="00F60182" w:rsidRPr="00F60182" w:rsidRDefault="00F60182" w:rsidP="00A31559">
      <w:pPr>
        <w:spacing w:line="360" w:lineRule="auto"/>
        <w:rPr>
          <w:rFonts w:ascii="Arial" w:hAnsi="Arial" w:cs="Arial"/>
        </w:rPr>
      </w:pPr>
      <w:r w:rsidRPr="00F60182">
        <w:rPr>
          <w:rFonts w:ascii="Arial" w:hAnsi="Arial" w:cs="Arial"/>
        </w:rPr>
        <w:t xml:space="preserve">President Moon Jae-in of South Korea led with a strong, hands-on approach, making quick decisions and acting decisively. For example, his government swiftly expanded COVID-19 testing and introduced digital contact tracing to manage outbreaks (KCDC, 2020; WHO, 2021). Even so, Moon avoided a heavy-handed style. He made sure to communicate openly and involve the public, blending firm leadership with democratic values. This meant that </w:t>
      </w:r>
      <w:r w:rsidRPr="00F60182">
        <w:rPr>
          <w:rFonts w:ascii="Arial" w:hAnsi="Arial" w:cs="Arial"/>
        </w:rPr>
        <w:lastRenderedPageBreak/>
        <w:t>while he took charge, he also listened and kept people in the loop, finding a balance between guidance and participation (Tannenbaum &amp; Schmidt, 1958).</w:t>
      </w:r>
      <w:r w:rsidRPr="00F60182">
        <w:rPr>
          <w:rFonts w:ascii="Arial" w:hAnsi="Arial" w:cs="Arial"/>
        </w:rPr>
        <w:br/>
        <w:t>Moon’s leadership reflected Theory Y, which sees people as self-motivated, trustworthy, and responsible. This view is reflected in policies that encourage people to wear masks voluntarily and use apps for quarantine, rather than strict rules. By trusting citizens to do what was best for everyone, Moon built a sense of shared responsibility, which helped gain public cooperation (McGregor, 1960; Hofstede Insights, 2020).</w:t>
      </w:r>
      <w:r w:rsidRPr="00F60182">
        <w:rPr>
          <w:rFonts w:ascii="Arial" w:hAnsi="Arial" w:cs="Arial"/>
        </w:rPr>
        <w:br/>
        <w:t xml:space="preserve">A good example of this balanced approach was the government’s early partnership with biotech companies to quickly make COVID-19 test kits. This allowed South Korea to test many people while other countries were still scrambling for supplies. Moon’s administration also gave daily updates on TV and online, helping people stay informed and feel more secure during uncertain times. These actions show how strong leadership can go </w:t>
      </w:r>
      <w:proofErr w:type="gramStart"/>
      <w:r w:rsidRPr="00F60182">
        <w:rPr>
          <w:rFonts w:ascii="Arial" w:hAnsi="Arial" w:cs="Arial"/>
        </w:rPr>
        <w:t>hand-in-hand</w:t>
      </w:r>
      <w:proofErr w:type="gramEnd"/>
      <w:r w:rsidRPr="00F60182">
        <w:rPr>
          <w:rFonts w:ascii="Arial" w:hAnsi="Arial" w:cs="Arial"/>
        </w:rPr>
        <w:t xml:space="preserve"> with openness and public involvement (OECD, 2021; WHO, 2021).</w:t>
      </w:r>
      <w:r w:rsidRPr="00F60182">
        <w:rPr>
          <w:rFonts w:ascii="Arial" w:hAnsi="Arial" w:cs="Arial"/>
        </w:rPr>
        <w:br/>
        <w:t>Communication Strategy: The government’s daily TV briefings and open data dashboards helped build trust and encouraged people to follow the rules. By giving clear, timely updates and making information easy to find, leaders made it easier for everyone to make good choices and feel like they were part of the solution (Coombs, 2014; OECD, 2021).</w:t>
      </w:r>
      <w:r w:rsidRPr="00F60182">
        <w:rPr>
          <w:rFonts w:ascii="Arial" w:hAnsi="Arial" w:cs="Arial"/>
        </w:rPr>
        <w:br/>
        <w:t>Health Outcomes: Thanks to these efforts, South Korea kept its COVID-19 death rate below 100 per million people</w:t>
      </w:r>
      <w:r w:rsidR="00375FED">
        <w:rPr>
          <w:rFonts w:ascii="Arial" w:hAnsi="Arial" w:cs="Arial"/>
        </w:rPr>
        <w:t xml:space="preserve"> </w:t>
      </w:r>
      <w:r w:rsidRPr="00F60182">
        <w:rPr>
          <w:rFonts w:ascii="Arial" w:hAnsi="Arial" w:cs="Arial"/>
        </w:rPr>
        <w:t>far lower than most other developed countries. By the end of 2021, 80% of people were vaccinated, showing both how well the government handled things and how willing the public was to take part in health measures (KCDC, 2021; WHO, 2021).</w:t>
      </w:r>
      <w:r w:rsidRPr="00F60182">
        <w:rPr>
          <w:rFonts w:ascii="Arial" w:hAnsi="Arial" w:cs="Arial"/>
        </w:rPr>
        <w:br/>
        <w:t>Critical Insight: South Korea’s approach made the most of its culture of teamwork and strong institutions, leading to low death rates and high vaccination numbers. This example shows that you don’t have to choose between strong leadership and openness</w:t>
      </w:r>
      <w:r w:rsidR="00375FED">
        <w:rPr>
          <w:rFonts w:ascii="Arial" w:hAnsi="Arial" w:cs="Arial"/>
        </w:rPr>
        <w:t xml:space="preserve"> </w:t>
      </w:r>
      <w:r w:rsidRPr="00F60182">
        <w:rPr>
          <w:rFonts w:ascii="Arial" w:hAnsi="Arial" w:cs="Arial"/>
        </w:rPr>
        <w:t>they can work side by side, even in tough situations. What stands out from South Korea’s story is that being adaptable, communicating honestly, and building trust are crucial for getting through a crisis (Bass &amp; Riggio, 2006; Yukl, 2013).</w:t>
      </w:r>
    </w:p>
    <w:p w14:paraId="163BC301" w14:textId="77777777" w:rsidR="00F60182" w:rsidRPr="00F60182" w:rsidRDefault="00F60182" w:rsidP="00F60182">
      <w:pPr>
        <w:spacing w:line="360" w:lineRule="auto"/>
        <w:rPr>
          <w:rFonts w:ascii="Arial" w:hAnsi="Arial" w:cs="Arial"/>
        </w:rPr>
      </w:pPr>
    </w:p>
    <w:p w14:paraId="2A39803F" w14:textId="0F2345F2" w:rsidR="00DD2D52" w:rsidRPr="00DD2D52" w:rsidRDefault="00DD2D52" w:rsidP="00DD6E28">
      <w:pPr>
        <w:spacing w:line="360" w:lineRule="auto"/>
        <w:rPr>
          <w:rFonts w:ascii="Arial" w:hAnsi="Arial" w:cs="Arial"/>
        </w:rPr>
      </w:pPr>
    </w:p>
    <w:p w14:paraId="1FF31ABD" w14:textId="77777777" w:rsidR="00772B95" w:rsidRPr="00772B95" w:rsidRDefault="00BA175A" w:rsidP="00772B95">
      <w:pPr>
        <w:spacing w:line="360" w:lineRule="auto"/>
        <w:rPr>
          <w:rFonts w:ascii="Arial" w:hAnsi="Arial" w:cs="Arial"/>
          <w:b/>
          <w:bCs/>
        </w:rPr>
      </w:pPr>
      <w:r>
        <w:rPr>
          <w:rFonts w:ascii="Arial" w:hAnsi="Arial" w:cs="Arial"/>
          <w:b/>
          <w:bCs/>
        </w:rPr>
        <w:t xml:space="preserve">3.3: </w:t>
      </w:r>
      <w:r w:rsidR="00772B95" w:rsidRPr="00772B95">
        <w:rPr>
          <w:rFonts w:ascii="Arial" w:hAnsi="Arial" w:cs="Arial"/>
          <w:b/>
          <w:bCs/>
        </w:rPr>
        <w:t>Canada: Justin Trudeau – Democratic and Collaborative</w:t>
      </w:r>
    </w:p>
    <w:p w14:paraId="4C557EF4" w14:textId="46BA6750" w:rsidR="00772B95" w:rsidRPr="00772B95" w:rsidRDefault="00772B95" w:rsidP="00772B95">
      <w:pPr>
        <w:spacing w:line="360" w:lineRule="auto"/>
        <w:rPr>
          <w:rFonts w:ascii="Arial" w:hAnsi="Arial" w:cs="Arial"/>
        </w:rPr>
      </w:pPr>
      <w:r w:rsidRPr="00772B95">
        <w:rPr>
          <w:rFonts w:ascii="Arial" w:hAnsi="Arial" w:cs="Arial"/>
        </w:rPr>
        <w:t>Prime Minister Justin Trudeau used a democratic leadership style, focusing on working with provincial leaders and being open with citizens (Government of Canada, 2022; OECD, 2021). This matches Theory Y, which suggests that people act responsibly when given support and resources (McGregor, 1960; Yukl, 2013).</w:t>
      </w:r>
      <w:r w:rsidRPr="00772B95">
        <w:rPr>
          <w:rFonts w:ascii="Arial" w:hAnsi="Arial" w:cs="Arial"/>
        </w:rPr>
        <w:br/>
        <w:t xml:space="preserve">Trudeau’s choice not to enforce strict authority over the provinces put him at the participative </w:t>
      </w:r>
      <w:r w:rsidRPr="00772B95">
        <w:rPr>
          <w:rFonts w:ascii="Arial" w:hAnsi="Arial" w:cs="Arial"/>
        </w:rPr>
        <w:lastRenderedPageBreak/>
        <w:t>end of the Tannenbaum &amp; Schmidt continuum. This led to delays in unified action during important moments (Tannenbaum &amp; Schmidt, 1958).</w:t>
      </w:r>
      <w:r w:rsidRPr="00772B95">
        <w:rPr>
          <w:rFonts w:ascii="Arial" w:hAnsi="Arial" w:cs="Arial"/>
        </w:rPr>
        <w:br/>
        <w:t xml:space="preserve">For example, Trudeau secured vaccine supplies for </w:t>
      </w:r>
      <w:r w:rsidR="005819C6" w:rsidRPr="00772B95">
        <w:rPr>
          <w:rFonts w:ascii="Arial" w:hAnsi="Arial" w:cs="Arial"/>
        </w:rPr>
        <w:t>Canada but</w:t>
      </w:r>
      <w:r w:rsidRPr="00772B95">
        <w:rPr>
          <w:rFonts w:ascii="Arial" w:hAnsi="Arial" w:cs="Arial"/>
        </w:rPr>
        <w:t xml:space="preserve"> left the distribution to the provinces. This caused uneven rollout and confusion among the public (Canadian Institute for Health Information, 2022; OECD, 2021).</w:t>
      </w:r>
      <w:r w:rsidRPr="00772B95">
        <w:rPr>
          <w:rFonts w:ascii="Arial" w:hAnsi="Arial" w:cs="Arial"/>
        </w:rPr>
        <w:br/>
        <w:t>Trudeau focused on empathy and openness by holding regular press conferences, but he did not act quickly to enforce national standards (Coombs, 2014; Government of Canada, 2022).</w:t>
      </w:r>
      <w:r w:rsidRPr="00772B95">
        <w:rPr>
          <w:rFonts w:ascii="Arial" w:hAnsi="Arial" w:cs="Arial"/>
        </w:rPr>
        <w:br/>
        <w:t>Canada had 800 deaths per million, which was more than Australia but less than the U.S. The speed of vaccination also differed a lot between provinces (CIHI, 2022; OECD, 2021).</w:t>
      </w:r>
      <w:r w:rsidRPr="00772B95">
        <w:rPr>
          <w:rFonts w:ascii="Arial" w:hAnsi="Arial" w:cs="Arial"/>
        </w:rPr>
        <w:br/>
        <w:t>Critical Insight: Although democratic leadership fostered trust and intergovernmental dialogue, it lacked the decisiveness necessary for rapid crisis management. Canada’s experience highlights the limitations of purely participative leadership in federated systems during emergencies (BMJ Global Health, 2023; Bass &amp; Riggio, 2006).</w:t>
      </w:r>
    </w:p>
    <w:p w14:paraId="06F43C9F" w14:textId="77777777" w:rsidR="00772B95" w:rsidRPr="00772B95" w:rsidRDefault="00772B95" w:rsidP="00772B95">
      <w:pPr>
        <w:spacing w:line="360" w:lineRule="auto"/>
        <w:rPr>
          <w:rFonts w:ascii="Arial" w:hAnsi="Arial" w:cs="Arial"/>
        </w:rPr>
      </w:pPr>
      <w:r w:rsidRPr="00772B95">
        <w:rPr>
          <w:rFonts w:ascii="Arial" w:hAnsi="Arial" w:cs="Arial"/>
        </w:rPr>
        <w:t>Comparative Insight</w:t>
      </w:r>
    </w:p>
    <w:p w14:paraId="62C65B67" w14:textId="77777777" w:rsidR="00772B95" w:rsidRPr="00772B95" w:rsidRDefault="00772B95" w:rsidP="00772B95">
      <w:pPr>
        <w:numPr>
          <w:ilvl w:val="0"/>
          <w:numId w:val="10"/>
        </w:numPr>
        <w:spacing w:line="360" w:lineRule="auto"/>
        <w:rPr>
          <w:rFonts w:ascii="Arial" w:hAnsi="Arial" w:cs="Arial"/>
        </w:rPr>
      </w:pPr>
      <w:r w:rsidRPr="00772B95">
        <w:rPr>
          <w:rFonts w:ascii="Arial" w:hAnsi="Arial" w:cs="Arial"/>
        </w:rPr>
        <w:t>Pedro Sánchez (Spain): Shifted from laissez-faire to autocratic under pressure. Theory X was dominant during lockdown enforcement, poor communication amplified fragmentation.</w:t>
      </w:r>
    </w:p>
    <w:p w14:paraId="6EAD6EBC" w14:textId="77777777" w:rsidR="00772B95" w:rsidRPr="00772B95" w:rsidRDefault="00772B95" w:rsidP="00772B95">
      <w:pPr>
        <w:numPr>
          <w:ilvl w:val="0"/>
          <w:numId w:val="10"/>
        </w:numPr>
        <w:spacing w:line="360" w:lineRule="auto"/>
        <w:rPr>
          <w:rFonts w:ascii="Arial" w:hAnsi="Arial" w:cs="Arial"/>
        </w:rPr>
      </w:pPr>
      <w:r w:rsidRPr="00772B95">
        <w:rPr>
          <w:rFonts w:ascii="Arial" w:hAnsi="Arial" w:cs="Arial"/>
        </w:rPr>
        <w:t>Moon Jae-in (South Korea): Autocratic decisiveness combined with democratic transparency, Theory Y and mid-spectrum continuum approach; strong communication-built trust.</w:t>
      </w:r>
    </w:p>
    <w:p w14:paraId="0E7E06DB" w14:textId="77777777" w:rsidR="00772B95" w:rsidRPr="00772B95" w:rsidRDefault="00772B95" w:rsidP="00772B95">
      <w:pPr>
        <w:numPr>
          <w:ilvl w:val="0"/>
          <w:numId w:val="10"/>
        </w:numPr>
        <w:spacing w:line="360" w:lineRule="auto"/>
        <w:rPr>
          <w:rFonts w:ascii="Arial" w:hAnsi="Arial" w:cs="Arial"/>
        </w:rPr>
      </w:pPr>
      <w:r w:rsidRPr="00772B95">
        <w:rPr>
          <w:rFonts w:ascii="Arial" w:hAnsi="Arial" w:cs="Arial"/>
        </w:rPr>
        <w:t>Justin Trudeau (Canada): Democratic and collaborative Theory Y but limited by structural decentralisation; empathetic communication, but slow unified action.</w:t>
      </w:r>
    </w:p>
    <w:p w14:paraId="13D9AA0C" w14:textId="77777777" w:rsidR="00772B95" w:rsidRPr="00772B95" w:rsidRDefault="00772B95" w:rsidP="00772B95">
      <w:pPr>
        <w:spacing w:line="360" w:lineRule="auto"/>
        <w:rPr>
          <w:rFonts w:ascii="Arial" w:hAnsi="Arial" w:cs="Arial"/>
        </w:rPr>
      </w:pPr>
      <w:r w:rsidRPr="00772B95">
        <w:rPr>
          <w:rFonts w:ascii="Arial" w:hAnsi="Arial" w:cs="Arial"/>
        </w:rPr>
        <w:t>Key Lesson: Effective crisis leadership requires adaptive flexibility, enabling movement along the Tannenbaum &amp; Schmidt continuum in response to context, and balancing control with trust to sustain compliance and resilience (Lewin et al., 1939; Bass &amp; Riggio, 2006; Yukl, 2013).</w:t>
      </w:r>
    </w:p>
    <w:p w14:paraId="205D4176" w14:textId="77777777" w:rsidR="00772B95" w:rsidRPr="00772B95" w:rsidRDefault="00772B95" w:rsidP="00772B95">
      <w:pPr>
        <w:spacing w:line="360" w:lineRule="auto"/>
        <w:rPr>
          <w:rFonts w:ascii="Arial" w:hAnsi="Arial" w:cs="Arial"/>
        </w:rPr>
      </w:pPr>
      <w:r w:rsidRPr="00772B95">
        <w:rPr>
          <w:rFonts w:ascii="Arial" w:hAnsi="Arial" w:cs="Arial"/>
        </w:rPr>
        <w:t xml:space="preserve">The comparative analysis of leadership approaches during the COVID-19 pandemic highlights the need for leaders to dynamically adjust their style to evolving situational demands. Leaders who combined elements of both autocratic and democratic approaches, as seen in South Korea, responded swiftly while maintaining public trust. In contrast, countries where leadership was either too decentralised or slow to adapt, such as Canada and Spain at certain phases, experienced delays or inconsistencies in policy implementation. The ability of a leader to shift seamlessly between directive and participative modes is vital in </w:t>
      </w:r>
      <w:r w:rsidRPr="00772B95">
        <w:rPr>
          <w:rFonts w:ascii="Arial" w:hAnsi="Arial" w:cs="Arial"/>
        </w:rPr>
        <w:lastRenderedPageBreak/>
        <w:t>ensuring both the efficiency and legitimacy of crisis responses. Furthermore, cultural factors and institutional structures play a significant role in shaping the effectiveness of these leadership strategies. For instance, societies with high levels of social trust and collectivism, like South Korea, may respond better to guidance that relies on voluntary compliance than those where individualism prevails. Ultimately, the pandemic has demonstrated that no single leadership style guarantees success; rather, effective leadership is characterised by adaptability, contextual awareness, and the capacity to mobilise diverse stakeholders towards collective action. Ongoing investment in leadership development, as well as fostering a culture of learning and collaboration, will be crucial for improving preparedness and resilience in future public health emergencies.</w:t>
      </w:r>
    </w:p>
    <w:p w14:paraId="34A52110" w14:textId="77777777" w:rsidR="00772B95" w:rsidRPr="00772B95" w:rsidRDefault="00772B95" w:rsidP="00772B95">
      <w:pPr>
        <w:spacing w:line="360" w:lineRule="auto"/>
        <w:rPr>
          <w:rFonts w:ascii="Arial" w:hAnsi="Arial" w:cs="Arial"/>
        </w:rPr>
      </w:pPr>
      <w:r w:rsidRPr="00772B95">
        <w:rPr>
          <w:rFonts w:ascii="Arial" w:hAnsi="Arial" w:cs="Arial"/>
        </w:rPr>
        <w:t>To improve practical application, leaders should focus on developing situational awareness by investing in data analytics and real-time monitoring systems. This will allow for more informed, timely decisions. Additionally, establishing clear communication channels between different levels of government can improve coordination and resource allocation. Leaders can foster adaptive leadership by training leadership teams in crisis management and decision-making under pressure. International collaboration in developing best practices and sharing resources can also enhance resilience and response capabilities. By implementing these strategies, policymakers can ensure their leadership frameworks are equipped to handle future health emergencies effectively.</w:t>
      </w:r>
    </w:p>
    <w:p w14:paraId="4CE0CD0C" w14:textId="3DF22A72" w:rsidR="00DD2D52" w:rsidRPr="00DD2D52" w:rsidRDefault="00DD2D52" w:rsidP="00DB33AC">
      <w:pPr>
        <w:spacing w:line="360" w:lineRule="auto"/>
        <w:rPr>
          <w:rFonts w:ascii="Arial" w:hAnsi="Arial" w:cs="Arial"/>
        </w:rPr>
      </w:pPr>
    </w:p>
    <w:p w14:paraId="034D2044" w14:textId="77777777" w:rsidR="0040493C" w:rsidRPr="0040493C" w:rsidRDefault="0040493C" w:rsidP="00DD6E28">
      <w:pPr>
        <w:spacing w:line="360" w:lineRule="auto"/>
        <w:rPr>
          <w:rFonts w:ascii="Arial" w:hAnsi="Arial" w:cs="Arial"/>
          <w:b/>
          <w:bCs/>
        </w:rPr>
      </w:pPr>
      <w:r w:rsidRPr="0040493C">
        <w:rPr>
          <w:rFonts w:ascii="Arial" w:hAnsi="Arial" w:cs="Arial"/>
          <w:b/>
          <w:bCs/>
        </w:rPr>
        <w:t>Conclusion</w:t>
      </w:r>
    </w:p>
    <w:p w14:paraId="40DB72CC" w14:textId="77F8107C" w:rsidR="0040493C" w:rsidRPr="0040493C" w:rsidRDefault="0040493C" w:rsidP="00DD6E28">
      <w:pPr>
        <w:spacing w:line="360" w:lineRule="auto"/>
        <w:rPr>
          <w:rFonts w:ascii="Arial" w:hAnsi="Arial" w:cs="Arial"/>
        </w:rPr>
      </w:pPr>
      <w:r w:rsidRPr="0040493C">
        <w:rPr>
          <w:rFonts w:ascii="Arial" w:hAnsi="Arial" w:cs="Arial"/>
        </w:rPr>
        <w:t>The COVID-19 pandemic showed that how a country is governed has a big impact on how well its health system can cope. South Korea’s centralised approach helped it act quickly, reaching about a 97% recovery rate early on through strong contact tracing and testing. However, its vaccine rollout was slow, with only 10% of people vaccinated by mid-2021. Spain and Canada, with more decentralised systems, were able to adapt and involve local communities.</w:t>
      </w:r>
      <w:r w:rsidR="00BC37E4">
        <w:rPr>
          <w:rFonts w:ascii="Arial" w:hAnsi="Arial" w:cs="Arial"/>
        </w:rPr>
        <w:t xml:space="preserve"> </w:t>
      </w:r>
      <w:r w:rsidRPr="0040493C">
        <w:rPr>
          <w:rFonts w:ascii="Arial" w:hAnsi="Arial" w:cs="Arial"/>
        </w:rPr>
        <w:t>Spain got past early problems and reached a 70% vaccination rate by late summer 2021 through local efforts. Canada saw different results across provinces, with over 75% of people vaccinated by mid-2021, but struggled with coordination in long-term care, which affected death rates. The main takeaways are the need for better data systems, clear emergency plans, and more support for long-term care and local supply chains. For the future, countries should aim for a mix of strong national direction and local flexibility to stay both quick and fair in health emergencies.</w:t>
      </w:r>
    </w:p>
    <w:p w14:paraId="6727214B" w14:textId="77777777" w:rsidR="00DD2D52" w:rsidRPr="00DD2D52" w:rsidRDefault="00DD2D52" w:rsidP="00DD6E28">
      <w:pPr>
        <w:spacing w:line="360" w:lineRule="auto"/>
        <w:rPr>
          <w:rFonts w:ascii="Arial" w:hAnsi="Arial" w:cs="Arial"/>
        </w:rPr>
      </w:pPr>
    </w:p>
    <w:p w14:paraId="7D7EEF5F" w14:textId="0A8D9E5A" w:rsidR="003F6218" w:rsidRDefault="003F6218" w:rsidP="00070EC2">
      <w:pPr>
        <w:spacing w:line="360" w:lineRule="auto"/>
        <w:jc w:val="both"/>
        <w:rPr>
          <w:rFonts w:ascii="Arial" w:hAnsi="Arial" w:cs="Arial"/>
          <w:b/>
          <w:bCs/>
          <w:sz w:val="24"/>
          <w:szCs w:val="24"/>
        </w:rPr>
      </w:pPr>
      <w:r w:rsidRPr="00C8347A">
        <w:rPr>
          <w:rFonts w:ascii="Arial" w:hAnsi="Arial" w:cs="Arial"/>
          <w:b/>
          <w:bCs/>
          <w:sz w:val="24"/>
          <w:szCs w:val="24"/>
        </w:rPr>
        <w:lastRenderedPageBreak/>
        <w:t>Reference list</w:t>
      </w:r>
    </w:p>
    <w:p w14:paraId="554669DA"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Allin, S., Fitzpatrick, T., Marchildon, G.P. and Quesnel-Vallée, A. (2021) ‘The federal government and Canada’s COVID-19 responses: from “we’re ready, we’re prepared” to “fires are burning”’, </w:t>
      </w:r>
      <w:r w:rsidRPr="00203288">
        <w:rPr>
          <w:rFonts w:ascii="Arial" w:hAnsi="Arial" w:cs="Arial"/>
          <w:i/>
          <w:iCs/>
          <w:sz w:val="24"/>
          <w:szCs w:val="24"/>
        </w:rPr>
        <w:t>Health Economics, Policy and Law</w:t>
      </w:r>
      <w:r w:rsidRPr="00203288">
        <w:rPr>
          <w:rFonts w:ascii="Arial" w:hAnsi="Arial" w:cs="Arial"/>
          <w:sz w:val="24"/>
          <w:szCs w:val="24"/>
        </w:rPr>
        <w:t>, 17(S1), pp. 76–94</w:t>
      </w:r>
    </w:p>
    <w:p w14:paraId="0957BAD2"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Bass, B.M. and Riggio, R.E. (2006) </w:t>
      </w:r>
      <w:r w:rsidRPr="00203288">
        <w:rPr>
          <w:rFonts w:ascii="Arial" w:hAnsi="Arial" w:cs="Arial"/>
          <w:i/>
          <w:iCs/>
          <w:sz w:val="24"/>
          <w:szCs w:val="24"/>
        </w:rPr>
        <w:t>Transformational leadership</w:t>
      </w:r>
      <w:r w:rsidRPr="00203288">
        <w:rPr>
          <w:rFonts w:ascii="Arial" w:hAnsi="Arial" w:cs="Arial"/>
          <w:sz w:val="24"/>
          <w:szCs w:val="24"/>
        </w:rPr>
        <w:t xml:space="preserve">. 2nd </w:t>
      </w:r>
      <w:proofErr w:type="spellStart"/>
      <w:r w:rsidRPr="00203288">
        <w:rPr>
          <w:rFonts w:ascii="Arial" w:hAnsi="Arial" w:cs="Arial"/>
          <w:sz w:val="24"/>
          <w:szCs w:val="24"/>
        </w:rPr>
        <w:t>edn</w:t>
      </w:r>
      <w:proofErr w:type="spellEnd"/>
      <w:r w:rsidRPr="00203288">
        <w:rPr>
          <w:rFonts w:ascii="Arial" w:hAnsi="Arial" w:cs="Arial"/>
          <w:sz w:val="24"/>
          <w:szCs w:val="24"/>
        </w:rPr>
        <w:t>. Mahwah: Lawrence Erlbaum Associates</w:t>
      </w:r>
    </w:p>
    <w:p w14:paraId="05A6CFFA"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BMJ Global Health (2023) ‘Decentralisation and health system resilience: lessons from COVID-19’, </w:t>
      </w:r>
      <w:r w:rsidRPr="00203288">
        <w:rPr>
          <w:rFonts w:ascii="Arial" w:hAnsi="Arial" w:cs="Arial"/>
          <w:i/>
          <w:iCs/>
          <w:sz w:val="24"/>
          <w:szCs w:val="24"/>
        </w:rPr>
        <w:t>BMJ Global Health</w:t>
      </w:r>
      <w:r w:rsidRPr="00203288">
        <w:rPr>
          <w:rFonts w:ascii="Arial" w:hAnsi="Arial" w:cs="Arial"/>
          <w:sz w:val="24"/>
          <w:szCs w:val="24"/>
        </w:rPr>
        <w:t>, 8(4), pp. 1–10</w:t>
      </w:r>
    </w:p>
    <w:p w14:paraId="6B855A72"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Bubela, T., Flood, C., McGrail, K., Straus, S.E. and Mishra, S. (2023) ‘How Canada’s decentralised COVID-19 response affected public health data and decision making’, </w:t>
      </w:r>
      <w:r w:rsidRPr="00203288">
        <w:rPr>
          <w:rFonts w:ascii="Arial" w:hAnsi="Arial" w:cs="Arial"/>
          <w:i/>
          <w:iCs/>
          <w:sz w:val="24"/>
          <w:szCs w:val="24"/>
        </w:rPr>
        <w:t>BMJ</w:t>
      </w:r>
      <w:r w:rsidRPr="00203288">
        <w:rPr>
          <w:rFonts w:ascii="Arial" w:hAnsi="Arial" w:cs="Arial"/>
          <w:sz w:val="24"/>
          <w:szCs w:val="24"/>
        </w:rPr>
        <w:t>, 382, e075665</w:t>
      </w:r>
    </w:p>
    <w:p w14:paraId="75EBC331"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Canadian Institute for Health Information (CIHI) (2022) </w:t>
      </w:r>
      <w:r w:rsidRPr="00203288">
        <w:rPr>
          <w:rFonts w:ascii="Arial" w:hAnsi="Arial" w:cs="Arial"/>
          <w:i/>
          <w:iCs/>
          <w:sz w:val="24"/>
          <w:szCs w:val="24"/>
        </w:rPr>
        <w:t>COVID-19 vaccination in Canada</w:t>
      </w:r>
      <w:r w:rsidRPr="00203288">
        <w:rPr>
          <w:rFonts w:ascii="Arial" w:hAnsi="Arial" w:cs="Arial"/>
          <w:sz w:val="24"/>
          <w:szCs w:val="24"/>
        </w:rPr>
        <w:t>. CIHI</w:t>
      </w:r>
    </w:p>
    <w:p w14:paraId="70AC31B3"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Cameron-Blake, E., Breton, C., Sim, P., Tatlow, H., Hale, T., Wood, A., Smith, J., Sawatsky, J., Parsons, Z. and Katherine, S. (2021) </w:t>
      </w:r>
      <w:r w:rsidRPr="00203288">
        <w:rPr>
          <w:rFonts w:ascii="Arial" w:hAnsi="Arial" w:cs="Arial"/>
          <w:i/>
          <w:iCs/>
          <w:sz w:val="24"/>
          <w:szCs w:val="24"/>
        </w:rPr>
        <w:t>Variation in the Canadian provincial and territorial responses to COVID-19</w:t>
      </w:r>
      <w:r w:rsidRPr="00203288">
        <w:rPr>
          <w:rFonts w:ascii="Arial" w:hAnsi="Arial" w:cs="Arial"/>
          <w:sz w:val="24"/>
          <w:szCs w:val="24"/>
        </w:rPr>
        <w:t>. IRPP Centre of Excellence on the Canadian Federation</w:t>
      </w:r>
    </w:p>
    <w:p w14:paraId="18FB8675"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Carignan, M.-E. (2020) ‘COVID-19: Canadians place high trust in authorities compared to seven other countries’, Université de Sherbrooke</w:t>
      </w:r>
    </w:p>
    <w:p w14:paraId="0461F5AC"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Coombs, W.T. (2014) </w:t>
      </w:r>
      <w:r w:rsidRPr="00203288">
        <w:rPr>
          <w:rFonts w:ascii="Arial" w:hAnsi="Arial" w:cs="Arial"/>
          <w:i/>
          <w:iCs/>
          <w:sz w:val="24"/>
          <w:szCs w:val="24"/>
        </w:rPr>
        <w:t>Ongoing crisis communication: planning, managing, and responding</w:t>
      </w:r>
      <w:r w:rsidRPr="00203288">
        <w:rPr>
          <w:rFonts w:ascii="Arial" w:hAnsi="Arial" w:cs="Arial"/>
          <w:sz w:val="24"/>
          <w:szCs w:val="24"/>
        </w:rPr>
        <w:t xml:space="preserve">. 4th </w:t>
      </w:r>
      <w:proofErr w:type="spellStart"/>
      <w:r w:rsidRPr="00203288">
        <w:rPr>
          <w:rFonts w:ascii="Arial" w:hAnsi="Arial" w:cs="Arial"/>
          <w:sz w:val="24"/>
          <w:szCs w:val="24"/>
        </w:rPr>
        <w:t>edn</w:t>
      </w:r>
      <w:proofErr w:type="spellEnd"/>
      <w:r w:rsidRPr="00203288">
        <w:rPr>
          <w:rFonts w:ascii="Arial" w:hAnsi="Arial" w:cs="Arial"/>
          <w:sz w:val="24"/>
          <w:szCs w:val="24"/>
        </w:rPr>
        <w:t>. Thousand Oaks: Sage</w:t>
      </w:r>
    </w:p>
    <w:p w14:paraId="3D1A7FAE"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Cyr, C. et al. (2021) ‘An inconsistent Canadian provincial and territorial response during the early COVID-19 pandemic’, </w:t>
      </w:r>
      <w:r w:rsidRPr="00203288">
        <w:rPr>
          <w:rFonts w:ascii="Arial" w:hAnsi="Arial" w:cs="Arial"/>
          <w:i/>
          <w:iCs/>
          <w:sz w:val="24"/>
          <w:szCs w:val="24"/>
        </w:rPr>
        <w:t>Frontiers in Public Health</w:t>
      </w:r>
      <w:r w:rsidRPr="00203288">
        <w:rPr>
          <w:rFonts w:ascii="Arial" w:hAnsi="Arial" w:cs="Arial"/>
          <w:sz w:val="24"/>
          <w:szCs w:val="24"/>
        </w:rPr>
        <w:t>, 9, pp. 1–10</w:t>
      </w:r>
    </w:p>
    <w:p w14:paraId="3CA118E4"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 xml:space="preserve">Detsky, A.S. and </w:t>
      </w:r>
      <w:proofErr w:type="spellStart"/>
      <w:r w:rsidRPr="00203288">
        <w:rPr>
          <w:rFonts w:ascii="Arial" w:hAnsi="Arial" w:cs="Arial"/>
          <w:sz w:val="24"/>
          <w:szCs w:val="24"/>
        </w:rPr>
        <w:t>Bogoch</w:t>
      </w:r>
      <w:proofErr w:type="spellEnd"/>
      <w:r w:rsidRPr="00203288">
        <w:rPr>
          <w:rFonts w:ascii="Arial" w:hAnsi="Arial" w:cs="Arial"/>
          <w:sz w:val="24"/>
          <w:szCs w:val="24"/>
        </w:rPr>
        <w:t>, I.I. (2020) ‘COVID-19 in Canada: Experience and response’, </w:t>
      </w:r>
      <w:r w:rsidRPr="00203288">
        <w:rPr>
          <w:rFonts w:ascii="Arial" w:hAnsi="Arial" w:cs="Arial"/>
          <w:i/>
          <w:iCs/>
          <w:sz w:val="24"/>
          <w:szCs w:val="24"/>
        </w:rPr>
        <w:t>JAMA</w:t>
      </w:r>
      <w:r w:rsidRPr="00203288">
        <w:rPr>
          <w:rFonts w:ascii="Arial" w:hAnsi="Arial" w:cs="Arial"/>
          <w:sz w:val="24"/>
          <w:szCs w:val="24"/>
        </w:rPr>
        <w:t>, 324(8), pp. 743–744</w:t>
      </w:r>
    </w:p>
    <w:p w14:paraId="0B44C523" w14:textId="77777777" w:rsidR="00203288" w:rsidRPr="00203288" w:rsidRDefault="00203288" w:rsidP="00203288">
      <w:pPr>
        <w:spacing w:line="360" w:lineRule="auto"/>
        <w:jc w:val="both"/>
        <w:rPr>
          <w:rFonts w:ascii="Arial" w:hAnsi="Arial" w:cs="Arial"/>
          <w:sz w:val="24"/>
          <w:szCs w:val="24"/>
        </w:rPr>
      </w:pPr>
      <w:proofErr w:type="spellStart"/>
      <w:r w:rsidRPr="00203288">
        <w:rPr>
          <w:rFonts w:ascii="Arial" w:hAnsi="Arial" w:cs="Arial"/>
          <w:sz w:val="24"/>
          <w:szCs w:val="24"/>
        </w:rPr>
        <w:t>Erkoreka</w:t>
      </w:r>
      <w:proofErr w:type="spellEnd"/>
      <w:r w:rsidRPr="00203288">
        <w:rPr>
          <w:rFonts w:ascii="Arial" w:hAnsi="Arial" w:cs="Arial"/>
          <w:sz w:val="24"/>
          <w:szCs w:val="24"/>
        </w:rPr>
        <w:t>, A. and Hernando-Pérez, J. (2022) ‘Decentralization: A handicap in fighting the COVID-19 pandemic? The response of the regional governments in Spain’, </w:t>
      </w:r>
      <w:r w:rsidRPr="00203288">
        <w:rPr>
          <w:rFonts w:ascii="Arial" w:hAnsi="Arial" w:cs="Arial"/>
          <w:i/>
          <w:iCs/>
          <w:sz w:val="24"/>
          <w:szCs w:val="24"/>
        </w:rPr>
        <w:t>Public Administration &amp; Development</w:t>
      </w:r>
      <w:r w:rsidRPr="00203288">
        <w:rPr>
          <w:rFonts w:ascii="Arial" w:hAnsi="Arial" w:cs="Arial"/>
          <w:sz w:val="24"/>
          <w:szCs w:val="24"/>
        </w:rPr>
        <w:t>, 42(3), pp. 215–227</w:t>
      </w:r>
    </w:p>
    <w:p w14:paraId="684B8F2D"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lastRenderedPageBreak/>
        <w:t>European Commission (2021) </w:t>
      </w:r>
      <w:r w:rsidRPr="00203288">
        <w:rPr>
          <w:rFonts w:ascii="Arial" w:hAnsi="Arial" w:cs="Arial"/>
          <w:i/>
          <w:iCs/>
          <w:sz w:val="24"/>
          <w:szCs w:val="24"/>
        </w:rPr>
        <w:t>European economic forecast: autumn 2021</w:t>
      </w:r>
      <w:r w:rsidRPr="00203288">
        <w:rPr>
          <w:rFonts w:ascii="Arial" w:hAnsi="Arial" w:cs="Arial"/>
          <w:sz w:val="24"/>
          <w:szCs w:val="24"/>
        </w:rPr>
        <w:t>. Brussels: European Commission</w:t>
      </w:r>
    </w:p>
    <w:p w14:paraId="35C0ABC8"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European Observatory on Health Systems (2021) </w:t>
      </w:r>
      <w:r w:rsidRPr="00203288">
        <w:rPr>
          <w:rFonts w:ascii="Arial" w:hAnsi="Arial" w:cs="Arial"/>
          <w:i/>
          <w:iCs/>
          <w:sz w:val="24"/>
          <w:szCs w:val="24"/>
        </w:rPr>
        <w:t>COVID-19 Health System Response Monitor</w:t>
      </w:r>
      <w:r w:rsidRPr="00203288">
        <w:rPr>
          <w:rFonts w:ascii="Arial" w:hAnsi="Arial" w:cs="Arial"/>
          <w:sz w:val="24"/>
          <w:szCs w:val="24"/>
        </w:rPr>
        <w:t>. WHO Regional Office for Europe</w:t>
      </w:r>
    </w:p>
    <w:p w14:paraId="3B8AE9DA"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European Observatory on Health Systems (2021) </w:t>
      </w:r>
      <w:r w:rsidRPr="00203288">
        <w:rPr>
          <w:rFonts w:ascii="Arial" w:hAnsi="Arial" w:cs="Arial"/>
          <w:i/>
          <w:iCs/>
          <w:sz w:val="24"/>
          <w:szCs w:val="24"/>
        </w:rPr>
        <w:t>Spain: health system review</w:t>
      </w:r>
      <w:r w:rsidRPr="00203288">
        <w:rPr>
          <w:rFonts w:ascii="Arial" w:hAnsi="Arial" w:cs="Arial"/>
          <w:sz w:val="24"/>
          <w:szCs w:val="24"/>
        </w:rPr>
        <w:t>. WHO Regional Office for Europe</w:t>
      </w:r>
    </w:p>
    <w:p w14:paraId="5B3A3400"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Flood, C. and Thomas, B. (2021) ‘Federalism and pandemic response: Canada’s COVID-19 experience’, </w:t>
      </w:r>
      <w:r w:rsidRPr="00203288">
        <w:rPr>
          <w:rFonts w:ascii="Arial" w:hAnsi="Arial" w:cs="Arial"/>
          <w:i/>
          <w:iCs/>
          <w:sz w:val="24"/>
          <w:szCs w:val="24"/>
        </w:rPr>
        <w:t>Canadian Public Administration</w:t>
      </w:r>
      <w:r w:rsidRPr="00203288">
        <w:rPr>
          <w:rFonts w:ascii="Arial" w:hAnsi="Arial" w:cs="Arial"/>
          <w:sz w:val="24"/>
          <w:szCs w:val="24"/>
        </w:rPr>
        <w:t>, 64(3), pp. 456–472</w:t>
      </w:r>
    </w:p>
    <w:p w14:paraId="62E9BBBD"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Government of Canada (2021) </w:t>
      </w:r>
      <w:r w:rsidRPr="00203288">
        <w:rPr>
          <w:rFonts w:ascii="Arial" w:hAnsi="Arial" w:cs="Arial"/>
          <w:i/>
          <w:iCs/>
          <w:sz w:val="24"/>
          <w:szCs w:val="24"/>
        </w:rPr>
        <w:t>COVID-19: Canada’s response</w:t>
      </w:r>
      <w:r w:rsidRPr="00203288">
        <w:rPr>
          <w:rFonts w:ascii="Arial" w:hAnsi="Arial" w:cs="Arial"/>
          <w:sz w:val="24"/>
          <w:szCs w:val="24"/>
        </w:rPr>
        <w:t>. Ottawa: Public Health Agency of Canada</w:t>
      </w:r>
    </w:p>
    <w:p w14:paraId="3BD43666"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Government of Canada (2022) </w:t>
      </w:r>
      <w:r w:rsidRPr="00203288">
        <w:rPr>
          <w:rFonts w:ascii="Arial" w:hAnsi="Arial" w:cs="Arial"/>
          <w:i/>
          <w:iCs/>
          <w:sz w:val="24"/>
          <w:szCs w:val="24"/>
        </w:rPr>
        <w:t>COVID-19 response overview</w:t>
      </w:r>
      <w:r w:rsidRPr="00203288">
        <w:rPr>
          <w:rFonts w:ascii="Arial" w:hAnsi="Arial" w:cs="Arial"/>
          <w:sz w:val="24"/>
          <w:szCs w:val="24"/>
        </w:rPr>
        <w:t>. Government of Canada</w:t>
      </w:r>
    </w:p>
    <w:p w14:paraId="5737C0BE"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Greer, S.L., King, E.J., Massard da Fonseca, E. and Peralta-Santos, A. (2020) ‘The comparative politics of COVID-19: The need to understand government responses’, </w:t>
      </w:r>
      <w:r w:rsidRPr="00203288">
        <w:rPr>
          <w:rFonts w:ascii="Arial" w:hAnsi="Arial" w:cs="Arial"/>
          <w:i/>
          <w:iCs/>
          <w:sz w:val="24"/>
          <w:szCs w:val="24"/>
        </w:rPr>
        <w:t>Global Public Health</w:t>
      </w:r>
      <w:r w:rsidRPr="00203288">
        <w:rPr>
          <w:rFonts w:ascii="Arial" w:hAnsi="Arial" w:cs="Arial"/>
          <w:sz w:val="24"/>
          <w:szCs w:val="24"/>
        </w:rPr>
        <w:t>, 15(9), pp. 1413–1416</w:t>
      </w:r>
    </w:p>
    <w:p w14:paraId="10EA2320"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Hernández-Moreno, J., Pereira-Puga, M. and Cruz-Martínez, G. (2023) ‘COVID-19 and nursing homes in decentralized Spain: how governance and public policies influence working conditions and organizational responses to the crisis’, </w:t>
      </w:r>
      <w:r w:rsidRPr="00203288">
        <w:rPr>
          <w:rFonts w:ascii="Arial" w:hAnsi="Arial" w:cs="Arial"/>
          <w:i/>
          <w:iCs/>
          <w:sz w:val="24"/>
          <w:szCs w:val="24"/>
        </w:rPr>
        <w:t>Administration &amp; Society</w:t>
      </w:r>
      <w:r w:rsidRPr="00203288">
        <w:rPr>
          <w:rFonts w:ascii="Arial" w:hAnsi="Arial" w:cs="Arial"/>
          <w:sz w:val="24"/>
          <w:szCs w:val="24"/>
        </w:rPr>
        <w:t>, 55(9), pp. 1651–1679</w:t>
      </w:r>
    </w:p>
    <w:p w14:paraId="01523DE6"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Hofstede Insights (2020) </w:t>
      </w:r>
      <w:r w:rsidRPr="00203288">
        <w:rPr>
          <w:rFonts w:ascii="Arial" w:hAnsi="Arial" w:cs="Arial"/>
          <w:i/>
          <w:iCs/>
          <w:sz w:val="24"/>
          <w:szCs w:val="24"/>
        </w:rPr>
        <w:t>Country comparison: Spain, South Korea, Canada</w:t>
      </w:r>
      <w:r w:rsidRPr="00203288">
        <w:rPr>
          <w:rFonts w:ascii="Arial" w:hAnsi="Arial" w:cs="Arial"/>
          <w:sz w:val="24"/>
          <w:szCs w:val="24"/>
        </w:rPr>
        <w:t>. Hofstede Insights</w:t>
      </w:r>
    </w:p>
    <w:p w14:paraId="4B1D47AB"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Hong, S.A. et al. (2024) ‘Toward better pandemic governance and preparedness: South Korea’s whole-of-nation approach to COVID-19’, </w:t>
      </w:r>
      <w:r w:rsidRPr="00203288">
        <w:rPr>
          <w:rFonts w:ascii="Arial" w:hAnsi="Arial" w:cs="Arial"/>
          <w:i/>
          <w:iCs/>
          <w:sz w:val="24"/>
          <w:szCs w:val="24"/>
        </w:rPr>
        <w:t>BMC Public Health</w:t>
      </w:r>
      <w:r w:rsidRPr="00203288">
        <w:rPr>
          <w:rFonts w:ascii="Arial" w:hAnsi="Arial" w:cs="Arial"/>
          <w:sz w:val="24"/>
          <w:szCs w:val="24"/>
        </w:rPr>
        <w:t>, 24(1), Article 2126</w:t>
      </w:r>
    </w:p>
    <w:p w14:paraId="3D533DEB"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Jones, S. (2020) ‘Spain orders nationwide lockdown to battle coronavirus’, </w:t>
      </w:r>
      <w:r w:rsidRPr="00203288">
        <w:rPr>
          <w:rFonts w:ascii="Arial" w:hAnsi="Arial" w:cs="Arial"/>
          <w:i/>
          <w:iCs/>
          <w:sz w:val="24"/>
          <w:szCs w:val="24"/>
        </w:rPr>
        <w:t>The Guardian</w:t>
      </w:r>
    </w:p>
    <w:p w14:paraId="3D7B3AA9"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Kim, J., Lee, S. and Park, S. (2021) ‘Management of the COVID-19 pandemic in Korea from the perspective of governance and public-private partnership’, </w:t>
      </w:r>
      <w:r w:rsidRPr="00203288">
        <w:rPr>
          <w:rFonts w:ascii="Arial" w:hAnsi="Arial" w:cs="Arial"/>
          <w:i/>
          <w:iCs/>
          <w:sz w:val="24"/>
          <w:szCs w:val="24"/>
        </w:rPr>
        <w:t>Yonsei Medical Journal</w:t>
      </w:r>
      <w:r w:rsidRPr="00203288">
        <w:rPr>
          <w:rFonts w:ascii="Arial" w:hAnsi="Arial" w:cs="Arial"/>
          <w:sz w:val="24"/>
          <w:szCs w:val="24"/>
        </w:rPr>
        <w:t>, 62(9), pp. 832–839</w:t>
      </w:r>
    </w:p>
    <w:p w14:paraId="3B863A83"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lastRenderedPageBreak/>
        <w:t xml:space="preserve">Korea </w:t>
      </w:r>
      <w:proofErr w:type="spellStart"/>
      <w:r w:rsidRPr="00203288">
        <w:rPr>
          <w:rFonts w:ascii="Arial" w:hAnsi="Arial" w:cs="Arial"/>
          <w:sz w:val="24"/>
          <w:szCs w:val="24"/>
        </w:rPr>
        <w:t>Centers</w:t>
      </w:r>
      <w:proofErr w:type="spellEnd"/>
      <w:r w:rsidRPr="00203288">
        <w:rPr>
          <w:rFonts w:ascii="Arial" w:hAnsi="Arial" w:cs="Arial"/>
          <w:sz w:val="24"/>
          <w:szCs w:val="24"/>
        </w:rPr>
        <w:t xml:space="preserve"> for Disease Control and Prevention (KCDC) (2020) </w:t>
      </w:r>
      <w:r w:rsidRPr="00203288">
        <w:rPr>
          <w:rFonts w:ascii="Arial" w:hAnsi="Arial" w:cs="Arial"/>
          <w:i/>
          <w:iCs/>
          <w:sz w:val="24"/>
          <w:szCs w:val="24"/>
        </w:rPr>
        <w:t>COVID-19 response strategy</w:t>
      </w:r>
      <w:r w:rsidRPr="00203288">
        <w:rPr>
          <w:rFonts w:ascii="Arial" w:hAnsi="Arial" w:cs="Arial"/>
          <w:sz w:val="24"/>
          <w:szCs w:val="24"/>
        </w:rPr>
        <w:t>. Seoul: KCDC</w:t>
      </w:r>
    </w:p>
    <w:p w14:paraId="277F9A9E"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 xml:space="preserve">Korea </w:t>
      </w:r>
      <w:proofErr w:type="spellStart"/>
      <w:r w:rsidRPr="00203288">
        <w:rPr>
          <w:rFonts w:ascii="Arial" w:hAnsi="Arial" w:cs="Arial"/>
          <w:sz w:val="24"/>
          <w:szCs w:val="24"/>
        </w:rPr>
        <w:t>Centers</w:t>
      </w:r>
      <w:proofErr w:type="spellEnd"/>
      <w:r w:rsidRPr="00203288">
        <w:rPr>
          <w:rFonts w:ascii="Arial" w:hAnsi="Arial" w:cs="Arial"/>
          <w:sz w:val="24"/>
          <w:szCs w:val="24"/>
        </w:rPr>
        <w:t xml:space="preserve"> for Disease Control and Prevention (KCDC) (2021) </w:t>
      </w:r>
      <w:r w:rsidRPr="00203288">
        <w:rPr>
          <w:rFonts w:ascii="Arial" w:hAnsi="Arial" w:cs="Arial"/>
          <w:i/>
          <w:iCs/>
          <w:sz w:val="24"/>
          <w:szCs w:val="24"/>
        </w:rPr>
        <w:t>Vaccination progress report</w:t>
      </w:r>
      <w:r w:rsidRPr="00203288">
        <w:rPr>
          <w:rFonts w:ascii="Arial" w:hAnsi="Arial" w:cs="Arial"/>
          <w:sz w:val="24"/>
          <w:szCs w:val="24"/>
        </w:rPr>
        <w:t>. Seoul: KCDC</w:t>
      </w:r>
    </w:p>
    <w:p w14:paraId="655B6FDF"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Lee, S. and Wong, R. (2021) ‘COVID-19 responses of South Korea as hybrids of governance modes’, </w:t>
      </w:r>
      <w:r w:rsidRPr="00203288">
        <w:rPr>
          <w:rFonts w:ascii="Arial" w:hAnsi="Arial" w:cs="Arial"/>
          <w:i/>
          <w:iCs/>
          <w:sz w:val="24"/>
          <w:szCs w:val="24"/>
        </w:rPr>
        <w:t>Frontiers in Public Health</w:t>
      </w:r>
      <w:r w:rsidRPr="00203288">
        <w:rPr>
          <w:rFonts w:ascii="Arial" w:hAnsi="Arial" w:cs="Arial"/>
          <w:sz w:val="24"/>
          <w:szCs w:val="24"/>
        </w:rPr>
        <w:t>, 9, 654945</w:t>
      </w:r>
    </w:p>
    <w:p w14:paraId="7FDF9AFF"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 xml:space="preserve">Lewin, K., Lippitt, R. and White, R.K. (1939) ‘Patterns of aggressive </w:t>
      </w:r>
      <w:proofErr w:type="spellStart"/>
      <w:r w:rsidRPr="00203288">
        <w:rPr>
          <w:rFonts w:ascii="Arial" w:hAnsi="Arial" w:cs="Arial"/>
          <w:sz w:val="24"/>
          <w:szCs w:val="24"/>
        </w:rPr>
        <w:t>behavior</w:t>
      </w:r>
      <w:proofErr w:type="spellEnd"/>
      <w:r w:rsidRPr="00203288">
        <w:rPr>
          <w:rFonts w:ascii="Arial" w:hAnsi="Arial" w:cs="Arial"/>
          <w:sz w:val="24"/>
          <w:szCs w:val="24"/>
        </w:rPr>
        <w:t xml:space="preserve"> in experimentally created social climates’, </w:t>
      </w:r>
      <w:r w:rsidRPr="00203288">
        <w:rPr>
          <w:rFonts w:ascii="Arial" w:hAnsi="Arial" w:cs="Arial"/>
          <w:i/>
          <w:iCs/>
          <w:sz w:val="24"/>
          <w:szCs w:val="24"/>
        </w:rPr>
        <w:t>Journal of Social Psychology</w:t>
      </w:r>
      <w:r w:rsidRPr="00203288">
        <w:rPr>
          <w:rFonts w:ascii="Arial" w:hAnsi="Arial" w:cs="Arial"/>
          <w:sz w:val="24"/>
          <w:szCs w:val="24"/>
        </w:rPr>
        <w:t>, 10(2), pp. 271–299</w:t>
      </w:r>
    </w:p>
    <w:p w14:paraId="404A1270"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López-Valcárcel, B.G. and López-Casasnovas, G. (2025) ‘Has regional decentralisation saved lives during the COVID-19 pandemic?’, </w:t>
      </w:r>
      <w:r w:rsidRPr="00203288">
        <w:rPr>
          <w:rFonts w:ascii="Arial" w:hAnsi="Arial" w:cs="Arial"/>
          <w:i/>
          <w:iCs/>
          <w:sz w:val="24"/>
          <w:szCs w:val="24"/>
        </w:rPr>
        <w:t>Health Economics, Policy and Law</w:t>
      </w:r>
      <w:r w:rsidRPr="00203288">
        <w:rPr>
          <w:rFonts w:ascii="Arial" w:hAnsi="Arial" w:cs="Arial"/>
          <w:sz w:val="24"/>
          <w:szCs w:val="24"/>
        </w:rPr>
        <w:t>, 20(3), pp. 297–312</w:t>
      </w:r>
    </w:p>
    <w:p w14:paraId="74B21871"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McGregor, D. (1960) </w:t>
      </w:r>
      <w:r w:rsidRPr="00203288">
        <w:rPr>
          <w:rFonts w:ascii="Arial" w:hAnsi="Arial" w:cs="Arial"/>
          <w:i/>
          <w:iCs/>
          <w:sz w:val="24"/>
          <w:szCs w:val="24"/>
        </w:rPr>
        <w:t>The human side of enterprise</w:t>
      </w:r>
      <w:r w:rsidRPr="00203288">
        <w:rPr>
          <w:rFonts w:ascii="Arial" w:hAnsi="Arial" w:cs="Arial"/>
          <w:sz w:val="24"/>
          <w:szCs w:val="24"/>
        </w:rPr>
        <w:t>. New York: McGraw-Hill</w:t>
      </w:r>
    </w:p>
    <w:p w14:paraId="6F60AB5F" w14:textId="77777777" w:rsidR="00203288" w:rsidRPr="00203288" w:rsidRDefault="00203288" w:rsidP="00203288">
      <w:pPr>
        <w:spacing w:line="360" w:lineRule="auto"/>
        <w:jc w:val="both"/>
        <w:rPr>
          <w:rFonts w:ascii="Arial" w:hAnsi="Arial" w:cs="Arial"/>
          <w:sz w:val="24"/>
          <w:szCs w:val="24"/>
        </w:rPr>
      </w:pPr>
      <w:proofErr w:type="spellStart"/>
      <w:r w:rsidRPr="00203288">
        <w:rPr>
          <w:rFonts w:ascii="Arial" w:hAnsi="Arial" w:cs="Arial"/>
          <w:sz w:val="24"/>
          <w:szCs w:val="24"/>
        </w:rPr>
        <w:t>Ministerio</w:t>
      </w:r>
      <w:proofErr w:type="spellEnd"/>
      <w:r w:rsidRPr="00203288">
        <w:rPr>
          <w:rFonts w:ascii="Arial" w:hAnsi="Arial" w:cs="Arial"/>
          <w:sz w:val="24"/>
          <w:szCs w:val="24"/>
        </w:rPr>
        <w:t xml:space="preserve"> de Sanidad (2022) </w:t>
      </w:r>
      <w:r w:rsidRPr="00203288">
        <w:rPr>
          <w:rFonts w:ascii="Arial" w:hAnsi="Arial" w:cs="Arial"/>
          <w:i/>
          <w:iCs/>
          <w:sz w:val="24"/>
          <w:szCs w:val="24"/>
        </w:rPr>
        <w:t xml:space="preserve">Informe de </w:t>
      </w:r>
      <w:proofErr w:type="spellStart"/>
      <w:r w:rsidRPr="00203288">
        <w:rPr>
          <w:rFonts w:ascii="Arial" w:hAnsi="Arial" w:cs="Arial"/>
          <w:i/>
          <w:iCs/>
          <w:sz w:val="24"/>
          <w:szCs w:val="24"/>
        </w:rPr>
        <w:t>vacunación</w:t>
      </w:r>
      <w:proofErr w:type="spellEnd"/>
      <w:r w:rsidRPr="00203288">
        <w:rPr>
          <w:rFonts w:ascii="Arial" w:hAnsi="Arial" w:cs="Arial"/>
          <w:i/>
          <w:iCs/>
          <w:sz w:val="24"/>
          <w:szCs w:val="24"/>
        </w:rPr>
        <w:t xml:space="preserve"> COVID-19 </w:t>
      </w:r>
      <w:proofErr w:type="spellStart"/>
      <w:r w:rsidRPr="00203288">
        <w:rPr>
          <w:rFonts w:ascii="Arial" w:hAnsi="Arial" w:cs="Arial"/>
          <w:i/>
          <w:iCs/>
          <w:sz w:val="24"/>
          <w:szCs w:val="24"/>
        </w:rPr>
        <w:t>en</w:t>
      </w:r>
      <w:proofErr w:type="spellEnd"/>
      <w:r w:rsidRPr="00203288">
        <w:rPr>
          <w:rFonts w:ascii="Arial" w:hAnsi="Arial" w:cs="Arial"/>
          <w:i/>
          <w:iCs/>
          <w:sz w:val="24"/>
          <w:szCs w:val="24"/>
        </w:rPr>
        <w:t xml:space="preserve"> España</w:t>
      </w:r>
      <w:r w:rsidRPr="00203288">
        <w:rPr>
          <w:rFonts w:ascii="Arial" w:hAnsi="Arial" w:cs="Arial"/>
          <w:sz w:val="24"/>
          <w:szCs w:val="24"/>
        </w:rPr>
        <w:t>. Madrid: Government of Spain</w:t>
      </w:r>
    </w:p>
    <w:p w14:paraId="6A9B5352" w14:textId="77777777" w:rsidR="00203288" w:rsidRPr="00203288" w:rsidRDefault="00203288" w:rsidP="00203288">
      <w:pPr>
        <w:spacing w:line="360" w:lineRule="auto"/>
        <w:jc w:val="both"/>
        <w:rPr>
          <w:rFonts w:ascii="Arial" w:hAnsi="Arial" w:cs="Arial"/>
          <w:sz w:val="24"/>
          <w:szCs w:val="24"/>
        </w:rPr>
      </w:pPr>
      <w:proofErr w:type="spellStart"/>
      <w:r w:rsidRPr="00203288">
        <w:rPr>
          <w:rFonts w:ascii="Arial" w:hAnsi="Arial" w:cs="Arial"/>
          <w:sz w:val="24"/>
          <w:szCs w:val="24"/>
        </w:rPr>
        <w:t>Migone</w:t>
      </w:r>
      <w:proofErr w:type="spellEnd"/>
      <w:r w:rsidRPr="00203288">
        <w:rPr>
          <w:rFonts w:ascii="Arial" w:hAnsi="Arial" w:cs="Arial"/>
          <w:sz w:val="24"/>
          <w:szCs w:val="24"/>
        </w:rPr>
        <w:t>, A. (2020) ‘Trust, but customize: Federalism’s impact on the Canadian COVID-19 response’, </w:t>
      </w:r>
      <w:r w:rsidRPr="00203288">
        <w:rPr>
          <w:rFonts w:ascii="Arial" w:hAnsi="Arial" w:cs="Arial"/>
          <w:i/>
          <w:iCs/>
          <w:sz w:val="24"/>
          <w:szCs w:val="24"/>
        </w:rPr>
        <w:t>Policy and Society</w:t>
      </w:r>
      <w:r w:rsidRPr="00203288">
        <w:rPr>
          <w:rFonts w:ascii="Arial" w:hAnsi="Arial" w:cs="Arial"/>
          <w:sz w:val="24"/>
          <w:szCs w:val="24"/>
        </w:rPr>
        <w:t>, 39(3), pp. 382–402</w:t>
      </w:r>
    </w:p>
    <w:p w14:paraId="63D85BB6"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Ministry of Health and Welfare Korea (2021) </w:t>
      </w:r>
      <w:r w:rsidRPr="00203288">
        <w:rPr>
          <w:rFonts w:ascii="Arial" w:hAnsi="Arial" w:cs="Arial"/>
          <w:i/>
          <w:iCs/>
          <w:sz w:val="24"/>
          <w:szCs w:val="24"/>
        </w:rPr>
        <w:t>COVID-19 response strategy</w:t>
      </w:r>
      <w:r w:rsidRPr="00203288">
        <w:rPr>
          <w:rFonts w:ascii="Arial" w:hAnsi="Arial" w:cs="Arial"/>
          <w:sz w:val="24"/>
          <w:szCs w:val="24"/>
        </w:rPr>
        <w:t>. Seoul: MOHW</w:t>
      </w:r>
    </w:p>
    <w:p w14:paraId="7E4336AC"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Navarro, C. and Velasco, F. (2022) ‘From centralisation to new ways of multi-level coordination: Spain’s intergovernmental response to the COVID-19 pandemic’, </w:t>
      </w:r>
      <w:r w:rsidRPr="00203288">
        <w:rPr>
          <w:rFonts w:ascii="Arial" w:hAnsi="Arial" w:cs="Arial"/>
          <w:i/>
          <w:iCs/>
          <w:sz w:val="24"/>
          <w:szCs w:val="24"/>
        </w:rPr>
        <w:t>Local Government Studies</w:t>
      </w:r>
      <w:r w:rsidRPr="00203288">
        <w:rPr>
          <w:rFonts w:ascii="Arial" w:hAnsi="Arial" w:cs="Arial"/>
          <w:sz w:val="24"/>
          <w:szCs w:val="24"/>
        </w:rPr>
        <w:t>, 48(2), pp. 191–210</w:t>
      </w:r>
    </w:p>
    <w:p w14:paraId="7395515A"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OECD (2021) </w:t>
      </w:r>
      <w:r w:rsidRPr="00203288">
        <w:rPr>
          <w:rFonts w:ascii="Arial" w:hAnsi="Arial" w:cs="Arial"/>
          <w:i/>
          <w:iCs/>
          <w:sz w:val="24"/>
          <w:szCs w:val="24"/>
        </w:rPr>
        <w:t xml:space="preserve">Health </w:t>
      </w:r>
      <w:proofErr w:type="gramStart"/>
      <w:r w:rsidRPr="00203288">
        <w:rPr>
          <w:rFonts w:ascii="Arial" w:hAnsi="Arial" w:cs="Arial"/>
          <w:i/>
          <w:iCs/>
          <w:sz w:val="24"/>
          <w:szCs w:val="24"/>
        </w:rPr>
        <w:t>at a glance</w:t>
      </w:r>
      <w:proofErr w:type="gramEnd"/>
      <w:r w:rsidRPr="00203288">
        <w:rPr>
          <w:rFonts w:ascii="Arial" w:hAnsi="Arial" w:cs="Arial"/>
          <w:i/>
          <w:iCs/>
          <w:sz w:val="24"/>
          <w:szCs w:val="24"/>
        </w:rPr>
        <w:t xml:space="preserve"> 2021: OECD indicators</w:t>
      </w:r>
      <w:r w:rsidRPr="00203288">
        <w:rPr>
          <w:rFonts w:ascii="Arial" w:hAnsi="Arial" w:cs="Arial"/>
          <w:sz w:val="24"/>
          <w:szCs w:val="24"/>
        </w:rPr>
        <w:t>. Paris: OECD Publishing</w:t>
      </w:r>
    </w:p>
    <w:p w14:paraId="425EE70D"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OECD (2021) </w:t>
      </w:r>
      <w:r w:rsidRPr="00203288">
        <w:rPr>
          <w:rFonts w:ascii="Arial" w:hAnsi="Arial" w:cs="Arial"/>
          <w:i/>
          <w:iCs/>
          <w:sz w:val="24"/>
          <w:szCs w:val="24"/>
        </w:rPr>
        <w:t>Spain: health system review</w:t>
      </w:r>
      <w:r w:rsidRPr="00203288">
        <w:rPr>
          <w:rFonts w:ascii="Arial" w:hAnsi="Arial" w:cs="Arial"/>
          <w:sz w:val="24"/>
          <w:szCs w:val="24"/>
        </w:rPr>
        <w:t>. OECD Publishing</w:t>
      </w:r>
    </w:p>
    <w:p w14:paraId="4DD2B337"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Park, H., Sim, B., Zhao, B. and Nam, E.W. (2022) ‘Public health financing and responses to COVID-19: lessons from South Korea’, </w:t>
      </w:r>
      <w:r w:rsidRPr="00203288">
        <w:rPr>
          <w:rFonts w:ascii="Arial" w:hAnsi="Arial" w:cs="Arial"/>
          <w:i/>
          <w:iCs/>
          <w:sz w:val="24"/>
          <w:szCs w:val="24"/>
        </w:rPr>
        <w:t>Healthcare</w:t>
      </w:r>
      <w:r w:rsidRPr="00203288">
        <w:rPr>
          <w:rFonts w:ascii="Arial" w:hAnsi="Arial" w:cs="Arial"/>
          <w:sz w:val="24"/>
          <w:szCs w:val="24"/>
        </w:rPr>
        <w:t>, 10(4), 750</w:t>
      </w:r>
    </w:p>
    <w:p w14:paraId="2732287D"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Ramos, R., García, A. and López, M. (2021) ‘Regional health system challenges in Spain during COVID-19’, </w:t>
      </w:r>
      <w:r w:rsidRPr="00203288">
        <w:rPr>
          <w:rFonts w:ascii="Arial" w:hAnsi="Arial" w:cs="Arial"/>
          <w:i/>
          <w:iCs/>
          <w:sz w:val="24"/>
          <w:szCs w:val="24"/>
        </w:rPr>
        <w:t>Health Policy</w:t>
      </w:r>
      <w:r w:rsidRPr="00203288">
        <w:rPr>
          <w:rFonts w:ascii="Arial" w:hAnsi="Arial" w:cs="Arial"/>
          <w:sz w:val="24"/>
          <w:szCs w:val="24"/>
        </w:rPr>
        <w:t>, 125(5), pp. 567–574</w:t>
      </w:r>
    </w:p>
    <w:p w14:paraId="4A47FF47"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lastRenderedPageBreak/>
        <w:t>Saltman, R., Busse, R. and Figueras, J. (2021) </w:t>
      </w:r>
      <w:r w:rsidRPr="00203288">
        <w:rPr>
          <w:rFonts w:ascii="Arial" w:hAnsi="Arial" w:cs="Arial"/>
          <w:i/>
          <w:iCs/>
          <w:sz w:val="24"/>
          <w:szCs w:val="24"/>
        </w:rPr>
        <w:t>Decentralization in health care: strategies and outcomes</w:t>
      </w:r>
      <w:r w:rsidRPr="00203288">
        <w:rPr>
          <w:rFonts w:ascii="Arial" w:hAnsi="Arial" w:cs="Arial"/>
          <w:sz w:val="24"/>
          <w:szCs w:val="24"/>
        </w:rPr>
        <w:t>. European Observatory on Health Systems and Policies</w:t>
      </w:r>
    </w:p>
    <w:p w14:paraId="471925A7"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Sánchez-</w:t>
      </w:r>
      <w:proofErr w:type="spellStart"/>
      <w:r w:rsidRPr="00203288">
        <w:rPr>
          <w:rFonts w:ascii="Arial" w:hAnsi="Arial" w:cs="Arial"/>
          <w:sz w:val="24"/>
          <w:szCs w:val="24"/>
        </w:rPr>
        <w:t>Bayón</w:t>
      </w:r>
      <w:proofErr w:type="spellEnd"/>
      <w:r w:rsidRPr="00203288">
        <w:rPr>
          <w:rFonts w:ascii="Arial" w:hAnsi="Arial" w:cs="Arial"/>
          <w:sz w:val="24"/>
          <w:szCs w:val="24"/>
        </w:rPr>
        <w:t>, A. et al. (2022) ‘Spanish healthcare sector management in the COVID-19 crisis’, </w:t>
      </w:r>
      <w:r w:rsidRPr="00203288">
        <w:rPr>
          <w:rFonts w:ascii="Arial" w:hAnsi="Arial" w:cs="Arial"/>
          <w:i/>
          <w:iCs/>
          <w:sz w:val="24"/>
          <w:szCs w:val="24"/>
        </w:rPr>
        <w:t>Frontiers in Public Health</w:t>
      </w:r>
      <w:r w:rsidRPr="00203288">
        <w:rPr>
          <w:rFonts w:ascii="Arial" w:hAnsi="Arial" w:cs="Arial"/>
          <w:sz w:val="24"/>
          <w:szCs w:val="24"/>
        </w:rPr>
        <w:t>, 10, pp. 1–12</w:t>
      </w:r>
    </w:p>
    <w:p w14:paraId="2AC64FDC"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Tannenbaum, R. and Schmidt, W.H. (1958) ‘How to choose a leadership pattern’, </w:t>
      </w:r>
      <w:r w:rsidRPr="00203288">
        <w:rPr>
          <w:rFonts w:ascii="Arial" w:hAnsi="Arial" w:cs="Arial"/>
          <w:i/>
          <w:iCs/>
          <w:sz w:val="24"/>
          <w:szCs w:val="24"/>
        </w:rPr>
        <w:t>Harvard Business Review</w:t>
      </w:r>
      <w:r w:rsidRPr="00203288">
        <w:rPr>
          <w:rFonts w:ascii="Arial" w:hAnsi="Arial" w:cs="Arial"/>
          <w:sz w:val="24"/>
          <w:szCs w:val="24"/>
        </w:rPr>
        <w:t>, 36(2), pp. 95–101</w:t>
      </w:r>
    </w:p>
    <w:p w14:paraId="14F27CBF"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World Health Organization (2022) </w:t>
      </w:r>
      <w:r w:rsidRPr="00203288">
        <w:rPr>
          <w:rFonts w:ascii="Arial" w:hAnsi="Arial" w:cs="Arial"/>
          <w:i/>
          <w:iCs/>
          <w:sz w:val="24"/>
          <w:szCs w:val="24"/>
        </w:rPr>
        <w:t>COVID-19 dashboard</w:t>
      </w:r>
      <w:r w:rsidRPr="00203288">
        <w:rPr>
          <w:rFonts w:ascii="Arial" w:hAnsi="Arial" w:cs="Arial"/>
          <w:sz w:val="24"/>
          <w:szCs w:val="24"/>
        </w:rPr>
        <w:t>. World Health Organization</w:t>
      </w:r>
    </w:p>
    <w:p w14:paraId="35A86C5A"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World Health Organization (WHO) (2020) </w:t>
      </w:r>
      <w:r w:rsidRPr="00203288">
        <w:rPr>
          <w:rFonts w:ascii="Arial" w:hAnsi="Arial" w:cs="Arial"/>
          <w:i/>
          <w:iCs/>
          <w:sz w:val="24"/>
          <w:szCs w:val="24"/>
        </w:rPr>
        <w:t>WHO Director-General’s opening remarks at the media briefing on COVID-19 – 11 March 2020</w:t>
      </w:r>
      <w:r w:rsidRPr="00203288">
        <w:rPr>
          <w:rFonts w:ascii="Arial" w:hAnsi="Arial" w:cs="Arial"/>
          <w:sz w:val="24"/>
          <w:szCs w:val="24"/>
        </w:rPr>
        <w:t>. World Health Organization</w:t>
      </w:r>
    </w:p>
    <w:p w14:paraId="19517EAE"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World Health Organization (WHO) (2021) </w:t>
      </w:r>
      <w:r w:rsidRPr="00203288">
        <w:rPr>
          <w:rFonts w:ascii="Arial" w:hAnsi="Arial" w:cs="Arial"/>
          <w:i/>
          <w:iCs/>
          <w:sz w:val="24"/>
          <w:szCs w:val="24"/>
        </w:rPr>
        <w:t>COVID-19 country reports</w:t>
      </w:r>
      <w:r w:rsidRPr="00203288">
        <w:rPr>
          <w:rFonts w:ascii="Arial" w:hAnsi="Arial" w:cs="Arial"/>
          <w:sz w:val="24"/>
          <w:szCs w:val="24"/>
        </w:rPr>
        <w:t>. Geneva: WHO</w:t>
      </w:r>
    </w:p>
    <w:p w14:paraId="6675A5B6" w14:textId="77777777" w:rsidR="00203288" w:rsidRPr="00203288" w:rsidRDefault="00203288" w:rsidP="00203288">
      <w:pPr>
        <w:spacing w:line="360" w:lineRule="auto"/>
        <w:jc w:val="both"/>
        <w:rPr>
          <w:rFonts w:ascii="Arial" w:hAnsi="Arial" w:cs="Arial"/>
          <w:sz w:val="24"/>
          <w:szCs w:val="24"/>
        </w:rPr>
      </w:pPr>
      <w:r w:rsidRPr="00203288">
        <w:rPr>
          <w:rFonts w:ascii="Arial" w:hAnsi="Arial" w:cs="Arial"/>
          <w:sz w:val="24"/>
          <w:szCs w:val="24"/>
        </w:rPr>
        <w:t>Yukl, G. (2013) </w:t>
      </w:r>
      <w:r w:rsidRPr="00203288">
        <w:rPr>
          <w:rFonts w:ascii="Arial" w:hAnsi="Arial" w:cs="Arial"/>
          <w:i/>
          <w:iCs/>
          <w:sz w:val="24"/>
          <w:szCs w:val="24"/>
        </w:rPr>
        <w:t>Leadership in organizations</w:t>
      </w:r>
      <w:r w:rsidRPr="00203288">
        <w:rPr>
          <w:rFonts w:ascii="Arial" w:hAnsi="Arial" w:cs="Arial"/>
          <w:sz w:val="24"/>
          <w:szCs w:val="24"/>
        </w:rPr>
        <w:t xml:space="preserve">. 8th </w:t>
      </w:r>
      <w:proofErr w:type="spellStart"/>
      <w:r w:rsidRPr="00203288">
        <w:rPr>
          <w:rFonts w:ascii="Arial" w:hAnsi="Arial" w:cs="Arial"/>
          <w:sz w:val="24"/>
          <w:szCs w:val="24"/>
        </w:rPr>
        <w:t>edn</w:t>
      </w:r>
      <w:proofErr w:type="spellEnd"/>
      <w:r w:rsidRPr="00203288">
        <w:rPr>
          <w:rFonts w:ascii="Arial" w:hAnsi="Arial" w:cs="Arial"/>
          <w:sz w:val="24"/>
          <w:szCs w:val="24"/>
        </w:rPr>
        <w:t>. Pearson</w:t>
      </w:r>
    </w:p>
    <w:p w14:paraId="33C1A080" w14:textId="77777777" w:rsidR="002C7C1D" w:rsidRPr="00C8347A" w:rsidRDefault="002C7C1D" w:rsidP="00070EC2">
      <w:pPr>
        <w:spacing w:line="360" w:lineRule="auto"/>
        <w:jc w:val="both"/>
        <w:rPr>
          <w:rFonts w:ascii="Arial" w:hAnsi="Arial" w:cs="Arial"/>
          <w:b/>
          <w:bCs/>
          <w:sz w:val="24"/>
          <w:szCs w:val="24"/>
        </w:rPr>
      </w:pPr>
    </w:p>
    <w:sectPr w:rsidR="002C7C1D" w:rsidRPr="00C8347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EC045" w14:textId="77777777" w:rsidR="0020758E" w:rsidRDefault="0020758E" w:rsidP="004B0A7F">
      <w:pPr>
        <w:spacing w:after="0" w:line="240" w:lineRule="auto"/>
      </w:pPr>
      <w:r>
        <w:separator/>
      </w:r>
    </w:p>
  </w:endnote>
  <w:endnote w:type="continuationSeparator" w:id="0">
    <w:p w14:paraId="33D65C16" w14:textId="77777777" w:rsidR="0020758E" w:rsidRDefault="0020758E" w:rsidP="004B0A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4514738"/>
      <w:docPartObj>
        <w:docPartGallery w:val="Page Numbers (Bottom of Page)"/>
        <w:docPartUnique/>
      </w:docPartObj>
    </w:sdtPr>
    <w:sdtEndPr>
      <w:rPr>
        <w:noProof/>
      </w:rPr>
    </w:sdtEndPr>
    <w:sdtContent>
      <w:p w14:paraId="3B28D7F1" w14:textId="68A156AB" w:rsidR="004664A8" w:rsidRDefault="004664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3B43D4" w14:textId="77777777" w:rsidR="004B0A7F" w:rsidRDefault="004B0A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5A363F" w14:textId="77777777" w:rsidR="0020758E" w:rsidRDefault="0020758E" w:rsidP="004B0A7F">
      <w:pPr>
        <w:spacing w:after="0" w:line="240" w:lineRule="auto"/>
      </w:pPr>
      <w:r>
        <w:separator/>
      </w:r>
    </w:p>
  </w:footnote>
  <w:footnote w:type="continuationSeparator" w:id="0">
    <w:p w14:paraId="1DAE07BB" w14:textId="77777777" w:rsidR="0020758E" w:rsidRDefault="0020758E" w:rsidP="004B0A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504AAB"/>
    <w:multiLevelType w:val="multilevel"/>
    <w:tmpl w:val="87DA5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6F2517"/>
    <w:multiLevelType w:val="multilevel"/>
    <w:tmpl w:val="42B69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6E2C0B"/>
    <w:multiLevelType w:val="multilevel"/>
    <w:tmpl w:val="A9EC4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3D0221"/>
    <w:multiLevelType w:val="multilevel"/>
    <w:tmpl w:val="97B2F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B80531"/>
    <w:multiLevelType w:val="multilevel"/>
    <w:tmpl w:val="D138C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B4348D"/>
    <w:multiLevelType w:val="multilevel"/>
    <w:tmpl w:val="7DEAF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A55253"/>
    <w:multiLevelType w:val="multilevel"/>
    <w:tmpl w:val="FD044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113828"/>
    <w:multiLevelType w:val="multilevel"/>
    <w:tmpl w:val="23A02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557FE3"/>
    <w:multiLevelType w:val="multilevel"/>
    <w:tmpl w:val="05107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204C59"/>
    <w:multiLevelType w:val="multilevel"/>
    <w:tmpl w:val="4D60D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440985">
    <w:abstractNumId w:val="6"/>
  </w:num>
  <w:num w:numId="2" w16cid:durableId="727263402">
    <w:abstractNumId w:val="4"/>
  </w:num>
  <w:num w:numId="3" w16cid:durableId="944576504">
    <w:abstractNumId w:val="2"/>
  </w:num>
  <w:num w:numId="4" w16cid:durableId="2140027374">
    <w:abstractNumId w:val="0"/>
  </w:num>
  <w:num w:numId="5" w16cid:durableId="394662991">
    <w:abstractNumId w:val="1"/>
  </w:num>
  <w:num w:numId="6" w16cid:durableId="1135030454">
    <w:abstractNumId w:val="5"/>
  </w:num>
  <w:num w:numId="7" w16cid:durableId="143547776">
    <w:abstractNumId w:val="7"/>
  </w:num>
  <w:num w:numId="8" w16cid:durableId="1905943911">
    <w:abstractNumId w:val="9"/>
  </w:num>
  <w:num w:numId="9" w16cid:durableId="1434284294">
    <w:abstractNumId w:val="8"/>
  </w:num>
  <w:num w:numId="10" w16cid:durableId="14596867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BB0"/>
    <w:rsid w:val="000019F6"/>
    <w:rsid w:val="0000708A"/>
    <w:rsid w:val="00011F6C"/>
    <w:rsid w:val="000231F9"/>
    <w:rsid w:val="0002590D"/>
    <w:rsid w:val="00040BB0"/>
    <w:rsid w:val="00066B05"/>
    <w:rsid w:val="00070EC2"/>
    <w:rsid w:val="0008285C"/>
    <w:rsid w:val="0009686D"/>
    <w:rsid w:val="000B603C"/>
    <w:rsid w:val="00147FFB"/>
    <w:rsid w:val="001523AA"/>
    <w:rsid w:val="001524A0"/>
    <w:rsid w:val="00173091"/>
    <w:rsid w:val="00187196"/>
    <w:rsid w:val="001C2396"/>
    <w:rsid w:val="001F7E97"/>
    <w:rsid w:val="00200CE5"/>
    <w:rsid w:val="00203288"/>
    <w:rsid w:val="0020758E"/>
    <w:rsid w:val="00224B23"/>
    <w:rsid w:val="002727C1"/>
    <w:rsid w:val="00281894"/>
    <w:rsid w:val="002A15BE"/>
    <w:rsid w:val="002A3DA1"/>
    <w:rsid w:val="002B0A4C"/>
    <w:rsid w:val="002B4A3E"/>
    <w:rsid w:val="002C7C1D"/>
    <w:rsid w:val="00325301"/>
    <w:rsid w:val="0032580D"/>
    <w:rsid w:val="003350AD"/>
    <w:rsid w:val="003748A9"/>
    <w:rsid w:val="00375FED"/>
    <w:rsid w:val="003B4EAE"/>
    <w:rsid w:val="003F456E"/>
    <w:rsid w:val="003F5B6D"/>
    <w:rsid w:val="003F6218"/>
    <w:rsid w:val="0040493C"/>
    <w:rsid w:val="00416721"/>
    <w:rsid w:val="004334A5"/>
    <w:rsid w:val="004664A8"/>
    <w:rsid w:val="004B0A7F"/>
    <w:rsid w:val="004B2B4C"/>
    <w:rsid w:val="004E0CFE"/>
    <w:rsid w:val="004F5745"/>
    <w:rsid w:val="00510E5D"/>
    <w:rsid w:val="00521C59"/>
    <w:rsid w:val="00574358"/>
    <w:rsid w:val="005819C6"/>
    <w:rsid w:val="005830DD"/>
    <w:rsid w:val="005A4BDF"/>
    <w:rsid w:val="00606814"/>
    <w:rsid w:val="00607FE4"/>
    <w:rsid w:val="00642C7F"/>
    <w:rsid w:val="0065486C"/>
    <w:rsid w:val="006621ED"/>
    <w:rsid w:val="0069499D"/>
    <w:rsid w:val="006D0102"/>
    <w:rsid w:val="006E5EEB"/>
    <w:rsid w:val="006E6FA3"/>
    <w:rsid w:val="00710B6A"/>
    <w:rsid w:val="00737BA1"/>
    <w:rsid w:val="00741457"/>
    <w:rsid w:val="0075056D"/>
    <w:rsid w:val="0076792C"/>
    <w:rsid w:val="00772B95"/>
    <w:rsid w:val="00775315"/>
    <w:rsid w:val="007A3A2B"/>
    <w:rsid w:val="007F434C"/>
    <w:rsid w:val="0081642E"/>
    <w:rsid w:val="00831BDE"/>
    <w:rsid w:val="00855AE2"/>
    <w:rsid w:val="00872648"/>
    <w:rsid w:val="008E41A4"/>
    <w:rsid w:val="008E4A79"/>
    <w:rsid w:val="0090205F"/>
    <w:rsid w:val="009412BD"/>
    <w:rsid w:val="009513F0"/>
    <w:rsid w:val="00962D19"/>
    <w:rsid w:val="00974F9C"/>
    <w:rsid w:val="00991611"/>
    <w:rsid w:val="009A07D8"/>
    <w:rsid w:val="009A163F"/>
    <w:rsid w:val="009B71DA"/>
    <w:rsid w:val="009E5D9F"/>
    <w:rsid w:val="00A271ED"/>
    <w:rsid w:val="00A31559"/>
    <w:rsid w:val="00A45C81"/>
    <w:rsid w:val="00A655D2"/>
    <w:rsid w:val="00A7017F"/>
    <w:rsid w:val="00A71F05"/>
    <w:rsid w:val="00A74B86"/>
    <w:rsid w:val="00A7739E"/>
    <w:rsid w:val="00A80754"/>
    <w:rsid w:val="00A82B14"/>
    <w:rsid w:val="00AC209C"/>
    <w:rsid w:val="00B2087D"/>
    <w:rsid w:val="00B405A3"/>
    <w:rsid w:val="00B56AFE"/>
    <w:rsid w:val="00BA175A"/>
    <w:rsid w:val="00BA1C6A"/>
    <w:rsid w:val="00BB1754"/>
    <w:rsid w:val="00BC37E4"/>
    <w:rsid w:val="00BD0C92"/>
    <w:rsid w:val="00BF2014"/>
    <w:rsid w:val="00C22C9C"/>
    <w:rsid w:val="00C51A30"/>
    <w:rsid w:val="00C8347A"/>
    <w:rsid w:val="00C847D5"/>
    <w:rsid w:val="00CB5B8A"/>
    <w:rsid w:val="00CC4AE8"/>
    <w:rsid w:val="00CE6434"/>
    <w:rsid w:val="00CF28D1"/>
    <w:rsid w:val="00D06F54"/>
    <w:rsid w:val="00D16266"/>
    <w:rsid w:val="00D2222B"/>
    <w:rsid w:val="00DA6558"/>
    <w:rsid w:val="00DB1D84"/>
    <w:rsid w:val="00DB33AC"/>
    <w:rsid w:val="00DC7EAE"/>
    <w:rsid w:val="00DD2441"/>
    <w:rsid w:val="00DD2D52"/>
    <w:rsid w:val="00DD6E28"/>
    <w:rsid w:val="00DE735B"/>
    <w:rsid w:val="00DF604C"/>
    <w:rsid w:val="00E27087"/>
    <w:rsid w:val="00E643EE"/>
    <w:rsid w:val="00E87505"/>
    <w:rsid w:val="00E9158A"/>
    <w:rsid w:val="00EF1C38"/>
    <w:rsid w:val="00EF6F47"/>
    <w:rsid w:val="00F12747"/>
    <w:rsid w:val="00F159E8"/>
    <w:rsid w:val="00F169FF"/>
    <w:rsid w:val="00F20213"/>
    <w:rsid w:val="00F36B00"/>
    <w:rsid w:val="00F60182"/>
    <w:rsid w:val="00F63ABA"/>
    <w:rsid w:val="00F64FD7"/>
    <w:rsid w:val="00F90222"/>
    <w:rsid w:val="00FC2E6A"/>
    <w:rsid w:val="00FC5847"/>
    <w:rsid w:val="00FF49E3"/>
    <w:rsid w:val="00FF4D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5BBCB2A"/>
  <w15:chartTrackingRefBased/>
  <w15:docId w15:val="{270CC059-F2AC-4A23-80D0-20547CE34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1F05"/>
  </w:style>
  <w:style w:type="paragraph" w:styleId="Heading1">
    <w:name w:val="heading 1"/>
    <w:basedOn w:val="Normal"/>
    <w:next w:val="Normal"/>
    <w:link w:val="Heading1Char"/>
    <w:uiPriority w:val="9"/>
    <w:qFormat/>
    <w:rsid w:val="00040BB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40BB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40BB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40BB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0BB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0B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0B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0B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0B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BB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40BB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40BB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40BB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40BB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40B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0B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0B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0BB0"/>
    <w:rPr>
      <w:rFonts w:eastAsiaTheme="majorEastAsia" w:cstheme="majorBidi"/>
      <w:color w:val="272727" w:themeColor="text1" w:themeTint="D8"/>
    </w:rPr>
  </w:style>
  <w:style w:type="paragraph" w:styleId="Title">
    <w:name w:val="Title"/>
    <w:basedOn w:val="Normal"/>
    <w:next w:val="Normal"/>
    <w:link w:val="TitleChar"/>
    <w:uiPriority w:val="10"/>
    <w:qFormat/>
    <w:rsid w:val="00040B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0B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0B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0B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0BB0"/>
    <w:pPr>
      <w:spacing w:before="160"/>
      <w:jc w:val="center"/>
    </w:pPr>
    <w:rPr>
      <w:i/>
      <w:iCs/>
      <w:color w:val="404040" w:themeColor="text1" w:themeTint="BF"/>
    </w:rPr>
  </w:style>
  <w:style w:type="character" w:customStyle="1" w:styleId="QuoteChar">
    <w:name w:val="Quote Char"/>
    <w:basedOn w:val="DefaultParagraphFont"/>
    <w:link w:val="Quote"/>
    <w:uiPriority w:val="29"/>
    <w:rsid w:val="00040BB0"/>
    <w:rPr>
      <w:i/>
      <w:iCs/>
      <w:color w:val="404040" w:themeColor="text1" w:themeTint="BF"/>
    </w:rPr>
  </w:style>
  <w:style w:type="paragraph" w:styleId="ListParagraph">
    <w:name w:val="List Paragraph"/>
    <w:basedOn w:val="Normal"/>
    <w:uiPriority w:val="34"/>
    <w:qFormat/>
    <w:rsid w:val="00040BB0"/>
    <w:pPr>
      <w:ind w:left="720"/>
      <w:contextualSpacing/>
    </w:pPr>
  </w:style>
  <w:style w:type="character" w:styleId="IntenseEmphasis">
    <w:name w:val="Intense Emphasis"/>
    <w:basedOn w:val="DefaultParagraphFont"/>
    <w:uiPriority w:val="21"/>
    <w:qFormat/>
    <w:rsid w:val="00040BB0"/>
    <w:rPr>
      <w:i/>
      <w:iCs/>
      <w:color w:val="2F5496" w:themeColor="accent1" w:themeShade="BF"/>
    </w:rPr>
  </w:style>
  <w:style w:type="paragraph" w:styleId="IntenseQuote">
    <w:name w:val="Intense Quote"/>
    <w:basedOn w:val="Normal"/>
    <w:next w:val="Normal"/>
    <w:link w:val="IntenseQuoteChar"/>
    <w:uiPriority w:val="30"/>
    <w:qFormat/>
    <w:rsid w:val="00040B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0BB0"/>
    <w:rPr>
      <w:i/>
      <w:iCs/>
      <w:color w:val="2F5496" w:themeColor="accent1" w:themeShade="BF"/>
    </w:rPr>
  </w:style>
  <w:style w:type="character" w:styleId="IntenseReference">
    <w:name w:val="Intense Reference"/>
    <w:basedOn w:val="DefaultParagraphFont"/>
    <w:uiPriority w:val="32"/>
    <w:qFormat/>
    <w:rsid w:val="00040BB0"/>
    <w:rPr>
      <w:b/>
      <w:bCs/>
      <w:smallCaps/>
      <w:color w:val="2F5496" w:themeColor="accent1" w:themeShade="BF"/>
      <w:spacing w:val="5"/>
    </w:rPr>
  </w:style>
  <w:style w:type="paragraph" w:styleId="Header">
    <w:name w:val="header"/>
    <w:basedOn w:val="Normal"/>
    <w:link w:val="HeaderChar"/>
    <w:uiPriority w:val="99"/>
    <w:unhideWhenUsed/>
    <w:rsid w:val="004B0A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A7F"/>
  </w:style>
  <w:style w:type="paragraph" w:styleId="Footer">
    <w:name w:val="footer"/>
    <w:basedOn w:val="Normal"/>
    <w:link w:val="FooterChar"/>
    <w:uiPriority w:val="99"/>
    <w:unhideWhenUsed/>
    <w:rsid w:val="004B0A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A7F"/>
  </w:style>
  <w:style w:type="paragraph" w:styleId="TOCHeading">
    <w:name w:val="TOC Heading"/>
    <w:basedOn w:val="Heading1"/>
    <w:next w:val="Normal"/>
    <w:uiPriority w:val="39"/>
    <w:unhideWhenUsed/>
    <w:qFormat/>
    <w:rsid w:val="00521C59"/>
    <w:pPr>
      <w:spacing w:before="240" w:after="0"/>
      <w:outlineLvl w:val="9"/>
    </w:pPr>
    <w:rPr>
      <w:kern w:val="0"/>
      <w:sz w:val="32"/>
      <w:szCs w:val="32"/>
      <w:lang w:val="en-US" w:eastAsia="en-US"/>
      <w14:ligatures w14:val="none"/>
    </w:rPr>
  </w:style>
  <w:style w:type="character" w:styleId="Hyperlink">
    <w:name w:val="Hyperlink"/>
    <w:basedOn w:val="DefaultParagraphFont"/>
    <w:uiPriority w:val="99"/>
    <w:unhideWhenUsed/>
    <w:rsid w:val="005A4BDF"/>
    <w:rPr>
      <w:color w:val="0563C1" w:themeColor="hyperlink"/>
      <w:u w:val="single"/>
    </w:rPr>
  </w:style>
  <w:style w:type="character" w:styleId="UnresolvedMention">
    <w:name w:val="Unresolved Mention"/>
    <w:basedOn w:val="DefaultParagraphFont"/>
    <w:uiPriority w:val="99"/>
    <w:semiHidden/>
    <w:unhideWhenUsed/>
    <w:rsid w:val="005A4BDF"/>
    <w:rPr>
      <w:color w:val="605E5C"/>
      <w:shd w:val="clear" w:color="auto" w:fill="E1DFDD"/>
    </w:rPr>
  </w:style>
  <w:style w:type="table" w:styleId="TableGrid">
    <w:name w:val="Table Grid"/>
    <w:basedOn w:val="TableNormal"/>
    <w:uiPriority w:val="39"/>
    <w:rsid w:val="00DB1D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37BA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D8FBA4B-11F8-44FA-9D17-E2AC9444A985}">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0F2D4A-ADE3-4B1A-AE1E-B681027F5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5616</Words>
  <Characters>34720</Characters>
  <Application>Microsoft Office Word</Application>
  <DocSecurity>0</DocSecurity>
  <Lines>818</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Nagina Begum (2215742)</dc:creator>
  <cp:keywords/>
  <dc:description/>
  <cp:lastModifiedBy>Nagina Begum (2215742)</cp:lastModifiedBy>
  <cp:revision>138</cp:revision>
  <dcterms:created xsi:type="dcterms:W3CDTF">2025-11-20T18:45:00Z</dcterms:created>
  <dcterms:modified xsi:type="dcterms:W3CDTF">2025-11-21T13:20:00Z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735ad787-3164-4411-b893-517390be1036</vt:lpwstr>
  </property>
</Properties>
</file>