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A7908D" w14:textId="6D3C119B" w:rsidR="00093024" w:rsidRPr="009C16B3" w:rsidRDefault="00093024">
      <w:pPr>
        <w:rPr>
          <w:rFonts w:ascii="Arial" w:hAnsi="Arial" w:cs="Arial"/>
          <w:b/>
          <w:bCs/>
          <w:sz w:val="24"/>
          <w:szCs w:val="24"/>
        </w:rPr>
      </w:pPr>
      <w:r w:rsidRPr="009C16B3">
        <w:rPr>
          <w:rFonts w:ascii="Arial" w:hAnsi="Arial" w:cs="Arial"/>
          <w:b/>
          <w:bCs/>
          <w:sz w:val="24"/>
          <w:szCs w:val="24"/>
        </w:rPr>
        <w:t xml:space="preserve">Financial Analysis </w:t>
      </w:r>
      <w:r w:rsidR="006A50FF" w:rsidRPr="009C16B3">
        <w:rPr>
          <w:rFonts w:ascii="Arial" w:hAnsi="Arial" w:cs="Arial"/>
          <w:b/>
          <w:bCs/>
          <w:sz w:val="24"/>
          <w:szCs w:val="24"/>
        </w:rPr>
        <w:t>for</w:t>
      </w:r>
      <w:r w:rsidRPr="009C16B3">
        <w:rPr>
          <w:rFonts w:ascii="Arial" w:hAnsi="Arial" w:cs="Arial"/>
          <w:b/>
          <w:bCs/>
          <w:sz w:val="24"/>
          <w:szCs w:val="24"/>
        </w:rPr>
        <w:t xml:space="preserve"> Apple</w:t>
      </w:r>
      <w:r w:rsidR="005B45E5" w:rsidRPr="009C16B3">
        <w:rPr>
          <w:rFonts w:ascii="Arial" w:hAnsi="Arial" w:cs="Arial"/>
          <w:b/>
          <w:bCs/>
          <w:sz w:val="24"/>
          <w:szCs w:val="24"/>
        </w:rPr>
        <w:t xml:space="preserve"> (2023-2024)</w:t>
      </w:r>
      <w:r w:rsidRPr="009C16B3">
        <w:rPr>
          <w:rFonts w:ascii="Arial" w:hAnsi="Arial" w:cs="Arial"/>
          <w:b/>
          <w:bCs/>
          <w:sz w:val="24"/>
          <w:szCs w:val="24"/>
        </w:rPr>
        <w:t>:</w:t>
      </w:r>
    </w:p>
    <w:p w14:paraId="50A79981" w14:textId="7678FCB6" w:rsidR="00093024" w:rsidRPr="009C16B3" w:rsidRDefault="00093024">
      <w:pPr>
        <w:rPr>
          <w:rFonts w:ascii="Arial" w:hAnsi="Arial" w:cs="Arial"/>
          <w:sz w:val="24"/>
          <w:szCs w:val="24"/>
        </w:rPr>
      </w:pPr>
      <w:r w:rsidRPr="009C16B3">
        <w:rPr>
          <w:rFonts w:ascii="Arial" w:hAnsi="Arial" w:cs="Arial"/>
          <w:sz w:val="24"/>
          <w:szCs w:val="24"/>
        </w:rPr>
        <w:t xml:space="preserve">A key approach used to evaluate any company’s financial performance and any current circumstances is to analyse using financial ratios. Stakeholders, such as </w:t>
      </w:r>
      <w:r w:rsidR="006A50FF" w:rsidRPr="009C16B3">
        <w:rPr>
          <w:rFonts w:ascii="Arial" w:hAnsi="Arial" w:cs="Arial"/>
          <w:sz w:val="24"/>
          <w:szCs w:val="24"/>
        </w:rPr>
        <w:t xml:space="preserve">the company’s creditors, managers and even investors, can assess their company’s profitability, management of assets, and its capability to pay back its debts by evaluating its financial statements (Atril &amp; McLaney, 2019). Businesses can examine their financial success over periods of time and can delegate areas that need to be improved by analysing their financial ratios. </w:t>
      </w:r>
    </w:p>
    <w:p w14:paraId="14796107" w14:textId="724D59FE" w:rsidR="00992048" w:rsidRPr="009C16B3" w:rsidRDefault="00992048">
      <w:pPr>
        <w:rPr>
          <w:rFonts w:ascii="Arial" w:hAnsi="Arial" w:cs="Arial"/>
          <w:sz w:val="24"/>
          <w:szCs w:val="24"/>
        </w:rPr>
      </w:pPr>
      <w:r w:rsidRPr="009C16B3">
        <w:rPr>
          <w:rFonts w:ascii="Arial" w:hAnsi="Arial" w:cs="Arial"/>
          <w:sz w:val="24"/>
          <w:szCs w:val="24"/>
        </w:rPr>
        <w:t xml:space="preserve">By using the financial statements from the company’s annual reports over the years 2023 and 2024, this article highlights Apple’s overall financial performance. The worldwide company Apple is </w:t>
      </w:r>
      <w:r w:rsidR="004C02A4" w:rsidRPr="009C16B3">
        <w:rPr>
          <w:rFonts w:ascii="Arial" w:hAnsi="Arial" w:cs="Arial"/>
          <w:sz w:val="24"/>
          <w:szCs w:val="24"/>
        </w:rPr>
        <w:t xml:space="preserve">widely recognised for its products, which </w:t>
      </w:r>
      <w:r w:rsidR="004C0F02" w:rsidRPr="009C16B3">
        <w:rPr>
          <w:rFonts w:ascii="Arial" w:hAnsi="Arial" w:cs="Arial"/>
          <w:sz w:val="24"/>
          <w:szCs w:val="24"/>
        </w:rPr>
        <w:t>consist</w:t>
      </w:r>
      <w:r w:rsidR="004C02A4" w:rsidRPr="009C16B3">
        <w:rPr>
          <w:rFonts w:ascii="Arial" w:hAnsi="Arial" w:cs="Arial"/>
          <w:sz w:val="24"/>
          <w:szCs w:val="24"/>
        </w:rPr>
        <w:t xml:space="preserve"> of the iPhone, </w:t>
      </w:r>
      <w:r w:rsidR="005B45E5" w:rsidRPr="009C16B3">
        <w:rPr>
          <w:rFonts w:ascii="Arial" w:hAnsi="Arial" w:cs="Arial"/>
          <w:sz w:val="24"/>
          <w:szCs w:val="24"/>
        </w:rPr>
        <w:t>MacBooks</w:t>
      </w:r>
      <w:r w:rsidR="004C02A4" w:rsidRPr="009C16B3">
        <w:rPr>
          <w:rFonts w:ascii="Arial" w:hAnsi="Arial" w:cs="Arial"/>
          <w:sz w:val="24"/>
          <w:szCs w:val="24"/>
        </w:rPr>
        <w:t xml:space="preserve">, the iPad, in addition to an assortment of </w:t>
      </w:r>
      <w:proofErr w:type="gramStart"/>
      <w:r w:rsidR="004C02A4" w:rsidRPr="009C16B3">
        <w:rPr>
          <w:rFonts w:ascii="Arial" w:hAnsi="Arial" w:cs="Arial"/>
          <w:sz w:val="24"/>
          <w:szCs w:val="24"/>
        </w:rPr>
        <w:t>internet based</w:t>
      </w:r>
      <w:proofErr w:type="gramEnd"/>
      <w:r w:rsidR="004C02A4" w:rsidRPr="009C16B3">
        <w:rPr>
          <w:rFonts w:ascii="Arial" w:hAnsi="Arial" w:cs="Arial"/>
          <w:sz w:val="24"/>
          <w:szCs w:val="24"/>
        </w:rPr>
        <w:t xml:space="preserve"> service including iCloud and Apple Music. Apple is considered </w:t>
      </w:r>
      <w:r w:rsidR="004C0F02" w:rsidRPr="009C16B3">
        <w:rPr>
          <w:rFonts w:ascii="Arial" w:hAnsi="Arial" w:cs="Arial"/>
          <w:sz w:val="24"/>
          <w:szCs w:val="24"/>
        </w:rPr>
        <w:t xml:space="preserve">one </w:t>
      </w:r>
      <w:r w:rsidR="004C02A4" w:rsidRPr="009C16B3">
        <w:rPr>
          <w:rFonts w:ascii="Arial" w:hAnsi="Arial" w:cs="Arial"/>
          <w:sz w:val="24"/>
          <w:szCs w:val="24"/>
        </w:rPr>
        <w:t>of the greatest and most valued businesses within the technological sector</w:t>
      </w:r>
      <w:r w:rsidR="004C0F02" w:rsidRPr="009C16B3">
        <w:rPr>
          <w:rFonts w:ascii="Arial" w:hAnsi="Arial" w:cs="Arial"/>
          <w:sz w:val="24"/>
          <w:szCs w:val="24"/>
        </w:rPr>
        <w:t>;</w:t>
      </w:r>
      <w:r w:rsidR="004C02A4" w:rsidRPr="009C16B3">
        <w:rPr>
          <w:rFonts w:ascii="Arial" w:hAnsi="Arial" w:cs="Arial"/>
          <w:sz w:val="24"/>
          <w:szCs w:val="24"/>
        </w:rPr>
        <w:t xml:space="preserve"> the company itself has facilities across the world (Apple Inc., 2024). </w:t>
      </w:r>
    </w:p>
    <w:p w14:paraId="1C16F8B0" w14:textId="4DC02D88" w:rsidR="004C02A4" w:rsidRPr="009C16B3" w:rsidRDefault="004C02A4">
      <w:pPr>
        <w:rPr>
          <w:rFonts w:ascii="Arial" w:hAnsi="Arial" w:cs="Arial"/>
          <w:sz w:val="24"/>
          <w:szCs w:val="24"/>
        </w:rPr>
      </w:pPr>
      <w:r w:rsidRPr="009C16B3">
        <w:rPr>
          <w:rFonts w:ascii="Arial" w:hAnsi="Arial" w:cs="Arial"/>
          <w:sz w:val="24"/>
          <w:szCs w:val="24"/>
        </w:rPr>
        <w:t xml:space="preserve">The main objective of this report is to </w:t>
      </w:r>
      <w:r w:rsidR="004C0F02" w:rsidRPr="009C16B3">
        <w:rPr>
          <w:rFonts w:ascii="Arial" w:hAnsi="Arial" w:cs="Arial"/>
          <w:sz w:val="24"/>
          <w:szCs w:val="24"/>
        </w:rPr>
        <w:t>assess</w:t>
      </w:r>
      <w:r w:rsidRPr="009C16B3">
        <w:rPr>
          <w:rFonts w:ascii="Arial" w:hAnsi="Arial" w:cs="Arial"/>
          <w:sz w:val="24"/>
          <w:szCs w:val="24"/>
        </w:rPr>
        <w:t xml:space="preserve"> Apple’s financial statements </w:t>
      </w:r>
      <w:r w:rsidR="004C0F02" w:rsidRPr="009C16B3">
        <w:rPr>
          <w:rFonts w:ascii="Arial" w:hAnsi="Arial" w:cs="Arial"/>
          <w:sz w:val="24"/>
          <w:szCs w:val="24"/>
        </w:rPr>
        <w:t>from 2023 to 2024 using the financial ratios. The investigation will focus primarily on the</w:t>
      </w:r>
      <w:r w:rsidR="005B45E5" w:rsidRPr="009C16B3">
        <w:rPr>
          <w:rFonts w:ascii="Arial" w:hAnsi="Arial" w:cs="Arial"/>
          <w:sz w:val="24"/>
          <w:szCs w:val="24"/>
        </w:rPr>
        <w:t xml:space="preserve"> profitability ratios, will consist of the</w:t>
      </w:r>
      <w:r w:rsidR="004C0F02" w:rsidRPr="009C16B3">
        <w:rPr>
          <w:rFonts w:ascii="Arial" w:hAnsi="Arial" w:cs="Arial"/>
          <w:sz w:val="24"/>
          <w:szCs w:val="24"/>
        </w:rPr>
        <w:t xml:space="preserve"> gross profit margin, mark-up </w:t>
      </w:r>
      <w:r w:rsidR="005B45E5" w:rsidRPr="009C16B3">
        <w:rPr>
          <w:rFonts w:ascii="Arial" w:hAnsi="Arial" w:cs="Arial"/>
          <w:sz w:val="24"/>
          <w:szCs w:val="24"/>
        </w:rPr>
        <w:t>ratios,</w:t>
      </w:r>
      <w:r w:rsidR="004C0F02" w:rsidRPr="009C16B3">
        <w:rPr>
          <w:rFonts w:ascii="Arial" w:hAnsi="Arial" w:cs="Arial"/>
          <w:sz w:val="24"/>
          <w:szCs w:val="24"/>
        </w:rPr>
        <w:t xml:space="preserve"> and net profit margins and </w:t>
      </w:r>
      <w:r w:rsidR="005B45E5" w:rsidRPr="009C16B3">
        <w:rPr>
          <w:rFonts w:ascii="Arial" w:hAnsi="Arial" w:cs="Arial"/>
          <w:sz w:val="24"/>
          <w:szCs w:val="24"/>
        </w:rPr>
        <w:t xml:space="preserve">lastly the liquidity and efficiency ratios, which will include the </w:t>
      </w:r>
      <w:r w:rsidR="004C0F02" w:rsidRPr="009C16B3">
        <w:rPr>
          <w:rFonts w:ascii="Arial" w:hAnsi="Arial" w:cs="Arial"/>
          <w:sz w:val="24"/>
          <w:szCs w:val="24"/>
        </w:rPr>
        <w:t xml:space="preserve">current ratios. </w:t>
      </w:r>
      <w:r w:rsidR="005B45E5" w:rsidRPr="009C16B3">
        <w:rPr>
          <w:rFonts w:ascii="Arial" w:hAnsi="Arial" w:cs="Arial"/>
          <w:sz w:val="24"/>
          <w:szCs w:val="24"/>
        </w:rPr>
        <w:t>In addition, the report is going to clarify why the productivity may have increased or decreased during the period, and then provide recommendations that could potentially improve the sustainable and financial performance, and to summarise whether the ratio analysis contributed to determining Apple’s financial circumstances.</w:t>
      </w:r>
    </w:p>
    <w:p w14:paraId="7AFE7F46" w14:textId="7A051B4B" w:rsidR="00437D27" w:rsidRPr="009C16B3" w:rsidRDefault="00437D27">
      <w:pPr>
        <w:rPr>
          <w:rFonts w:ascii="Arial" w:hAnsi="Arial" w:cs="Arial"/>
          <w:sz w:val="24"/>
          <w:szCs w:val="24"/>
        </w:rPr>
      </w:pPr>
      <w:r w:rsidRPr="009C16B3">
        <w:rPr>
          <w:rFonts w:ascii="Arial" w:hAnsi="Arial" w:cs="Arial"/>
          <w:sz w:val="24"/>
          <w:szCs w:val="24"/>
        </w:rPr>
        <w:t xml:space="preserve">Ratio analysis is often utilised in performance evaluations and valuation of stocks, as demonstrated by academic research (Palepu et al., 2019; Nissim &amp; Penman, 2001). </w:t>
      </w:r>
    </w:p>
    <w:p w14:paraId="588B109A" w14:textId="136EEDDA" w:rsidR="00257E04" w:rsidRPr="009C16B3" w:rsidRDefault="004067C9">
      <w:pPr>
        <w:rPr>
          <w:rFonts w:ascii="Arial" w:hAnsi="Arial" w:cs="Arial"/>
          <w:b/>
          <w:bCs/>
          <w:sz w:val="24"/>
          <w:szCs w:val="24"/>
        </w:rPr>
      </w:pPr>
      <w:r w:rsidRPr="009C16B3">
        <w:rPr>
          <w:rFonts w:ascii="Arial" w:hAnsi="Arial" w:cs="Arial"/>
          <w:b/>
          <w:bCs/>
          <w:sz w:val="24"/>
          <w:szCs w:val="24"/>
        </w:rPr>
        <w:t>Ratio Calculations Table:</w:t>
      </w:r>
    </w:p>
    <w:tbl>
      <w:tblPr>
        <w:tblStyle w:val="TableGrid"/>
        <w:tblW w:w="0" w:type="auto"/>
        <w:tblLook w:val="04A0" w:firstRow="1" w:lastRow="0" w:firstColumn="1" w:lastColumn="0" w:noHBand="0" w:noVBand="1"/>
      </w:tblPr>
      <w:tblGrid>
        <w:gridCol w:w="3005"/>
        <w:gridCol w:w="3005"/>
        <w:gridCol w:w="3006"/>
      </w:tblGrid>
      <w:tr w:rsidR="004067C9" w:rsidRPr="009C16B3" w14:paraId="39861A93" w14:textId="77777777" w:rsidTr="00093024">
        <w:trPr>
          <w:trHeight w:val="58"/>
        </w:trPr>
        <w:tc>
          <w:tcPr>
            <w:tcW w:w="3005" w:type="dxa"/>
          </w:tcPr>
          <w:p w14:paraId="79416DCB" w14:textId="42EAE7E4"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Ratio</w:t>
            </w:r>
          </w:p>
        </w:tc>
        <w:tc>
          <w:tcPr>
            <w:tcW w:w="3005" w:type="dxa"/>
          </w:tcPr>
          <w:p w14:paraId="5E1E0FE3" w14:textId="6430ADE5"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2023</w:t>
            </w:r>
          </w:p>
        </w:tc>
        <w:tc>
          <w:tcPr>
            <w:tcW w:w="3006" w:type="dxa"/>
          </w:tcPr>
          <w:p w14:paraId="42545D25" w14:textId="68E894A8"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2024</w:t>
            </w:r>
          </w:p>
        </w:tc>
      </w:tr>
      <w:tr w:rsidR="004067C9" w:rsidRPr="009C16B3" w14:paraId="7141CD6E" w14:textId="77777777" w:rsidTr="004067C9">
        <w:tc>
          <w:tcPr>
            <w:tcW w:w="3005" w:type="dxa"/>
          </w:tcPr>
          <w:p w14:paraId="68B653D7" w14:textId="10C3A48C"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Gross Profit Margin</w:t>
            </w:r>
          </w:p>
        </w:tc>
        <w:tc>
          <w:tcPr>
            <w:tcW w:w="3005" w:type="dxa"/>
          </w:tcPr>
          <w:p w14:paraId="35BB4229" w14:textId="51DC147F" w:rsidR="004067C9" w:rsidRPr="009C16B3" w:rsidRDefault="004067C9">
            <w:pPr>
              <w:rPr>
                <w:rFonts w:ascii="Arial" w:hAnsi="Arial" w:cs="Arial"/>
                <w:sz w:val="24"/>
                <w:szCs w:val="24"/>
              </w:rPr>
            </w:pPr>
            <w:r w:rsidRPr="009C16B3">
              <w:rPr>
                <w:rFonts w:ascii="Arial" w:hAnsi="Arial" w:cs="Arial"/>
                <w:sz w:val="24"/>
                <w:szCs w:val="24"/>
              </w:rPr>
              <w:t>44.13%</w:t>
            </w:r>
          </w:p>
        </w:tc>
        <w:tc>
          <w:tcPr>
            <w:tcW w:w="3006" w:type="dxa"/>
          </w:tcPr>
          <w:p w14:paraId="6BE5FDAD" w14:textId="2488FC7F" w:rsidR="004067C9" w:rsidRPr="009C16B3" w:rsidRDefault="004067C9">
            <w:pPr>
              <w:rPr>
                <w:rFonts w:ascii="Arial" w:hAnsi="Arial" w:cs="Arial"/>
                <w:sz w:val="24"/>
                <w:szCs w:val="24"/>
              </w:rPr>
            </w:pPr>
            <w:r w:rsidRPr="009C16B3">
              <w:rPr>
                <w:rFonts w:ascii="Arial" w:hAnsi="Arial" w:cs="Arial"/>
                <w:sz w:val="24"/>
                <w:szCs w:val="24"/>
              </w:rPr>
              <w:t>46.21%</w:t>
            </w:r>
          </w:p>
        </w:tc>
      </w:tr>
      <w:tr w:rsidR="004067C9" w:rsidRPr="009C16B3" w14:paraId="0858F4C5" w14:textId="77777777" w:rsidTr="004067C9">
        <w:tc>
          <w:tcPr>
            <w:tcW w:w="3005" w:type="dxa"/>
          </w:tcPr>
          <w:p w14:paraId="0472F145" w14:textId="49461A19"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Mark-up Ratio</w:t>
            </w:r>
          </w:p>
        </w:tc>
        <w:tc>
          <w:tcPr>
            <w:tcW w:w="3005" w:type="dxa"/>
          </w:tcPr>
          <w:p w14:paraId="489EA4BB" w14:textId="7B8D110A" w:rsidR="004067C9" w:rsidRPr="009C16B3" w:rsidRDefault="004067C9">
            <w:pPr>
              <w:rPr>
                <w:rFonts w:ascii="Arial" w:hAnsi="Arial" w:cs="Arial"/>
                <w:sz w:val="24"/>
                <w:szCs w:val="24"/>
              </w:rPr>
            </w:pPr>
            <w:r w:rsidRPr="009C16B3">
              <w:rPr>
                <w:rFonts w:ascii="Arial" w:hAnsi="Arial" w:cs="Arial"/>
                <w:sz w:val="24"/>
                <w:szCs w:val="24"/>
              </w:rPr>
              <w:t>78.97%</w:t>
            </w:r>
          </w:p>
        </w:tc>
        <w:tc>
          <w:tcPr>
            <w:tcW w:w="3006" w:type="dxa"/>
          </w:tcPr>
          <w:p w14:paraId="09226A69" w14:textId="685C56B7" w:rsidR="004067C9" w:rsidRPr="009C16B3" w:rsidRDefault="004067C9">
            <w:pPr>
              <w:rPr>
                <w:rFonts w:ascii="Arial" w:hAnsi="Arial" w:cs="Arial"/>
                <w:sz w:val="24"/>
                <w:szCs w:val="24"/>
              </w:rPr>
            </w:pPr>
            <w:r w:rsidRPr="009C16B3">
              <w:rPr>
                <w:rFonts w:ascii="Arial" w:hAnsi="Arial" w:cs="Arial"/>
                <w:sz w:val="24"/>
                <w:szCs w:val="24"/>
              </w:rPr>
              <w:t>85.88%</w:t>
            </w:r>
          </w:p>
        </w:tc>
      </w:tr>
      <w:tr w:rsidR="004067C9" w:rsidRPr="009C16B3" w14:paraId="3BEBE001" w14:textId="77777777" w:rsidTr="004067C9">
        <w:tc>
          <w:tcPr>
            <w:tcW w:w="3005" w:type="dxa"/>
          </w:tcPr>
          <w:p w14:paraId="57B2ED00" w14:textId="38677CCE"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Net Profit Margin</w:t>
            </w:r>
          </w:p>
        </w:tc>
        <w:tc>
          <w:tcPr>
            <w:tcW w:w="3005" w:type="dxa"/>
          </w:tcPr>
          <w:p w14:paraId="063B0520" w14:textId="145A6B11" w:rsidR="004067C9" w:rsidRPr="009C16B3" w:rsidRDefault="004067C9">
            <w:pPr>
              <w:rPr>
                <w:rFonts w:ascii="Arial" w:hAnsi="Arial" w:cs="Arial"/>
                <w:sz w:val="24"/>
                <w:szCs w:val="24"/>
              </w:rPr>
            </w:pPr>
            <w:r w:rsidRPr="009C16B3">
              <w:rPr>
                <w:rFonts w:ascii="Arial" w:hAnsi="Arial" w:cs="Arial"/>
                <w:sz w:val="24"/>
                <w:szCs w:val="24"/>
              </w:rPr>
              <w:t>25.31%</w:t>
            </w:r>
          </w:p>
        </w:tc>
        <w:tc>
          <w:tcPr>
            <w:tcW w:w="3006" w:type="dxa"/>
          </w:tcPr>
          <w:p w14:paraId="21405439" w14:textId="2CE1C52E" w:rsidR="004067C9" w:rsidRPr="009C16B3" w:rsidRDefault="004067C9">
            <w:pPr>
              <w:rPr>
                <w:rFonts w:ascii="Arial" w:hAnsi="Arial" w:cs="Arial"/>
                <w:sz w:val="24"/>
                <w:szCs w:val="24"/>
              </w:rPr>
            </w:pPr>
            <w:r w:rsidRPr="009C16B3">
              <w:rPr>
                <w:rFonts w:ascii="Arial" w:hAnsi="Arial" w:cs="Arial"/>
                <w:sz w:val="24"/>
                <w:szCs w:val="24"/>
              </w:rPr>
              <w:t>23.97%</w:t>
            </w:r>
          </w:p>
        </w:tc>
      </w:tr>
      <w:tr w:rsidR="004067C9" w:rsidRPr="009C16B3" w14:paraId="7A5D94ED" w14:textId="77777777" w:rsidTr="004067C9">
        <w:tc>
          <w:tcPr>
            <w:tcW w:w="3005" w:type="dxa"/>
          </w:tcPr>
          <w:p w14:paraId="62FD6346" w14:textId="7B137388"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Current Ratio</w:t>
            </w:r>
          </w:p>
        </w:tc>
        <w:tc>
          <w:tcPr>
            <w:tcW w:w="3005" w:type="dxa"/>
          </w:tcPr>
          <w:p w14:paraId="2DD65743" w14:textId="38671209" w:rsidR="004067C9" w:rsidRPr="009C16B3" w:rsidRDefault="004067C9">
            <w:pPr>
              <w:rPr>
                <w:rFonts w:ascii="Arial" w:hAnsi="Arial" w:cs="Arial"/>
                <w:sz w:val="24"/>
                <w:szCs w:val="24"/>
              </w:rPr>
            </w:pPr>
            <w:proofErr w:type="gramStart"/>
            <w:r w:rsidRPr="009C16B3">
              <w:rPr>
                <w:rFonts w:ascii="Arial" w:hAnsi="Arial" w:cs="Arial"/>
                <w:sz w:val="24"/>
                <w:szCs w:val="24"/>
              </w:rPr>
              <w:t>0.99 :</w:t>
            </w:r>
            <w:proofErr w:type="gramEnd"/>
            <w:r w:rsidRPr="009C16B3">
              <w:rPr>
                <w:rFonts w:ascii="Arial" w:hAnsi="Arial" w:cs="Arial"/>
                <w:sz w:val="24"/>
                <w:szCs w:val="24"/>
              </w:rPr>
              <w:t xml:space="preserve"> 1</w:t>
            </w:r>
          </w:p>
        </w:tc>
        <w:tc>
          <w:tcPr>
            <w:tcW w:w="3006" w:type="dxa"/>
          </w:tcPr>
          <w:p w14:paraId="12DE6F39" w14:textId="190141C0" w:rsidR="004067C9" w:rsidRPr="009C16B3" w:rsidRDefault="004067C9">
            <w:pPr>
              <w:rPr>
                <w:rFonts w:ascii="Arial" w:hAnsi="Arial" w:cs="Arial"/>
                <w:sz w:val="24"/>
                <w:szCs w:val="24"/>
              </w:rPr>
            </w:pPr>
            <w:proofErr w:type="gramStart"/>
            <w:r w:rsidRPr="009C16B3">
              <w:rPr>
                <w:rFonts w:ascii="Arial" w:hAnsi="Arial" w:cs="Arial"/>
                <w:sz w:val="24"/>
                <w:szCs w:val="24"/>
              </w:rPr>
              <w:t>0.87 :</w:t>
            </w:r>
            <w:proofErr w:type="gramEnd"/>
            <w:r w:rsidRPr="009C16B3">
              <w:rPr>
                <w:rFonts w:ascii="Arial" w:hAnsi="Arial" w:cs="Arial"/>
                <w:sz w:val="24"/>
                <w:szCs w:val="24"/>
              </w:rPr>
              <w:t xml:space="preserve"> 1</w:t>
            </w:r>
          </w:p>
        </w:tc>
      </w:tr>
      <w:tr w:rsidR="004067C9" w:rsidRPr="009C16B3" w14:paraId="1CEEAF64" w14:textId="77777777" w:rsidTr="004067C9">
        <w:tc>
          <w:tcPr>
            <w:tcW w:w="3005" w:type="dxa"/>
          </w:tcPr>
          <w:p w14:paraId="73274347" w14:textId="1F56DFD8"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Inventory Turnover</w:t>
            </w:r>
          </w:p>
        </w:tc>
        <w:tc>
          <w:tcPr>
            <w:tcW w:w="3005" w:type="dxa"/>
          </w:tcPr>
          <w:p w14:paraId="444CEC4F" w14:textId="3FC033EF" w:rsidR="004067C9" w:rsidRPr="009C16B3" w:rsidRDefault="004067C9">
            <w:pPr>
              <w:rPr>
                <w:rFonts w:ascii="Arial" w:hAnsi="Arial" w:cs="Arial"/>
                <w:sz w:val="24"/>
                <w:szCs w:val="24"/>
              </w:rPr>
            </w:pPr>
            <w:r w:rsidRPr="009C16B3">
              <w:rPr>
                <w:rFonts w:ascii="Arial" w:hAnsi="Arial" w:cs="Arial"/>
                <w:sz w:val="24"/>
                <w:szCs w:val="24"/>
              </w:rPr>
              <w:t xml:space="preserve">33.82 times </w:t>
            </w:r>
          </w:p>
        </w:tc>
        <w:tc>
          <w:tcPr>
            <w:tcW w:w="3006" w:type="dxa"/>
          </w:tcPr>
          <w:p w14:paraId="561273BB" w14:textId="1F0B77C5" w:rsidR="004067C9" w:rsidRPr="009C16B3" w:rsidRDefault="004067C9">
            <w:pPr>
              <w:rPr>
                <w:rFonts w:ascii="Arial" w:hAnsi="Arial" w:cs="Arial"/>
                <w:sz w:val="24"/>
                <w:szCs w:val="24"/>
              </w:rPr>
            </w:pPr>
            <w:r w:rsidRPr="009C16B3">
              <w:rPr>
                <w:rFonts w:ascii="Arial" w:hAnsi="Arial" w:cs="Arial"/>
                <w:sz w:val="24"/>
                <w:szCs w:val="24"/>
              </w:rPr>
              <w:t xml:space="preserve">28.87 times </w:t>
            </w:r>
          </w:p>
        </w:tc>
      </w:tr>
      <w:tr w:rsidR="004067C9" w:rsidRPr="009C16B3" w14:paraId="0C81364F" w14:textId="77777777" w:rsidTr="004067C9">
        <w:tc>
          <w:tcPr>
            <w:tcW w:w="3005" w:type="dxa"/>
          </w:tcPr>
          <w:p w14:paraId="04355191" w14:textId="3F3187EB" w:rsidR="004067C9" w:rsidRPr="009C16B3" w:rsidRDefault="004067C9" w:rsidP="00C269D6">
            <w:pPr>
              <w:jc w:val="center"/>
              <w:rPr>
                <w:rFonts w:ascii="Arial" w:hAnsi="Arial" w:cs="Arial"/>
                <w:b/>
                <w:bCs/>
                <w:sz w:val="24"/>
                <w:szCs w:val="24"/>
              </w:rPr>
            </w:pPr>
            <w:r w:rsidRPr="009C16B3">
              <w:rPr>
                <w:rFonts w:ascii="Arial" w:hAnsi="Arial" w:cs="Arial"/>
                <w:b/>
                <w:bCs/>
                <w:sz w:val="24"/>
                <w:szCs w:val="24"/>
              </w:rPr>
              <w:t>Receivable days</w:t>
            </w:r>
          </w:p>
        </w:tc>
        <w:tc>
          <w:tcPr>
            <w:tcW w:w="3005" w:type="dxa"/>
          </w:tcPr>
          <w:p w14:paraId="0C86D7DC" w14:textId="752F5B9F" w:rsidR="004067C9" w:rsidRPr="009C16B3" w:rsidRDefault="004067C9">
            <w:pPr>
              <w:rPr>
                <w:rFonts w:ascii="Arial" w:hAnsi="Arial" w:cs="Arial"/>
                <w:sz w:val="24"/>
                <w:szCs w:val="24"/>
              </w:rPr>
            </w:pPr>
            <w:r w:rsidRPr="009C16B3">
              <w:rPr>
                <w:rFonts w:ascii="Arial" w:hAnsi="Arial" w:cs="Arial"/>
                <w:sz w:val="24"/>
                <w:szCs w:val="24"/>
              </w:rPr>
              <w:t xml:space="preserve">28 days </w:t>
            </w:r>
          </w:p>
        </w:tc>
        <w:tc>
          <w:tcPr>
            <w:tcW w:w="3006" w:type="dxa"/>
          </w:tcPr>
          <w:p w14:paraId="2C13BE88" w14:textId="26BCE25C" w:rsidR="004067C9" w:rsidRPr="009C16B3" w:rsidRDefault="004067C9">
            <w:pPr>
              <w:rPr>
                <w:rFonts w:ascii="Arial" w:hAnsi="Arial" w:cs="Arial"/>
                <w:sz w:val="24"/>
                <w:szCs w:val="24"/>
              </w:rPr>
            </w:pPr>
            <w:r w:rsidRPr="009C16B3">
              <w:rPr>
                <w:rFonts w:ascii="Arial" w:hAnsi="Arial" w:cs="Arial"/>
                <w:sz w:val="24"/>
                <w:szCs w:val="24"/>
              </w:rPr>
              <w:t xml:space="preserve">31 days </w:t>
            </w:r>
          </w:p>
        </w:tc>
      </w:tr>
    </w:tbl>
    <w:p w14:paraId="549781E6" w14:textId="77777777" w:rsidR="004067C9" w:rsidRPr="009C16B3" w:rsidRDefault="004067C9">
      <w:pPr>
        <w:rPr>
          <w:rFonts w:ascii="Arial" w:hAnsi="Arial" w:cs="Arial"/>
          <w:b/>
          <w:bCs/>
          <w:sz w:val="24"/>
          <w:szCs w:val="24"/>
        </w:rPr>
      </w:pPr>
    </w:p>
    <w:p w14:paraId="2E6E8BAD" w14:textId="7D1CF470" w:rsidR="00D2778E" w:rsidRPr="009C16B3" w:rsidRDefault="00D2778E">
      <w:pPr>
        <w:rPr>
          <w:rFonts w:ascii="Arial" w:hAnsi="Arial" w:cs="Arial"/>
          <w:bCs/>
          <w:sz w:val="24"/>
          <w:szCs w:val="24"/>
        </w:rPr>
      </w:pPr>
      <w:r w:rsidRPr="009C16B3">
        <w:rPr>
          <w:rFonts w:ascii="Arial" w:hAnsi="Arial" w:cs="Arial"/>
          <w:bCs/>
          <w:sz w:val="24"/>
          <w:szCs w:val="24"/>
        </w:rPr>
        <w:t xml:space="preserve">The table above gives a summary of the key ratios used to calculate Apple’s financial statements over the years 2023 and 2024 and gives a solid foundation for reference in the study that follows. </w:t>
      </w:r>
    </w:p>
    <w:p w14:paraId="51E2D422" w14:textId="77777777" w:rsidR="00093024" w:rsidRPr="009C16B3" w:rsidRDefault="00093024">
      <w:pPr>
        <w:rPr>
          <w:rFonts w:ascii="Arial" w:hAnsi="Arial" w:cs="Arial"/>
          <w:bCs/>
          <w:sz w:val="24"/>
          <w:szCs w:val="24"/>
        </w:rPr>
      </w:pPr>
    </w:p>
    <w:p w14:paraId="02DB7EA8" w14:textId="77777777" w:rsidR="00810563" w:rsidRPr="009C16B3" w:rsidRDefault="00810563">
      <w:pPr>
        <w:rPr>
          <w:rFonts w:ascii="Arial" w:hAnsi="Arial" w:cs="Arial"/>
          <w:bCs/>
          <w:sz w:val="24"/>
          <w:szCs w:val="24"/>
        </w:rPr>
      </w:pPr>
    </w:p>
    <w:p w14:paraId="6447D1D9" w14:textId="77777777" w:rsidR="00810563" w:rsidRPr="009C16B3" w:rsidRDefault="00810563">
      <w:pPr>
        <w:rPr>
          <w:rFonts w:ascii="Arial" w:hAnsi="Arial" w:cs="Arial"/>
          <w:bCs/>
          <w:sz w:val="24"/>
          <w:szCs w:val="24"/>
        </w:rPr>
      </w:pPr>
    </w:p>
    <w:p w14:paraId="5DDF2168" w14:textId="7F8EE1A1" w:rsidR="004067C9" w:rsidRPr="009C16B3" w:rsidRDefault="00C269D6">
      <w:pPr>
        <w:rPr>
          <w:rFonts w:ascii="Arial" w:hAnsi="Arial" w:cs="Arial"/>
          <w:b/>
          <w:bCs/>
          <w:sz w:val="24"/>
          <w:szCs w:val="24"/>
        </w:rPr>
      </w:pPr>
      <w:r w:rsidRPr="009C16B3">
        <w:rPr>
          <w:rFonts w:ascii="Arial" w:hAnsi="Arial" w:cs="Arial"/>
          <w:b/>
          <w:bCs/>
          <w:sz w:val="24"/>
          <w:szCs w:val="24"/>
        </w:rPr>
        <w:lastRenderedPageBreak/>
        <w:t>The Ratio Formulas Workings Out:</w:t>
      </w:r>
    </w:p>
    <w:tbl>
      <w:tblPr>
        <w:tblStyle w:val="TableGrid"/>
        <w:tblW w:w="0" w:type="auto"/>
        <w:tblLook w:val="04A0" w:firstRow="1" w:lastRow="0" w:firstColumn="1" w:lastColumn="0" w:noHBand="0" w:noVBand="1"/>
      </w:tblPr>
      <w:tblGrid>
        <w:gridCol w:w="4508"/>
        <w:gridCol w:w="4508"/>
      </w:tblGrid>
      <w:tr w:rsidR="00C269D6" w:rsidRPr="009C16B3" w14:paraId="37BA3515" w14:textId="77777777" w:rsidTr="00C269D6">
        <w:tc>
          <w:tcPr>
            <w:tcW w:w="4508" w:type="dxa"/>
          </w:tcPr>
          <w:p w14:paraId="62F1571A" w14:textId="6A3816F6"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Ratios</w:t>
            </w:r>
          </w:p>
        </w:tc>
        <w:tc>
          <w:tcPr>
            <w:tcW w:w="4508" w:type="dxa"/>
          </w:tcPr>
          <w:p w14:paraId="5FA77ED9" w14:textId="3AB90BD4"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Formulas</w:t>
            </w:r>
          </w:p>
        </w:tc>
      </w:tr>
      <w:tr w:rsidR="00C269D6" w:rsidRPr="009C16B3" w14:paraId="7582EF5D" w14:textId="77777777" w:rsidTr="00C269D6">
        <w:tc>
          <w:tcPr>
            <w:tcW w:w="4508" w:type="dxa"/>
          </w:tcPr>
          <w:p w14:paraId="7D932FD5" w14:textId="55236670"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Gross Profit Margin</w:t>
            </w:r>
          </w:p>
        </w:tc>
        <w:tc>
          <w:tcPr>
            <w:tcW w:w="4508" w:type="dxa"/>
          </w:tcPr>
          <w:p w14:paraId="129EE9FB" w14:textId="56EA30FF" w:rsidR="00C269D6" w:rsidRPr="009C16B3" w:rsidRDefault="00C269D6">
            <w:pPr>
              <w:rPr>
                <w:rFonts w:ascii="Arial" w:hAnsi="Arial" w:cs="Arial"/>
                <w:sz w:val="24"/>
                <w:szCs w:val="24"/>
              </w:rPr>
            </w:pPr>
            <w:r w:rsidRPr="009C16B3">
              <w:rPr>
                <w:rFonts w:ascii="Arial" w:hAnsi="Arial" w:cs="Arial"/>
                <w:sz w:val="24"/>
                <w:szCs w:val="24"/>
              </w:rPr>
              <w:t>Gross Profit ÷ Revenue x 100</w:t>
            </w:r>
          </w:p>
        </w:tc>
      </w:tr>
      <w:tr w:rsidR="00C269D6" w:rsidRPr="009C16B3" w14:paraId="42EE7E9C" w14:textId="77777777" w:rsidTr="00C269D6">
        <w:tc>
          <w:tcPr>
            <w:tcW w:w="4508" w:type="dxa"/>
          </w:tcPr>
          <w:p w14:paraId="3B25B0EE" w14:textId="2032EE38"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Mark-up Ratio</w:t>
            </w:r>
          </w:p>
        </w:tc>
        <w:tc>
          <w:tcPr>
            <w:tcW w:w="4508" w:type="dxa"/>
          </w:tcPr>
          <w:p w14:paraId="300174E7" w14:textId="5AF7920E" w:rsidR="00C269D6" w:rsidRPr="009C16B3" w:rsidRDefault="00D2778E">
            <w:pPr>
              <w:rPr>
                <w:rFonts w:ascii="Arial" w:hAnsi="Arial" w:cs="Arial"/>
                <w:sz w:val="24"/>
                <w:szCs w:val="24"/>
              </w:rPr>
            </w:pPr>
            <w:r w:rsidRPr="009C16B3">
              <w:rPr>
                <w:rFonts w:ascii="Arial" w:hAnsi="Arial" w:cs="Arial"/>
                <w:sz w:val="24"/>
                <w:szCs w:val="24"/>
              </w:rPr>
              <w:t>Gross Profit ÷ Cost of Sales x 100</w:t>
            </w:r>
          </w:p>
        </w:tc>
      </w:tr>
      <w:tr w:rsidR="00C269D6" w:rsidRPr="009C16B3" w14:paraId="0475F784" w14:textId="77777777" w:rsidTr="00C269D6">
        <w:tc>
          <w:tcPr>
            <w:tcW w:w="4508" w:type="dxa"/>
          </w:tcPr>
          <w:p w14:paraId="527C0575" w14:textId="1F3213E1"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 xml:space="preserve">Net Profit Margin </w:t>
            </w:r>
          </w:p>
        </w:tc>
        <w:tc>
          <w:tcPr>
            <w:tcW w:w="4508" w:type="dxa"/>
          </w:tcPr>
          <w:p w14:paraId="7AEA2AB9" w14:textId="2FCE9DBA" w:rsidR="00C269D6" w:rsidRPr="009C16B3" w:rsidRDefault="00D2778E">
            <w:pPr>
              <w:rPr>
                <w:rFonts w:ascii="Arial" w:hAnsi="Arial" w:cs="Arial"/>
                <w:sz w:val="24"/>
                <w:szCs w:val="24"/>
              </w:rPr>
            </w:pPr>
            <w:r w:rsidRPr="009C16B3">
              <w:rPr>
                <w:rFonts w:ascii="Arial" w:hAnsi="Arial" w:cs="Arial"/>
                <w:sz w:val="24"/>
                <w:szCs w:val="24"/>
              </w:rPr>
              <w:t>Net Profit ÷ Revenue x 100</w:t>
            </w:r>
          </w:p>
        </w:tc>
      </w:tr>
      <w:tr w:rsidR="00C269D6" w:rsidRPr="009C16B3" w14:paraId="7F364BFF" w14:textId="77777777" w:rsidTr="00C269D6">
        <w:tc>
          <w:tcPr>
            <w:tcW w:w="4508" w:type="dxa"/>
          </w:tcPr>
          <w:p w14:paraId="3CA5439E" w14:textId="102F1912"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Current Ratio</w:t>
            </w:r>
          </w:p>
        </w:tc>
        <w:tc>
          <w:tcPr>
            <w:tcW w:w="4508" w:type="dxa"/>
          </w:tcPr>
          <w:p w14:paraId="2B1FD4DF" w14:textId="5CC898E3" w:rsidR="00C269D6" w:rsidRPr="009C16B3" w:rsidRDefault="00D2778E">
            <w:pPr>
              <w:rPr>
                <w:rFonts w:ascii="Arial" w:hAnsi="Arial" w:cs="Arial"/>
                <w:sz w:val="24"/>
                <w:szCs w:val="24"/>
              </w:rPr>
            </w:pPr>
            <w:r w:rsidRPr="009C16B3">
              <w:rPr>
                <w:rFonts w:ascii="Arial" w:hAnsi="Arial" w:cs="Arial"/>
                <w:sz w:val="24"/>
                <w:szCs w:val="24"/>
              </w:rPr>
              <w:t xml:space="preserve">Current Assets ÷ Current Liabilities </w:t>
            </w:r>
          </w:p>
        </w:tc>
      </w:tr>
      <w:tr w:rsidR="00C269D6" w:rsidRPr="009C16B3" w14:paraId="095A2061" w14:textId="77777777" w:rsidTr="00C269D6">
        <w:tc>
          <w:tcPr>
            <w:tcW w:w="4508" w:type="dxa"/>
          </w:tcPr>
          <w:p w14:paraId="610E5F6F" w14:textId="1CD096A9"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Inventory Turnover</w:t>
            </w:r>
          </w:p>
        </w:tc>
        <w:tc>
          <w:tcPr>
            <w:tcW w:w="4508" w:type="dxa"/>
          </w:tcPr>
          <w:p w14:paraId="7F701171" w14:textId="014DB479" w:rsidR="00C269D6" w:rsidRPr="009C16B3" w:rsidRDefault="00D2778E">
            <w:pPr>
              <w:rPr>
                <w:rFonts w:ascii="Arial" w:hAnsi="Arial" w:cs="Arial"/>
                <w:sz w:val="24"/>
                <w:szCs w:val="24"/>
              </w:rPr>
            </w:pPr>
            <w:r w:rsidRPr="009C16B3">
              <w:rPr>
                <w:rFonts w:ascii="Arial" w:hAnsi="Arial" w:cs="Arial"/>
                <w:sz w:val="24"/>
                <w:szCs w:val="24"/>
              </w:rPr>
              <w:t>Cost of Sales ÷ Inventory</w:t>
            </w:r>
          </w:p>
        </w:tc>
      </w:tr>
      <w:tr w:rsidR="00C269D6" w:rsidRPr="009C16B3" w14:paraId="02EFE7C7" w14:textId="77777777" w:rsidTr="00C269D6">
        <w:tc>
          <w:tcPr>
            <w:tcW w:w="4508" w:type="dxa"/>
          </w:tcPr>
          <w:p w14:paraId="52879FCD" w14:textId="676B67D4" w:rsidR="00C269D6" w:rsidRPr="009C16B3" w:rsidRDefault="00C269D6" w:rsidP="00C269D6">
            <w:pPr>
              <w:jc w:val="center"/>
              <w:rPr>
                <w:rFonts w:ascii="Arial" w:hAnsi="Arial" w:cs="Arial"/>
                <w:b/>
                <w:bCs/>
                <w:sz w:val="24"/>
                <w:szCs w:val="24"/>
              </w:rPr>
            </w:pPr>
            <w:r w:rsidRPr="009C16B3">
              <w:rPr>
                <w:rFonts w:ascii="Arial" w:hAnsi="Arial" w:cs="Arial"/>
                <w:b/>
                <w:bCs/>
                <w:sz w:val="24"/>
                <w:szCs w:val="24"/>
              </w:rPr>
              <w:t xml:space="preserve">Receivable Days </w:t>
            </w:r>
          </w:p>
        </w:tc>
        <w:tc>
          <w:tcPr>
            <w:tcW w:w="4508" w:type="dxa"/>
          </w:tcPr>
          <w:p w14:paraId="380A6C77" w14:textId="7D26CEA7" w:rsidR="00C269D6" w:rsidRPr="009C16B3" w:rsidRDefault="00D2778E">
            <w:pPr>
              <w:rPr>
                <w:rFonts w:ascii="Arial" w:hAnsi="Arial" w:cs="Arial"/>
                <w:sz w:val="24"/>
                <w:szCs w:val="24"/>
              </w:rPr>
            </w:pPr>
            <w:r w:rsidRPr="009C16B3">
              <w:rPr>
                <w:rFonts w:ascii="Arial" w:hAnsi="Arial" w:cs="Arial"/>
                <w:sz w:val="24"/>
                <w:szCs w:val="24"/>
              </w:rPr>
              <w:t>Receivables ÷ Revenue x 365</w:t>
            </w:r>
          </w:p>
        </w:tc>
      </w:tr>
    </w:tbl>
    <w:p w14:paraId="7E7E6C26" w14:textId="77777777" w:rsidR="00C269D6" w:rsidRPr="009C16B3" w:rsidRDefault="00C269D6">
      <w:pPr>
        <w:rPr>
          <w:rFonts w:ascii="Arial" w:hAnsi="Arial" w:cs="Arial"/>
          <w:b/>
          <w:bCs/>
          <w:sz w:val="24"/>
          <w:szCs w:val="24"/>
        </w:rPr>
      </w:pPr>
    </w:p>
    <w:p w14:paraId="7EFE24BC" w14:textId="75625E55" w:rsidR="00D2778E" w:rsidRPr="009C16B3" w:rsidRDefault="00D2778E">
      <w:pPr>
        <w:rPr>
          <w:rFonts w:ascii="Arial" w:hAnsi="Arial" w:cs="Arial"/>
          <w:sz w:val="24"/>
          <w:szCs w:val="24"/>
        </w:rPr>
      </w:pPr>
      <w:r w:rsidRPr="009C16B3">
        <w:rPr>
          <w:rFonts w:ascii="Arial" w:hAnsi="Arial" w:cs="Arial"/>
          <w:sz w:val="24"/>
          <w:szCs w:val="24"/>
        </w:rPr>
        <w:t xml:space="preserve">The accuracy and trustworthiness of the analysis are supported by these formulas shown in the table above, which also </w:t>
      </w:r>
      <w:r w:rsidR="006A50FF" w:rsidRPr="009C16B3">
        <w:rPr>
          <w:rFonts w:ascii="Arial" w:hAnsi="Arial" w:cs="Arial"/>
          <w:sz w:val="24"/>
          <w:szCs w:val="24"/>
        </w:rPr>
        <w:t>demonstrate</w:t>
      </w:r>
      <w:r w:rsidR="00AD61D3" w:rsidRPr="009C16B3">
        <w:rPr>
          <w:rFonts w:ascii="Arial" w:hAnsi="Arial" w:cs="Arial"/>
          <w:sz w:val="24"/>
          <w:szCs w:val="24"/>
        </w:rPr>
        <w:t xml:space="preserve"> how every single ratio is calculated from the financial accounts. </w:t>
      </w:r>
    </w:p>
    <w:p w14:paraId="6622AC3B" w14:textId="13044284" w:rsidR="002D6DAD" w:rsidRPr="009C16B3" w:rsidRDefault="002D6DAD">
      <w:pPr>
        <w:rPr>
          <w:rFonts w:ascii="Arial" w:hAnsi="Arial" w:cs="Arial"/>
          <w:b/>
          <w:bCs/>
          <w:sz w:val="24"/>
          <w:szCs w:val="24"/>
        </w:rPr>
      </w:pPr>
      <w:r w:rsidRPr="009C16B3">
        <w:rPr>
          <w:rFonts w:ascii="Arial" w:hAnsi="Arial" w:cs="Arial"/>
          <w:b/>
          <w:bCs/>
          <w:sz w:val="24"/>
          <w:szCs w:val="24"/>
        </w:rPr>
        <w:t>Profitability analysis:</w:t>
      </w:r>
    </w:p>
    <w:p w14:paraId="1CE124BC" w14:textId="4E900F79" w:rsidR="002D6DAD" w:rsidRPr="009C16B3" w:rsidRDefault="002D6DAD">
      <w:pPr>
        <w:rPr>
          <w:rFonts w:ascii="Arial" w:hAnsi="Arial" w:cs="Arial"/>
          <w:sz w:val="24"/>
          <w:szCs w:val="24"/>
        </w:rPr>
      </w:pPr>
      <w:r w:rsidRPr="009C16B3">
        <w:rPr>
          <w:rFonts w:ascii="Arial" w:hAnsi="Arial" w:cs="Arial"/>
          <w:sz w:val="24"/>
          <w:szCs w:val="24"/>
        </w:rPr>
        <w:t xml:space="preserve">Based on Brealey et al. (2020), </w:t>
      </w:r>
      <w:r w:rsidR="00F4311B" w:rsidRPr="009C16B3">
        <w:rPr>
          <w:rFonts w:ascii="Arial" w:hAnsi="Arial" w:cs="Arial"/>
          <w:sz w:val="24"/>
          <w:szCs w:val="24"/>
        </w:rPr>
        <w:t xml:space="preserve">profitability ratios determine how successfully a company makes a profit off its merchandise and its earnings. These ratios have importance considering that they indicate the ability of the business to handle the finances whilst consistently retaining sales growth. </w:t>
      </w:r>
    </w:p>
    <w:p w14:paraId="19FF7A60" w14:textId="2F9BDA96" w:rsidR="00354DB8" w:rsidRPr="009C16B3" w:rsidRDefault="00354DB8">
      <w:pPr>
        <w:rPr>
          <w:rFonts w:ascii="Arial" w:hAnsi="Arial" w:cs="Arial"/>
          <w:sz w:val="24"/>
          <w:szCs w:val="24"/>
        </w:rPr>
      </w:pPr>
      <w:r w:rsidRPr="009C16B3">
        <w:rPr>
          <w:rFonts w:ascii="Arial" w:hAnsi="Arial" w:cs="Arial"/>
          <w:sz w:val="24"/>
          <w:szCs w:val="24"/>
        </w:rPr>
        <w:t xml:space="preserve">The amount of revenue that remains after deducting the cost of the merchandise sold is recognised as the gross profit margin. It highlights how successfully a business can produce and distribute their products (Fraser &amp; Ormiston, 2016). </w:t>
      </w:r>
    </w:p>
    <w:p w14:paraId="21424727" w14:textId="4C9DE789" w:rsidR="00B4343A" w:rsidRPr="009C16B3" w:rsidRDefault="00CB623E">
      <w:pPr>
        <w:rPr>
          <w:rFonts w:ascii="Arial" w:hAnsi="Arial" w:cs="Arial"/>
          <w:sz w:val="24"/>
          <w:szCs w:val="24"/>
        </w:rPr>
      </w:pPr>
      <w:r w:rsidRPr="009C16B3">
        <w:rPr>
          <w:rFonts w:ascii="Arial" w:hAnsi="Arial" w:cs="Arial"/>
          <w:sz w:val="24"/>
          <w:szCs w:val="24"/>
        </w:rPr>
        <w:t xml:space="preserve">Between the years 2023 and </w:t>
      </w:r>
      <w:r w:rsidR="00B4343A" w:rsidRPr="009C16B3">
        <w:rPr>
          <w:rFonts w:ascii="Arial" w:hAnsi="Arial" w:cs="Arial"/>
          <w:sz w:val="24"/>
          <w:szCs w:val="24"/>
        </w:rPr>
        <w:t xml:space="preserve">2024, Apple’s gross profit margin increased from 44.13% to 46.21%. this improvement indicates that Apple had the ability to increase their product prices or even had better management when it came to the production costs. </w:t>
      </w:r>
      <w:r w:rsidR="00093D4B" w:rsidRPr="009C16B3">
        <w:rPr>
          <w:rFonts w:ascii="Arial" w:hAnsi="Arial" w:cs="Arial"/>
          <w:sz w:val="24"/>
          <w:szCs w:val="24"/>
        </w:rPr>
        <w:t>Like many other companies in the world of technology, Apple has the power to maintain its high margins thanks to its strong reputation for great, high-end pricing</w:t>
      </w:r>
      <w:r w:rsidR="00B4343A" w:rsidRPr="009C16B3">
        <w:rPr>
          <w:rFonts w:ascii="Arial" w:hAnsi="Arial" w:cs="Arial"/>
          <w:sz w:val="24"/>
          <w:szCs w:val="24"/>
        </w:rPr>
        <w:t xml:space="preserve">. </w:t>
      </w:r>
    </w:p>
    <w:p w14:paraId="3AD50E06" w14:textId="4C113DDD" w:rsidR="00B4343A" w:rsidRPr="009C16B3" w:rsidRDefault="00810563">
      <w:pPr>
        <w:rPr>
          <w:rFonts w:ascii="Arial" w:hAnsi="Arial" w:cs="Arial"/>
          <w:sz w:val="24"/>
          <w:szCs w:val="24"/>
        </w:rPr>
      </w:pPr>
      <w:r w:rsidRPr="009C16B3">
        <w:rPr>
          <w:rFonts w:ascii="Arial" w:hAnsi="Arial" w:cs="Arial"/>
          <w:sz w:val="24"/>
          <w:szCs w:val="24"/>
        </w:rPr>
        <w:t xml:space="preserve">Improvements in the performance of the supply chain and a higher percentage of income from service could be factors that contribute the increase in gross profit margin. </w:t>
      </w:r>
      <w:r w:rsidR="0085696D" w:rsidRPr="009C16B3">
        <w:rPr>
          <w:rFonts w:ascii="Arial" w:hAnsi="Arial" w:cs="Arial"/>
          <w:sz w:val="24"/>
          <w:szCs w:val="24"/>
        </w:rPr>
        <w:t>As a whole, Apple’s</w:t>
      </w:r>
      <w:r w:rsidRPr="009C16B3">
        <w:rPr>
          <w:rFonts w:ascii="Arial" w:hAnsi="Arial" w:cs="Arial"/>
          <w:sz w:val="24"/>
          <w:szCs w:val="24"/>
        </w:rPr>
        <w:t xml:space="preserve"> business unit, consisting of digital platforms and subscriptions, which produces a high profit than the hardware department (Apple Inc., 2024).</w:t>
      </w:r>
    </w:p>
    <w:p w14:paraId="37AA1F8C" w14:textId="6B5E9632" w:rsidR="00CA0F0C" w:rsidRPr="009C16B3" w:rsidRDefault="00810563">
      <w:pPr>
        <w:rPr>
          <w:rFonts w:ascii="Arial" w:hAnsi="Arial" w:cs="Arial"/>
          <w:sz w:val="24"/>
          <w:szCs w:val="24"/>
        </w:rPr>
      </w:pPr>
      <w:r w:rsidRPr="009C16B3">
        <w:rPr>
          <w:rFonts w:ascii="Arial" w:hAnsi="Arial" w:cs="Arial"/>
          <w:sz w:val="24"/>
          <w:szCs w:val="24"/>
        </w:rPr>
        <w:t>The number</w:t>
      </w:r>
      <w:r w:rsidR="000D461E" w:rsidRPr="009C16B3">
        <w:rPr>
          <w:rFonts w:ascii="Arial" w:hAnsi="Arial" w:cs="Arial"/>
          <w:sz w:val="24"/>
          <w:szCs w:val="24"/>
        </w:rPr>
        <w:t>,</w:t>
      </w:r>
      <w:r w:rsidRPr="009C16B3">
        <w:rPr>
          <w:rFonts w:ascii="Arial" w:hAnsi="Arial" w:cs="Arial"/>
          <w:sz w:val="24"/>
          <w:szCs w:val="24"/>
        </w:rPr>
        <w:t xml:space="preserve"> combined with the cost of goods sold</w:t>
      </w:r>
      <w:r w:rsidR="000D461E" w:rsidRPr="009C16B3">
        <w:rPr>
          <w:rFonts w:ascii="Arial" w:hAnsi="Arial" w:cs="Arial"/>
          <w:sz w:val="24"/>
          <w:szCs w:val="24"/>
        </w:rPr>
        <w:t>,</w:t>
      </w:r>
      <w:r w:rsidRPr="009C16B3">
        <w:rPr>
          <w:rFonts w:ascii="Arial" w:hAnsi="Arial" w:cs="Arial"/>
          <w:sz w:val="24"/>
          <w:szCs w:val="24"/>
        </w:rPr>
        <w:t xml:space="preserve"> in order to determine the product's selling price</w:t>
      </w:r>
      <w:r w:rsidR="000D461E" w:rsidRPr="009C16B3">
        <w:rPr>
          <w:rFonts w:ascii="Arial" w:hAnsi="Arial" w:cs="Arial"/>
          <w:sz w:val="24"/>
          <w:szCs w:val="24"/>
        </w:rPr>
        <w:t>,</w:t>
      </w:r>
      <w:r w:rsidRPr="009C16B3">
        <w:rPr>
          <w:rFonts w:ascii="Arial" w:hAnsi="Arial" w:cs="Arial"/>
          <w:sz w:val="24"/>
          <w:szCs w:val="24"/>
        </w:rPr>
        <w:t xml:space="preserve"> can be determined by the mark-up ratio (</w:t>
      </w:r>
      <w:proofErr w:type="spellStart"/>
      <w:r w:rsidRPr="009C16B3">
        <w:rPr>
          <w:rFonts w:ascii="Arial" w:hAnsi="Arial" w:cs="Arial"/>
          <w:sz w:val="24"/>
          <w:szCs w:val="24"/>
        </w:rPr>
        <w:t>Atrill</w:t>
      </w:r>
      <w:proofErr w:type="spellEnd"/>
      <w:r w:rsidRPr="009C16B3">
        <w:rPr>
          <w:rFonts w:ascii="Arial" w:hAnsi="Arial" w:cs="Arial"/>
          <w:sz w:val="24"/>
          <w:szCs w:val="24"/>
        </w:rPr>
        <w:t xml:space="preserve"> &amp; McLaney, 2019). It indicates the company's earnings in comparison to its production expenses.</w:t>
      </w:r>
      <w:r w:rsidR="00665145" w:rsidRPr="009C16B3">
        <w:rPr>
          <w:rFonts w:ascii="Arial" w:hAnsi="Arial" w:cs="Arial"/>
          <w:sz w:val="24"/>
          <w:szCs w:val="24"/>
        </w:rPr>
        <w:t xml:space="preserve"> </w:t>
      </w:r>
    </w:p>
    <w:p w14:paraId="3017F5A8" w14:textId="07E62978" w:rsidR="00810563" w:rsidRPr="009C16B3" w:rsidRDefault="00665145">
      <w:pPr>
        <w:rPr>
          <w:rFonts w:ascii="Arial" w:hAnsi="Arial" w:cs="Arial"/>
          <w:sz w:val="24"/>
          <w:szCs w:val="24"/>
        </w:rPr>
      </w:pPr>
      <w:r w:rsidRPr="009C16B3">
        <w:rPr>
          <w:rFonts w:ascii="Arial" w:hAnsi="Arial" w:cs="Arial"/>
          <w:sz w:val="24"/>
          <w:szCs w:val="24"/>
        </w:rPr>
        <w:t xml:space="preserve">From </w:t>
      </w:r>
      <w:r w:rsidR="00147C77" w:rsidRPr="009C16B3">
        <w:rPr>
          <w:rFonts w:ascii="Arial" w:hAnsi="Arial" w:cs="Arial"/>
          <w:sz w:val="24"/>
          <w:szCs w:val="24"/>
        </w:rPr>
        <w:t>estimating at around</w:t>
      </w:r>
      <w:r w:rsidRPr="009C16B3">
        <w:rPr>
          <w:rFonts w:ascii="Arial" w:hAnsi="Arial" w:cs="Arial"/>
          <w:sz w:val="24"/>
          <w:szCs w:val="24"/>
        </w:rPr>
        <w:t xml:space="preserve"> 78.97% in the year 2023, in </w:t>
      </w:r>
      <w:r w:rsidR="007F05E3" w:rsidRPr="009C16B3">
        <w:rPr>
          <w:rFonts w:ascii="Arial" w:hAnsi="Arial" w:cs="Arial"/>
          <w:sz w:val="24"/>
          <w:szCs w:val="24"/>
        </w:rPr>
        <w:t xml:space="preserve">the year </w:t>
      </w:r>
      <w:r w:rsidRPr="009C16B3">
        <w:rPr>
          <w:rFonts w:ascii="Arial" w:hAnsi="Arial" w:cs="Arial"/>
          <w:sz w:val="24"/>
          <w:szCs w:val="24"/>
        </w:rPr>
        <w:t xml:space="preserve">2024, </w:t>
      </w:r>
      <w:r w:rsidR="007F05E3" w:rsidRPr="009C16B3">
        <w:rPr>
          <w:rFonts w:ascii="Arial" w:hAnsi="Arial" w:cs="Arial"/>
          <w:sz w:val="24"/>
          <w:szCs w:val="24"/>
        </w:rPr>
        <w:t xml:space="preserve">Apple’s </w:t>
      </w:r>
      <w:r w:rsidR="00E25392" w:rsidRPr="009C16B3">
        <w:rPr>
          <w:rFonts w:ascii="Arial" w:hAnsi="Arial" w:cs="Arial"/>
          <w:sz w:val="24"/>
          <w:szCs w:val="24"/>
        </w:rPr>
        <w:t>markup</w:t>
      </w:r>
      <w:r w:rsidR="007F05E3" w:rsidRPr="009C16B3">
        <w:rPr>
          <w:rFonts w:ascii="Arial" w:hAnsi="Arial" w:cs="Arial"/>
          <w:sz w:val="24"/>
          <w:szCs w:val="24"/>
        </w:rPr>
        <w:t xml:space="preserve"> ratio had risen to a total of 85.88%. </w:t>
      </w:r>
      <w:r w:rsidR="00671342" w:rsidRPr="009C16B3">
        <w:rPr>
          <w:rFonts w:ascii="Arial" w:hAnsi="Arial" w:cs="Arial"/>
          <w:sz w:val="24"/>
          <w:szCs w:val="24"/>
        </w:rPr>
        <w:t xml:space="preserve">This would </w:t>
      </w:r>
      <w:r w:rsidR="00A74B31" w:rsidRPr="009C16B3">
        <w:rPr>
          <w:rFonts w:ascii="Arial" w:hAnsi="Arial" w:cs="Arial"/>
          <w:sz w:val="24"/>
          <w:szCs w:val="24"/>
        </w:rPr>
        <w:t>suggest that Apple ha</w:t>
      </w:r>
      <w:r w:rsidR="007C5518" w:rsidRPr="009C16B3">
        <w:rPr>
          <w:rFonts w:ascii="Arial" w:hAnsi="Arial" w:cs="Arial"/>
          <w:sz w:val="24"/>
          <w:szCs w:val="24"/>
        </w:rPr>
        <w:t>d exp</w:t>
      </w:r>
      <w:r w:rsidR="00581627" w:rsidRPr="009C16B3">
        <w:rPr>
          <w:rFonts w:ascii="Arial" w:hAnsi="Arial" w:cs="Arial"/>
          <w:sz w:val="24"/>
          <w:szCs w:val="24"/>
        </w:rPr>
        <w:t>a</w:t>
      </w:r>
      <w:r w:rsidR="007C5518" w:rsidRPr="009C16B3">
        <w:rPr>
          <w:rFonts w:ascii="Arial" w:hAnsi="Arial" w:cs="Arial"/>
          <w:sz w:val="24"/>
          <w:szCs w:val="24"/>
        </w:rPr>
        <w:t>nded</w:t>
      </w:r>
      <w:r w:rsidR="000D461E" w:rsidRPr="009C16B3">
        <w:rPr>
          <w:rFonts w:ascii="Arial" w:hAnsi="Arial" w:cs="Arial"/>
          <w:sz w:val="24"/>
          <w:szCs w:val="24"/>
        </w:rPr>
        <w:t xml:space="preserve"> the space between its manufacturing expenses and compared to its sales. </w:t>
      </w:r>
    </w:p>
    <w:p w14:paraId="4B7A8343" w14:textId="282CD089" w:rsidR="000D461E" w:rsidRPr="009C16B3" w:rsidRDefault="000D461E">
      <w:pPr>
        <w:rPr>
          <w:rFonts w:ascii="Arial" w:hAnsi="Arial" w:cs="Arial"/>
          <w:sz w:val="24"/>
          <w:szCs w:val="24"/>
        </w:rPr>
      </w:pPr>
      <w:r w:rsidRPr="009C16B3">
        <w:rPr>
          <w:rFonts w:ascii="Arial" w:hAnsi="Arial" w:cs="Arial"/>
          <w:sz w:val="24"/>
          <w:szCs w:val="24"/>
        </w:rPr>
        <w:t>Apple has the ability to sustain a significant mark due to the fact of its solid reputation, unique products</w:t>
      </w:r>
      <w:r w:rsidR="00B566F1" w:rsidRPr="009C16B3">
        <w:rPr>
          <w:rFonts w:ascii="Arial" w:hAnsi="Arial" w:cs="Arial"/>
          <w:sz w:val="24"/>
          <w:szCs w:val="24"/>
        </w:rPr>
        <w:t xml:space="preserve"> environment, and </w:t>
      </w:r>
      <w:proofErr w:type="gramStart"/>
      <w:r w:rsidR="00B566F1" w:rsidRPr="009C16B3">
        <w:rPr>
          <w:rFonts w:ascii="Arial" w:hAnsi="Arial" w:cs="Arial"/>
          <w:sz w:val="24"/>
          <w:szCs w:val="24"/>
        </w:rPr>
        <w:t>high quality</w:t>
      </w:r>
      <w:proofErr w:type="gramEnd"/>
      <w:r w:rsidR="00B566F1" w:rsidRPr="009C16B3">
        <w:rPr>
          <w:rFonts w:ascii="Arial" w:hAnsi="Arial" w:cs="Arial"/>
          <w:sz w:val="24"/>
          <w:szCs w:val="24"/>
        </w:rPr>
        <w:t xml:space="preserve"> product offerings (Damodaran, 2018). </w:t>
      </w:r>
    </w:p>
    <w:p w14:paraId="5B01DF73" w14:textId="09DB7201" w:rsidR="00093D4B" w:rsidRPr="009C16B3" w:rsidRDefault="00093D4B">
      <w:pPr>
        <w:rPr>
          <w:rFonts w:ascii="Arial" w:hAnsi="Arial" w:cs="Arial"/>
          <w:sz w:val="24"/>
          <w:szCs w:val="24"/>
        </w:rPr>
      </w:pPr>
      <w:r w:rsidRPr="009C16B3">
        <w:rPr>
          <w:rFonts w:ascii="Arial" w:hAnsi="Arial" w:cs="Arial"/>
          <w:sz w:val="24"/>
          <w:szCs w:val="24"/>
        </w:rPr>
        <w:lastRenderedPageBreak/>
        <w:t xml:space="preserve">The percentage that consists of the </w:t>
      </w:r>
      <w:proofErr w:type="gramStart"/>
      <w:r w:rsidRPr="009C16B3">
        <w:rPr>
          <w:rFonts w:ascii="Arial" w:hAnsi="Arial" w:cs="Arial"/>
          <w:sz w:val="24"/>
          <w:szCs w:val="24"/>
        </w:rPr>
        <w:t>left over</w:t>
      </w:r>
      <w:proofErr w:type="gramEnd"/>
      <w:r w:rsidRPr="009C16B3">
        <w:rPr>
          <w:rFonts w:ascii="Arial" w:hAnsi="Arial" w:cs="Arial"/>
          <w:sz w:val="24"/>
          <w:szCs w:val="24"/>
        </w:rPr>
        <w:t xml:space="preserve"> income after all of the expenses that are related to the operations, the taxes, and the interest charges have been deducted this is recognised as the net profit margin (Arnold, 2019).</w:t>
      </w:r>
    </w:p>
    <w:p w14:paraId="23931727" w14:textId="77C93AC6" w:rsidR="00093D4B" w:rsidRPr="009C16B3" w:rsidRDefault="00093D4B">
      <w:pPr>
        <w:rPr>
          <w:rFonts w:ascii="Arial" w:hAnsi="Arial" w:cs="Arial"/>
          <w:sz w:val="24"/>
          <w:szCs w:val="24"/>
        </w:rPr>
      </w:pPr>
      <w:r w:rsidRPr="009C16B3">
        <w:rPr>
          <w:rFonts w:ascii="Arial" w:hAnsi="Arial" w:cs="Arial"/>
          <w:sz w:val="24"/>
          <w:szCs w:val="24"/>
        </w:rPr>
        <w:t>From the year 2023, to the year 2024 the net profit margin had decreased by a total of 1.34 percent.</w:t>
      </w:r>
      <w:r w:rsidR="00B67042" w:rsidRPr="009C16B3">
        <w:rPr>
          <w:rFonts w:ascii="Arial" w:hAnsi="Arial" w:cs="Arial"/>
          <w:sz w:val="24"/>
          <w:szCs w:val="24"/>
        </w:rPr>
        <w:t xml:space="preserve"> The decline in percentages indicates that the operational costs increased within the year, despite the fact that the company continued to maintain its status of being successful. A rise in spending on promotional materials, the research and development of the business, and technolog</w:t>
      </w:r>
      <w:r w:rsidR="00623121" w:rsidRPr="009C16B3">
        <w:rPr>
          <w:rFonts w:ascii="Arial" w:hAnsi="Arial" w:cs="Arial"/>
          <w:sz w:val="24"/>
          <w:szCs w:val="24"/>
        </w:rPr>
        <w:t xml:space="preserve">ical breakthroughs </w:t>
      </w:r>
      <w:r w:rsidR="00B67042" w:rsidRPr="009C16B3">
        <w:rPr>
          <w:rFonts w:ascii="Arial" w:hAnsi="Arial" w:cs="Arial"/>
          <w:sz w:val="24"/>
          <w:szCs w:val="24"/>
        </w:rPr>
        <w:t>could potentially be the reason behind this</w:t>
      </w:r>
      <w:r w:rsidR="00623121" w:rsidRPr="009C16B3">
        <w:rPr>
          <w:rFonts w:ascii="Arial" w:hAnsi="Arial" w:cs="Arial"/>
          <w:sz w:val="24"/>
          <w:szCs w:val="24"/>
        </w:rPr>
        <w:t xml:space="preserve">. </w:t>
      </w:r>
    </w:p>
    <w:p w14:paraId="2DF43DD4" w14:textId="453102A1" w:rsidR="00623121" w:rsidRPr="009C16B3" w:rsidRDefault="00623121">
      <w:pPr>
        <w:rPr>
          <w:rFonts w:ascii="Arial" w:hAnsi="Arial" w:cs="Arial"/>
          <w:sz w:val="24"/>
          <w:szCs w:val="24"/>
        </w:rPr>
      </w:pPr>
      <w:r w:rsidRPr="009C16B3">
        <w:rPr>
          <w:rFonts w:ascii="Arial" w:hAnsi="Arial" w:cs="Arial"/>
          <w:sz w:val="24"/>
          <w:szCs w:val="24"/>
        </w:rPr>
        <w:t xml:space="preserve">In an effort to remain competitive and to achieve long term growth, companies within the technology industry occasionally boost their research and development investments. The </w:t>
      </w:r>
      <w:proofErr w:type="gramStart"/>
      <w:r w:rsidRPr="009C16B3">
        <w:rPr>
          <w:rFonts w:ascii="Arial" w:hAnsi="Arial" w:cs="Arial"/>
          <w:sz w:val="24"/>
          <w:szCs w:val="24"/>
        </w:rPr>
        <w:t>short term</w:t>
      </w:r>
      <w:proofErr w:type="gramEnd"/>
      <w:r w:rsidRPr="009C16B3">
        <w:rPr>
          <w:rFonts w:ascii="Arial" w:hAnsi="Arial" w:cs="Arial"/>
          <w:sz w:val="24"/>
          <w:szCs w:val="24"/>
        </w:rPr>
        <w:t xml:space="preserve"> income could be affected as a result in this, whilst the financial performance over the long term </w:t>
      </w:r>
      <w:r w:rsidR="00B97677" w:rsidRPr="009C16B3">
        <w:rPr>
          <w:rFonts w:ascii="Arial" w:hAnsi="Arial" w:cs="Arial"/>
          <w:sz w:val="24"/>
          <w:szCs w:val="24"/>
        </w:rPr>
        <w:t>might improve (Brigham &amp; Houston, 2021).</w:t>
      </w:r>
    </w:p>
    <w:p w14:paraId="758D2131" w14:textId="7C7010D1" w:rsidR="00B97677" w:rsidRPr="009C16B3" w:rsidRDefault="00B97677">
      <w:pPr>
        <w:rPr>
          <w:rFonts w:ascii="Arial" w:hAnsi="Arial" w:cs="Arial"/>
          <w:sz w:val="24"/>
          <w:szCs w:val="24"/>
        </w:rPr>
      </w:pPr>
      <w:r w:rsidRPr="009C16B3">
        <w:rPr>
          <w:rFonts w:ascii="Arial" w:hAnsi="Arial" w:cs="Arial"/>
          <w:sz w:val="24"/>
          <w:szCs w:val="24"/>
        </w:rPr>
        <w:t xml:space="preserve">Even though expanding the operational costs significantly lowered the net profit margins </w:t>
      </w:r>
      <w:r w:rsidR="00BA4D04" w:rsidRPr="009C16B3">
        <w:rPr>
          <w:rFonts w:ascii="Arial" w:hAnsi="Arial" w:cs="Arial"/>
          <w:sz w:val="24"/>
          <w:szCs w:val="24"/>
        </w:rPr>
        <w:t xml:space="preserve">in the year 2024, in general, the profit margin analysis highlights that Apple continued to stay very profitable within both of years. </w:t>
      </w:r>
    </w:p>
    <w:p w14:paraId="39FE8564" w14:textId="2BAE1277" w:rsidR="009B48F4" w:rsidRPr="009C16B3" w:rsidRDefault="009B48F4">
      <w:pPr>
        <w:rPr>
          <w:rFonts w:ascii="Arial" w:hAnsi="Arial" w:cs="Arial"/>
          <w:b/>
          <w:bCs/>
          <w:sz w:val="24"/>
          <w:szCs w:val="24"/>
        </w:rPr>
      </w:pPr>
      <w:r w:rsidRPr="009C16B3">
        <w:rPr>
          <w:rFonts w:ascii="Arial" w:hAnsi="Arial" w:cs="Arial"/>
          <w:b/>
          <w:bCs/>
          <w:sz w:val="24"/>
          <w:szCs w:val="24"/>
        </w:rPr>
        <w:t>Liquidity Analysis</w:t>
      </w:r>
    </w:p>
    <w:p w14:paraId="0E9118F0" w14:textId="760FCBBD" w:rsidR="00974EE5" w:rsidRPr="009C16B3" w:rsidRDefault="009B48F4" w:rsidP="00974EE5">
      <w:pPr>
        <w:rPr>
          <w:rFonts w:ascii="Arial" w:hAnsi="Arial" w:cs="Arial"/>
          <w:sz w:val="24"/>
          <w:szCs w:val="24"/>
        </w:rPr>
      </w:pPr>
      <w:r w:rsidRPr="009C16B3">
        <w:rPr>
          <w:rFonts w:ascii="Arial" w:hAnsi="Arial" w:cs="Arial"/>
          <w:sz w:val="24"/>
          <w:szCs w:val="24"/>
        </w:rPr>
        <w:t>A business’s ability to meet its immediate responsibilities can be assessed by liquidity ratios (</w:t>
      </w:r>
      <w:proofErr w:type="spellStart"/>
      <w:r w:rsidRPr="009C16B3">
        <w:rPr>
          <w:rFonts w:ascii="Arial" w:hAnsi="Arial" w:cs="Arial"/>
          <w:sz w:val="24"/>
          <w:szCs w:val="24"/>
        </w:rPr>
        <w:t>Atril</w:t>
      </w:r>
      <w:proofErr w:type="spellEnd"/>
      <w:r w:rsidRPr="009C16B3">
        <w:rPr>
          <w:rFonts w:ascii="Arial" w:hAnsi="Arial" w:cs="Arial"/>
          <w:sz w:val="24"/>
          <w:szCs w:val="24"/>
        </w:rPr>
        <w:t xml:space="preserve"> &amp; McLaney, 2019). Apple’s current ratios had decreased over a year, it had gone from 0.99:1, and lowered to 0.87:1</w:t>
      </w:r>
      <w:r w:rsidR="00974EE5" w:rsidRPr="009C16B3">
        <w:rPr>
          <w:rFonts w:ascii="Arial" w:hAnsi="Arial" w:cs="Arial"/>
          <w:sz w:val="24"/>
          <w:szCs w:val="24"/>
        </w:rPr>
        <w:t>. This would indicate that the less short-term flexibility in finances, considering current liabilities are greater than current assets.</w:t>
      </w:r>
    </w:p>
    <w:p w14:paraId="3E5C2DC6" w14:textId="14DE7282" w:rsidR="009B48F4" w:rsidRPr="009C16B3" w:rsidRDefault="00974EE5">
      <w:pPr>
        <w:rPr>
          <w:rFonts w:ascii="Arial" w:hAnsi="Arial" w:cs="Arial"/>
          <w:sz w:val="24"/>
          <w:szCs w:val="24"/>
        </w:rPr>
      </w:pPr>
      <w:r w:rsidRPr="009C16B3">
        <w:rPr>
          <w:rFonts w:ascii="Arial" w:hAnsi="Arial" w:cs="Arial"/>
          <w:sz w:val="24"/>
          <w:szCs w:val="24"/>
        </w:rPr>
        <w:t xml:space="preserve">Well known </w:t>
      </w:r>
      <w:proofErr w:type="spellStart"/>
      <w:r w:rsidRPr="009C16B3">
        <w:rPr>
          <w:rFonts w:ascii="Arial" w:hAnsi="Arial" w:cs="Arial"/>
          <w:sz w:val="24"/>
          <w:szCs w:val="24"/>
        </w:rPr>
        <w:t>organsiations</w:t>
      </w:r>
      <w:proofErr w:type="spellEnd"/>
      <w:r w:rsidRPr="009C16B3">
        <w:rPr>
          <w:rFonts w:ascii="Arial" w:hAnsi="Arial" w:cs="Arial"/>
          <w:sz w:val="24"/>
          <w:szCs w:val="24"/>
        </w:rPr>
        <w:t xml:space="preserve"> such as, Apple </w:t>
      </w:r>
      <w:proofErr w:type="spellStart"/>
      <w:r w:rsidRPr="009C16B3">
        <w:rPr>
          <w:rFonts w:ascii="Arial" w:hAnsi="Arial" w:cs="Arial"/>
          <w:sz w:val="24"/>
          <w:szCs w:val="24"/>
        </w:rPr>
        <w:t>ocassionally</w:t>
      </w:r>
      <w:proofErr w:type="spellEnd"/>
      <w:r w:rsidRPr="009C16B3">
        <w:rPr>
          <w:rFonts w:ascii="Arial" w:hAnsi="Arial" w:cs="Arial"/>
          <w:sz w:val="24"/>
          <w:szCs w:val="24"/>
        </w:rPr>
        <w:t xml:space="preserve"> operate with a lower ratio due to the steady and stable cash flows, however a value above 1 is highly preferred (Damodaran, 2018).</w:t>
      </w:r>
    </w:p>
    <w:p w14:paraId="038960D7" w14:textId="47D63C40" w:rsidR="00E55ADE" w:rsidRPr="009C16B3" w:rsidRDefault="00E55ADE" w:rsidP="00E55ADE">
      <w:pPr>
        <w:rPr>
          <w:rFonts w:ascii="Arial" w:hAnsi="Arial" w:cs="Arial"/>
          <w:sz w:val="24"/>
          <w:szCs w:val="24"/>
        </w:rPr>
      </w:pPr>
      <w:r w:rsidRPr="009C16B3">
        <w:rPr>
          <w:rFonts w:ascii="Arial" w:hAnsi="Arial" w:cs="Arial"/>
          <w:sz w:val="24"/>
          <w:szCs w:val="24"/>
        </w:rPr>
        <w:t>Apple's financial management strategy, such as dividend payments and share repurchases, may also be demonstrated in the fall. These boost shareholder returns while reducing cash reserves. Liquidity ratios should be examined in combination with overall financial results rather than on their own, according to research (Koller et al., 2020).</w:t>
      </w:r>
    </w:p>
    <w:p w14:paraId="62564BFD" w14:textId="5476FACE" w:rsidR="00A0265C" w:rsidRPr="009C16B3" w:rsidRDefault="00A0265C" w:rsidP="00E55ADE">
      <w:pPr>
        <w:rPr>
          <w:rFonts w:ascii="Arial" w:hAnsi="Arial" w:cs="Arial"/>
          <w:b/>
          <w:bCs/>
          <w:sz w:val="24"/>
          <w:szCs w:val="24"/>
        </w:rPr>
      </w:pPr>
      <w:r w:rsidRPr="009C16B3">
        <w:rPr>
          <w:rFonts w:ascii="Arial" w:hAnsi="Arial" w:cs="Arial"/>
          <w:b/>
          <w:bCs/>
          <w:sz w:val="24"/>
          <w:szCs w:val="24"/>
        </w:rPr>
        <w:t>Effiency Ratio</w:t>
      </w:r>
    </w:p>
    <w:p w14:paraId="25747F19" w14:textId="0763EE5C" w:rsidR="00A0265C" w:rsidRPr="009C16B3" w:rsidRDefault="00A0265C" w:rsidP="00E55ADE">
      <w:pPr>
        <w:rPr>
          <w:rFonts w:ascii="Arial" w:hAnsi="Arial" w:cs="Arial"/>
          <w:sz w:val="24"/>
          <w:szCs w:val="24"/>
        </w:rPr>
      </w:pPr>
      <w:r w:rsidRPr="009C16B3">
        <w:rPr>
          <w:rFonts w:ascii="Arial" w:hAnsi="Arial" w:cs="Arial"/>
          <w:sz w:val="24"/>
          <w:szCs w:val="24"/>
        </w:rPr>
        <w:t xml:space="preserve"> An efficiency ratio can </w:t>
      </w:r>
      <w:r w:rsidR="009F6B2B" w:rsidRPr="009C16B3">
        <w:rPr>
          <w:rFonts w:ascii="Arial" w:hAnsi="Arial" w:cs="Arial"/>
          <w:sz w:val="24"/>
          <w:szCs w:val="24"/>
        </w:rPr>
        <w:t>reveal how well a business can use its resources to the best of the companies’ ability. Apple’s inventory turnover had dropped a bit from 3.82 all the way down to 28.87. this would mean that in the year 2024, Apple had sold their products at a much slower pace.</w:t>
      </w:r>
    </w:p>
    <w:p w14:paraId="08F4CCA2" w14:textId="025D577B" w:rsidR="009F6B2B" w:rsidRPr="009C16B3" w:rsidRDefault="009F6B2B" w:rsidP="00E55ADE">
      <w:pPr>
        <w:rPr>
          <w:rFonts w:ascii="Arial" w:hAnsi="Arial" w:cs="Arial"/>
          <w:sz w:val="24"/>
          <w:szCs w:val="24"/>
        </w:rPr>
      </w:pPr>
      <w:r w:rsidRPr="009C16B3">
        <w:rPr>
          <w:rFonts w:ascii="Arial" w:hAnsi="Arial" w:cs="Arial"/>
          <w:sz w:val="24"/>
          <w:szCs w:val="24"/>
        </w:rPr>
        <w:t xml:space="preserve">This could suggest that Apple had the </w:t>
      </w:r>
      <w:proofErr w:type="gramStart"/>
      <w:r w:rsidRPr="009C16B3">
        <w:rPr>
          <w:rFonts w:ascii="Arial" w:hAnsi="Arial" w:cs="Arial"/>
          <w:sz w:val="24"/>
          <w:szCs w:val="24"/>
        </w:rPr>
        <w:t>left over</w:t>
      </w:r>
      <w:proofErr w:type="gramEnd"/>
      <w:r w:rsidRPr="009C16B3">
        <w:rPr>
          <w:rFonts w:ascii="Arial" w:hAnsi="Arial" w:cs="Arial"/>
          <w:sz w:val="24"/>
          <w:szCs w:val="24"/>
        </w:rPr>
        <w:t xml:space="preserve"> stock or that the customers demand had been reduced. It could also mean that Apple may have had supply chain issues, for example when a company or a business has access to excess s</w:t>
      </w:r>
      <w:r w:rsidR="00EF56E5" w:rsidRPr="009C16B3">
        <w:rPr>
          <w:rFonts w:ascii="Arial" w:hAnsi="Arial" w:cs="Arial"/>
          <w:sz w:val="24"/>
          <w:szCs w:val="24"/>
        </w:rPr>
        <w:t xml:space="preserve">tock to prevent it from running out, this could have been the cause of this. </w:t>
      </w:r>
    </w:p>
    <w:p w14:paraId="0DC16DAA" w14:textId="77777777" w:rsidR="00EF56E5" w:rsidRPr="009C16B3" w:rsidRDefault="00EF56E5" w:rsidP="00EF56E5">
      <w:pPr>
        <w:rPr>
          <w:rFonts w:ascii="Arial" w:hAnsi="Arial" w:cs="Arial"/>
          <w:sz w:val="24"/>
          <w:szCs w:val="24"/>
        </w:rPr>
      </w:pPr>
      <w:r w:rsidRPr="009C16B3">
        <w:rPr>
          <w:rFonts w:ascii="Arial" w:hAnsi="Arial" w:cs="Arial"/>
          <w:sz w:val="24"/>
          <w:szCs w:val="24"/>
        </w:rPr>
        <w:t xml:space="preserve">The total number of days regarding receivables grew from 28 to 31. This demonstrates that Apple's standard customer payment collection method took </w:t>
      </w:r>
      <w:r w:rsidRPr="009C16B3">
        <w:rPr>
          <w:rFonts w:ascii="Arial" w:hAnsi="Arial" w:cs="Arial"/>
          <w:sz w:val="24"/>
          <w:szCs w:val="24"/>
        </w:rPr>
        <w:lastRenderedPageBreak/>
        <w:t>somewhat a little bit longer. This suggests a small decrease in efficiency, but it is not an extreme shift.</w:t>
      </w:r>
    </w:p>
    <w:p w14:paraId="418E0418" w14:textId="77777777" w:rsidR="00EF56E5" w:rsidRPr="009C16B3" w:rsidRDefault="00EF56E5" w:rsidP="00E55ADE">
      <w:pPr>
        <w:rPr>
          <w:rFonts w:ascii="Arial" w:hAnsi="Arial" w:cs="Arial"/>
          <w:sz w:val="24"/>
          <w:szCs w:val="24"/>
        </w:rPr>
      </w:pPr>
    </w:p>
    <w:p w14:paraId="1A3F86E5" w14:textId="0185749B" w:rsidR="00E55ADE" w:rsidRPr="009C16B3" w:rsidRDefault="00E55ADE">
      <w:pPr>
        <w:rPr>
          <w:rFonts w:ascii="Arial" w:hAnsi="Arial" w:cs="Arial"/>
          <w:b/>
          <w:bCs/>
          <w:sz w:val="24"/>
          <w:szCs w:val="24"/>
        </w:rPr>
      </w:pPr>
      <w:r w:rsidRPr="009C16B3">
        <w:rPr>
          <w:rFonts w:ascii="Arial" w:hAnsi="Arial" w:cs="Arial"/>
          <w:b/>
          <w:bCs/>
          <w:sz w:val="24"/>
          <w:szCs w:val="24"/>
        </w:rPr>
        <w:t>Conclusion</w:t>
      </w:r>
    </w:p>
    <w:p w14:paraId="31688F4D" w14:textId="4B8B273C" w:rsidR="00F94352" w:rsidRPr="009C16B3" w:rsidRDefault="00E55ADE">
      <w:pPr>
        <w:rPr>
          <w:rFonts w:ascii="Arial" w:hAnsi="Arial" w:cs="Arial"/>
          <w:sz w:val="24"/>
          <w:szCs w:val="24"/>
        </w:rPr>
      </w:pPr>
      <w:r w:rsidRPr="009C16B3">
        <w:rPr>
          <w:rFonts w:ascii="Arial" w:hAnsi="Arial" w:cs="Arial"/>
          <w:sz w:val="24"/>
          <w:szCs w:val="24"/>
        </w:rPr>
        <w:t xml:space="preserve">this investigation </w:t>
      </w:r>
      <w:r w:rsidR="00F94352" w:rsidRPr="009C16B3">
        <w:rPr>
          <w:rFonts w:ascii="Arial" w:hAnsi="Arial" w:cs="Arial"/>
          <w:sz w:val="24"/>
          <w:szCs w:val="24"/>
        </w:rPr>
        <w:t xml:space="preserve">used basic ratio analysis to evaluate Apple’s financial performances throughout the years, 2023 up to the year 2024. The research highlighted that Apple’s gross profit margin and Apple’s markup ratio had improved over the years, suggesting that the organisation continues to remain very profitable.  On the other hand, due to the fact of more money being spent, Apple’s net profit margin had somehow significantly declined. In addition, the liquidity had reduced, but due to Apple’s steady cash flow, this was not a significant cause for worry. </w:t>
      </w:r>
    </w:p>
    <w:p w14:paraId="300D9079" w14:textId="3890F047" w:rsidR="009C16B3" w:rsidRPr="009C16B3" w:rsidRDefault="00A0265C">
      <w:pPr>
        <w:rPr>
          <w:rFonts w:ascii="Arial" w:hAnsi="Arial" w:cs="Arial"/>
          <w:sz w:val="24"/>
          <w:szCs w:val="24"/>
        </w:rPr>
      </w:pPr>
      <w:r w:rsidRPr="009C16B3">
        <w:rPr>
          <w:rFonts w:ascii="Arial" w:hAnsi="Arial" w:cs="Arial"/>
          <w:sz w:val="24"/>
          <w:szCs w:val="24"/>
        </w:rPr>
        <w:t>After all things taken into account, Apple is still recognised as a very powerful organisation. The ratio analysis had made it a lot easier to examine the last two years’ worth of results and could determine what areas needed to be improved.</w:t>
      </w:r>
    </w:p>
    <w:p w14:paraId="663E5F4E" w14:textId="77777777" w:rsidR="009C16B3" w:rsidRPr="009C16B3" w:rsidRDefault="009C16B3">
      <w:pPr>
        <w:rPr>
          <w:rFonts w:ascii="Arial" w:hAnsi="Arial" w:cs="Arial"/>
          <w:sz w:val="24"/>
          <w:szCs w:val="24"/>
        </w:rPr>
      </w:pPr>
    </w:p>
    <w:p w14:paraId="4BAC47FC" w14:textId="4CCAE1D5" w:rsidR="009C16B3" w:rsidRPr="009C16B3" w:rsidRDefault="009C16B3">
      <w:pPr>
        <w:rPr>
          <w:rFonts w:ascii="Arial" w:hAnsi="Arial" w:cs="Arial"/>
          <w:b/>
          <w:bCs/>
          <w:sz w:val="24"/>
          <w:szCs w:val="24"/>
        </w:rPr>
      </w:pPr>
      <w:r w:rsidRPr="009C16B3">
        <w:rPr>
          <w:rFonts w:ascii="Arial" w:hAnsi="Arial" w:cs="Arial"/>
          <w:b/>
          <w:bCs/>
          <w:sz w:val="24"/>
          <w:szCs w:val="24"/>
        </w:rPr>
        <w:t>Reference List</w:t>
      </w:r>
    </w:p>
    <w:p w14:paraId="3C95F68A"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Apple Inc. (2024). </w:t>
      </w:r>
      <w:r w:rsidRPr="009C16B3">
        <w:rPr>
          <w:rFonts w:ascii="Arial" w:hAnsi="Arial" w:cs="Arial"/>
          <w:i/>
          <w:iCs/>
          <w:sz w:val="24"/>
          <w:szCs w:val="24"/>
        </w:rPr>
        <w:t>Form 10-K annual report 2024</w:t>
      </w:r>
      <w:r w:rsidRPr="009C16B3">
        <w:rPr>
          <w:rFonts w:ascii="Arial" w:hAnsi="Arial" w:cs="Arial"/>
          <w:sz w:val="24"/>
          <w:szCs w:val="24"/>
        </w:rPr>
        <w:t xml:space="preserve">. </w:t>
      </w:r>
      <w:hyperlink r:id="rId6" w:tgtFrame="_new" w:history="1">
        <w:r w:rsidRPr="009C16B3">
          <w:rPr>
            <w:rStyle w:val="Hyperlink"/>
            <w:rFonts w:ascii="Arial" w:hAnsi="Arial" w:cs="Arial"/>
            <w:sz w:val="24"/>
            <w:szCs w:val="24"/>
            <w:u w:val="none"/>
          </w:rPr>
          <w:t>https://stocklight.com/stocks/us/nasdaq-aapl/apple/annual-reports</w:t>
        </w:r>
      </w:hyperlink>
    </w:p>
    <w:p w14:paraId="601FDDE1"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Arnold, G. (2019). </w:t>
      </w:r>
      <w:r w:rsidRPr="009C16B3">
        <w:rPr>
          <w:rFonts w:ascii="Arial" w:hAnsi="Arial" w:cs="Arial"/>
          <w:i/>
          <w:iCs/>
          <w:sz w:val="24"/>
          <w:szCs w:val="24"/>
        </w:rPr>
        <w:t>Corporate financial management</w:t>
      </w:r>
      <w:r w:rsidRPr="009C16B3">
        <w:rPr>
          <w:rFonts w:ascii="Arial" w:hAnsi="Arial" w:cs="Arial"/>
          <w:sz w:val="24"/>
          <w:szCs w:val="24"/>
        </w:rPr>
        <w:t xml:space="preserve"> (6th ed.). Pearson.</w:t>
      </w:r>
    </w:p>
    <w:p w14:paraId="418FE119" w14:textId="77777777" w:rsidR="009C16B3" w:rsidRPr="009C16B3" w:rsidRDefault="009C16B3" w:rsidP="009C16B3">
      <w:pPr>
        <w:rPr>
          <w:rFonts w:ascii="Arial" w:hAnsi="Arial" w:cs="Arial"/>
          <w:sz w:val="24"/>
          <w:szCs w:val="24"/>
        </w:rPr>
      </w:pPr>
      <w:proofErr w:type="spellStart"/>
      <w:r w:rsidRPr="009C16B3">
        <w:rPr>
          <w:rFonts w:ascii="Arial" w:hAnsi="Arial" w:cs="Arial"/>
          <w:sz w:val="24"/>
          <w:szCs w:val="24"/>
        </w:rPr>
        <w:t>Atrill</w:t>
      </w:r>
      <w:proofErr w:type="spellEnd"/>
      <w:r w:rsidRPr="009C16B3">
        <w:rPr>
          <w:rFonts w:ascii="Arial" w:hAnsi="Arial" w:cs="Arial"/>
          <w:sz w:val="24"/>
          <w:szCs w:val="24"/>
        </w:rPr>
        <w:t xml:space="preserve">, P., &amp; McLaney, E. (2019). </w:t>
      </w:r>
      <w:r w:rsidRPr="009C16B3">
        <w:rPr>
          <w:rFonts w:ascii="Arial" w:hAnsi="Arial" w:cs="Arial"/>
          <w:i/>
          <w:iCs/>
          <w:sz w:val="24"/>
          <w:szCs w:val="24"/>
        </w:rPr>
        <w:t>Accounting and finance for non-specialists</w:t>
      </w:r>
      <w:r w:rsidRPr="009C16B3">
        <w:rPr>
          <w:rFonts w:ascii="Arial" w:hAnsi="Arial" w:cs="Arial"/>
          <w:sz w:val="24"/>
          <w:szCs w:val="24"/>
        </w:rPr>
        <w:t xml:space="preserve"> (11th ed.). Pearson.</w:t>
      </w:r>
    </w:p>
    <w:p w14:paraId="47BB4630"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Brealey, R. A., Myers, S. C., &amp; Allen, F. (2020). </w:t>
      </w:r>
      <w:r w:rsidRPr="009C16B3">
        <w:rPr>
          <w:rFonts w:ascii="Arial" w:hAnsi="Arial" w:cs="Arial"/>
          <w:i/>
          <w:iCs/>
          <w:sz w:val="24"/>
          <w:szCs w:val="24"/>
        </w:rPr>
        <w:t>Principles of corporate finance</w:t>
      </w:r>
      <w:r w:rsidRPr="009C16B3">
        <w:rPr>
          <w:rFonts w:ascii="Arial" w:hAnsi="Arial" w:cs="Arial"/>
          <w:sz w:val="24"/>
          <w:szCs w:val="24"/>
        </w:rPr>
        <w:t xml:space="preserve"> (13th ed.). McGraw-Hill Education.</w:t>
      </w:r>
    </w:p>
    <w:p w14:paraId="76806B90"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Brigham, E. F., &amp; Houston, J. F. (2021). </w:t>
      </w:r>
      <w:r w:rsidRPr="009C16B3">
        <w:rPr>
          <w:rFonts w:ascii="Arial" w:hAnsi="Arial" w:cs="Arial"/>
          <w:i/>
          <w:iCs/>
          <w:sz w:val="24"/>
          <w:szCs w:val="24"/>
        </w:rPr>
        <w:t>Fundamentals of financial management</w:t>
      </w:r>
      <w:r w:rsidRPr="009C16B3">
        <w:rPr>
          <w:rFonts w:ascii="Arial" w:hAnsi="Arial" w:cs="Arial"/>
          <w:sz w:val="24"/>
          <w:szCs w:val="24"/>
        </w:rPr>
        <w:t xml:space="preserve"> (16th ed.). Cengage Learning.</w:t>
      </w:r>
    </w:p>
    <w:p w14:paraId="37AB6222"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Damodaran, A. (2018). </w:t>
      </w:r>
      <w:r w:rsidRPr="009C16B3">
        <w:rPr>
          <w:rFonts w:ascii="Arial" w:hAnsi="Arial" w:cs="Arial"/>
          <w:i/>
          <w:iCs/>
          <w:sz w:val="24"/>
          <w:szCs w:val="24"/>
        </w:rPr>
        <w:t>Applied corporate finance</w:t>
      </w:r>
      <w:r w:rsidRPr="009C16B3">
        <w:rPr>
          <w:rFonts w:ascii="Arial" w:hAnsi="Arial" w:cs="Arial"/>
          <w:sz w:val="24"/>
          <w:szCs w:val="24"/>
        </w:rPr>
        <w:t xml:space="preserve"> (4th ed.). Wiley.</w:t>
      </w:r>
    </w:p>
    <w:p w14:paraId="44E07EB4"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Fraser, L. M., &amp; Ormiston, A. (2016). </w:t>
      </w:r>
      <w:r w:rsidRPr="009C16B3">
        <w:rPr>
          <w:rFonts w:ascii="Arial" w:hAnsi="Arial" w:cs="Arial"/>
          <w:i/>
          <w:iCs/>
          <w:sz w:val="24"/>
          <w:szCs w:val="24"/>
        </w:rPr>
        <w:t>Understanding financial statements</w:t>
      </w:r>
      <w:r w:rsidRPr="009C16B3">
        <w:rPr>
          <w:rFonts w:ascii="Arial" w:hAnsi="Arial" w:cs="Arial"/>
          <w:sz w:val="24"/>
          <w:szCs w:val="24"/>
        </w:rPr>
        <w:t xml:space="preserve"> (11th ed.). Pearson.</w:t>
      </w:r>
    </w:p>
    <w:p w14:paraId="73699CC0"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International Monetary Fund. (2024). </w:t>
      </w:r>
      <w:r w:rsidRPr="009C16B3">
        <w:rPr>
          <w:rFonts w:ascii="Arial" w:hAnsi="Arial" w:cs="Arial"/>
          <w:i/>
          <w:iCs/>
          <w:sz w:val="24"/>
          <w:szCs w:val="24"/>
        </w:rPr>
        <w:t>World economic outlook</w:t>
      </w:r>
      <w:r w:rsidRPr="009C16B3">
        <w:rPr>
          <w:rFonts w:ascii="Arial" w:hAnsi="Arial" w:cs="Arial"/>
          <w:sz w:val="24"/>
          <w:szCs w:val="24"/>
        </w:rPr>
        <w:t xml:space="preserve">. </w:t>
      </w:r>
      <w:hyperlink r:id="rId7" w:tgtFrame="_new" w:history="1">
        <w:r w:rsidRPr="009C16B3">
          <w:rPr>
            <w:rStyle w:val="Hyperlink"/>
            <w:rFonts w:ascii="Arial" w:hAnsi="Arial" w:cs="Arial"/>
            <w:sz w:val="24"/>
            <w:szCs w:val="24"/>
            <w:u w:val="none"/>
          </w:rPr>
          <w:t>https://www.imf.org</w:t>
        </w:r>
      </w:hyperlink>
    </w:p>
    <w:p w14:paraId="35AF5807"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Koller, T., Goedhart, M., &amp; Wessels, D. (2020). </w:t>
      </w:r>
      <w:r w:rsidRPr="009C16B3">
        <w:rPr>
          <w:rFonts w:ascii="Arial" w:hAnsi="Arial" w:cs="Arial"/>
          <w:i/>
          <w:iCs/>
          <w:sz w:val="24"/>
          <w:szCs w:val="24"/>
        </w:rPr>
        <w:t>Valuation: Measuring and managing the value of companies</w:t>
      </w:r>
      <w:r w:rsidRPr="009C16B3">
        <w:rPr>
          <w:rFonts w:ascii="Arial" w:hAnsi="Arial" w:cs="Arial"/>
          <w:sz w:val="24"/>
          <w:szCs w:val="24"/>
        </w:rPr>
        <w:t xml:space="preserve"> (7th ed.). Wiley.</w:t>
      </w:r>
    </w:p>
    <w:p w14:paraId="22D0DC23"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Palepu, K. G., Healy, P. M., &amp; Peek, E. (2019). </w:t>
      </w:r>
      <w:r w:rsidRPr="009C16B3">
        <w:rPr>
          <w:rFonts w:ascii="Arial" w:hAnsi="Arial" w:cs="Arial"/>
          <w:i/>
          <w:iCs/>
          <w:sz w:val="24"/>
          <w:szCs w:val="24"/>
        </w:rPr>
        <w:t>Business analysis and valuation: IFRS edition</w:t>
      </w:r>
      <w:r w:rsidRPr="009C16B3">
        <w:rPr>
          <w:rFonts w:ascii="Arial" w:hAnsi="Arial" w:cs="Arial"/>
          <w:sz w:val="24"/>
          <w:szCs w:val="24"/>
        </w:rPr>
        <w:t xml:space="preserve"> (5th ed.). Cengage Learning.</w:t>
      </w:r>
    </w:p>
    <w:p w14:paraId="4199EB27"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Penman, S. H. (2019). </w:t>
      </w:r>
      <w:r w:rsidRPr="009C16B3">
        <w:rPr>
          <w:rFonts w:ascii="Arial" w:hAnsi="Arial" w:cs="Arial"/>
          <w:i/>
          <w:iCs/>
          <w:sz w:val="24"/>
          <w:szCs w:val="24"/>
        </w:rPr>
        <w:t>Financial statement analysis and security valuation</w:t>
      </w:r>
      <w:r w:rsidRPr="009C16B3">
        <w:rPr>
          <w:rFonts w:ascii="Arial" w:hAnsi="Arial" w:cs="Arial"/>
          <w:sz w:val="24"/>
          <w:szCs w:val="24"/>
        </w:rPr>
        <w:t xml:space="preserve"> (6th ed.). McGraw-Hill Education.</w:t>
      </w:r>
    </w:p>
    <w:p w14:paraId="48DF1919" w14:textId="77777777" w:rsidR="009C16B3" w:rsidRPr="009C16B3" w:rsidRDefault="009C16B3" w:rsidP="009C16B3">
      <w:pPr>
        <w:rPr>
          <w:rFonts w:ascii="Arial" w:hAnsi="Arial" w:cs="Arial"/>
          <w:sz w:val="24"/>
          <w:szCs w:val="24"/>
        </w:rPr>
      </w:pPr>
      <w:r w:rsidRPr="009C16B3">
        <w:rPr>
          <w:rFonts w:ascii="Arial" w:hAnsi="Arial" w:cs="Arial"/>
          <w:sz w:val="24"/>
          <w:szCs w:val="24"/>
        </w:rPr>
        <w:t xml:space="preserve">World Bank. (2023). </w:t>
      </w:r>
      <w:r w:rsidRPr="009C16B3">
        <w:rPr>
          <w:rFonts w:ascii="Arial" w:hAnsi="Arial" w:cs="Arial"/>
          <w:i/>
          <w:iCs/>
          <w:sz w:val="24"/>
          <w:szCs w:val="24"/>
        </w:rPr>
        <w:t>Global economic prospects</w:t>
      </w:r>
      <w:r w:rsidRPr="009C16B3">
        <w:rPr>
          <w:rFonts w:ascii="Arial" w:hAnsi="Arial" w:cs="Arial"/>
          <w:sz w:val="24"/>
          <w:szCs w:val="24"/>
        </w:rPr>
        <w:t xml:space="preserve">. </w:t>
      </w:r>
      <w:hyperlink r:id="rId8" w:tgtFrame="_new" w:history="1">
        <w:r w:rsidRPr="009C16B3">
          <w:rPr>
            <w:rStyle w:val="Hyperlink"/>
            <w:rFonts w:ascii="Arial" w:hAnsi="Arial" w:cs="Arial"/>
            <w:sz w:val="24"/>
            <w:szCs w:val="24"/>
            <w:u w:val="none"/>
          </w:rPr>
          <w:t>https://www.worldbank.org</w:t>
        </w:r>
      </w:hyperlink>
    </w:p>
    <w:p w14:paraId="13A7DCE1" w14:textId="727A46BF" w:rsidR="009C16B3" w:rsidRPr="009C16B3" w:rsidRDefault="009C16B3">
      <w:pPr>
        <w:rPr>
          <w:rFonts w:ascii="Arial" w:hAnsi="Arial" w:cs="Arial"/>
          <w:sz w:val="24"/>
          <w:szCs w:val="24"/>
        </w:rPr>
      </w:pPr>
    </w:p>
    <w:sectPr w:rsidR="009C16B3" w:rsidRPr="009C16B3">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2F3500" w14:textId="77777777" w:rsidR="00FC3382" w:rsidRDefault="00FC3382" w:rsidP="004067C9">
      <w:pPr>
        <w:spacing w:after="0" w:line="240" w:lineRule="auto"/>
      </w:pPr>
      <w:r>
        <w:separator/>
      </w:r>
    </w:p>
  </w:endnote>
  <w:endnote w:type="continuationSeparator" w:id="0">
    <w:p w14:paraId="6B098C46" w14:textId="77777777" w:rsidR="00FC3382" w:rsidRDefault="00FC3382" w:rsidP="00406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4B369B" w14:textId="77777777" w:rsidR="00FC3382" w:rsidRDefault="00FC3382" w:rsidP="004067C9">
      <w:pPr>
        <w:spacing w:after="0" w:line="240" w:lineRule="auto"/>
      </w:pPr>
      <w:r>
        <w:separator/>
      </w:r>
    </w:p>
  </w:footnote>
  <w:footnote w:type="continuationSeparator" w:id="0">
    <w:p w14:paraId="43896584" w14:textId="77777777" w:rsidR="00FC3382" w:rsidRDefault="00FC3382" w:rsidP="004067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89DFDB" w14:textId="5DCD28C3" w:rsidR="004067C9" w:rsidRPr="004067C9" w:rsidRDefault="009C16B3" w:rsidP="004067C9">
    <w:pPr>
      <w:pStyle w:val="Header"/>
    </w:pPr>
    <w:r>
      <w:t xml:space="preserve">Riley James Burke </w:t>
    </w:r>
    <w:r w:rsidR="004067C9">
      <w:t xml:space="preserve">2510819   Financial Management </w:t>
    </w:r>
    <w:r w:rsidR="004067C9" w:rsidRPr="004067C9">
      <w:t>BMSP</w:t>
    </w:r>
    <w:proofErr w:type="gramStart"/>
    <w:r w:rsidR="004067C9" w:rsidRPr="004067C9">
      <w:t>4017</w:t>
    </w:r>
    <w:r w:rsidR="004067C9">
      <w:t xml:space="preserve">  Navdeep</w:t>
    </w:r>
    <w:proofErr w:type="gramEnd"/>
    <w:r w:rsidR="004067C9">
      <w:t xml:space="preserve"> Randhawa </w:t>
    </w:r>
  </w:p>
  <w:p w14:paraId="6F496635" w14:textId="6A94B47E" w:rsidR="004067C9" w:rsidRDefault="004067C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C9"/>
    <w:rsid w:val="00013761"/>
    <w:rsid w:val="00093024"/>
    <w:rsid w:val="00093D4B"/>
    <w:rsid w:val="000D461E"/>
    <w:rsid w:val="000E5930"/>
    <w:rsid w:val="00147C77"/>
    <w:rsid w:val="00226604"/>
    <w:rsid w:val="00257E04"/>
    <w:rsid w:val="002D6DAD"/>
    <w:rsid w:val="00327A29"/>
    <w:rsid w:val="00334101"/>
    <w:rsid w:val="00354DB8"/>
    <w:rsid w:val="004067C9"/>
    <w:rsid w:val="00437D27"/>
    <w:rsid w:val="00480CF8"/>
    <w:rsid w:val="004C02A4"/>
    <w:rsid w:val="004C0F02"/>
    <w:rsid w:val="0055467C"/>
    <w:rsid w:val="00581627"/>
    <w:rsid w:val="005B45E5"/>
    <w:rsid w:val="005D31BD"/>
    <w:rsid w:val="00623121"/>
    <w:rsid w:val="00665145"/>
    <w:rsid w:val="00671342"/>
    <w:rsid w:val="006A50FF"/>
    <w:rsid w:val="006F0519"/>
    <w:rsid w:val="007C5518"/>
    <w:rsid w:val="007F05E3"/>
    <w:rsid w:val="00810563"/>
    <w:rsid w:val="00816EC9"/>
    <w:rsid w:val="0085696D"/>
    <w:rsid w:val="009747E7"/>
    <w:rsid w:val="00974EE5"/>
    <w:rsid w:val="00992048"/>
    <w:rsid w:val="00992447"/>
    <w:rsid w:val="009B48F4"/>
    <w:rsid w:val="009C16B3"/>
    <w:rsid w:val="009D0B47"/>
    <w:rsid w:val="009F6B2B"/>
    <w:rsid w:val="00A0265C"/>
    <w:rsid w:val="00A34C44"/>
    <w:rsid w:val="00A74B31"/>
    <w:rsid w:val="00AB6236"/>
    <w:rsid w:val="00AD61D3"/>
    <w:rsid w:val="00B4343A"/>
    <w:rsid w:val="00B566F1"/>
    <w:rsid w:val="00B67042"/>
    <w:rsid w:val="00B97677"/>
    <w:rsid w:val="00BA4D04"/>
    <w:rsid w:val="00BF614A"/>
    <w:rsid w:val="00C269D6"/>
    <w:rsid w:val="00C90092"/>
    <w:rsid w:val="00CA0F0C"/>
    <w:rsid w:val="00CB623E"/>
    <w:rsid w:val="00CE0714"/>
    <w:rsid w:val="00D2778E"/>
    <w:rsid w:val="00E0687C"/>
    <w:rsid w:val="00E25392"/>
    <w:rsid w:val="00E2676A"/>
    <w:rsid w:val="00E4464B"/>
    <w:rsid w:val="00E55ADE"/>
    <w:rsid w:val="00EF56E5"/>
    <w:rsid w:val="00F4311B"/>
    <w:rsid w:val="00F94352"/>
    <w:rsid w:val="00FC3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10B54C"/>
  <w15:chartTrackingRefBased/>
  <w15:docId w15:val="{95C39455-A253-471E-9CAB-71A70E370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7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067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067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067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067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067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7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7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7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7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067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067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067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067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067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7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7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7C9"/>
    <w:rPr>
      <w:rFonts w:eastAsiaTheme="majorEastAsia" w:cstheme="majorBidi"/>
      <w:color w:val="272727" w:themeColor="text1" w:themeTint="D8"/>
    </w:rPr>
  </w:style>
  <w:style w:type="paragraph" w:styleId="Title">
    <w:name w:val="Title"/>
    <w:basedOn w:val="Normal"/>
    <w:next w:val="Normal"/>
    <w:link w:val="TitleChar"/>
    <w:uiPriority w:val="10"/>
    <w:qFormat/>
    <w:rsid w:val="004067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7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7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7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7C9"/>
    <w:pPr>
      <w:spacing w:before="160"/>
      <w:jc w:val="center"/>
    </w:pPr>
    <w:rPr>
      <w:i/>
      <w:iCs/>
      <w:color w:val="404040" w:themeColor="text1" w:themeTint="BF"/>
    </w:rPr>
  </w:style>
  <w:style w:type="character" w:customStyle="1" w:styleId="QuoteChar">
    <w:name w:val="Quote Char"/>
    <w:basedOn w:val="DefaultParagraphFont"/>
    <w:link w:val="Quote"/>
    <w:uiPriority w:val="29"/>
    <w:rsid w:val="004067C9"/>
    <w:rPr>
      <w:i/>
      <w:iCs/>
      <w:color w:val="404040" w:themeColor="text1" w:themeTint="BF"/>
    </w:rPr>
  </w:style>
  <w:style w:type="paragraph" w:styleId="ListParagraph">
    <w:name w:val="List Paragraph"/>
    <w:basedOn w:val="Normal"/>
    <w:uiPriority w:val="34"/>
    <w:qFormat/>
    <w:rsid w:val="004067C9"/>
    <w:pPr>
      <w:ind w:left="720"/>
      <w:contextualSpacing/>
    </w:pPr>
  </w:style>
  <w:style w:type="character" w:styleId="IntenseEmphasis">
    <w:name w:val="Intense Emphasis"/>
    <w:basedOn w:val="DefaultParagraphFont"/>
    <w:uiPriority w:val="21"/>
    <w:qFormat/>
    <w:rsid w:val="004067C9"/>
    <w:rPr>
      <w:i/>
      <w:iCs/>
      <w:color w:val="2F5496" w:themeColor="accent1" w:themeShade="BF"/>
    </w:rPr>
  </w:style>
  <w:style w:type="paragraph" w:styleId="IntenseQuote">
    <w:name w:val="Intense Quote"/>
    <w:basedOn w:val="Normal"/>
    <w:next w:val="Normal"/>
    <w:link w:val="IntenseQuoteChar"/>
    <w:uiPriority w:val="30"/>
    <w:qFormat/>
    <w:rsid w:val="004067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067C9"/>
    <w:rPr>
      <w:i/>
      <w:iCs/>
      <w:color w:val="2F5496" w:themeColor="accent1" w:themeShade="BF"/>
    </w:rPr>
  </w:style>
  <w:style w:type="character" w:styleId="IntenseReference">
    <w:name w:val="Intense Reference"/>
    <w:basedOn w:val="DefaultParagraphFont"/>
    <w:uiPriority w:val="32"/>
    <w:qFormat/>
    <w:rsid w:val="004067C9"/>
    <w:rPr>
      <w:b/>
      <w:bCs/>
      <w:smallCaps/>
      <w:color w:val="2F5496" w:themeColor="accent1" w:themeShade="BF"/>
      <w:spacing w:val="5"/>
    </w:rPr>
  </w:style>
  <w:style w:type="paragraph" w:styleId="Header">
    <w:name w:val="header"/>
    <w:basedOn w:val="Normal"/>
    <w:link w:val="HeaderChar"/>
    <w:uiPriority w:val="99"/>
    <w:unhideWhenUsed/>
    <w:rsid w:val="004067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67C9"/>
  </w:style>
  <w:style w:type="paragraph" w:styleId="Footer">
    <w:name w:val="footer"/>
    <w:basedOn w:val="Normal"/>
    <w:link w:val="FooterChar"/>
    <w:uiPriority w:val="99"/>
    <w:unhideWhenUsed/>
    <w:rsid w:val="004067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67C9"/>
  </w:style>
  <w:style w:type="table" w:styleId="TableGrid">
    <w:name w:val="Table Grid"/>
    <w:basedOn w:val="TableNormal"/>
    <w:uiPriority w:val="39"/>
    <w:rsid w:val="00406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16B3"/>
    <w:rPr>
      <w:color w:val="0563C1" w:themeColor="hyperlink"/>
      <w:u w:val="single"/>
    </w:rPr>
  </w:style>
  <w:style w:type="character" w:styleId="UnresolvedMention">
    <w:name w:val="Unresolved Mention"/>
    <w:basedOn w:val="DefaultParagraphFont"/>
    <w:uiPriority w:val="99"/>
    <w:semiHidden/>
    <w:unhideWhenUsed/>
    <w:rsid w:val="009C16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 TargetMode="External"/><Relationship Id="rId3" Type="http://schemas.openxmlformats.org/officeDocument/2006/relationships/webSettings" Target="webSettings.xml"/><Relationship Id="rId7" Type="http://schemas.openxmlformats.org/officeDocument/2006/relationships/hyperlink" Target="https://www.imf.or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tocklight.com/stocks/us/nasdaq-aapl/apple/annual-report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1510</Words>
  <Characters>8611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riley james burke</dc:creator>
  <cp:keywords/>
  <dc:description/>
  <cp:lastModifiedBy>riley james burke</cp:lastModifiedBy>
  <cp:revision>2</cp:revision>
  <dcterms:created xsi:type="dcterms:W3CDTF">2026-04-28T22:41:00Z</dcterms:created>
  <dcterms:modified xsi:type="dcterms:W3CDTF">2026-04-28T22:41:00Z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d71d3a1f-e702-414e-8b39-efbdc704ad5a</vt:lpwstr>
  </property>
</Properties>
</file>