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B7F6B" w14:textId="77777777" w:rsidR="00D76423" w:rsidRDefault="00D76423" w:rsidP="00852C65">
      <w:pPr>
        <w:spacing w:line="360" w:lineRule="auto"/>
        <w:jc w:val="both"/>
        <w:rPr>
          <w:rStyle w:val="Heading1Char"/>
        </w:rPr>
      </w:pPr>
    </w:p>
    <w:p w14:paraId="3B1D2EE5" w14:textId="77777777" w:rsidR="007D2B31" w:rsidRDefault="00D76423" w:rsidP="00656D7B">
      <w:pPr>
        <w:jc w:val="center"/>
        <w:rPr>
          <w:rFonts w:ascii="Arial" w:hAnsi="Arial" w:cs="Arial"/>
          <w:b/>
        </w:rPr>
      </w:pPr>
      <w:r>
        <w:rPr>
          <w:rFonts w:ascii="Arial" w:hAnsi="Arial" w:cs="Arial"/>
          <w:b/>
        </w:rPr>
        <w:t>BMPL4009</w:t>
      </w:r>
    </w:p>
    <w:p w14:paraId="3C9B7F6C" w14:textId="62E9B6F8" w:rsidR="00D76423" w:rsidRDefault="00D76423" w:rsidP="00656D7B">
      <w:pPr>
        <w:jc w:val="center"/>
        <w:rPr>
          <w:rFonts w:ascii="Arial" w:hAnsi="Arial" w:cs="Arial"/>
          <w:b/>
        </w:rPr>
      </w:pPr>
      <w:r>
        <w:rPr>
          <w:rFonts w:ascii="Arial" w:hAnsi="Arial" w:cs="Arial"/>
          <w:b/>
        </w:rPr>
        <w:t>Criminal Law</w:t>
      </w:r>
      <w:r w:rsidR="000E5AE9">
        <w:rPr>
          <w:rFonts w:ascii="Arial" w:hAnsi="Arial" w:cs="Arial"/>
          <w:b/>
        </w:rPr>
        <w:t xml:space="preserve">  </w:t>
      </w:r>
    </w:p>
    <w:p w14:paraId="0C055950" w14:textId="77777777" w:rsidR="000E5AE9" w:rsidRDefault="000E5AE9" w:rsidP="00656D7B">
      <w:pPr>
        <w:jc w:val="center"/>
        <w:rPr>
          <w:rFonts w:ascii="Arial" w:hAnsi="Arial" w:cs="Arial"/>
          <w:b/>
        </w:rPr>
      </w:pPr>
    </w:p>
    <w:p w14:paraId="690CDAB0" w14:textId="77777777" w:rsidR="000E5AE9" w:rsidRDefault="000E5AE9" w:rsidP="00656D7B">
      <w:pPr>
        <w:jc w:val="center"/>
        <w:rPr>
          <w:rFonts w:ascii="Arial" w:hAnsi="Arial" w:cs="Arial"/>
          <w:b/>
        </w:rPr>
      </w:pPr>
    </w:p>
    <w:p w14:paraId="6C78B9F7" w14:textId="77777777" w:rsidR="000E5AE9" w:rsidRDefault="000E5AE9" w:rsidP="00656D7B">
      <w:pPr>
        <w:jc w:val="center"/>
        <w:rPr>
          <w:rFonts w:ascii="Arial" w:hAnsi="Arial" w:cs="Arial"/>
          <w:b/>
        </w:rPr>
      </w:pPr>
    </w:p>
    <w:p w14:paraId="3ACD1EEA" w14:textId="77777777" w:rsidR="000E5AE9" w:rsidRDefault="000E5AE9" w:rsidP="00656D7B">
      <w:pPr>
        <w:jc w:val="center"/>
        <w:rPr>
          <w:rFonts w:ascii="Arial" w:hAnsi="Arial" w:cs="Arial"/>
          <w:b/>
        </w:rPr>
      </w:pPr>
    </w:p>
    <w:p w14:paraId="13EE6D3B" w14:textId="77777777" w:rsidR="000E5AE9" w:rsidRDefault="000E5AE9" w:rsidP="00656D7B">
      <w:pPr>
        <w:jc w:val="center"/>
        <w:rPr>
          <w:rFonts w:ascii="Arial" w:hAnsi="Arial" w:cs="Arial"/>
          <w:b/>
        </w:rPr>
      </w:pPr>
    </w:p>
    <w:p w14:paraId="27788D4C" w14:textId="77777777" w:rsidR="000E5AE9" w:rsidRDefault="000E5AE9" w:rsidP="00656D7B">
      <w:pPr>
        <w:jc w:val="center"/>
        <w:rPr>
          <w:rFonts w:ascii="Arial" w:hAnsi="Arial" w:cs="Arial"/>
          <w:b/>
        </w:rPr>
      </w:pPr>
    </w:p>
    <w:p w14:paraId="395012C4" w14:textId="77777777" w:rsidR="000E5AE9" w:rsidRDefault="000E5AE9" w:rsidP="00656D7B">
      <w:pPr>
        <w:jc w:val="center"/>
        <w:rPr>
          <w:rFonts w:ascii="Arial" w:hAnsi="Arial" w:cs="Arial"/>
          <w:b/>
        </w:rPr>
      </w:pPr>
    </w:p>
    <w:p w14:paraId="46F82635" w14:textId="77777777" w:rsidR="000E5AE9" w:rsidRDefault="000E5AE9" w:rsidP="00656D7B">
      <w:pPr>
        <w:jc w:val="center"/>
        <w:rPr>
          <w:rFonts w:ascii="Arial" w:hAnsi="Arial" w:cs="Arial"/>
          <w:b/>
        </w:rPr>
      </w:pPr>
    </w:p>
    <w:p w14:paraId="4BFD9DE9" w14:textId="77777777" w:rsidR="000E5AE9" w:rsidRDefault="000E5AE9" w:rsidP="00656D7B">
      <w:pPr>
        <w:jc w:val="center"/>
        <w:rPr>
          <w:rFonts w:ascii="Arial" w:hAnsi="Arial" w:cs="Arial"/>
          <w:b/>
        </w:rPr>
      </w:pPr>
    </w:p>
    <w:p w14:paraId="1E8F0938" w14:textId="77777777" w:rsidR="000E5AE9" w:rsidRDefault="000E5AE9" w:rsidP="00656D7B">
      <w:pPr>
        <w:jc w:val="center"/>
        <w:rPr>
          <w:rFonts w:ascii="Arial" w:hAnsi="Arial" w:cs="Arial"/>
          <w:b/>
        </w:rPr>
      </w:pPr>
    </w:p>
    <w:p w14:paraId="1ACF8647" w14:textId="77777777" w:rsidR="00ED3E76" w:rsidRDefault="006E3A14" w:rsidP="00ED3E76">
      <w:pPr>
        <w:rPr>
          <w:rFonts w:ascii="Arial" w:hAnsi="Arial" w:cs="Arial"/>
          <w:b/>
        </w:rPr>
      </w:pPr>
      <w:r>
        <w:rPr>
          <w:rFonts w:ascii="Arial" w:hAnsi="Arial" w:cs="Arial"/>
          <w:b/>
        </w:rPr>
        <w:t xml:space="preserve">   </w:t>
      </w:r>
      <w:r w:rsidR="00ED3E76">
        <w:rPr>
          <w:rFonts w:ascii="Arial" w:hAnsi="Arial" w:cs="Arial"/>
          <w:b/>
        </w:rPr>
        <w:t xml:space="preserve">                                                                                                                                                                                              </w:t>
      </w:r>
    </w:p>
    <w:p w14:paraId="25E13F2C" w14:textId="77777777" w:rsidR="00ED3E76" w:rsidRDefault="00ED3E76" w:rsidP="00ED3E76">
      <w:pPr>
        <w:rPr>
          <w:rFonts w:ascii="Arial" w:hAnsi="Arial" w:cs="Arial"/>
          <w:b/>
        </w:rPr>
      </w:pPr>
    </w:p>
    <w:p w14:paraId="5B80156E" w14:textId="77777777" w:rsidR="00ED3E76" w:rsidRDefault="00ED3E76" w:rsidP="00ED3E76">
      <w:pPr>
        <w:rPr>
          <w:rFonts w:ascii="Arial" w:hAnsi="Arial" w:cs="Arial"/>
          <w:b/>
        </w:rPr>
      </w:pPr>
    </w:p>
    <w:p w14:paraId="645187D0" w14:textId="77777777" w:rsidR="00ED3E76" w:rsidRDefault="00ED3E76" w:rsidP="00ED3E76">
      <w:pPr>
        <w:rPr>
          <w:rFonts w:ascii="Arial" w:hAnsi="Arial" w:cs="Arial"/>
          <w:b/>
        </w:rPr>
      </w:pPr>
    </w:p>
    <w:p w14:paraId="3149884C" w14:textId="77777777" w:rsidR="00ED3E76" w:rsidRDefault="00ED3E76" w:rsidP="00ED3E76">
      <w:pPr>
        <w:rPr>
          <w:rFonts w:ascii="Arial" w:hAnsi="Arial" w:cs="Arial"/>
          <w:b/>
        </w:rPr>
      </w:pPr>
    </w:p>
    <w:p w14:paraId="7E4C5366" w14:textId="77777777" w:rsidR="00ED3E76" w:rsidRDefault="00ED3E76" w:rsidP="00ED3E76">
      <w:pPr>
        <w:rPr>
          <w:rFonts w:ascii="Arial" w:hAnsi="Arial" w:cs="Arial"/>
          <w:b/>
        </w:rPr>
      </w:pPr>
    </w:p>
    <w:p w14:paraId="13E68E13" w14:textId="77777777" w:rsidR="00ED3E76" w:rsidRDefault="00ED3E76" w:rsidP="00ED3E76">
      <w:pPr>
        <w:rPr>
          <w:rFonts w:ascii="Arial" w:hAnsi="Arial" w:cs="Arial"/>
          <w:b/>
        </w:rPr>
      </w:pPr>
    </w:p>
    <w:p w14:paraId="0B55A785" w14:textId="77777777" w:rsidR="00ED3E76" w:rsidRDefault="00ED3E76" w:rsidP="00ED3E76">
      <w:pPr>
        <w:rPr>
          <w:rFonts w:ascii="Arial" w:hAnsi="Arial" w:cs="Arial"/>
          <w:b/>
        </w:rPr>
      </w:pPr>
    </w:p>
    <w:p w14:paraId="0B17A6AB" w14:textId="77777777" w:rsidR="00ED3E76" w:rsidRDefault="00ED3E76" w:rsidP="00ED3E76">
      <w:pPr>
        <w:rPr>
          <w:rFonts w:ascii="Arial" w:hAnsi="Arial" w:cs="Arial"/>
          <w:b/>
        </w:rPr>
      </w:pPr>
    </w:p>
    <w:p w14:paraId="2FE2A0D7" w14:textId="77777777" w:rsidR="00ED3E76" w:rsidRDefault="00ED3E76" w:rsidP="00ED3E76">
      <w:pPr>
        <w:rPr>
          <w:rFonts w:ascii="Arial" w:hAnsi="Arial" w:cs="Arial"/>
          <w:b/>
        </w:rPr>
      </w:pPr>
    </w:p>
    <w:p w14:paraId="43E1C766" w14:textId="50AD5EB5" w:rsidR="00DD2684" w:rsidRDefault="00867B56" w:rsidP="00ED3E76">
      <w:pPr>
        <w:rPr>
          <w:rFonts w:ascii="Arial" w:hAnsi="Arial" w:cs="Arial"/>
          <w:b/>
        </w:rPr>
      </w:pPr>
      <w:r>
        <w:rPr>
          <w:rFonts w:ascii="Arial" w:hAnsi="Arial" w:cs="Arial"/>
          <w:b/>
        </w:rPr>
        <w:t xml:space="preserve">                                                       </w:t>
      </w:r>
      <w:r w:rsidR="00D12055">
        <w:rPr>
          <w:rFonts w:ascii="Arial" w:hAnsi="Arial" w:cs="Arial"/>
          <w:b/>
        </w:rPr>
        <w:t>Galina Zasheva-22274</w:t>
      </w:r>
      <w:r w:rsidR="006E3A14">
        <w:rPr>
          <w:rFonts w:ascii="Arial" w:hAnsi="Arial" w:cs="Arial"/>
          <w:b/>
        </w:rPr>
        <w:t>56</w:t>
      </w:r>
    </w:p>
    <w:p w14:paraId="3C9B7F6D" w14:textId="77777777" w:rsidR="00D76423" w:rsidRDefault="00D76423">
      <w:pPr>
        <w:rPr>
          <w:rFonts w:ascii="Arial" w:hAnsi="Arial" w:cs="Arial"/>
          <w:b/>
        </w:rPr>
      </w:pPr>
      <w:r>
        <w:rPr>
          <w:rFonts w:ascii="Arial" w:hAnsi="Arial" w:cs="Arial"/>
          <w:b/>
        </w:rPr>
        <w:br w:type="page"/>
      </w:r>
    </w:p>
    <w:p w14:paraId="3C9B7F6E" w14:textId="77777777" w:rsidR="00D76423" w:rsidRDefault="00D76423" w:rsidP="00D76423">
      <w:pPr>
        <w:rPr>
          <w:rFonts w:ascii="Arial" w:hAnsi="Arial" w:cs="Arial"/>
          <w:b/>
        </w:rPr>
      </w:pPr>
    </w:p>
    <w:p w14:paraId="3C9B7F6F" w14:textId="77777777" w:rsidR="00D76423" w:rsidRDefault="00D76423" w:rsidP="00D76423">
      <w:pPr>
        <w:rPr>
          <w:rFonts w:ascii="Arial" w:hAnsi="Arial" w:cs="Arial"/>
          <w:b/>
        </w:rPr>
      </w:pPr>
    </w:p>
    <w:sdt>
      <w:sdtPr>
        <w:rPr>
          <w:rFonts w:asciiTheme="minorHAnsi" w:eastAsiaTheme="minorHAnsi" w:hAnsiTheme="minorHAnsi" w:cstheme="minorBidi"/>
          <w:b w:val="0"/>
          <w:bCs w:val="0"/>
          <w:color w:val="auto"/>
          <w:sz w:val="22"/>
          <w:szCs w:val="22"/>
        </w:rPr>
        <w:id w:val="7248017"/>
        <w:docPartObj>
          <w:docPartGallery w:val="Table of Contents"/>
          <w:docPartUnique/>
        </w:docPartObj>
      </w:sdtPr>
      <w:sdtContent>
        <w:p w14:paraId="3C9B7F70" w14:textId="77777777" w:rsidR="00D76423" w:rsidRDefault="00D76423">
          <w:pPr>
            <w:pStyle w:val="TOCHeading"/>
          </w:pPr>
          <w:r>
            <w:t>Contents</w:t>
          </w:r>
        </w:p>
        <w:p w14:paraId="3C9B7F71" w14:textId="77777777" w:rsidR="00656D7B" w:rsidRDefault="00D7642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9258050" w:history="1">
            <w:r w:rsidR="00656D7B" w:rsidRPr="00ED06E9">
              <w:rPr>
                <w:rStyle w:val="Hyperlink"/>
                <w:noProof/>
              </w:rPr>
              <w:t>Introduction</w:t>
            </w:r>
            <w:r w:rsidR="00656D7B">
              <w:rPr>
                <w:noProof/>
                <w:webHidden/>
              </w:rPr>
              <w:tab/>
            </w:r>
            <w:r w:rsidR="00656D7B">
              <w:rPr>
                <w:noProof/>
                <w:webHidden/>
              </w:rPr>
              <w:fldChar w:fldCharType="begin"/>
            </w:r>
            <w:r w:rsidR="00656D7B">
              <w:rPr>
                <w:noProof/>
                <w:webHidden/>
              </w:rPr>
              <w:instrText xml:space="preserve"> PAGEREF _Toc149258050 \h </w:instrText>
            </w:r>
            <w:r w:rsidR="00656D7B">
              <w:rPr>
                <w:noProof/>
                <w:webHidden/>
              </w:rPr>
            </w:r>
            <w:r w:rsidR="00656D7B">
              <w:rPr>
                <w:noProof/>
                <w:webHidden/>
              </w:rPr>
              <w:fldChar w:fldCharType="separate"/>
            </w:r>
            <w:r w:rsidR="00656D7B">
              <w:rPr>
                <w:noProof/>
                <w:webHidden/>
              </w:rPr>
              <w:t>3</w:t>
            </w:r>
            <w:r w:rsidR="00656D7B">
              <w:rPr>
                <w:noProof/>
                <w:webHidden/>
              </w:rPr>
              <w:fldChar w:fldCharType="end"/>
            </w:r>
          </w:hyperlink>
        </w:p>
        <w:p w14:paraId="3C9B7F72" w14:textId="77777777" w:rsidR="00656D7B" w:rsidRDefault="00000000">
          <w:pPr>
            <w:pStyle w:val="TOC1"/>
            <w:tabs>
              <w:tab w:val="right" w:leader="dot" w:pos="9350"/>
            </w:tabs>
            <w:rPr>
              <w:rFonts w:eastAsiaTheme="minorEastAsia"/>
              <w:noProof/>
            </w:rPr>
          </w:pPr>
          <w:hyperlink w:anchor="_Toc149258051" w:history="1">
            <w:r w:rsidR="00656D7B" w:rsidRPr="00ED06E9">
              <w:rPr>
                <w:rStyle w:val="Hyperlink"/>
                <w:noProof/>
              </w:rPr>
              <w:t>Consent in Battery Charges</w:t>
            </w:r>
            <w:r w:rsidR="00656D7B">
              <w:rPr>
                <w:noProof/>
                <w:webHidden/>
              </w:rPr>
              <w:tab/>
            </w:r>
            <w:r w:rsidR="00656D7B">
              <w:rPr>
                <w:noProof/>
                <w:webHidden/>
              </w:rPr>
              <w:fldChar w:fldCharType="begin"/>
            </w:r>
            <w:r w:rsidR="00656D7B">
              <w:rPr>
                <w:noProof/>
                <w:webHidden/>
              </w:rPr>
              <w:instrText xml:space="preserve"> PAGEREF _Toc149258051 \h </w:instrText>
            </w:r>
            <w:r w:rsidR="00656D7B">
              <w:rPr>
                <w:noProof/>
                <w:webHidden/>
              </w:rPr>
            </w:r>
            <w:r w:rsidR="00656D7B">
              <w:rPr>
                <w:noProof/>
                <w:webHidden/>
              </w:rPr>
              <w:fldChar w:fldCharType="separate"/>
            </w:r>
            <w:r w:rsidR="00656D7B">
              <w:rPr>
                <w:noProof/>
                <w:webHidden/>
              </w:rPr>
              <w:t>3</w:t>
            </w:r>
            <w:r w:rsidR="00656D7B">
              <w:rPr>
                <w:noProof/>
                <w:webHidden/>
              </w:rPr>
              <w:fldChar w:fldCharType="end"/>
            </w:r>
          </w:hyperlink>
        </w:p>
        <w:p w14:paraId="3C9B7F73" w14:textId="77777777" w:rsidR="00656D7B" w:rsidRDefault="00000000">
          <w:pPr>
            <w:pStyle w:val="TOC1"/>
            <w:tabs>
              <w:tab w:val="right" w:leader="dot" w:pos="9350"/>
            </w:tabs>
            <w:rPr>
              <w:rFonts w:eastAsiaTheme="minorEastAsia"/>
              <w:noProof/>
            </w:rPr>
          </w:pPr>
          <w:hyperlink w:anchor="_Toc149258052" w:history="1">
            <w:r w:rsidR="00656D7B" w:rsidRPr="00ED06E9">
              <w:rPr>
                <w:rStyle w:val="Hyperlink"/>
                <w:noProof/>
              </w:rPr>
              <w:t>Conclusion</w:t>
            </w:r>
            <w:r w:rsidR="00656D7B">
              <w:rPr>
                <w:noProof/>
                <w:webHidden/>
              </w:rPr>
              <w:tab/>
            </w:r>
            <w:r w:rsidR="00656D7B">
              <w:rPr>
                <w:noProof/>
                <w:webHidden/>
              </w:rPr>
              <w:fldChar w:fldCharType="begin"/>
            </w:r>
            <w:r w:rsidR="00656D7B">
              <w:rPr>
                <w:noProof/>
                <w:webHidden/>
              </w:rPr>
              <w:instrText xml:space="preserve"> PAGEREF _Toc149258052 \h </w:instrText>
            </w:r>
            <w:r w:rsidR="00656D7B">
              <w:rPr>
                <w:noProof/>
                <w:webHidden/>
              </w:rPr>
            </w:r>
            <w:r w:rsidR="00656D7B">
              <w:rPr>
                <w:noProof/>
                <w:webHidden/>
              </w:rPr>
              <w:fldChar w:fldCharType="separate"/>
            </w:r>
            <w:r w:rsidR="00656D7B">
              <w:rPr>
                <w:noProof/>
                <w:webHidden/>
              </w:rPr>
              <w:t>6</w:t>
            </w:r>
            <w:r w:rsidR="00656D7B">
              <w:rPr>
                <w:noProof/>
                <w:webHidden/>
              </w:rPr>
              <w:fldChar w:fldCharType="end"/>
            </w:r>
          </w:hyperlink>
        </w:p>
        <w:p w14:paraId="3C9B7F74" w14:textId="7F623E55" w:rsidR="00656D7B" w:rsidRDefault="00000000">
          <w:pPr>
            <w:pStyle w:val="TOC1"/>
            <w:tabs>
              <w:tab w:val="right" w:leader="dot" w:pos="9350"/>
            </w:tabs>
            <w:rPr>
              <w:rFonts w:eastAsiaTheme="minorEastAsia"/>
              <w:noProof/>
            </w:rPr>
          </w:pPr>
          <w:hyperlink w:anchor="_Toc149258053" w:history="1">
            <w:r w:rsidR="00DF0B6F">
              <w:rPr>
                <w:rStyle w:val="Hyperlink"/>
                <w:noProof/>
              </w:rPr>
              <w:t>Refe</w:t>
            </w:r>
            <w:r w:rsidR="00532C95">
              <w:rPr>
                <w:rStyle w:val="Hyperlink"/>
                <w:noProof/>
              </w:rPr>
              <w:t>rences</w:t>
            </w:r>
            <w:r w:rsidR="00656D7B">
              <w:rPr>
                <w:noProof/>
                <w:webHidden/>
              </w:rPr>
              <w:tab/>
            </w:r>
            <w:r w:rsidR="00656D7B">
              <w:rPr>
                <w:noProof/>
                <w:webHidden/>
              </w:rPr>
              <w:fldChar w:fldCharType="begin"/>
            </w:r>
            <w:r w:rsidR="00656D7B">
              <w:rPr>
                <w:noProof/>
                <w:webHidden/>
              </w:rPr>
              <w:instrText xml:space="preserve"> PAGEREF _Toc149258053 \h </w:instrText>
            </w:r>
            <w:r w:rsidR="00656D7B">
              <w:rPr>
                <w:noProof/>
                <w:webHidden/>
              </w:rPr>
            </w:r>
            <w:r w:rsidR="00656D7B">
              <w:rPr>
                <w:noProof/>
                <w:webHidden/>
              </w:rPr>
              <w:fldChar w:fldCharType="separate"/>
            </w:r>
            <w:r w:rsidR="00656D7B">
              <w:rPr>
                <w:noProof/>
                <w:webHidden/>
              </w:rPr>
              <w:t>7</w:t>
            </w:r>
            <w:r w:rsidR="00656D7B">
              <w:rPr>
                <w:noProof/>
                <w:webHidden/>
              </w:rPr>
              <w:fldChar w:fldCharType="end"/>
            </w:r>
          </w:hyperlink>
        </w:p>
        <w:p w14:paraId="3C9B7F75" w14:textId="77777777" w:rsidR="00D76423" w:rsidRDefault="00D76423">
          <w:r>
            <w:fldChar w:fldCharType="end"/>
          </w:r>
        </w:p>
      </w:sdtContent>
    </w:sdt>
    <w:p w14:paraId="3C9B7F76" w14:textId="77777777" w:rsidR="00D76423" w:rsidRDefault="00D76423" w:rsidP="00D76423">
      <w:pPr>
        <w:rPr>
          <w:rStyle w:val="Heading1Char"/>
        </w:rPr>
      </w:pPr>
    </w:p>
    <w:p w14:paraId="3C9B7F77" w14:textId="77777777" w:rsidR="00D76423" w:rsidRDefault="00D76423">
      <w:pPr>
        <w:rPr>
          <w:rStyle w:val="Heading1Char"/>
        </w:rPr>
      </w:pPr>
      <w:r>
        <w:rPr>
          <w:rStyle w:val="Heading1Char"/>
        </w:rPr>
        <w:br w:type="page"/>
      </w:r>
    </w:p>
    <w:p w14:paraId="3C9B7F78" w14:textId="77777777" w:rsidR="00DD6476" w:rsidRDefault="00DD6476" w:rsidP="00852C65">
      <w:pPr>
        <w:spacing w:line="360" w:lineRule="auto"/>
        <w:jc w:val="both"/>
        <w:rPr>
          <w:rFonts w:ascii="Times New Roman" w:hAnsi="Times New Roman" w:cs="Times New Roman"/>
          <w:sz w:val="24"/>
          <w:szCs w:val="24"/>
        </w:rPr>
      </w:pPr>
      <w:bookmarkStart w:id="0" w:name="_Toc149258050"/>
      <w:r w:rsidRPr="00D76423">
        <w:rPr>
          <w:rStyle w:val="Heading1Char"/>
        </w:rPr>
        <w:lastRenderedPageBreak/>
        <w:t>Introduction</w:t>
      </w:r>
      <w:bookmarkEnd w:id="0"/>
      <w:r>
        <w:rPr>
          <w:rFonts w:ascii="Times New Roman" w:hAnsi="Times New Roman" w:cs="Times New Roman"/>
          <w:sz w:val="24"/>
          <w:szCs w:val="24"/>
        </w:rPr>
        <w:t xml:space="preserve">: </w:t>
      </w:r>
      <w:r w:rsidR="00B37B1C" w:rsidRPr="00B37B1C">
        <w:rPr>
          <w:rFonts w:ascii="Times New Roman" w:hAnsi="Times New Roman" w:cs="Times New Roman"/>
          <w:sz w:val="24"/>
          <w:szCs w:val="24"/>
        </w:rPr>
        <w:t>A person can be prosecuted with battery in the United Kingdom if it is alleged that they used physical force on another individual without obtaining their permission, thereby causing either bodily injury or emotional distress in eithe</w:t>
      </w:r>
      <w:r w:rsidR="00A55306">
        <w:rPr>
          <w:rFonts w:ascii="Times New Roman" w:hAnsi="Times New Roman" w:cs="Times New Roman"/>
          <w:sz w:val="24"/>
          <w:szCs w:val="24"/>
        </w:rPr>
        <w:t>r of the parties involved. Battery</w:t>
      </w:r>
      <w:r w:rsidR="00B37B1C" w:rsidRPr="00B37B1C">
        <w:rPr>
          <w:rFonts w:ascii="Times New Roman" w:hAnsi="Times New Roman" w:cs="Times New Roman"/>
          <w:sz w:val="24"/>
          <w:szCs w:val="24"/>
        </w:rPr>
        <w:t xml:space="preserve"> can manifest itself physically, for example, in the form of a punch, a slap, or a push</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(Herring, 2021)</w:t>
      </w:r>
      <w:r w:rsidR="00B37B1C" w:rsidRPr="00B37B1C">
        <w:rPr>
          <w:rFonts w:ascii="Times New Roman" w:hAnsi="Times New Roman" w:cs="Times New Roman"/>
          <w:sz w:val="24"/>
          <w:szCs w:val="24"/>
        </w:rPr>
        <w:t>.</w:t>
      </w:r>
      <w:r w:rsidR="00A55306">
        <w:rPr>
          <w:rFonts w:ascii="Times New Roman" w:hAnsi="Times New Roman" w:cs="Times New Roman"/>
          <w:sz w:val="24"/>
          <w:szCs w:val="24"/>
        </w:rPr>
        <w:t xml:space="preserve"> In this essay, the principles of consent and its role in battery will be discussed.</w:t>
      </w:r>
    </w:p>
    <w:p w14:paraId="3C9B7F79" w14:textId="77777777" w:rsidR="00522E55" w:rsidRDefault="00B37B1C" w:rsidP="00852C65">
      <w:pPr>
        <w:spacing w:line="360" w:lineRule="auto"/>
        <w:jc w:val="both"/>
        <w:rPr>
          <w:rFonts w:ascii="Times New Roman" w:hAnsi="Times New Roman" w:cs="Times New Roman"/>
          <w:sz w:val="24"/>
          <w:szCs w:val="24"/>
        </w:rPr>
      </w:pPr>
      <w:bookmarkStart w:id="1" w:name="_Toc149258051"/>
      <w:r w:rsidRPr="00D76423">
        <w:rPr>
          <w:rStyle w:val="Heading1Char"/>
        </w:rPr>
        <w:t>Consent in Battery Charges</w:t>
      </w:r>
      <w:bookmarkEnd w:id="1"/>
      <w:r>
        <w:rPr>
          <w:rFonts w:ascii="Times New Roman" w:hAnsi="Times New Roman" w:cs="Times New Roman"/>
          <w:sz w:val="24"/>
          <w:szCs w:val="24"/>
        </w:rPr>
        <w:t xml:space="preserve">: </w:t>
      </w:r>
      <w:r w:rsidR="00522E55" w:rsidRPr="00522E55">
        <w:rPr>
          <w:rFonts w:ascii="Times New Roman" w:hAnsi="Times New Roman" w:cs="Times New Roman"/>
          <w:sz w:val="24"/>
          <w:szCs w:val="24"/>
        </w:rPr>
        <w:t>When a person agrees to anything that was suggested to them by another individual, they are said to have given their consent to that activity.</w:t>
      </w:r>
    </w:p>
    <w:p w14:paraId="3C9B7F7A" w14:textId="77777777" w:rsidR="00103671" w:rsidRPr="00522E55" w:rsidRDefault="00852C65" w:rsidP="00522E55">
      <w:pPr>
        <w:pStyle w:val="ListParagraph"/>
        <w:numPr>
          <w:ilvl w:val="0"/>
          <w:numId w:val="1"/>
        </w:numPr>
        <w:spacing w:line="360" w:lineRule="auto"/>
        <w:jc w:val="both"/>
        <w:rPr>
          <w:rFonts w:ascii="Times New Roman" w:hAnsi="Times New Roman" w:cs="Times New Roman"/>
          <w:sz w:val="24"/>
          <w:szCs w:val="24"/>
        </w:rPr>
      </w:pPr>
      <w:r w:rsidRPr="00522E55">
        <w:rPr>
          <w:rFonts w:ascii="Times New Roman" w:hAnsi="Times New Roman" w:cs="Times New Roman"/>
          <w:sz w:val="24"/>
          <w:szCs w:val="24"/>
        </w:rPr>
        <w:t>D</w:t>
      </w:r>
      <w:r w:rsidR="00103671" w:rsidRPr="00522E55">
        <w:rPr>
          <w:rFonts w:ascii="Times New Roman" w:hAnsi="Times New Roman" w:cs="Times New Roman"/>
          <w:sz w:val="24"/>
          <w:szCs w:val="24"/>
        </w:rPr>
        <w:t>one so voluntarily (without any form of duress or deception) and without any type of duress or deception.</w:t>
      </w:r>
    </w:p>
    <w:p w14:paraId="3C9B7F7B" w14:textId="77777777" w:rsidR="00103671" w:rsidRPr="00852C65" w:rsidRDefault="00852C65" w:rsidP="00852C65">
      <w:pPr>
        <w:pStyle w:val="ListParagraph"/>
        <w:numPr>
          <w:ilvl w:val="0"/>
          <w:numId w:val="1"/>
        </w:num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In</w:t>
      </w:r>
      <w:r w:rsidR="00103671" w:rsidRPr="00852C65">
        <w:rPr>
          <w:rFonts w:ascii="Times New Roman" w:hAnsi="Times New Roman" w:cs="Times New Roman"/>
          <w:sz w:val="24"/>
          <w:szCs w:val="24"/>
        </w:rPr>
        <w:t xml:space="preserve"> the control of a party that is accountable</w:t>
      </w:r>
    </w:p>
    <w:p w14:paraId="3C9B7F7C" w14:textId="77777777" w:rsidR="00103671" w:rsidRPr="00852C65" w:rsidRDefault="00852C65" w:rsidP="00852C6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Provided by </w:t>
      </w:r>
      <w:r w:rsidR="00103671" w:rsidRPr="00852C65">
        <w:rPr>
          <w:rFonts w:ascii="Times New Roman" w:hAnsi="Times New Roman" w:cs="Times New Roman"/>
          <w:sz w:val="24"/>
          <w:szCs w:val="24"/>
        </w:rPr>
        <w:t>somebody who is completely knowledgeable on the subject being discussed</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(Padfield, 2016)</w:t>
      </w:r>
      <w:r w:rsidR="00103671" w:rsidRPr="00852C65">
        <w:rPr>
          <w:rFonts w:ascii="Times New Roman" w:hAnsi="Times New Roman" w:cs="Times New Roman"/>
          <w:sz w:val="24"/>
          <w:szCs w:val="24"/>
        </w:rPr>
        <w:t>.</w:t>
      </w:r>
    </w:p>
    <w:p w14:paraId="3C9B7F7D"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It is possible to give one's consent either vocally, in writing, or even implicitly. The patient's signature on a consent form does not constitute his or her actual assent to the proposed medical treatment; rather, it serves as proof that consent has been obtained (since most consent forms feature sections where the patient can write which components of the procedure they understand). In other words, the patient's actual assent to the proposed medical treatment is not indicated by the patient's signature on the consent form. One example of providing implied consent is when a person offers up their arm for the purpose of collecting blood samples. Because a patient could argue that they were misunderstood and that they did not intend to offer their consent, it is not always reliable</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(Finch and Fafinski, 2019)</w:t>
      </w:r>
      <w:r w:rsidRPr="00852C65">
        <w:rPr>
          <w:rFonts w:ascii="Times New Roman" w:hAnsi="Times New Roman" w:cs="Times New Roman"/>
          <w:sz w:val="24"/>
          <w:szCs w:val="24"/>
        </w:rPr>
        <w:t>.</w:t>
      </w:r>
    </w:p>
    <w:p w14:paraId="3C9B7F7E"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Under the legislation, individuals who have not reached the age of 18 are regarded to be minors. The Family Law Reform Act of 1969 states that a kid is legally deemed an adult at the age of 16 or 17, at which point they are able to offer informed authorization for medical care and are no longer considered minors. As is the case with giving consent in general, the individual's doctor needs to have faith in the patient's capacity to think things through and make a decision about this particular issue. In addition, it is possible to override a patient's decision to refuse treatment that would sustain their life</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(Elliott and Quinn, 2016)</w:t>
      </w:r>
      <w:r w:rsidRPr="00852C65">
        <w:rPr>
          <w:rFonts w:ascii="Times New Roman" w:hAnsi="Times New Roman" w:cs="Times New Roman"/>
          <w:sz w:val="24"/>
          <w:szCs w:val="24"/>
        </w:rPr>
        <w:t>.</w:t>
      </w:r>
    </w:p>
    <w:p w14:paraId="3C9B7F7F"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lastRenderedPageBreak/>
        <w:t>There is no universal rule regarding whether or not a kid under the age of 16 possesses the necessary understanding to offer informed consent (sometimes referred to as "Gillick competence"3). This determination is made on an individual basis. Because of this, it is absolutely essential that they have a solid understanding of not only the medical aspects, but also the moral and ethical considerations involved. A parent or legal guardian who has parental responsibility can make decisions on behalf of a child who lacks the mental capacity to give informed consent. These decisions, however, can be overturned by a court if it is determined that they are not in the child's best interests. Even if the child does not want to participate in therapy, the consent of the parents is still necessary</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(Herring, 2022)</w:t>
      </w:r>
      <w:r w:rsidRPr="00852C65">
        <w:rPr>
          <w:rFonts w:ascii="Times New Roman" w:hAnsi="Times New Roman" w:cs="Times New Roman"/>
          <w:sz w:val="24"/>
          <w:szCs w:val="24"/>
        </w:rPr>
        <w:t>. The courts have the authority to also provide consent on behalf of a minor when requested. In many instances in which a Jehovah's Witness family refused to provide consent to a life-saving blood transfusion, the court ultimately overruled the child's and the parents' reluctance to give their agreement for the treatment. This occurred both when the child was younger and when the child was older. Before a court will decide against a parent's refusal to give consent for life-saving treatment, a child must meet the criteria established by the Gillick Competence Scale. The courts frequently embrace a paternalistic approach to the "best interests" of juveniles who want to end their lives, even if this may appear contradictory</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(Mclean, 2017)</w:t>
      </w:r>
      <w:r w:rsidRPr="00852C65">
        <w:rPr>
          <w:rFonts w:ascii="Times New Roman" w:hAnsi="Times New Roman" w:cs="Times New Roman"/>
          <w:sz w:val="24"/>
          <w:szCs w:val="24"/>
        </w:rPr>
        <w:t>.</w:t>
      </w:r>
    </w:p>
    <w:p w14:paraId="3C9B7F80"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If a person is unable to make a choice for themselves, another person may do so on their behalf if it is in their best interests. When assessing what is in the patient's best interests, it is important to take into account the patient's own beliefs as well as the beliefs of their loved ones; nonetheless, no one is allowed to give authorization for medical treatment on behalf of an adult who lacks capacity. If a patient believes that they will lose the ability to make decisions regarding their own medical treatment in the near future, they have the option of appointing an agent to act on their behalf. In these kinds of situations, the person may have already formally declared their preferences in the eyes of the law by the use of a predetermined decision or the designation of a lasting power of attorney. Both of these legal tools, if they are applicable, are given the appropriate amount of weight when managerial decisions are being made</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(Burton et al., 2015)</w:t>
      </w:r>
      <w:r w:rsidRPr="00852C65">
        <w:rPr>
          <w:rFonts w:ascii="Times New Roman" w:hAnsi="Times New Roman" w:cs="Times New Roman"/>
          <w:sz w:val="24"/>
          <w:szCs w:val="24"/>
        </w:rPr>
        <w:t>.</w:t>
      </w:r>
    </w:p>
    <w:p w14:paraId="3C9B7F81" w14:textId="77777777" w:rsidR="00FA0A18" w:rsidRPr="00852C65" w:rsidRDefault="00FA0A18"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 xml:space="preserve">Battery, which is a serious violation of the law, refers to any act in which one person uses force against another individual without first obtaining that individual's agreement. The four fundamental elements needed to prove battery are an act, intent, a lack of consent, and a hurt or </w:t>
      </w:r>
      <w:r w:rsidRPr="00852C65">
        <w:rPr>
          <w:rFonts w:ascii="Times New Roman" w:hAnsi="Times New Roman" w:cs="Times New Roman"/>
          <w:sz w:val="24"/>
          <w:szCs w:val="24"/>
        </w:rPr>
        <w:lastRenderedPageBreak/>
        <w:t>offence caused by the act. A person commits a battery when they subject another person to an unwanted physical touch in which the other person does not have permission to do so. The only sort of permission that counts is one that has been thoughtfully and voluntarily provided.</w:t>
      </w:r>
      <w:r w:rsidR="00852C65">
        <w:rPr>
          <w:rFonts w:ascii="Times New Roman" w:hAnsi="Times New Roman" w:cs="Times New Roman"/>
          <w:sz w:val="24"/>
          <w:szCs w:val="24"/>
        </w:rPr>
        <w:t xml:space="preserve"> </w:t>
      </w:r>
      <w:r w:rsidRPr="00852C65">
        <w:rPr>
          <w:rFonts w:ascii="Times New Roman" w:hAnsi="Times New Roman" w:cs="Times New Roman"/>
          <w:sz w:val="24"/>
          <w:szCs w:val="24"/>
        </w:rPr>
        <w:t>Once the recipient has shown that they are willing to participate, their participation can be considered voluntary for any and all further contacts</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(Ashworth and Kelly, 2021)</w:t>
      </w:r>
      <w:r w:rsidRPr="00852C65">
        <w:rPr>
          <w:rFonts w:ascii="Times New Roman" w:hAnsi="Times New Roman" w:cs="Times New Roman"/>
          <w:sz w:val="24"/>
          <w:szCs w:val="24"/>
        </w:rPr>
        <w:t>.</w:t>
      </w:r>
    </w:p>
    <w:p w14:paraId="3C9B7F82" w14:textId="77777777" w:rsidR="00852C65" w:rsidRPr="00852C65" w:rsidRDefault="00FA0A18"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It's possible that a person's consent can't be considered legitimate if they are too mentally handicapped, too young, or under the influence of drugs or alcohol.</w:t>
      </w:r>
      <w:r w:rsidR="00852C65">
        <w:rPr>
          <w:rFonts w:ascii="Times New Roman" w:hAnsi="Times New Roman" w:cs="Times New Roman"/>
          <w:sz w:val="24"/>
          <w:szCs w:val="24"/>
        </w:rPr>
        <w:t xml:space="preserve"> </w:t>
      </w:r>
      <w:r w:rsidRPr="00852C65">
        <w:rPr>
          <w:rFonts w:ascii="Times New Roman" w:hAnsi="Times New Roman" w:cs="Times New Roman"/>
          <w:sz w:val="24"/>
          <w:szCs w:val="24"/>
        </w:rPr>
        <w:t>To determine whether an action constituted battery or whether the contact was permitted by both parties, it is crucial to ascertain whether or not consent was obtained before to the action in question.</w:t>
      </w:r>
      <w:r w:rsidR="00852C65">
        <w:rPr>
          <w:rFonts w:ascii="Times New Roman" w:hAnsi="Times New Roman" w:cs="Times New Roman"/>
          <w:sz w:val="24"/>
          <w:szCs w:val="24"/>
        </w:rPr>
        <w:t xml:space="preserve"> The defendant</w:t>
      </w:r>
      <w:r w:rsidR="00852C65" w:rsidRPr="00852C65">
        <w:rPr>
          <w:rFonts w:ascii="Times New Roman" w:hAnsi="Times New Roman" w:cs="Times New Roman"/>
          <w:sz w:val="24"/>
          <w:szCs w:val="24"/>
        </w:rPr>
        <w:t xml:space="preserve"> is not liable for any wrongdoing that occurred while they were either actively engaged in the activity at question (such as when playing a sport with the defendant) or giving their express or implicit approval to the activity</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(Child et al., 2022)</w:t>
      </w:r>
      <w:r w:rsidR="00852C65" w:rsidRPr="00852C65">
        <w:rPr>
          <w:rFonts w:ascii="Times New Roman" w:hAnsi="Times New Roman" w:cs="Times New Roman"/>
          <w:sz w:val="24"/>
          <w:szCs w:val="24"/>
        </w:rPr>
        <w:t>. The defendant is not responsible for any wrongdoing that occurred while the plaintiff was actively engaged in the activity at issue (such as while playing a sport with the defendant). In this particular scenario, consent can only be demonstrated if three requirements are satisfied. To begin, the consent of a person cannot be considered lawful under any circumstances in which they are at risk of suffering significant physical injury. Second, it needs to be made abundantly obvious that the damage was a natural and foreseeable result of the action, and that it was a fair exchange for the benefits that were obtained. The individual must get some advantage from the activity in order for their assent to be legitimate. This is the third requirement for justifiable consent</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(Cross, 2020)</w:t>
      </w:r>
      <w:r w:rsidR="00852C65" w:rsidRPr="00852C65">
        <w:rPr>
          <w:rFonts w:ascii="Times New Roman" w:hAnsi="Times New Roman" w:cs="Times New Roman"/>
          <w:sz w:val="24"/>
          <w:szCs w:val="24"/>
        </w:rPr>
        <w:t>.</w:t>
      </w:r>
    </w:p>
    <w:p w14:paraId="3C9B7F83" w14:textId="77777777" w:rsidR="00F1024F" w:rsidRDefault="00852C65"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Because of the singular nature of these requirements, they are only applicable in extraordinary circumstances, the majority of the time being during athletic competition. Participation in a sport like boxing or rugby, for instance, could be construed as tacit consent to the use of physical force. The burden of proof rests squarely on the shoulders of the criminal defendant, who must demonstrate not only that permission was granted but also that the person who granted it had the legal power to do so. It is not sufficient to simply declare that an individual consented to particular actions or conduct in order to use consent as a defense in a criminal court. It is necessary to demonstrate that the subject actually did consen</w:t>
      </w:r>
      <w:r w:rsidR="00F1024F">
        <w:rPr>
          <w:rFonts w:ascii="Times New Roman" w:hAnsi="Times New Roman" w:cs="Times New Roman"/>
          <w:sz w:val="24"/>
          <w:szCs w:val="24"/>
        </w:rPr>
        <w:t xml:space="preserve">t to the activities or conduct </w:t>
      </w:r>
      <w:r w:rsidR="00F1024F" w:rsidRPr="00F1024F">
        <w:rPr>
          <w:rFonts w:ascii="Times New Roman" w:hAnsi="Times New Roman" w:cs="Times New Roman"/>
          <w:sz w:val="24"/>
          <w:szCs w:val="24"/>
        </w:rPr>
        <w:t>(Ashworth and Kelly, 2021)</w:t>
      </w:r>
      <w:r w:rsidRPr="00852C65">
        <w:rPr>
          <w:rFonts w:ascii="Times New Roman" w:hAnsi="Times New Roman" w:cs="Times New Roman"/>
          <w:sz w:val="24"/>
          <w:szCs w:val="24"/>
        </w:rPr>
        <w:t xml:space="preserve">. </w:t>
      </w:r>
    </w:p>
    <w:p w14:paraId="3C9B7F84" w14:textId="77777777" w:rsidR="00852C65" w:rsidRPr="00852C65" w:rsidRDefault="00F1024F" w:rsidP="00852C6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the United Kingdom</w:t>
      </w:r>
      <w:r w:rsidR="00852C65" w:rsidRPr="00852C65">
        <w:rPr>
          <w:rFonts w:ascii="Times New Roman" w:hAnsi="Times New Roman" w:cs="Times New Roman"/>
          <w:sz w:val="24"/>
          <w:szCs w:val="24"/>
        </w:rPr>
        <w:t>, consent is not considered to be legally enforceable if any of the following requirements are met:</w:t>
      </w:r>
    </w:p>
    <w:p w14:paraId="3C9B7F85" w14:textId="77777777" w:rsidR="00852C65" w:rsidRDefault="00852C65"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The consent is genuinely given by an individual who does not possess the authority to do so. Given that a person does not have the legal authority to seize the property of his neighbor, it is impossible for that person to grant authorization to do so.</w:t>
      </w:r>
      <w:r w:rsidR="00F1024F">
        <w:rPr>
          <w:rFonts w:ascii="Times New Roman" w:hAnsi="Times New Roman" w:cs="Times New Roman"/>
          <w:sz w:val="24"/>
          <w:szCs w:val="24"/>
        </w:rPr>
        <w:t xml:space="preserve"> </w:t>
      </w:r>
      <w:r w:rsidRPr="00852C65">
        <w:rPr>
          <w:rFonts w:ascii="Times New Roman" w:hAnsi="Times New Roman" w:cs="Times New Roman"/>
          <w:sz w:val="24"/>
          <w:szCs w:val="24"/>
        </w:rPr>
        <w:t>The person who is granting permission is thought to be incapable of making an informed judgment regarding the behavior that is in question due to factors such as their age, mental state, or level of intoxication.</w:t>
      </w:r>
      <w:r>
        <w:rPr>
          <w:rFonts w:ascii="Times New Roman" w:hAnsi="Times New Roman" w:cs="Times New Roman"/>
          <w:sz w:val="24"/>
          <w:szCs w:val="24"/>
        </w:rPr>
        <w:t xml:space="preserve"> </w:t>
      </w:r>
      <w:r w:rsidRPr="00852C65">
        <w:rPr>
          <w:rFonts w:ascii="Times New Roman" w:hAnsi="Times New Roman" w:cs="Times New Roman"/>
          <w:sz w:val="24"/>
          <w:szCs w:val="24"/>
        </w:rPr>
        <w:t>The law does not take into account the victim's permission in situations when statutory rape has occurred, for example.</w:t>
      </w:r>
      <w:r>
        <w:rPr>
          <w:rFonts w:ascii="Times New Roman" w:hAnsi="Times New Roman" w:cs="Times New Roman"/>
          <w:sz w:val="24"/>
          <w:szCs w:val="24"/>
        </w:rPr>
        <w:t xml:space="preserve"> It has to be maintained that </w:t>
      </w:r>
      <w:r w:rsidRPr="00852C65">
        <w:rPr>
          <w:rFonts w:ascii="Times New Roman" w:hAnsi="Times New Roman" w:cs="Times New Roman"/>
          <w:sz w:val="24"/>
          <w:szCs w:val="24"/>
        </w:rPr>
        <w:t>approval was not freely given but rather was obtained by coercion.</w:t>
      </w:r>
      <w:r>
        <w:rPr>
          <w:rFonts w:ascii="Times New Roman" w:hAnsi="Times New Roman" w:cs="Times New Roman"/>
          <w:sz w:val="24"/>
          <w:szCs w:val="24"/>
        </w:rPr>
        <w:t xml:space="preserve"> </w:t>
      </w:r>
      <w:r w:rsidRPr="00852C65">
        <w:rPr>
          <w:rFonts w:ascii="Times New Roman" w:hAnsi="Times New Roman" w:cs="Times New Roman"/>
          <w:sz w:val="24"/>
          <w:szCs w:val="24"/>
        </w:rPr>
        <w:t>It is possible to argue that consent should be accepted as a defense in each of these circumstances; but, the courts are likely to decide that the defendant's consent was legally flawed and, as a result, ineffectual</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(Finch and Fafinski, 2019)</w:t>
      </w:r>
      <w:r w:rsidRPr="00852C65">
        <w:rPr>
          <w:rFonts w:ascii="Times New Roman" w:hAnsi="Times New Roman" w:cs="Times New Roman"/>
          <w:sz w:val="24"/>
          <w:szCs w:val="24"/>
        </w:rPr>
        <w:t>.</w:t>
      </w:r>
    </w:p>
    <w:p w14:paraId="3C9B7F86" w14:textId="77777777" w:rsidR="00852C65" w:rsidRPr="00852C65" w:rsidRDefault="00051695" w:rsidP="00852C65">
      <w:pPr>
        <w:spacing w:line="360" w:lineRule="auto"/>
        <w:jc w:val="both"/>
        <w:rPr>
          <w:rFonts w:ascii="Times New Roman" w:hAnsi="Times New Roman" w:cs="Times New Roman"/>
          <w:sz w:val="24"/>
          <w:szCs w:val="24"/>
        </w:rPr>
      </w:pPr>
      <w:bookmarkStart w:id="2" w:name="_Toc149258052"/>
      <w:r w:rsidRPr="00D76423">
        <w:rPr>
          <w:rStyle w:val="Heading1Char"/>
        </w:rPr>
        <w:t>Conclusion</w:t>
      </w:r>
      <w:bookmarkEnd w:id="2"/>
      <w:r>
        <w:rPr>
          <w:rFonts w:ascii="Times New Roman" w:hAnsi="Times New Roman" w:cs="Times New Roman"/>
          <w:sz w:val="24"/>
          <w:szCs w:val="24"/>
        </w:rPr>
        <w:t xml:space="preserve">: </w:t>
      </w:r>
      <w:r w:rsidR="00D76423" w:rsidRPr="00D76423">
        <w:rPr>
          <w:rFonts w:ascii="Times New Roman" w:hAnsi="Times New Roman" w:cs="Times New Roman"/>
          <w:sz w:val="24"/>
          <w:szCs w:val="24"/>
        </w:rPr>
        <w:t>To put it another way, a battery cannot be crea</w:t>
      </w:r>
      <w:r w:rsidR="00D76423">
        <w:rPr>
          <w:rFonts w:ascii="Times New Roman" w:hAnsi="Times New Roman" w:cs="Times New Roman"/>
          <w:sz w:val="24"/>
          <w:szCs w:val="24"/>
        </w:rPr>
        <w:t>ted unless the individual</w:t>
      </w:r>
      <w:r w:rsidR="00D76423" w:rsidRPr="00D76423">
        <w:rPr>
          <w:rFonts w:ascii="Times New Roman" w:hAnsi="Times New Roman" w:cs="Times New Roman"/>
          <w:sz w:val="24"/>
          <w:szCs w:val="24"/>
        </w:rPr>
        <w:t xml:space="preserve"> come into direct and direct physical touch with one another. In order to be held criminally responsible for battery, an individual must first have the intent to continue doing something that wou</w:t>
      </w:r>
      <w:r w:rsidR="00D76423">
        <w:rPr>
          <w:rFonts w:ascii="Times New Roman" w:hAnsi="Times New Roman" w:cs="Times New Roman"/>
          <w:sz w:val="24"/>
          <w:szCs w:val="24"/>
        </w:rPr>
        <w:t>ld cause harm to another person without their consent.</w:t>
      </w:r>
      <w:r w:rsidR="00D76423" w:rsidRPr="00D76423">
        <w:rPr>
          <w:rFonts w:ascii="Times New Roman" w:hAnsi="Times New Roman" w:cs="Times New Roman"/>
          <w:sz w:val="24"/>
          <w:szCs w:val="24"/>
        </w:rPr>
        <w:t xml:space="preserve"> </w:t>
      </w:r>
    </w:p>
    <w:p w14:paraId="3C9B7F87" w14:textId="77777777" w:rsidR="00852C65" w:rsidRPr="00852C65" w:rsidRDefault="00852C65" w:rsidP="00852C65">
      <w:pPr>
        <w:spacing w:line="360" w:lineRule="auto"/>
        <w:jc w:val="both"/>
        <w:rPr>
          <w:rFonts w:ascii="Times New Roman" w:hAnsi="Times New Roman" w:cs="Times New Roman"/>
          <w:sz w:val="24"/>
          <w:szCs w:val="24"/>
        </w:rPr>
      </w:pPr>
    </w:p>
    <w:p w14:paraId="3C9B7F88" w14:textId="77777777" w:rsidR="00852C65" w:rsidRPr="00852C65" w:rsidRDefault="00852C65" w:rsidP="00852C65">
      <w:pPr>
        <w:spacing w:line="360" w:lineRule="auto"/>
        <w:jc w:val="both"/>
        <w:rPr>
          <w:rFonts w:ascii="Times New Roman" w:hAnsi="Times New Roman" w:cs="Times New Roman"/>
          <w:sz w:val="24"/>
          <w:szCs w:val="24"/>
        </w:rPr>
      </w:pPr>
    </w:p>
    <w:p w14:paraId="3C9B7F89" w14:textId="77777777" w:rsidR="00662CEE" w:rsidRDefault="00662CEE">
      <w:pPr>
        <w:rPr>
          <w:rFonts w:ascii="Times New Roman" w:hAnsi="Times New Roman" w:cs="Times New Roman"/>
          <w:sz w:val="24"/>
          <w:szCs w:val="24"/>
        </w:rPr>
      </w:pPr>
      <w:r>
        <w:rPr>
          <w:rFonts w:ascii="Times New Roman" w:hAnsi="Times New Roman" w:cs="Times New Roman"/>
          <w:sz w:val="24"/>
          <w:szCs w:val="24"/>
        </w:rPr>
        <w:br w:type="page"/>
      </w:r>
    </w:p>
    <w:p w14:paraId="3C9B7F8A" w14:textId="0DEEB79F" w:rsidR="00AD145F" w:rsidRDefault="00532C95" w:rsidP="0075322E">
      <w:pPr>
        <w:pStyle w:val="Heading1"/>
      </w:pPr>
      <w:r>
        <w:lastRenderedPageBreak/>
        <w:t>References</w:t>
      </w:r>
    </w:p>
    <w:p w14:paraId="3C9B7F8B" w14:textId="77777777" w:rsidR="0075322E" w:rsidRDefault="0075322E" w:rsidP="0075322E">
      <w:pPr>
        <w:pStyle w:val="NormalWeb"/>
        <w:spacing w:before="0" w:beforeAutospacing="0" w:after="240" w:afterAutospacing="0" w:line="360" w:lineRule="auto"/>
      </w:pPr>
      <w:r>
        <w:t xml:space="preserve">Ashworth, A. and Kelly, R. (2021). </w:t>
      </w:r>
      <w:r>
        <w:rPr>
          <w:i/>
          <w:iCs/>
        </w:rPr>
        <w:t>Sentencing and Criminal Justice</w:t>
      </w:r>
      <w:r>
        <w:t>. Bloomsbury Publishing.</w:t>
      </w:r>
    </w:p>
    <w:p w14:paraId="3C9B7F8C" w14:textId="77777777" w:rsidR="0075322E" w:rsidRDefault="0075322E" w:rsidP="0075322E">
      <w:pPr>
        <w:pStyle w:val="NormalWeb"/>
        <w:spacing w:before="0" w:beforeAutospacing="0" w:after="240" w:afterAutospacing="0" w:line="360" w:lineRule="auto"/>
      </w:pPr>
      <w:r>
        <w:t xml:space="preserve">Burton, M., Cammiss, S., Sanders, A. and Young, R. (2015). </w:t>
      </w:r>
      <w:r>
        <w:rPr>
          <w:i/>
          <w:iCs/>
        </w:rPr>
        <w:t>Sanders &amp; Young’s Criminal Justice.</w:t>
      </w:r>
      <w:r>
        <w:t xml:space="preserve"> Oxford Univ Pr.</w:t>
      </w:r>
    </w:p>
    <w:p w14:paraId="3C9B7F8D" w14:textId="77777777" w:rsidR="0075322E" w:rsidRDefault="0075322E" w:rsidP="0075322E">
      <w:pPr>
        <w:pStyle w:val="NormalWeb"/>
        <w:spacing w:before="0" w:beforeAutospacing="0" w:after="240" w:afterAutospacing="0" w:line="360" w:lineRule="auto"/>
      </w:pPr>
      <w:r>
        <w:t xml:space="preserve">Child, J.J., Simester, A.P., Spencer, J.R., Stark, F. and Virgo, G.J. (2022). </w:t>
      </w:r>
      <w:r>
        <w:rPr>
          <w:i/>
          <w:iCs/>
        </w:rPr>
        <w:t>Simester and Sullivan’s Criminal Law</w:t>
      </w:r>
      <w:r>
        <w:t>. Bloomsbury Publishing.</w:t>
      </w:r>
    </w:p>
    <w:p w14:paraId="3C9B7F8E" w14:textId="77777777" w:rsidR="0075322E" w:rsidRDefault="0075322E" w:rsidP="0075322E">
      <w:pPr>
        <w:pStyle w:val="NormalWeb"/>
        <w:spacing w:before="0" w:beforeAutospacing="0" w:after="240" w:afterAutospacing="0" w:line="360" w:lineRule="auto"/>
      </w:pPr>
      <w:r>
        <w:t xml:space="preserve">Cross, N. (2020). </w:t>
      </w:r>
      <w:r>
        <w:rPr>
          <w:i/>
          <w:iCs/>
        </w:rPr>
        <w:t>Criminal Law for Criminologists</w:t>
      </w:r>
      <w:r>
        <w:t>. Routledge.</w:t>
      </w:r>
    </w:p>
    <w:p w14:paraId="3C9B7F8F" w14:textId="77777777" w:rsidR="0075322E" w:rsidRDefault="0075322E" w:rsidP="0075322E">
      <w:pPr>
        <w:pStyle w:val="NormalWeb"/>
        <w:spacing w:before="0" w:beforeAutospacing="0" w:after="240" w:afterAutospacing="0" w:line="360" w:lineRule="auto"/>
      </w:pPr>
      <w:r>
        <w:t xml:space="preserve">Elliott, C. and Quinn, F. (2016). </w:t>
      </w:r>
      <w:r>
        <w:rPr>
          <w:i/>
          <w:iCs/>
        </w:rPr>
        <w:t>Criminal law</w:t>
      </w:r>
      <w:r>
        <w:t>. Harlow: Pearson.</w:t>
      </w:r>
    </w:p>
    <w:p w14:paraId="3C9B7F90" w14:textId="77777777" w:rsidR="0075322E" w:rsidRDefault="0075322E" w:rsidP="0075322E">
      <w:pPr>
        <w:pStyle w:val="NormalWeb"/>
        <w:spacing w:before="0" w:beforeAutospacing="0" w:after="240" w:afterAutospacing="0" w:line="360" w:lineRule="auto"/>
      </w:pPr>
      <w:r>
        <w:t xml:space="preserve">Finch, E. and Fafinski, S. (2019). </w:t>
      </w:r>
      <w:r>
        <w:rPr>
          <w:i/>
          <w:iCs/>
        </w:rPr>
        <w:t>Criminal law</w:t>
      </w:r>
      <w:r>
        <w:t>. 7th ed. Upper Saddle River: Pearson.</w:t>
      </w:r>
    </w:p>
    <w:p w14:paraId="3C9B7F91" w14:textId="77777777" w:rsidR="0075322E" w:rsidRDefault="0075322E" w:rsidP="0075322E">
      <w:pPr>
        <w:pStyle w:val="NormalWeb"/>
        <w:spacing w:before="0" w:beforeAutospacing="0" w:after="240" w:afterAutospacing="0" w:line="360" w:lineRule="auto"/>
      </w:pPr>
      <w:r>
        <w:t xml:space="preserve">Herring, J. (2021). </w:t>
      </w:r>
      <w:r>
        <w:rPr>
          <w:i/>
          <w:iCs/>
        </w:rPr>
        <w:t>Criminal law.</w:t>
      </w:r>
      <w:r>
        <w:t xml:space="preserve"> 12th ed. London: Macmillan Education.</w:t>
      </w:r>
    </w:p>
    <w:p w14:paraId="3C9B7F92" w14:textId="77777777" w:rsidR="0075322E" w:rsidRDefault="0075322E" w:rsidP="0075322E">
      <w:pPr>
        <w:pStyle w:val="NormalWeb"/>
        <w:spacing w:before="0" w:beforeAutospacing="0" w:after="240" w:afterAutospacing="0" w:line="360" w:lineRule="auto"/>
      </w:pPr>
      <w:r>
        <w:t xml:space="preserve">Herring, J. (2022). </w:t>
      </w:r>
      <w:r>
        <w:rPr>
          <w:i/>
          <w:iCs/>
        </w:rPr>
        <w:t>Medical Law And Ethics.</w:t>
      </w:r>
      <w:r>
        <w:t xml:space="preserve"> S.L.: Oxford Univ Press.</w:t>
      </w:r>
    </w:p>
    <w:p w14:paraId="3C9B7F93" w14:textId="77777777" w:rsidR="0075322E" w:rsidRDefault="0075322E" w:rsidP="0075322E">
      <w:pPr>
        <w:pStyle w:val="NormalWeb"/>
        <w:spacing w:before="0" w:beforeAutospacing="0" w:after="240" w:afterAutospacing="0" w:line="360" w:lineRule="auto"/>
      </w:pPr>
      <w:r>
        <w:t xml:space="preserve">Mclean, S. (2017). </w:t>
      </w:r>
      <w:r>
        <w:rPr>
          <w:i/>
          <w:iCs/>
        </w:rPr>
        <w:t>Medical law and ethics.</w:t>
      </w:r>
      <w:r>
        <w:t xml:space="preserve"> Taylor &amp; Francis.</w:t>
      </w:r>
    </w:p>
    <w:p w14:paraId="3C9B7F94" w14:textId="77777777" w:rsidR="0075322E" w:rsidRDefault="0075322E" w:rsidP="0075322E">
      <w:pPr>
        <w:pStyle w:val="NormalWeb"/>
        <w:spacing w:before="0" w:beforeAutospacing="0" w:after="240" w:afterAutospacing="0" w:line="360" w:lineRule="auto"/>
      </w:pPr>
      <w:r>
        <w:t xml:space="preserve">Padfield, N. (2016). </w:t>
      </w:r>
      <w:r>
        <w:rPr>
          <w:i/>
          <w:iCs/>
        </w:rPr>
        <w:t>Criminal Law</w:t>
      </w:r>
      <w:r>
        <w:t>. 10th ed. Oxford, United Kingdom ; New York, Ny: Oxford University Press.</w:t>
      </w:r>
    </w:p>
    <w:p w14:paraId="3C9B7F95" w14:textId="77777777" w:rsidR="00662CEE" w:rsidRPr="00852C65" w:rsidRDefault="00662CEE" w:rsidP="00852C65">
      <w:pPr>
        <w:spacing w:line="360" w:lineRule="auto"/>
        <w:jc w:val="both"/>
        <w:rPr>
          <w:rFonts w:ascii="Times New Roman" w:hAnsi="Times New Roman" w:cs="Times New Roman"/>
          <w:sz w:val="24"/>
          <w:szCs w:val="24"/>
        </w:rPr>
      </w:pPr>
    </w:p>
    <w:sectPr w:rsidR="00662CEE" w:rsidRPr="00852C65" w:rsidSect="00A2197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92FAE" w14:textId="77777777" w:rsidR="00A21975" w:rsidRDefault="00A21975" w:rsidP="00D76423">
      <w:pPr>
        <w:spacing w:after="0" w:line="240" w:lineRule="auto"/>
      </w:pPr>
      <w:r>
        <w:separator/>
      </w:r>
    </w:p>
  </w:endnote>
  <w:endnote w:type="continuationSeparator" w:id="0">
    <w:p w14:paraId="32D21D8B" w14:textId="77777777" w:rsidR="00A21975" w:rsidRDefault="00A21975" w:rsidP="00D76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8016"/>
      <w:docPartObj>
        <w:docPartGallery w:val="Page Numbers (Bottom of Page)"/>
        <w:docPartUnique/>
      </w:docPartObj>
    </w:sdtPr>
    <w:sdtContent>
      <w:p w14:paraId="3C9B7F9A" w14:textId="77777777" w:rsidR="00D76423" w:rsidRDefault="00000000">
        <w:pPr>
          <w:pStyle w:val="Footer"/>
          <w:jc w:val="center"/>
        </w:pPr>
        <w:r>
          <w:fldChar w:fldCharType="begin"/>
        </w:r>
        <w:r>
          <w:instrText xml:space="preserve"> PAGE   \* MERGEFORMAT </w:instrText>
        </w:r>
        <w:r>
          <w:fldChar w:fldCharType="separate"/>
        </w:r>
        <w:r w:rsidR="00656D7B">
          <w:rPr>
            <w:noProof/>
          </w:rPr>
          <w:t>2</w:t>
        </w:r>
        <w:r>
          <w:rPr>
            <w:noProof/>
          </w:rPr>
          <w:fldChar w:fldCharType="end"/>
        </w:r>
      </w:p>
    </w:sdtContent>
  </w:sdt>
  <w:p w14:paraId="3C9B7F9B" w14:textId="77777777" w:rsidR="00D76423" w:rsidRDefault="00D76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805C8" w14:textId="77777777" w:rsidR="00A21975" w:rsidRDefault="00A21975" w:rsidP="00D76423">
      <w:pPr>
        <w:spacing w:after="0" w:line="240" w:lineRule="auto"/>
      </w:pPr>
      <w:r>
        <w:separator/>
      </w:r>
    </w:p>
  </w:footnote>
  <w:footnote w:type="continuationSeparator" w:id="0">
    <w:p w14:paraId="04B5CB70" w14:textId="77777777" w:rsidR="00A21975" w:rsidRDefault="00A21975" w:rsidP="00D76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4207F0"/>
    <w:multiLevelType w:val="hybridMultilevel"/>
    <w:tmpl w:val="8A7E9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590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3671"/>
    <w:rsid w:val="00051695"/>
    <w:rsid w:val="000E5AE9"/>
    <w:rsid w:val="00103671"/>
    <w:rsid w:val="00222AC9"/>
    <w:rsid w:val="00522E55"/>
    <w:rsid w:val="00532C95"/>
    <w:rsid w:val="00656D7B"/>
    <w:rsid w:val="00662CEE"/>
    <w:rsid w:val="006E3A14"/>
    <w:rsid w:val="0075322E"/>
    <w:rsid w:val="007D2B31"/>
    <w:rsid w:val="00852C65"/>
    <w:rsid w:val="00867B56"/>
    <w:rsid w:val="00A21975"/>
    <w:rsid w:val="00A55306"/>
    <w:rsid w:val="00AD145F"/>
    <w:rsid w:val="00B37B1C"/>
    <w:rsid w:val="00D12055"/>
    <w:rsid w:val="00D76423"/>
    <w:rsid w:val="00DD2684"/>
    <w:rsid w:val="00DD6476"/>
    <w:rsid w:val="00DF0B6F"/>
    <w:rsid w:val="00ED3E76"/>
    <w:rsid w:val="00F1024F"/>
    <w:rsid w:val="00FA0A18"/>
    <w:rsid w:val="00FB24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B7F6B"/>
  <w15:docId w15:val="{C78A63CE-79B5-4F26-9DA9-754E66658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45F"/>
  </w:style>
  <w:style w:type="paragraph" w:styleId="Heading1">
    <w:name w:val="heading 1"/>
    <w:basedOn w:val="Normal"/>
    <w:next w:val="Normal"/>
    <w:link w:val="Heading1Char"/>
    <w:uiPriority w:val="9"/>
    <w:qFormat/>
    <w:rsid w:val="00D764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C65"/>
    <w:pPr>
      <w:ind w:left="720"/>
      <w:contextualSpacing/>
    </w:pPr>
  </w:style>
  <w:style w:type="character" w:customStyle="1" w:styleId="Heading1Char">
    <w:name w:val="Heading 1 Char"/>
    <w:basedOn w:val="DefaultParagraphFont"/>
    <w:link w:val="Heading1"/>
    <w:uiPriority w:val="9"/>
    <w:rsid w:val="00D7642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D7642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6423"/>
  </w:style>
  <w:style w:type="paragraph" w:styleId="Footer">
    <w:name w:val="footer"/>
    <w:basedOn w:val="Normal"/>
    <w:link w:val="FooterChar"/>
    <w:uiPriority w:val="99"/>
    <w:unhideWhenUsed/>
    <w:rsid w:val="00D764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6423"/>
  </w:style>
  <w:style w:type="paragraph" w:styleId="TOCHeading">
    <w:name w:val="TOC Heading"/>
    <w:basedOn w:val="Heading1"/>
    <w:next w:val="Normal"/>
    <w:uiPriority w:val="39"/>
    <w:semiHidden/>
    <w:unhideWhenUsed/>
    <w:qFormat/>
    <w:rsid w:val="00D76423"/>
    <w:pPr>
      <w:outlineLvl w:val="9"/>
    </w:pPr>
  </w:style>
  <w:style w:type="paragraph" w:styleId="TOC1">
    <w:name w:val="toc 1"/>
    <w:basedOn w:val="Normal"/>
    <w:next w:val="Normal"/>
    <w:autoRedefine/>
    <w:uiPriority w:val="39"/>
    <w:unhideWhenUsed/>
    <w:rsid w:val="00D76423"/>
    <w:pPr>
      <w:spacing w:after="100"/>
    </w:pPr>
  </w:style>
  <w:style w:type="character" w:styleId="Hyperlink">
    <w:name w:val="Hyperlink"/>
    <w:basedOn w:val="DefaultParagraphFont"/>
    <w:uiPriority w:val="99"/>
    <w:unhideWhenUsed/>
    <w:rsid w:val="00D76423"/>
    <w:rPr>
      <w:color w:val="0000FF" w:themeColor="hyperlink"/>
      <w:u w:val="single"/>
    </w:rPr>
  </w:style>
  <w:style w:type="paragraph" w:styleId="BalloonText">
    <w:name w:val="Balloon Text"/>
    <w:basedOn w:val="Normal"/>
    <w:link w:val="BalloonTextChar"/>
    <w:uiPriority w:val="99"/>
    <w:semiHidden/>
    <w:unhideWhenUsed/>
    <w:rsid w:val="00D764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423"/>
    <w:rPr>
      <w:rFonts w:ascii="Tahoma" w:hAnsi="Tahoma" w:cs="Tahoma"/>
      <w:sz w:val="16"/>
      <w:szCs w:val="16"/>
    </w:rPr>
  </w:style>
  <w:style w:type="paragraph" w:styleId="NormalWeb">
    <w:name w:val="Normal (Web)"/>
    <w:basedOn w:val="Normal"/>
    <w:uiPriority w:val="99"/>
    <w:semiHidden/>
    <w:unhideWhenUsed/>
    <w:rsid w:val="0075322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026385">
      <w:bodyDiv w:val="1"/>
      <w:marLeft w:val="0"/>
      <w:marRight w:val="0"/>
      <w:marTop w:val="0"/>
      <w:marBottom w:val="0"/>
      <w:divBdr>
        <w:top w:val="none" w:sz="0" w:space="0" w:color="auto"/>
        <w:left w:val="none" w:sz="0" w:space="0" w:color="auto"/>
        <w:bottom w:val="none" w:sz="0" w:space="0" w:color="auto"/>
        <w:right w:val="none" w:sz="0" w:space="0" w:color="auto"/>
      </w:divBdr>
      <w:divsChild>
        <w:div w:id="16362548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5CC359-E90A-432B-B8F6-4D7EF255C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7</Pages>
  <Words>1609</Words>
  <Characters>9172</Characters>
  <Application>Microsoft Office Word</Application>
  <DocSecurity>0</DocSecurity>
  <Lines>76</Lines>
  <Paragraphs>21</Paragraphs>
  <ScaleCrop>false</ScaleCrop>
  <Company/>
  <LinksUpToDate>false</LinksUpToDate>
  <CharactersWithSpaces>10760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IZ Building</cp:lastModifiedBy>
  <cp:revision>23</cp:revision>
  <dcterms:created xsi:type="dcterms:W3CDTF">2023-10-26T17:22:00Z</dcterms:created>
  <dcterms:modified xsi:type="dcterms:W3CDTF">2024-03-13T23:00:00Z</dcterms:modified>
</cp:coreProperties>
</file>