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7593F0" w14:textId="77777777" w:rsidR="0052432F" w:rsidRDefault="00000000">
      <w:pPr>
        <w:spacing w:before="400" w:after="160"/>
        <w:jc w:val="center"/>
      </w:pPr>
      <w:r>
        <w:rPr>
          <w:b/>
          <w:color w:val="1C5342"/>
          <w:sz w:val="40"/>
        </w:rPr>
        <w:t>INFORMATION BOOKLET</w:t>
      </w:r>
    </w:p>
    <w:p w14:paraId="2EB95028" w14:textId="77777777" w:rsidR="0052432F" w:rsidRDefault="00000000">
      <w:pPr>
        <w:spacing w:after="80"/>
        <w:jc w:val="center"/>
      </w:pPr>
      <w:r>
        <w:rPr>
          <w:b/>
          <w:color w:val="1C5342"/>
          <w:sz w:val="36"/>
        </w:rPr>
        <w:t>CHRONIC LIVER DISEASE</w:t>
      </w:r>
    </w:p>
    <w:p w14:paraId="1644CCA6" w14:textId="77777777" w:rsidR="0052432F" w:rsidRDefault="00000000">
      <w:pPr>
        <w:spacing w:after="160"/>
        <w:jc w:val="center"/>
        <w:rPr>
          <w:b/>
          <w:sz w:val="26"/>
        </w:rPr>
      </w:pPr>
      <w:r>
        <w:rPr>
          <w:b/>
          <w:sz w:val="26"/>
        </w:rPr>
        <w:t>Evaluating Disease Burden, Lifestyle-Related Risk Factors, Psychological and Social Consequences, and Evidence-Based Long-Term Care</w:t>
      </w:r>
    </w:p>
    <w:p w14:paraId="0D08E26C" w14:textId="527F13AC" w:rsidR="00F572B4" w:rsidRDefault="00F572B4">
      <w:pPr>
        <w:spacing w:after="160"/>
        <w:jc w:val="center"/>
      </w:pPr>
      <w:r>
        <w:rPr>
          <w:noProof/>
        </w:rPr>
        <w:drawing>
          <wp:inline distT="0" distB="0" distL="0" distR="0" wp14:anchorId="109E7B23" wp14:editId="7537707A">
            <wp:extent cx="5731510" cy="3763645"/>
            <wp:effectExtent l="0" t="0" r="0" b="0"/>
            <wp:docPr id="2144974647" name="Picture 1" descr="Anatomical illustration of the human li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tomical illustration of the human liv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63645"/>
                    </a:xfrm>
                    <a:prstGeom prst="rect">
                      <a:avLst/>
                    </a:prstGeom>
                    <a:noFill/>
                    <a:ln>
                      <a:noFill/>
                    </a:ln>
                  </pic:spPr>
                </pic:pic>
              </a:graphicData>
            </a:graphic>
          </wp:inline>
        </w:drawing>
      </w:r>
    </w:p>
    <w:p w14:paraId="5111126E" w14:textId="33D9FC41" w:rsidR="0052432F" w:rsidRDefault="00844D30">
      <w:pPr>
        <w:spacing w:after="60" w:line="269" w:lineRule="auto"/>
        <w:jc w:val="left"/>
      </w:pPr>
      <w:r>
        <w:rPr>
          <w:b/>
          <w:sz w:val="20"/>
        </w:rPr>
        <w:t xml:space="preserve">Student name: </w:t>
      </w:r>
      <w:r>
        <w:rPr>
          <w:sz w:val="20"/>
        </w:rPr>
        <w:t xml:space="preserve">Kamlesh </w:t>
      </w:r>
      <w:proofErr w:type="spellStart"/>
      <w:r>
        <w:rPr>
          <w:sz w:val="20"/>
        </w:rPr>
        <w:t>Pithabhai</w:t>
      </w:r>
      <w:proofErr w:type="spellEnd"/>
      <w:r>
        <w:rPr>
          <w:sz w:val="20"/>
        </w:rPr>
        <w:t xml:space="preserve"> Nakum</w:t>
      </w:r>
    </w:p>
    <w:p w14:paraId="16FCF6BB" w14:textId="78815288" w:rsidR="0052432F" w:rsidRDefault="00000000">
      <w:pPr>
        <w:spacing w:after="60" w:line="269" w:lineRule="auto"/>
        <w:jc w:val="left"/>
      </w:pPr>
      <w:r>
        <w:rPr>
          <w:b/>
          <w:sz w:val="20"/>
        </w:rPr>
        <w:t xml:space="preserve">Student number: </w:t>
      </w:r>
      <w:r w:rsidR="00844D30">
        <w:rPr>
          <w:sz w:val="20"/>
        </w:rPr>
        <w:t>2603811</w:t>
      </w:r>
    </w:p>
    <w:p w14:paraId="01922593" w14:textId="77777777" w:rsidR="0052432F" w:rsidRDefault="00000000">
      <w:pPr>
        <w:spacing w:after="60" w:line="269" w:lineRule="auto"/>
        <w:jc w:val="left"/>
      </w:pPr>
      <w:proofErr w:type="spellStart"/>
      <w:r>
        <w:rPr>
          <w:b/>
          <w:sz w:val="20"/>
        </w:rPr>
        <w:t>Programme</w:t>
      </w:r>
      <w:proofErr w:type="spellEnd"/>
      <w:r>
        <w:rPr>
          <w:b/>
          <w:sz w:val="20"/>
        </w:rPr>
        <w:t xml:space="preserve">: </w:t>
      </w:r>
      <w:r>
        <w:rPr>
          <w:sz w:val="20"/>
        </w:rPr>
        <w:t>MSc Public Health and Social Care in Practice</w:t>
      </w:r>
    </w:p>
    <w:p w14:paraId="5EB8305F" w14:textId="77777777" w:rsidR="0052432F" w:rsidRDefault="00000000">
      <w:pPr>
        <w:spacing w:after="60" w:line="269" w:lineRule="auto"/>
        <w:jc w:val="left"/>
      </w:pPr>
      <w:r>
        <w:rPr>
          <w:b/>
          <w:sz w:val="20"/>
        </w:rPr>
        <w:t xml:space="preserve">Module: </w:t>
      </w:r>
      <w:r>
        <w:rPr>
          <w:sz w:val="20"/>
        </w:rPr>
        <w:t>LCHS7003 – Community Care and Management of Longer-term Conditions</w:t>
      </w:r>
    </w:p>
    <w:p w14:paraId="5B24A0A7" w14:textId="77777777" w:rsidR="0052432F" w:rsidRDefault="00000000">
      <w:pPr>
        <w:spacing w:after="60" w:line="269" w:lineRule="auto"/>
        <w:jc w:val="left"/>
      </w:pPr>
      <w:r>
        <w:rPr>
          <w:b/>
          <w:sz w:val="20"/>
        </w:rPr>
        <w:t xml:space="preserve">Lecturer: </w:t>
      </w:r>
      <w:r>
        <w:rPr>
          <w:sz w:val="20"/>
        </w:rPr>
        <w:t>Dr Aishat Bakre</w:t>
      </w:r>
    </w:p>
    <w:p w14:paraId="2733FA71" w14:textId="77777777" w:rsidR="0052432F" w:rsidRDefault="00000000">
      <w:pPr>
        <w:spacing w:after="60" w:line="269" w:lineRule="auto"/>
        <w:jc w:val="left"/>
      </w:pPr>
      <w:r>
        <w:rPr>
          <w:b/>
          <w:sz w:val="20"/>
        </w:rPr>
        <w:t xml:space="preserve">Assessment: </w:t>
      </w:r>
      <w:r>
        <w:rPr>
          <w:sz w:val="20"/>
        </w:rPr>
        <w:t>Component 1 – Information Booklet of Long-term Condition Management</w:t>
      </w:r>
    </w:p>
    <w:p w14:paraId="101B7761" w14:textId="77777777" w:rsidR="0052432F" w:rsidRDefault="00000000">
      <w:pPr>
        <w:spacing w:after="60" w:line="269" w:lineRule="auto"/>
        <w:jc w:val="left"/>
      </w:pPr>
      <w:r>
        <w:rPr>
          <w:b/>
          <w:sz w:val="20"/>
        </w:rPr>
        <w:t xml:space="preserve">Target audience: </w:t>
      </w:r>
      <w:r>
        <w:rPr>
          <w:sz w:val="20"/>
        </w:rPr>
        <w:t>Adults living with chronic liver disease, families and UK health and care professionals</w:t>
      </w:r>
    </w:p>
    <w:p w14:paraId="08BF6BCE" w14:textId="77777777" w:rsidR="0052432F" w:rsidRDefault="00000000">
      <w:r>
        <w:br w:type="page"/>
      </w:r>
    </w:p>
    <w:sdt>
      <w:sdtPr>
        <w:rPr>
          <w:rFonts w:ascii="Arial" w:eastAsia="Arial" w:hAnsi="Arial" w:cstheme="minorBidi"/>
          <w:b/>
          <w:bCs/>
          <w:color w:val="auto"/>
          <w:sz w:val="22"/>
          <w:szCs w:val="22"/>
        </w:rPr>
        <w:id w:val="-1389569264"/>
        <w:docPartObj>
          <w:docPartGallery w:val="Table of Contents"/>
          <w:docPartUnique/>
        </w:docPartObj>
      </w:sdtPr>
      <w:sdtEndPr>
        <w:rPr>
          <w:noProof/>
        </w:rPr>
      </w:sdtEndPr>
      <w:sdtContent>
        <w:p w14:paraId="21734114" w14:textId="159D8226" w:rsidR="00867AA9" w:rsidRPr="00867AA9" w:rsidRDefault="00867AA9" w:rsidP="00867AA9">
          <w:pPr>
            <w:pStyle w:val="TOCHeading"/>
            <w:jc w:val="center"/>
            <w:rPr>
              <w:b/>
              <w:bCs/>
            </w:rPr>
          </w:pPr>
          <w:r w:rsidRPr="00867AA9">
            <w:rPr>
              <w:b/>
              <w:bCs/>
            </w:rPr>
            <w:t>Table of Contents</w:t>
          </w:r>
        </w:p>
        <w:p w14:paraId="284E8EAB" w14:textId="58B208AE" w:rsidR="00867AA9" w:rsidRDefault="00867AA9">
          <w:pPr>
            <w:pStyle w:val="TOC1"/>
            <w:tabs>
              <w:tab w:val="right" w:leader="dot" w:pos="9016"/>
            </w:tabs>
            <w:rPr>
              <w:noProof/>
            </w:rPr>
          </w:pPr>
          <w:r>
            <w:fldChar w:fldCharType="begin"/>
          </w:r>
          <w:r>
            <w:instrText xml:space="preserve"> TOC \o "1-3" \h \z \u </w:instrText>
          </w:r>
          <w:r>
            <w:fldChar w:fldCharType="separate"/>
          </w:r>
          <w:hyperlink w:anchor="_Toc243320471" w:history="1">
            <w:r w:rsidRPr="009A0AC7">
              <w:rPr>
                <w:rStyle w:val="Hyperlink"/>
                <w:noProof/>
              </w:rPr>
              <w:t>1. Definition</w:t>
            </w:r>
            <w:r>
              <w:rPr>
                <w:noProof/>
                <w:webHidden/>
              </w:rPr>
              <w:tab/>
            </w:r>
            <w:r>
              <w:rPr>
                <w:noProof/>
                <w:webHidden/>
              </w:rPr>
              <w:fldChar w:fldCharType="begin"/>
            </w:r>
            <w:r>
              <w:rPr>
                <w:noProof/>
                <w:webHidden/>
              </w:rPr>
              <w:instrText xml:space="preserve"> PAGEREF _Toc243320471 \h </w:instrText>
            </w:r>
            <w:r>
              <w:rPr>
                <w:noProof/>
                <w:webHidden/>
              </w:rPr>
            </w:r>
            <w:r>
              <w:rPr>
                <w:noProof/>
                <w:webHidden/>
              </w:rPr>
              <w:fldChar w:fldCharType="separate"/>
            </w:r>
            <w:r>
              <w:rPr>
                <w:noProof/>
                <w:webHidden/>
              </w:rPr>
              <w:t>3</w:t>
            </w:r>
            <w:r>
              <w:rPr>
                <w:noProof/>
                <w:webHidden/>
              </w:rPr>
              <w:fldChar w:fldCharType="end"/>
            </w:r>
          </w:hyperlink>
        </w:p>
        <w:p w14:paraId="68C410DB" w14:textId="4E16629B" w:rsidR="00867AA9" w:rsidRDefault="00867AA9">
          <w:pPr>
            <w:pStyle w:val="TOC1"/>
            <w:tabs>
              <w:tab w:val="right" w:leader="dot" w:pos="9016"/>
            </w:tabs>
            <w:rPr>
              <w:noProof/>
            </w:rPr>
          </w:pPr>
          <w:hyperlink w:anchor="_Toc243320472" w:history="1">
            <w:r w:rsidRPr="009A0AC7">
              <w:rPr>
                <w:rStyle w:val="Hyperlink"/>
                <w:noProof/>
              </w:rPr>
              <w:t>2. Burden / Prevalence</w:t>
            </w:r>
            <w:r>
              <w:rPr>
                <w:noProof/>
                <w:webHidden/>
              </w:rPr>
              <w:tab/>
            </w:r>
            <w:r>
              <w:rPr>
                <w:noProof/>
                <w:webHidden/>
              </w:rPr>
              <w:fldChar w:fldCharType="begin"/>
            </w:r>
            <w:r>
              <w:rPr>
                <w:noProof/>
                <w:webHidden/>
              </w:rPr>
              <w:instrText xml:space="preserve"> PAGEREF _Toc243320472 \h </w:instrText>
            </w:r>
            <w:r>
              <w:rPr>
                <w:noProof/>
                <w:webHidden/>
              </w:rPr>
            </w:r>
            <w:r>
              <w:rPr>
                <w:noProof/>
                <w:webHidden/>
              </w:rPr>
              <w:fldChar w:fldCharType="separate"/>
            </w:r>
            <w:r>
              <w:rPr>
                <w:noProof/>
                <w:webHidden/>
              </w:rPr>
              <w:t>3</w:t>
            </w:r>
            <w:r>
              <w:rPr>
                <w:noProof/>
                <w:webHidden/>
              </w:rPr>
              <w:fldChar w:fldCharType="end"/>
            </w:r>
          </w:hyperlink>
        </w:p>
        <w:p w14:paraId="44C7A07D" w14:textId="4699D366" w:rsidR="00867AA9" w:rsidRDefault="00867AA9">
          <w:pPr>
            <w:pStyle w:val="TOC1"/>
            <w:tabs>
              <w:tab w:val="right" w:leader="dot" w:pos="9016"/>
            </w:tabs>
            <w:rPr>
              <w:noProof/>
            </w:rPr>
          </w:pPr>
          <w:hyperlink w:anchor="_Toc243320473" w:history="1">
            <w:r w:rsidRPr="009A0AC7">
              <w:rPr>
                <w:rStyle w:val="Hyperlink"/>
                <w:noProof/>
              </w:rPr>
              <w:t>3. Risk factors</w:t>
            </w:r>
            <w:r>
              <w:rPr>
                <w:noProof/>
                <w:webHidden/>
              </w:rPr>
              <w:tab/>
            </w:r>
            <w:r>
              <w:rPr>
                <w:noProof/>
                <w:webHidden/>
              </w:rPr>
              <w:fldChar w:fldCharType="begin"/>
            </w:r>
            <w:r>
              <w:rPr>
                <w:noProof/>
                <w:webHidden/>
              </w:rPr>
              <w:instrText xml:space="preserve"> PAGEREF _Toc243320473 \h </w:instrText>
            </w:r>
            <w:r>
              <w:rPr>
                <w:noProof/>
                <w:webHidden/>
              </w:rPr>
            </w:r>
            <w:r>
              <w:rPr>
                <w:noProof/>
                <w:webHidden/>
              </w:rPr>
              <w:fldChar w:fldCharType="separate"/>
            </w:r>
            <w:r>
              <w:rPr>
                <w:noProof/>
                <w:webHidden/>
              </w:rPr>
              <w:t>4</w:t>
            </w:r>
            <w:r>
              <w:rPr>
                <w:noProof/>
                <w:webHidden/>
              </w:rPr>
              <w:fldChar w:fldCharType="end"/>
            </w:r>
          </w:hyperlink>
        </w:p>
        <w:p w14:paraId="3964A9B6" w14:textId="0DA80BE0" w:rsidR="00867AA9" w:rsidRDefault="00867AA9">
          <w:pPr>
            <w:pStyle w:val="TOC2"/>
            <w:tabs>
              <w:tab w:val="right" w:leader="dot" w:pos="9016"/>
            </w:tabs>
            <w:rPr>
              <w:noProof/>
            </w:rPr>
          </w:pPr>
          <w:hyperlink w:anchor="_Toc243320474" w:history="1">
            <w:r w:rsidRPr="009A0AC7">
              <w:rPr>
                <w:rStyle w:val="Hyperlink"/>
                <w:noProof/>
              </w:rPr>
              <w:t>3.1 Modifiable risk factors</w:t>
            </w:r>
            <w:r>
              <w:rPr>
                <w:noProof/>
                <w:webHidden/>
              </w:rPr>
              <w:tab/>
            </w:r>
            <w:r>
              <w:rPr>
                <w:noProof/>
                <w:webHidden/>
              </w:rPr>
              <w:fldChar w:fldCharType="begin"/>
            </w:r>
            <w:r>
              <w:rPr>
                <w:noProof/>
                <w:webHidden/>
              </w:rPr>
              <w:instrText xml:space="preserve"> PAGEREF _Toc243320474 \h </w:instrText>
            </w:r>
            <w:r>
              <w:rPr>
                <w:noProof/>
                <w:webHidden/>
              </w:rPr>
            </w:r>
            <w:r>
              <w:rPr>
                <w:noProof/>
                <w:webHidden/>
              </w:rPr>
              <w:fldChar w:fldCharType="separate"/>
            </w:r>
            <w:r>
              <w:rPr>
                <w:noProof/>
                <w:webHidden/>
              </w:rPr>
              <w:t>4</w:t>
            </w:r>
            <w:r>
              <w:rPr>
                <w:noProof/>
                <w:webHidden/>
              </w:rPr>
              <w:fldChar w:fldCharType="end"/>
            </w:r>
          </w:hyperlink>
        </w:p>
        <w:p w14:paraId="65CF7DD6" w14:textId="58F85EC9" w:rsidR="00867AA9" w:rsidRDefault="00867AA9">
          <w:pPr>
            <w:pStyle w:val="TOC2"/>
            <w:tabs>
              <w:tab w:val="right" w:leader="dot" w:pos="9016"/>
            </w:tabs>
            <w:rPr>
              <w:noProof/>
            </w:rPr>
          </w:pPr>
          <w:hyperlink w:anchor="_Toc243320475" w:history="1">
            <w:r w:rsidRPr="009A0AC7">
              <w:rPr>
                <w:rStyle w:val="Hyperlink"/>
                <w:noProof/>
              </w:rPr>
              <w:t>3.2 Non-modifiable risk factors</w:t>
            </w:r>
            <w:r>
              <w:rPr>
                <w:noProof/>
                <w:webHidden/>
              </w:rPr>
              <w:tab/>
            </w:r>
            <w:r>
              <w:rPr>
                <w:noProof/>
                <w:webHidden/>
              </w:rPr>
              <w:fldChar w:fldCharType="begin"/>
            </w:r>
            <w:r>
              <w:rPr>
                <w:noProof/>
                <w:webHidden/>
              </w:rPr>
              <w:instrText xml:space="preserve"> PAGEREF _Toc243320475 \h </w:instrText>
            </w:r>
            <w:r>
              <w:rPr>
                <w:noProof/>
                <w:webHidden/>
              </w:rPr>
            </w:r>
            <w:r>
              <w:rPr>
                <w:noProof/>
                <w:webHidden/>
              </w:rPr>
              <w:fldChar w:fldCharType="separate"/>
            </w:r>
            <w:r>
              <w:rPr>
                <w:noProof/>
                <w:webHidden/>
              </w:rPr>
              <w:t>5</w:t>
            </w:r>
            <w:r>
              <w:rPr>
                <w:noProof/>
                <w:webHidden/>
              </w:rPr>
              <w:fldChar w:fldCharType="end"/>
            </w:r>
          </w:hyperlink>
        </w:p>
        <w:p w14:paraId="641B68F6" w14:textId="37C206EA" w:rsidR="00867AA9" w:rsidRDefault="00867AA9">
          <w:pPr>
            <w:pStyle w:val="TOC1"/>
            <w:tabs>
              <w:tab w:val="right" w:leader="dot" w:pos="9016"/>
            </w:tabs>
            <w:rPr>
              <w:noProof/>
            </w:rPr>
          </w:pPr>
          <w:hyperlink w:anchor="_Toc243320476" w:history="1">
            <w:r w:rsidRPr="009A0AC7">
              <w:rPr>
                <w:rStyle w:val="Hyperlink"/>
                <w:noProof/>
              </w:rPr>
              <w:t>4. Aim</w:t>
            </w:r>
            <w:r>
              <w:rPr>
                <w:noProof/>
                <w:webHidden/>
              </w:rPr>
              <w:tab/>
            </w:r>
            <w:r>
              <w:rPr>
                <w:noProof/>
                <w:webHidden/>
              </w:rPr>
              <w:fldChar w:fldCharType="begin"/>
            </w:r>
            <w:r>
              <w:rPr>
                <w:noProof/>
                <w:webHidden/>
              </w:rPr>
              <w:instrText xml:space="preserve"> PAGEREF _Toc243320476 \h </w:instrText>
            </w:r>
            <w:r>
              <w:rPr>
                <w:noProof/>
                <w:webHidden/>
              </w:rPr>
            </w:r>
            <w:r>
              <w:rPr>
                <w:noProof/>
                <w:webHidden/>
              </w:rPr>
              <w:fldChar w:fldCharType="separate"/>
            </w:r>
            <w:r>
              <w:rPr>
                <w:noProof/>
                <w:webHidden/>
              </w:rPr>
              <w:t>5</w:t>
            </w:r>
            <w:r>
              <w:rPr>
                <w:noProof/>
                <w:webHidden/>
              </w:rPr>
              <w:fldChar w:fldCharType="end"/>
            </w:r>
          </w:hyperlink>
        </w:p>
        <w:p w14:paraId="0A9686A1" w14:textId="14D47403" w:rsidR="00867AA9" w:rsidRDefault="00867AA9">
          <w:pPr>
            <w:pStyle w:val="TOC1"/>
            <w:tabs>
              <w:tab w:val="right" w:leader="dot" w:pos="9016"/>
            </w:tabs>
            <w:rPr>
              <w:noProof/>
            </w:rPr>
          </w:pPr>
          <w:hyperlink w:anchor="_Toc243320477" w:history="1">
            <w:r w:rsidRPr="009A0AC7">
              <w:rPr>
                <w:rStyle w:val="Hyperlink"/>
                <w:noProof/>
              </w:rPr>
              <w:t>5. Physical, Psychological and Social Implications</w:t>
            </w:r>
            <w:r>
              <w:rPr>
                <w:noProof/>
                <w:webHidden/>
              </w:rPr>
              <w:tab/>
            </w:r>
            <w:r>
              <w:rPr>
                <w:noProof/>
                <w:webHidden/>
              </w:rPr>
              <w:fldChar w:fldCharType="begin"/>
            </w:r>
            <w:r>
              <w:rPr>
                <w:noProof/>
                <w:webHidden/>
              </w:rPr>
              <w:instrText xml:space="preserve"> PAGEREF _Toc243320477 \h </w:instrText>
            </w:r>
            <w:r>
              <w:rPr>
                <w:noProof/>
                <w:webHidden/>
              </w:rPr>
            </w:r>
            <w:r>
              <w:rPr>
                <w:noProof/>
                <w:webHidden/>
              </w:rPr>
              <w:fldChar w:fldCharType="separate"/>
            </w:r>
            <w:r>
              <w:rPr>
                <w:noProof/>
                <w:webHidden/>
              </w:rPr>
              <w:t>5</w:t>
            </w:r>
            <w:r>
              <w:rPr>
                <w:noProof/>
                <w:webHidden/>
              </w:rPr>
              <w:fldChar w:fldCharType="end"/>
            </w:r>
          </w:hyperlink>
        </w:p>
        <w:p w14:paraId="4BB7791F" w14:textId="23CF650A" w:rsidR="00867AA9" w:rsidRDefault="00867AA9">
          <w:pPr>
            <w:pStyle w:val="TOC2"/>
            <w:tabs>
              <w:tab w:val="right" w:leader="dot" w:pos="9016"/>
            </w:tabs>
            <w:rPr>
              <w:noProof/>
            </w:rPr>
          </w:pPr>
          <w:hyperlink w:anchor="_Toc243320478" w:history="1">
            <w:r w:rsidRPr="009A0AC7">
              <w:rPr>
                <w:rStyle w:val="Hyperlink"/>
                <w:noProof/>
              </w:rPr>
              <w:t>5.1 Physical implications</w:t>
            </w:r>
            <w:r>
              <w:rPr>
                <w:noProof/>
                <w:webHidden/>
              </w:rPr>
              <w:tab/>
            </w:r>
            <w:r>
              <w:rPr>
                <w:noProof/>
                <w:webHidden/>
              </w:rPr>
              <w:fldChar w:fldCharType="begin"/>
            </w:r>
            <w:r>
              <w:rPr>
                <w:noProof/>
                <w:webHidden/>
              </w:rPr>
              <w:instrText xml:space="preserve"> PAGEREF _Toc243320478 \h </w:instrText>
            </w:r>
            <w:r>
              <w:rPr>
                <w:noProof/>
                <w:webHidden/>
              </w:rPr>
            </w:r>
            <w:r>
              <w:rPr>
                <w:noProof/>
                <w:webHidden/>
              </w:rPr>
              <w:fldChar w:fldCharType="separate"/>
            </w:r>
            <w:r>
              <w:rPr>
                <w:noProof/>
                <w:webHidden/>
              </w:rPr>
              <w:t>5</w:t>
            </w:r>
            <w:r>
              <w:rPr>
                <w:noProof/>
                <w:webHidden/>
              </w:rPr>
              <w:fldChar w:fldCharType="end"/>
            </w:r>
          </w:hyperlink>
        </w:p>
        <w:p w14:paraId="58AE81A9" w14:textId="22A88709" w:rsidR="00867AA9" w:rsidRDefault="00867AA9">
          <w:pPr>
            <w:pStyle w:val="TOC2"/>
            <w:tabs>
              <w:tab w:val="right" w:leader="dot" w:pos="9016"/>
            </w:tabs>
            <w:rPr>
              <w:noProof/>
            </w:rPr>
          </w:pPr>
          <w:hyperlink w:anchor="_Toc243320479" w:history="1">
            <w:r w:rsidRPr="009A0AC7">
              <w:rPr>
                <w:rStyle w:val="Hyperlink"/>
                <w:noProof/>
              </w:rPr>
              <w:t>5.2 Psychosocial aspects</w:t>
            </w:r>
            <w:r>
              <w:rPr>
                <w:noProof/>
                <w:webHidden/>
              </w:rPr>
              <w:tab/>
            </w:r>
            <w:r>
              <w:rPr>
                <w:noProof/>
                <w:webHidden/>
              </w:rPr>
              <w:fldChar w:fldCharType="begin"/>
            </w:r>
            <w:r>
              <w:rPr>
                <w:noProof/>
                <w:webHidden/>
              </w:rPr>
              <w:instrText xml:space="preserve"> PAGEREF _Toc243320479 \h </w:instrText>
            </w:r>
            <w:r>
              <w:rPr>
                <w:noProof/>
                <w:webHidden/>
              </w:rPr>
            </w:r>
            <w:r>
              <w:rPr>
                <w:noProof/>
                <w:webHidden/>
              </w:rPr>
              <w:fldChar w:fldCharType="separate"/>
            </w:r>
            <w:r>
              <w:rPr>
                <w:noProof/>
                <w:webHidden/>
              </w:rPr>
              <w:t>6</w:t>
            </w:r>
            <w:r>
              <w:rPr>
                <w:noProof/>
                <w:webHidden/>
              </w:rPr>
              <w:fldChar w:fldCharType="end"/>
            </w:r>
          </w:hyperlink>
        </w:p>
        <w:p w14:paraId="39B123B6" w14:textId="602B4A81" w:rsidR="00867AA9" w:rsidRDefault="00867AA9">
          <w:pPr>
            <w:pStyle w:val="TOC2"/>
            <w:tabs>
              <w:tab w:val="right" w:leader="dot" w:pos="9016"/>
            </w:tabs>
            <w:rPr>
              <w:noProof/>
            </w:rPr>
          </w:pPr>
          <w:hyperlink w:anchor="_Toc243320480" w:history="1">
            <w:r w:rsidRPr="009A0AC7">
              <w:rPr>
                <w:rStyle w:val="Hyperlink"/>
                <w:noProof/>
              </w:rPr>
              <w:t>5.3 Social aspects</w:t>
            </w:r>
            <w:r>
              <w:rPr>
                <w:noProof/>
                <w:webHidden/>
              </w:rPr>
              <w:tab/>
            </w:r>
            <w:r>
              <w:rPr>
                <w:noProof/>
                <w:webHidden/>
              </w:rPr>
              <w:fldChar w:fldCharType="begin"/>
            </w:r>
            <w:r>
              <w:rPr>
                <w:noProof/>
                <w:webHidden/>
              </w:rPr>
              <w:instrText xml:space="preserve"> PAGEREF _Toc243320480 \h </w:instrText>
            </w:r>
            <w:r>
              <w:rPr>
                <w:noProof/>
                <w:webHidden/>
              </w:rPr>
            </w:r>
            <w:r>
              <w:rPr>
                <w:noProof/>
                <w:webHidden/>
              </w:rPr>
              <w:fldChar w:fldCharType="separate"/>
            </w:r>
            <w:r>
              <w:rPr>
                <w:noProof/>
                <w:webHidden/>
              </w:rPr>
              <w:t>6</w:t>
            </w:r>
            <w:r>
              <w:rPr>
                <w:noProof/>
                <w:webHidden/>
              </w:rPr>
              <w:fldChar w:fldCharType="end"/>
            </w:r>
          </w:hyperlink>
        </w:p>
        <w:p w14:paraId="5BB3C57F" w14:textId="6E50ACC3" w:rsidR="00867AA9" w:rsidRDefault="00867AA9">
          <w:pPr>
            <w:pStyle w:val="TOC1"/>
            <w:tabs>
              <w:tab w:val="right" w:leader="dot" w:pos="9016"/>
            </w:tabs>
            <w:rPr>
              <w:noProof/>
            </w:rPr>
          </w:pPr>
          <w:hyperlink w:anchor="_Toc243320481" w:history="1">
            <w:r w:rsidRPr="009A0AC7">
              <w:rPr>
                <w:rStyle w:val="Hyperlink"/>
                <w:noProof/>
              </w:rPr>
              <w:t>6. Evidence-Based Treatment and Management Through the National Health Service</w:t>
            </w:r>
            <w:r>
              <w:rPr>
                <w:noProof/>
                <w:webHidden/>
              </w:rPr>
              <w:tab/>
            </w:r>
            <w:r>
              <w:rPr>
                <w:noProof/>
                <w:webHidden/>
              </w:rPr>
              <w:fldChar w:fldCharType="begin"/>
            </w:r>
            <w:r>
              <w:rPr>
                <w:noProof/>
                <w:webHidden/>
              </w:rPr>
              <w:instrText xml:space="preserve"> PAGEREF _Toc243320481 \h </w:instrText>
            </w:r>
            <w:r>
              <w:rPr>
                <w:noProof/>
                <w:webHidden/>
              </w:rPr>
            </w:r>
            <w:r>
              <w:rPr>
                <w:noProof/>
                <w:webHidden/>
              </w:rPr>
              <w:fldChar w:fldCharType="separate"/>
            </w:r>
            <w:r>
              <w:rPr>
                <w:noProof/>
                <w:webHidden/>
              </w:rPr>
              <w:t>7</w:t>
            </w:r>
            <w:r>
              <w:rPr>
                <w:noProof/>
                <w:webHidden/>
              </w:rPr>
              <w:fldChar w:fldCharType="end"/>
            </w:r>
          </w:hyperlink>
        </w:p>
        <w:p w14:paraId="1AAC84D0" w14:textId="3B7C57C8" w:rsidR="00867AA9" w:rsidRDefault="00867AA9">
          <w:pPr>
            <w:pStyle w:val="TOC1"/>
            <w:tabs>
              <w:tab w:val="right" w:leader="dot" w:pos="9016"/>
            </w:tabs>
            <w:rPr>
              <w:noProof/>
            </w:rPr>
          </w:pPr>
          <w:hyperlink w:anchor="_Toc243320482" w:history="1">
            <w:r w:rsidRPr="009A0AC7">
              <w:rPr>
                <w:rStyle w:val="Hyperlink"/>
                <w:noProof/>
              </w:rPr>
              <w:t>7. Theoretical Perspectives and Models for Improving Outcomes</w:t>
            </w:r>
            <w:r>
              <w:rPr>
                <w:noProof/>
                <w:webHidden/>
              </w:rPr>
              <w:tab/>
            </w:r>
            <w:r>
              <w:rPr>
                <w:noProof/>
                <w:webHidden/>
              </w:rPr>
              <w:fldChar w:fldCharType="begin"/>
            </w:r>
            <w:r>
              <w:rPr>
                <w:noProof/>
                <w:webHidden/>
              </w:rPr>
              <w:instrText xml:space="preserve"> PAGEREF _Toc243320482 \h </w:instrText>
            </w:r>
            <w:r>
              <w:rPr>
                <w:noProof/>
                <w:webHidden/>
              </w:rPr>
            </w:r>
            <w:r>
              <w:rPr>
                <w:noProof/>
                <w:webHidden/>
              </w:rPr>
              <w:fldChar w:fldCharType="separate"/>
            </w:r>
            <w:r>
              <w:rPr>
                <w:noProof/>
                <w:webHidden/>
              </w:rPr>
              <w:t>8</w:t>
            </w:r>
            <w:r>
              <w:rPr>
                <w:noProof/>
                <w:webHidden/>
              </w:rPr>
              <w:fldChar w:fldCharType="end"/>
            </w:r>
          </w:hyperlink>
        </w:p>
        <w:p w14:paraId="676FD3B6" w14:textId="3E6D960B" w:rsidR="00867AA9" w:rsidRDefault="00867AA9">
          <w:pPr>
            <w:pStyle w:val="TOC2"/>
            <w:tabs>
              <w:tab w:val="right" w:leader="dot" w:pos="9016"/>
            </w:tabs>
            <w:rPr>
              <w:noProof/>
            </w:rPr>
          </w:pPr>
          <w:hyperlink w:anchor="_Toc243320483" w:history="1">
            <w:r w:rsidRPr="009A0AC7">
              <w:rPr>
                <w:rStyle w:val="Hyperlink"/>
                <w:noProof/>
              </w:rPr>
              <w:t>7.1 UK model: National Health Service Comprehensive Model for Personalised Care</w:t>
            </w:r>
            <w:r>
              <w:rPr>
                <w:noProof/>
                <w:webHidden/>
              </w:rPr>
              <w:tab/>
            </w:r>
            <w:r>
              <w:rPr>
                <w:noProof/>
                <w:webHidden/>
              </w:rPr>
              <w:fldChar w:fldCharType="begin"/>
            </w:r>
            <w:r>
              <w:rPr>
                <w:noProof/>
                <w:webHidden/>
              </w:rPr>
              <w:instrText xml:space="preserve"> PAGEREF _Toc243320483 \h </w:instrText>
            </w:r>
            <w:r>
              <w:rPr>
                <w:noProof/>
                <w:webHidden/>
              </w:rPr>
            </w:r>
            <w:r>
              <w:rPr>
                <w:noProof/>
                <w:webHidden/>
              </w:rPr>
              <w:fldChar w:fldCharType="separate"/>
            </w:r>
            <w:r>
              <w:rPr>
                <w:noProof/>
                <w:webHidden/>
              </w:rPr>
              <w:t>8</w:t>
            </w:r>
            <w:r>
              <w:rPr>
                <w:noProof/>
                <w:webHidden/>
              </w:rPr>
              <w:fldChar w:fldCharType="end"/>
            </w:r>
          </w:hyperlink>
        </w:p>
        <w:p w14:paraId="4819D724" w14:textId="6A33C202" w:rsidR="00867AA9" w:rsidRDefault="00867AA9">
          <w:pPr>
            <w:pStyle w:val="TOC2"/>
            <w:tabs>
              <w:tab w:val="right" w:leader="dot" w:pos="9016"/>
            </w:tabs>
            <w:rPr>
              <w:noProof/>
            </w:rPr>
          </w:pPr>
          <w:hyperlink w:anchor="_Toc243320484" w:history="1">
            <w:r w:rsidRPr="009A0AC7">
              <w:rPr>
                <w:rStyle w:val="Hyperlink"/>
                <w:noProof/>
              </w:rPr>
              <w:t>7.2 International model: Expanded Chronic Care Model</w:t>
            </w:r>
            <w:r>
              <w:rPr>
                <w:noProof/>
                <w:webHidden/>
              </w:rPr>
              <w:tab/>
            </w:r>
            <w:r>
              <w:rPr>
                <w:noProof/>
                <w:webHidden/>
              </w:rPr>
              <w:fldChar w:fldCharType="begin"/>
            </w:r>
            <w:r>
              <w:rPr>
                <w:noProof/>
                <w:webHidden/>
              </w:rPr>
              <w:instrText xml:space="preserve"> PAGEREF _Toc243320484 \h </w:instrText>
            </w:r>
            <w:r>
              <w:rPr>
                <w:noProof/>
                <w:webHidden/>
              </w:rPr>
            </w:r>
            <w:r>
              <w:rPr>
                <w:noProof/>
                <w:webHidden/>
              </w:rPr>
              <w:fldChar w:fldCharType="separate"/>
            </w:r>
            <w:r>
              <w:rPr>
                <w:noProof/>
                <w:webHidden/>
              </w:rPr>
              <w:t>8</w:t>
            </w:r>
            <w:r>
              <w:rPr>
                <w:noProof/>
                <w:webHidden/>
              </w:rPr>
              <w:fldChar w:fldCharType="end"/>
            </w:r>
          </w:hyperlink>
        </w:p>
        <w:p w14:paraId="225F5ABE" w14:textId="3EC00EEB" w:rsidR="00867AA9" w:rsidRDefault="00867AA9">
          <w:pPr>
            <w:pStyle w:val="TOC2"/>
            <w:tabs>
              <w:tab w:val="right" w:leader="dot" w:pos="9016"/>
            </w:tabs>
            <w:rPr>
              <w:noProof/>
            </w:rPr>
          </w:pPr>
          <w:hyperlink w:anchor="_Toc243320485" w:history="1">
            <w:r w:rsidRPr="009A0AC7">
              <w:rPr>
                <w:rStyle w:val="Hyperlink"/>
                <w:noProof/>
              </w:rPr>
              <w:t>7.3 Critical comparison of the models</w:t>
            </w:r>
            <w:r>
              <w:rPr>
                <w:noProof/>
                <w:webHidden/>
              </w:rPr>
              <w:tab/>
            </w:r>
            <w:r>
              <w:rPr>
                <w:noProof/>
                <w:webHidden/>
              </w:rPr>
              <w:fldChar w:fldCharType="begin"/>
            </w:r>
            <w:r>
              <w:rPr>
                <w:noProof/>
                <w:webHidden/>
              </w:rPr>
              <w:instrText xml:space="preserve"> PAGEREF _Toc243320485 \h </w:instrText>
            </w:r>
            <w:r>
              <w:rPr>
                <w:noProof/>
                <w:webHidden/>
              </w:rPr>
            </w:r>
            <w:r>
              <w:rPr>
                <w:noProof/>
                <w:webHidden/>
              </w:rPr>
              <w:fldChar w:fldCharType="separate"/>
            </w:r>
            <w:r>
              <w:rPr>
                <w:noProof/>
                <w:webHidden/>
              </w:rPr>
              <w:t>9</w:t>
            </w:r>
            <w:r>
              <w:rPr>
                <w:noProof/>
                <w:webHidden/>
              </w:rPr>
              <w:fldChar w:fldCharType="end"/>
            </w:r>
          </w:hyperlink>
        </w:p>
        <w:p w14:paraId="3F28FC9F" w14:textId="1EFB76C0" w:rsidR="00867AA9" w:rsidRDefault="00867AA9" w:rsidP="00F520D2">
          <w:pPr>
            <w:pStyle w:val="TOC2"/>
            <w:tabs>
              <w:tab w:val="right" w:leader="dot" w:pos="9016"/>
            </w:tabs>
            <w:ind w:left="0"/>
            <w:rPr>
              <w:noProof/>
            </w:rPr>
          </w:pPr>
          <w:hyperlink w:anchor="_Toc243320486" w:history="1">
            <w:r w:rsidRPr="009A0AC7">
              <w:rPr>
                <w:rStyle w:val="Hyperlink"/>
                <w:noProof/>
              </w:rPr>
              <w:t>8. Political, Health and Social Care Agendas</w:t>
            </w:r>
            <w:r>
              <w:rPr>
                <w:noProof/>
                <w:webHidden/>
              </w:rPr>
              <w:tab/>
            </w:r>
            <w:r>
              <w:rPr>
                <w:noProof/>
                <w:webHidden/>
              </w:rPr>
              <w:fldChar w:fldCharType="begin"/>
            </w:r>
            <w:r>
              <w:rPr>
                <w:noProof/>
                <w:webHidden/>
              </w:rPr>
              <w:instrText xml:space="preserve"> PAGEREF _Toc243320486 \h </w:instrText>
            </w:r>
            <w:r>
              <w:rPr>
                <w:noProof/>
                <w:webHidden/>
              </w:rPr>
            </w:r>
            <w:r>
              <w:rPr>
                <w:noProof/>
                <w:webHidden/>
              </w:rPr>
              <w:fldChar w:fldCharType="separate"/>
            </w:r>
            <w:r>
              <w:rPr>
                <w:noProof/>
                <w:webHidden/>
              </w:rPr>
              <w:t>10</w:t>
            </w:r>
            <w:r>
              <w:rPr>
                <w:noProof/>
                <w:webHidden/>
              </w:rPr>
              <w:fldChar w:fldCharType="end"/>
            </w:r>
          </w:hyperlink>
        </w:p>
        <w:p w14:paraId="2270322F" w14:textId="24D53BCE" w:rsidR="00867AA9" w:rsidRDefault="00867AA9">
          <w:pPr>
            <w:pStyle w:val="TOC1"/>
            <w:tabs>
              <w:tab w:val="right" w:leader="dot" w:pos="9016"/>
            </w:tabs>
            <w:rPr>
              <w:noProof/>
            </w:rPr>
          </w:pPr>
          <w:hyperlink w:anchor="_Toc243320487" w:history="1">
            <w:r w:rsidRPr="009A0AC7">
              <w:rPr>
                <w:rStyle w:val="Hyperlink"/>
                <w:noProof/>
              </w:rPr>
              <w:t>9. Recommendations for person-centred care, self-management and end-of-life care</w:t>
            </w:r>
            <w:r>
              <w:rPr>
                <w:noProof/>
                <w:webHidden/>
              </w:rPr>
              <w:tab/>
            </w:r>
            <w:r>
              <w:rPr>
                <w:noProof/>
                <w:webHidden/>
              </w:rPr>
              <w:fldChar w:fldCharType="begin"/>
            </w:r>
            <w:r>
              <w:rPr>
                <w:noProof/>
                <w:webHidden/>
              </w:rPr>
              <w:instrText xml:space="preserve"> PAGEREF _Toc243320487 \h </w:instrText>
            </w:r>
            <w:r>
              <w:rPr>
                <w:noProof/>
                <w:webHidden/>
              </w:rPr>
            </w:r>
            <w:r>
              <w:rPr>
                <w:noProof/>
                <w:webHidden/>
              </w:rPr>
              <w:fldChar w:fldCharType="separate"/>
            </w:r>
            <w:r>
              <w:rPr>
                <w:noProof/>
                <w:webHidden/>
              </w:rPr>
              <w:t>10</w:t>
            </w:r>
            <w:r>
              <w:rPr>
                <w:noProof/>
                <w:webHidden/>
              </w:rPr>
              <w:fldChar w:fldCharType="end"/>
            </w:r>
          </w:hyperlink>
        </w:p>
        <w:p w14:paraId="4542076C" w14:textId="50BDF2C6" w:rsidR="00867AA9" w:rsidRDefault="00867AA9">
          <w:pPr>
            <w:pStyle w:val="TOC2"/>
            <w:tabs>
              <w:tab w:val="right" w:leader="dot" w:pos="9016"/>
            </w:tabs>
            <w:rPr>
              <w:noProof/>
            </w:rPr>
          </w:pPr>
          <w:hyperlink w:anchor="_Toc243320488" w:history="1">
            <w:r w:rsidRPr="009A0AC7">
              <w:rPr>
                <w:rStyle w:val="Hyperlink"/>
                <w:noProof/>
              </w:rPr>
              <w:t>9.1 Person-centred care and shared decision making</w:t>
            </w:r>
            <w:r>
              <w:rPr>
                <w:noProof/>
                <w:webHidden/>
              </w:rPr>
              <w:tab/>
            </w:r>
            <w:r>
              <w:rPr>
                <w:noProof/>
                <w:webHidden/>
              </w:rPr>
              <w:fldChar w:fldCharType="begin"/>
            </w:r>
            <w:r>
              <w:rPr>
                <w:noProof/>
                <w:webHidden/>
              </w:rPr>
              <w:instrText xml:space="preserve"> PAGEREF _Toc243320488 \h </w:instrText>
            </w:r>
            <w:r>
              <w:rPr>
                <w:noProof/>
                <w:webHidden/>
              </w:rPr>
            </w:r>
            <w:r>
              <w:rPr>
                <w:noProof/>
                <w:webHidden/>
              </w:rPr>
              <w:fldChar w:fldCharType="separate"/>
            </w:r>
            <w:r>
              <w:rPr>
                <w:noProof/>
                <w:webHidden/>
              </w:rPr>
              <w:t>10</w:t>
            </w:r>
            <w:r>
              <w:rPr>
                <w:noProof/>
                <w:webHidden/>
              </w:rPr>
              <w:fldChar w:fldCharType="end"/>
            </w:r>
          </w:hyperlink>
        </w:p>
        <w:p w14:paraId="1123859E" w14:textId="79A0394B" w:rsidR="00867AA9" w:rsidRDefault="00867AA9">
          <w:pPr>
            <w:pStyle w:val="TOC2"/>
            <w:tabs>
              <w:tab w:val="right" w:leader="dot" w:pos="9016"/>
            </w:tabs>
            <w:rPr>
              <w:noProof/>
            </w:rPr>
          </w:pPr>
          <w:hyperlink w:anchor="_Toc243320489" w:history="1">
            <w:r w:rsidRPr="009A0AC7">
              <w:rPr>
                <w:rStyle w:val="Hyperlink"/>
                <w:noProof/>
              </w:rPr>
              <w:t>9.2 Self-management and health literacy</w:t>
            </w:r>
            <w:r>
              <w:rPr>
                <w:noProof/>
                <w:webHidden/>
              </w:rPr>
              <w:tab/>
            </w:r>
            <w:r>
              <w:rPr>
                <w:noProof/>
                <w:webHidden/>
              </w:rPr>
              <w:fldChar w:fldCharType="begin"/>
            </w:r>
            <w:r>
              <w:rPr>
                <w:noProof/>
                <w:webHidden/>
              </w:rPr>
              <w:instrText xml:space="preserve"> PAGEREF _Toc243320489 \h </w:instrText>
            </w:r>
            <w:r>
              <w:rPr>
                <w:noProof/>
                <w:webHidden/>
              </w:rPr>
            </w:r>
            <w:r>
              <w:rPr>
                <w:noProof/>
                <w:webHidden/>
              </w:rPr>
              <w:fldChar w:fldCharType="separate"/>
            </w:r>
            <w:r>
              <w:rPr>
                <w:noProof/>
                <w:webHidden/>
              </w:rPr>
              <w:t>11</w:t>
            </w:r>
            <w:r>
              <w:rPr>
                <w:noProof/>
                <w:webHidden/>
              </w:rPr>
              <w:fldChar w:fldCharType="end"/>
            </w:r>
          </w:hyperlink>
        </w:p>
        <w:p w14:paraId="1AC9A789" w14:textId="5B605D02" w:rsidR="00867AA9" w:rsidRDefault="00867AA9">
          <w:pPr>
            <w:pStyle w:val="TOC2"/>
            <w:tabs>
              <w:tab w:val="right" w:leader="dot" w:pos="9016"/>
            </w:tabs>
            <w:rPr>
              <w:noProof/>
            </w:rPr>
          </w:pPr>
          <w:hyperlink w:anchor="_Toc243320490" w:history="1">
            <w:r w:rsidRPr="009A0AC7">
              <w:rPr>
                <w:rStyle w:val="Hyperlink"/>
                <w:noProof/>
              </w:rPr>
              <w:t>9.3 End-of-life care</w:t>
            </w:r>
            <w:r>
              <w:rPr>
                <w:noProof/>
                <w:webHidden/>
              </w:rPr>
              <w:tab/>
            </w:r>
            <w:r>
              <w:rPr>
                <w:noProof/>
                <w:webHidden/>
              </w:rPr>
              <w:fldChar w:fldCharType="begin"/>
            </w:r>
            <w:r>
              <w:rPr>
                <w:noProof/>
                <w:webHidden/>
              </w:rPr>
              <w:instrText xml:space="preserve"> PAGEREF _Toc243320490 \h </w:instrText>
            </w:r>
            <w:r>
              <w:rPr>
                <w:noProof/>
                <w:webHidden/>
              </w:rPr>
            </w:r>
            <w:r>
              <w:rPr>
                <w:noProof/>
                <w:webHidden/>
              </w:rPr>
              <w:fldChar w:fldCharType="separate"/>
            </w:r>
            <w:r>
              <w:rPr>
                <w:noProof/>
                <w:webHidden/>
              </w:rPr>
              <w:t>12</w:t>
            </w:r>
            <w:r>
              <w:rPr>
                <w:noProof/>
                <w:webHidden/>
              </w:rPr>
              <w:fldChar w:fldCharType="end"/>
            </w:r>
          </w:hyperlink>
        </w:p>
        <w:p w14:paraId="452D01E5" w14:textId="2C5D5721" w:rsidR="00867AA9" w:rsidRDefault="00867AA9">
          <w:pPr>
            <w:pStyle w:val="TOC1"/>
            <w:tabs>
              <w:tab w:val="right" w:leader="dot" w:pos="9016"/>
            </w:tabs>
            <w:rPr>
              <w:noProof/>
            </w:rPr>
          </w:pPr>
          <w:hyperlink w:anchor="_Toc243320491" w:history="1">
            <w:r w:rsidRPr="009A0AC7">
              <w:rPr>
                <w:rStyle w:val="Hyperlink"/>
                <w:noProof/>
              </w:rPr>
              <w:t>10. Conclusion</w:t>
            </w:r>
            <w:r>
              <w:rPr>
                <w:noProof/>
                <w:webHidden/>
              </w:rPr>
              <w:tab/>
            </w:r>
            <w:r>
              <w:rPr>
                <w:noProof/>
                <w:webHidden/>
              </w:rPr>
              <w:fldChar w:fldCharType="begin"/>
            </w:r>
            <w:r>
              <w:rPr>
                <w:noProof/>
                <w:webHidden/>
              </w:rPr>
              <w:instrText xml:space="preserve"> PAGEREF _Toc243320491 \h </w:instrText>
            </w:r>
            <w:r>
              <w:rPr>
                <w:noProof/>
                <w:webHidden/>
              </w:rPr>
            </w:r>
            <w:r>
              <w:rPr>
                <w:noProof/>
                <w:webHidden/>
              </w:rPr>
              <w:fldChar w:fldCharType="separate"/>
            </w:r>
            <w:r>
              <w:rPr>
                <w:noProof/>
                <w:webHidden/>
              </w:rPr>
              <w:t>12</w:t>
            </w:r>
            <w:r>
              <w:rPr>
                <w:noProof/>
                <w:webHidden/>
              </w:rPr>
              <w:fldChar w:fldCharType="end"/>
            </w:r>
          </w:hyperlink>
        </w:p>
        <w:p w14:paraId="6AAE80D6" w14:textId="39DFA07E" w:rsidR="00867AA9" w:rsidRDefault="00867AA9">
          <w:pPr>
            <w:pStyle w:val="TOC1"/>
            <w:tabs>
              <w:tab w:val="right" w:leader="dot" w:pos="9016"/>
            </w:tabs>
            <w:rPr>
              <w:noProof/>
            </w:rPr>
          </w:pPr>
          <w:hyperlink w:anchor="_Toc243320492" w:history="1">
            <w:r w:rsidRPr="009A0AC7">
              <w:rPr>
                <w:rStyle w:val="Hyperlink"/>
                <w:noProof/>
              </w:rPr>
              <w:t>References</w:t>
            </w:r>
            <w:r>
              <w:rPr>
                <w:noProof/>
                <w:webHidden/>
              </w:rPr>
              <w:tab/>
            </w:r>
            <w:r>
              <w:rPr>
                <w:noProof/>
                <w:webHidden/>
              </w:rPr>
              <w:fldChar w:fldCharType="begin"/>
            </w:r>
            <w:r>
              <w:rPr>
                <w:noProof/>
                <w:webHidden/>
              </w:rPr>
              <w:instrText xml:space="preserve"> PAGEREF _Toc243320492 \h </w:instrText>
            </w:r>
            <w:r>
              <w:rPr>
                <w:noProof/>
                <w:webHidden/>
              </w:rPr>
            </w:r>
            <w:r>
              <w:rPr>
                <w:noProof/>
                <w:webHidden/>
              </w:rPr>
              <w:fldChar w:fldCharType="separate"/>
            </w:r>
            <w:r>
              <w:rPr>
                <w:noProof/>
                <w:webHidden/>
              </w:rPr>
              <w:t>13</w:t>
            </w:r>
            <w:r>
              <w:rPr>
                <w:noProof/>
                <w:webHidden/>
              </w:rPr>
              <w:fldChar w:fldCharType="end"/>
            </w:r>
          </w:hyperlink>
        </w:p>
        <w:p w14:paraId="5D945788" w14:textId="531CDED5" w:rsidR="00867AA9" w:rsidRDefault="00867AA9">
          <w:r>
            <w:rPr>
              <w:b/>
              <w:bCs/>
              <w:noProof/>
            </w:rPr>
            <w:fldChar w:fldCharType="end"/>
          </w:r>
        </w:p>
      </w:sdtContent>
    </w:sdt>
    <w:p w14:paraId="0163C1E8" w14:textId="77777777" w:rsidR="0052432F" w:rsidRDefault="00000000">
      <w:r>
        <w:br w:type="page"/>
      </w:r>
    </w:p>
    <w:p w14:paraId="0CD4ADB2" w14:textId="77777777" w:rsidR="00AB53D7" w:rsidRPr="000D74CA" w:rsidRDefault="00AB53D7" w:rsidP="00AB53D7">
      <w:pPr>
        <w:pStyle w:val="Heading1"/>
        <w:rPr>
          <w:rFonts w:ascii="Arial" w:hAnsi="Arial" w:cs="Arial"/>
          <w:sz w:val="22"/>
          <w:szCs w:val="22"/>
        </w:rPr>
      </w:pPr>
      <w:bookmarkStart w:id="0" w:name="_Toc243320471"/>
      <w:r w:rsidRPr="000D74CA">
        <w:rPr>
          <w:rFonts w:ascii="Arial" w:hAnsi="Arial" w:cs="Arial"/>
          <w:sz w:val="22"/>
          <w:szCs w:val="22"/>
        </w:rPr>
        <w:lastRenderedPageBreak/>
        <w:t>1. Definition</w:t>
      </w:r>
      <w:bookmarkEnd w:id="0"/>
    </w:p>
    <w:p w14:paraId="56183D2F" w14:textId="77777777" w:rsidR="00AB53D7" w:rsidRPr="000D74CA" w:rsidRDefault="00AB53D7" w:rsidP="00AB53D7">
      <w:pPr>
        <w:rPr>
          <w:rFonts w:cs="Arial"/>
        </w:rPr>
      </w:pPr>
      <w:r w:rsidRPr="000D74CA">
        <w:rPr>
          <w:rFonts w:cs="Arial"/>
        </w:rPr>
        <w:t>Chronic liver disease is a condition involving persistent damage to the liver resulting from either inflammation, accumulation of fat in the organ, infection, immune injury or exposure to toxins. Chronic damage to the liver could lead to fibrosis and even cirrhosis due to scarring of the organ. The early stages of the condition might not have any symptoms. Symptoms of the later stages of the condition include fatigue, lack of appetite, nausea, loss of weight, itching, jaundice, swelling in legs or abdomen, easy bruising, confusion and gastrointestinal bleeding. Blood in vomit, black stools or confusion are emergencies requiring prompt medical evaluation (National Health Service, 2025).</w:t>
      </w:r>
    </w:p>
    <w:p w14:paraId="7AF024C3" w14:textId="77777777" w:rsidR="00AB53D7" w:rsidRPr="000D74CA" w:rsidRDefault="00AB53D7" w:rsidP="00AB53D7">
      <w:pPr>
        <w:pStyle w:val="Heading1"/>
        <w:rPr>
          <w:rFonts w:ascii="Arial" w:hAnsi="Arial" w:cs="Arial"/>
          <w:sz w:val="22"/>
          <w:szCs w:val="22"/>
        </w:rPr>
      </w:pPr>
      <w:bookmarkStart w:id="1" w:name="_Toc243320472"/>
      <w:r w:rsidRPr="000D74CA">
        <w:rPr>
          <w:rFonts w:ascii="Arial" w:hAnsi="Arial" w:cs="Arial"/>
          <w:sz w:val="22"/>
          <w:szCs w:val="22"/>
        </w:rPr>
        <w:t>2. Burden / Prevalence</w:t>
      </w:r>
      <w:bookmarkEnd w:id="1"/>
    </w:p>
    <w:p w14:paraId="004645AC" w14:textId="0B777F3C" w:rsidR="0052432F" w:rsidRPr="000D74CA" w:rsidRDefault="00AB53D7" w:rsidP="00AB53D7">
      <w:pPr>
        <w:rPr>
          <w:rFonts w:cs="Arial"/>
        </w:rPr>
      </w:pPr>
      <w:r w:rsidRPr="000D74CA">
        <w:rPr>
          <w:rFonts w:cs="Arial"/>
        </w:rPr>
        <w:t xml:space="preserve">Chronic liver disease is a significant global health burden characterized by different causes. A study conducted in 2025 estimated 58.4 million cases of incidence of cirrhosis and other chronic liver diseases and 1.43 million deaths from the conditions globally in 2021. The incidence of the condition has been rising at a rate of 18% between 2010 and 2021 due to metabolic dysfunction-associated steatohepatitis. The estimated figures are to be considered together with the difference in diagnoses in the countries (Tham </w:t>
      </w:r>
      <w:r w:rsidR="00753D25" w:rsidRPr="000D74CA">
        <w:rPr>
          <w:rFonts w:cs="Arial"/>
          <w:i/>
          <w:iCs/>
        </w:rPr>
        <w:t>et al</w:t>
      </w:r>
      <w:r w:rsidRPr="000D74CA">
        <w:rPr>
          <w:rFonts w:cs="Arial"/>
        </w:rPr>
        <w:t>., 2025).</w:t>
      </w:r>
    </w:p>
    <w:p w14:paraId="6F61E519" w14:textId="008AD719" w:rsidR="000430FD" w:rsidRPr="000D74CA" w:rsidRDefault="000430FD" w:rsidP="000430FD">
      <w:pPr>
        <w:jc w:val="center"/>
        <w:rPr>
          <w:rFonts w:cs="Arial"/>
        </w:rPr>
      </w:pPr>
      <w:r w:rsidRPr="000D74CA">
        <w:rPr>
          <w:rFonts w:cs="Arial"/>
          <w:noProof/>
        </w:rPr>
        <w:drawing>
          <wp:inline distT="0" distB="0" distL="0" distR="0" wp14:anchorId="6F51368E" wp14:editId="48A0A7DA">
            <wp:extent cx="5360035" cy="4366260"/>
            <wp:effectExtent l="0" t="0" r="0" b="0"/>
            <wp:docPr id="2222665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65175" cy="4370447"/>
                    </a:xfrm>
                    <a:prstGeom prst="rect">
                      <a:avLst/>
                    </a:prstGeom>
                    <a:noFill/>
                    <a:ln>
                      <a:noFill/>
                    </a:ln>
                  </pic:spPr>
                </pic:pic>
              </a:graphicData>
            </a:graphic>
          </wp:inline>
        </w:drawing>
      </w:r>
    </w:p>
    <w:p w14:paraId="22EB7ADA" w14:textId="77777777" w:rsidR="0052432F" w:rsidRPr="000D74CA" w:rsidRDefault="00000000">
      <w:pPr>
        <w:pStyle w:val="FigureCaption"/>
        <w:rPr>
          <w:rFonts w:cs="Arial"/>
          <w:sz w:val="22"/>
        </w:rPr>
      </w:pPr>
      <w:r w:rsidRPr="000D74CA">
        <w:rPr>
          <w:rFonts w:cs="Arial"/>
          <w:sz w:val="22"/>
        </w:rPr>
        <w:lastRenderedPageBreak/>
        <w:t>Figure 1: Annual change in age-</w:t>
      </w:r>
      <w:proofErr w:type="spellStart"/>
      <w:r w:rsidRPr="000D74CA">
        <w:rPr>
          <w:rFonts w:cs="Arial"/>
          <w:sz w:val="22"/>
        </w:rPr>
        <w:t>standardised</w:t>
      </w:r>
      <w:proofErr w:type="spellEnd"/>
      <w:r w:rsidRPr="000D74CA">
        <w:rPr>
          <w:rFonts w:cs="Arial"/>
          <w:sz w:val="22"/>
        </w:rPr>
        <w:t xml:space="preserve"> incidence of cirrhosis and other chronic liver diseases across global regions</w:t>
      </w:r>
    </w:p>
    <w:p w14:paraId="3ED4CCD9" w14:textId="77777777" w:rsidR="0052432F" w:rsidRPr="000D74CA" w:rsidRDefault="00000000">
      <w:pPr>
        <w:pStyle w:val="SourceNote"/>
        <w:rPr>
          <w:rFonts w:cs="Arial"/>
          <w:sz w:val="22"/>
        </w:rPr>
      </w:pPr>
      <w:r w:rsidRPr="000D74CA">
        <w:rPr>
          <w:rFonts w:cs="Arial"/>
          <w:sz w:val="22"/>
        </w:rPr>
        <w:t xml:space="preserve">Source: Zhang, Luo and Ming (2025), Global burden of cirrhosis and other chronic liver diseases caused by specific etiologies from 1990 to 2021. Available at: </w:t>
      </w:r>
      <w:hyperlink r:id="rId10">
        <w:r w:rsidR="0052432F" w:rsidRPr="000D74CA">
          <w:rPr>
            <w:rFonts w:cs="Arial"/>
            <w:color w:val="0563C1"/>
            <w:sz w:val="22"/>
            <w:u w:val="single"/>
          </w:rPr>
          <w:t>https://link.springer.com/article/10.1186/s12876-025-04264-5</w:t>
        </w:r>
      </w:hyperlink>
      <w:r w:rsidRPr="000D74CA">
        <w:rPr>
          <w:rFonts w:cs="Arial"/>
          <w:sz w:val="22"/>
        </w:rPr>
        <w:t xml:space="preserve"> (Accessed: 19 October 2026).</w:t>
      </w:r>
    </w:p>
    <w:p w14:paraId="598053FE" w14:textId="77777777" w:rsidR="00AB53D7" w:rsidRPr="000D74CA" w:rsidRDefault="00AB53D7" w:rsidP="00AB53D7">
      <w:pPr>
        <w:rPr>
          <w:rFonts w:cs="Arial"/>
        </w:rPr>
      </w:pPr>
      <w:r w:rsidRPr="000D74CA">
        <w:rPr>
          <w:rFonts w:cs="Arial"/>
        </w:rPr>
        <w:t xml:space="preserve">Viral hepatitis is another common cause of long-term liver damage. It was estimated that 254 million people had hepatitis B and 50 million people had hepatitis C in 2022 according to WHO. 1.3 million deaths have been associated with viral hepatitis in 2022, although many cases have been undiagnosed (World Health Organization, 2024a). </w:t>
      </w:r>
    </w:p>
    <w:p w14:paraId="2B2329C4" w14:textId="77777777" w:rsidR="00AB53D7" w:rsidRPr="000D74CA" w:rsidRDefault="00AB53D7" w:rsidP="00AB53D7">
      <w:pPr>
        <w:rPr>
          <w:rFonts w:cs="Arial"/>
        </w:rPr>
      </w:pPr>
      <w:r w:rsidRPr="000D74CA">
        <w:rPr>
          <w:rFonts w:cs="Arial"/>
        </w:rPr>
        <w:t>In the whole United Kingdom, alcohol-related liver disease is one of the main causes of mortality. National figures provided by the British Liver Trust revealed that there were over 10,000 alcohol-related deaths in 2022, among which 7,635 were due to alcohol-related liver disease. These statistics are alcohol-specific deaths and not overall deaths from any cause of chronic liver disease (British Liver Trust, 2024).</w:t>
      </w:r>
    </w:p>
    <w:p w14:paraId="663B0B50" w14:textId="24055C6A" w:rsidR="00AB53D7" w:rsidRPr="000D74CA" w:rsidRDefault="00AB53D7" w:rsidP="00AB53D7">
      <w:pPr>
        <w:rPr>
          <w:rFonts w:cs="Arial"/>
        </w:rPr>
      </w:pPr>
      <w:r w:rsidRPr="000D74CA">
        <w:rPr>
          <w:rFonts w:cs="Arial"/>
        </w:rPr>
        <w:t xml:space="preserve">Alcohol-related liver disease was mentioned as the cause of death in 5,984 of 10,858 liver disease deaths of people below 75 years of age in England in 2023. The premature mortality rate increased from 15.4 deaths per 100,000 in 2001 to 21.9 deaths in 2023. Deprived populations had higher rates of death. However, these numbers only reveal the importance of preventive measures but not cover all ages and UK nations (Office for Health Improvement and Disparities, 2024). National mortality statistics compendiums present useful information for understanding long-term changes in population health. Local mortality statistics are helpful in discovering current disparities between regions and social groups, although both kinds of sources rely on the quality of routine coding and registration (NHS Digital, 2022, Office for Health Improvement and Disparities, 2024). There is no interchangeability of national and global statistics because of the difference in measured populations and outcomes. Coding and testing differences will affect comparative analysis, and therefore, planning must use the most relevant indicator (Tham </w:t>
      </w:r>
      <w:r w:rsidR="00753D25" w:rsidRPr="000D74CA">
        <w:rPr>
          <w:rFonts w:cs="Arial"/>
          <w:i/>
          <w:iCs/>
        </w:rPr>
        <w:t>et al</w:t>
      </w:r>
      <w:r w:rsidRPr="000D74CA">
        <w:rPr>
          <w:rFonts w:cs="Arial"/>
        </w:rPr>
        <w:t>., 2025, Office for Health Improvement and Disparities, 2024).</w:t>
      </w:r>
    </w:p>
    <w:p w14:paraId="42BB82BC" w14:textId="77777777" w:rsidR="00AB53D7" w:rsidRPr="000D74CA" w:rsidRDefault="00AB53D7" w:rsidP="00AB53D7">
      <w:pPr>
        <w:pStyle w:val="Heading1"/>
        <w:rPr>
          <w:rFonts w:ascii="Arial" w:hAnsi="Arial" w:cs="Arial"/>
          <w:sz w:val="22"/>
          <w:szCs w:val="22"/>
        </w:rPr>
      </w:pPr>
      <w:bookmarkStart w:id="2" w:name="_Toc243320473"/>
      <w:r w:rsidRPr="000D74CA">
        <w:rPr>
          <w:rFonts w:ascii="Arial" w:hAnsi="Arial" w:cs="Arial"/>
          <w:sz w:val="22"/>
          <w:szCs w:val="22"/>
        </w:rPr>
        <w:t>3. Risk factors</w:t>
      </w:r>
      <w:bookmarkEnd w:id="2"/>
    </w:p>
    <w:p w14:paraId="2E933B58" w14:textId="77777777" w:rsidR="00AB53D7" w:rsidRPr="000D74CA" w:rsidRDefault="00AB53D7" w:rsidP="00AB53D7">
      <w:pPr>
        <w:pStyle w:val="Heading2"/>
        <w:rPr>
          <w:rFonts w:ascii="Arial" w:hAnsi="Arial" w:cs="Arial"/>
          <w:sz w:val="22"/>
          <w:szCs w:val="22"/>
        </w:rPr>
      </w:pPr>
      <w:bookmarkStart w:id="3" w:name="_Toc243320474"/>
      <w:r w:rsidRPr="000D74CA">
        <w:rPr>
          <w:rFonts w:ascii="Arial" w:hAnsi="Arial" w:cs="Arial"/>
          <w:sz w:val="22"/>
          <w:szCs w:val="22"/>
        </w:rPr>
        <w:t>3.1 Modifiable risk factors</w:t>
      </w:r>
      <w:bookmarkEnd w:id="3"/>
    </w:p>
    <w:p w14:paraId="615858A9" w14:textId="77777777" w:rsidR="00AB53D7" w:rsidRPr="000D74CA" w:rsidRDefault="00AB53D7" w:rsidP="00AB53D7">
      <w:pPr>
        <w:rPr>
          <w:rFonts w:cs="Arial"/>
        </w:rPr>
      </w:pPr>
      <w:r w:rsidRPr="000D74CA">
        <w:rPr>
          <w:rFonts w:cs="Arial"/>
        </w:rPr>
        <w:t>Excessive alcohol consumption leads to fatty liver deposition, inflammation, fibrosis, and cirrhosis. The risk depends on quantity, pattern, duration and personal predisposition. Alcohol use disorder risk depends on accessibility, socio-cultural context, and treatment options (World Health Organization, 2024b). Alcohol addiction is a medical condition, not an issue of lack of willpower. Recommendation to stop alcohol use must link people to specialist treatment and medically assisted withdrawal (British Liver Trust, 2024, World Health Organization, 2024b, National Institute for Health and Care Excellence, 2023).</w:t>
      </w:r>
    </w:p>
    <w:p w14:paraId="154E465B" w14:textId="2781252C" w:rsidR="00AB53D7" w:rsidRPr="000D74CA" w:rsidRDefault="00AB53D7" w:rsidP="00AB53D7">
      <w:pPr>
        <w:rPr>
          <w:rFonts w:cs="Arial"/>
        </w:rPr>
      </w:pPr>
      <w:r w:rsidRPr="000D74CA">
        <w:rPr>
          <w:rFonts w:cs="Arial"/>
        </w:rPr>
        <w:lastRenderedPageBreak/>
        <w:t xml:space="preserve">Metabolic risk is another one. Overweight, type 2 diabetes, hypertension, elevated lipids, sedentary lifestyle, and calorie-dense diets can contribute to metabolic dysfunction associated with liver steatohepatitis. Older United States' guidelines use the term non-alcoholic fatty liver disease, while new international guidelines use metabolic dysfunction associated terms. Therefore, it is crucial to properly interpret older literature and understand that metabolic risks and alcohol abuse may coexist (Rinella </w:t>
      </w:r>
      <w:r w:rsidR="00753D25" w:rsidRPr="000D74CA">
        <w:rPr>
          <w:rFonts w:cs="Arial"/>
          <w:i/>
          <w:iCs/>
        </w:rPr>
        <w:t>et al</w:t>
      </w:r>
      <w:r w:rsidRPr="000D74CA">
        <w:rPr>
          <w:rFonts w:cs="Arial"/>
        </w:rPr>
        <w:t xml:space="preserve">., 2023, European Association for the Study of the Liver </w:t>
      </w:r>
      <w:r w:rsidR="00753D25" w:rsidRPr="000D74CA">
        <w:rPr>
          <w:rFonts w:cs="Arial"/>
          <w:i/>
          <w:iCs/>
        </w:rPr>
        <w:t>et al</w:t>
      </w:r>
      <w:r w:rsidRPr="000D74CA">
        <w:rPr>
          <w:rFonts w:cs="Arial"/>
        </w:rPr>
        <w:t xml:space="preserve">., 2024). The guidelines encourage sustainable weight loss, dietary quality, and physical activities; however, such recommendations are less applicable to the situation when there are no healthy foods available or safe opportunities for physical activity (European Association for the Study of the Liver </w:t>
      </w:r>
      <w:r w:rsidR="00753D25" w:rsidRPr="000D74CA">
        <w:rPr>
          <w:rFonts w:cs="Arial"/>
          <w:i/>
          <w:iCs/>
        </w:rPr>
        <w:t>et al</w:t>
      </w:r>
      <w:r w:rsidRPr="000D74CA">
        <w:rPr>
          <w:rFonts w:cs="Arial"/>
        </w:rPr>
        <w:t>., 2024).</w:t>
      </w:r>
    </w:p>
    <w:p w14:paraId="76EDC74E" w14:textId="77777777" w:rsidR="00AB53D7" w:rsidRPr="000D74CA" w:rsidRDefault="00AB53D7" w:rsidP="00AB53D7">
      <w:pPr>
        <w:rPr>
          <w:rFonts w:cs="Arial"/>
        </w:rPr>
      </w:pPr>
      <w:r w:rsidRPr="000D74CA">
        <w:rPr>
          <w:rFonts w:cs="Arial"/>
        </w:rPr>
        <w:t>Hepatitis B and C viruses may cause chronic inflammation and scarring. Screening and treatment help prevent the disease from advancing, while direct-acting antivirals can help cure hepatitis C. Injection equipment sharing and risk of exposure to blood are preventable risks. Also, medicines and herbal supplements can adversely affect liver, and clinicians have to assess all products, as natural does not mean safe (World Health Organization, 2024a, UK Health Security Agency, 2024, National Health Service, 2025).</w:t>
      </w:r>
    </w:p>
    <w:p w14:paraId="1B03E8A9" w14:textId="77777777" w:rsidR="00AB53D7" w:rsidRPr="000D74CA" w:rsidRDefault="00AB53D7" w:rsidP="00AB53D7">
      <w:pPr>
        <w:pStyle w:val="Heading2"/>
        <w:rPr>
          <w:rFonts w:ascii="Arial" w:hAnsi="Arial" w:cs="Arial"/>
          <w:sz w:val="22"/>
          <w:szCs w:val="22"/>
        </w:rPr>
      </w:pPr>
      <w:bookmarkStart w:id="4" w:name="_Toc243320475"/>
      <w:r w:rsidRPr="000D74CA">
        <w:rPr>
          <w:rFonts w:ascii="Arial" w:hAnsi="Arial" w:cs="Arial"/>
          <w:sz w:val="22"/>
          <w:szCs w:val="22"/>
        </w:rPr>
        <w:t xml:space="preserve">3.2 </w:t>
      </w:r>
      <w:proofErr w:type="gramStart"/>
      <w:r w:rsidRPr="000D74CA">
        <w:rPr>
          <w:rFonts w:ascii="Arial" w:hAnsi="Arial" w:cs="Arial"/>
          <w:sz w:val="22"/>
          <w:szCs w:val="22"/>
        </w:rPr>
        <w:t>Non-modifiable</w:t>
      </w:r>
      <w:proofErr w:type="gramEnd"/>
      <w:r w:rsidRPr="000D74CA">
        <w:rPr>
          <w:rFonts w:ascii="Arial" w:hAnsi="Arial" w:cs="Arial"/>
          <w:sz w:val="22"/>
          <w:szCs w:val="22"/>
        </w:rPr>
        <w:t xml:space="preserve"> risk factors</w:t>
      </w:r>
      <w:bookmarkEnd w:id="4"/>
    </w:p>
    <w:p w14:paraId="31C3F270" w14:textId="4780BAF3" w:rsidR="00AB53D7" w:rsidRPr="000D74CA" w:rsidRDefault="00AB53D7" w:rsidP="00AB53D7">
      <w:pPr>
        <w:rPr>
          <w:rFonts w:cs="Arial"/>
        </w:rPr>
      </w:pPr>
      <w:r w:rsidRPr="000D74CA">
        <w:rPr>
          <w:rFonts w:cs="Arial"/>
        </w:rPr>
        <w:t>Age, family history, and genetic predispositions may increase the risk. Autoimmune hepatitis, primary biliary cholangitis, primary sclerosing cholangitis, and haemochromatosis may be associated with liver damage, even in the absence of a particular lifestyle factor. Viral hepatitis exposure also differs depending on the country of birth, access to healthcare, and socioeconomic status. Case-control study among rural central India residents revealed some clinical and social risk factors, which demonstrates that the pattern of risks is population-specific (</w:t>
      </w:r>
      <w:proofErr w:type="spellStart"/>
      <w:r w:rsidRPr="000D74CA">
        <w:rPr>
          <w:rFonts w:cs="Arial"/>
        </w:rPr>
        <w:t>Banait</w:t>
      </w:r>
      <w:proofErr w:type="spellEnd"/>
      <w:r w:rsidRPr="000D74CA">
        <w:rPr>
          <w:rFonts w:cs="Arial"/>
        </w:rPr>
        <w:t xml:space="preserve"> </w:t>
      </w:r>
      <w:r w:rsidR="00753D25" w:rsidRPr="000D74CA">
        <w:rPr>
          <w:rFonts w:cs="Arial"/>
          <w:i/>
          <w:iCs/>
        </w:rPr>
        <w:t>et al</w:t>
      </w:r>
      <w:r w:rsidRPr="000D74CA">
        <w:rPr>
          <w:rFonts w:cs="Arial"/>
        </w:rPr>
        <w:t xml:space="preserve">., 2021, </w:t>
      </w:r>
      <w:proofErr w:type="spellStart"/>
      <w:r w:rsidRPr="000D74CA">
        <w:rPr>
          <w:rFonts w:cs="Arial"/>
        </w:rPr>
        <w:t>Cheemerla</w:t>
      </w:r>
      <w:proofErr w:type="spellEnd"/>
      <w:r w:rsidRPr="000D74CA">
        <w:rPr>
          <w:rFonts w:cs="Arial"/>
        </w:rPr>
        <w:t xml:space="preserve"> and Balakrishnan, 2021).</w:t>
      </w:r>
    </w:p>
    <w:p w14:paraId="51BDA4C3" w14:textId="187B8F69" w:rsidR="00A83A21" w:rsidRPr="000D74CA" w:rsidRDefault="00A83A21" w:rsidP="00A83A21">
      <w:pPr>
        <w:jc w:val="center"/>
        <w:rPr>
          <w:rFonts w:cs="Arial"/>
        </w:rPr>
      </w:pPr>
      <w:r w:rsidRPr="000D74CA">
        <w:rPr>
          <w:rFonts w:cs="Arial"/>
          <w:noProof/>
        </w:rPr>
        <w:lastRenderedPageBreak/>
        <w:drawing>
          <wp:inline distT="0" distB="0" distL="0" distR="0" wp14:anchorId="376C9FC6" wp14:editId="4F38DD55">
            <wp:extent cx="5715000" cy="4914900"/>
            <wp:effectExtent l="0" t="0" r="0" b="0"/>
            <wp:docPr id="2114344073" name="Picture 3" descr="Figure 2: Major causes and risk factors associated with cirrhosis and fatty liver dise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ure 2: Major causes and risk factors associated with cirrhosis and fatty liver disea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4914900"/>
                    </a:xfrm>
                    <a:prstGeom prst="rect">
                      <a:avLst/>
                    </a:prstGeom>
                    <a:noFill/>
                    <a:ln>
                      <a:noFill/>
                    </a:ln>
                  </pic:spPr>
                </pic:pic>
              </a:graphicData>
            </a:graphic>
          </wp:inline>
        </w:drawing>
      </w:r>
    </w:p>
    <w:p w14:paraId="5B860D11" w14:textId="73AA6C16" w:rsidR="0052432F" w:rsidRPr="000D74CA" w:rsidRDefault="00000000" w:rsidP="00AB53D7">
      <w:pPr>
        <w:keepLines/>
        <w:spacing w:before="80" w:after="40"/>
        <w:jc w:val="center"/>
        <w:rPr>
          <w:rFonts w:cs="Arial"/>
        </w:rPr>
      </w:pPr>
      <w:r w:rsidRPr="000D74CA">
        <w:rPr>
          <w:rFonts w:cs="Arial"/>
        </w:rPr>
        <w:t>Figure 2: Major causes and risk factors associated with cirrhosis and fatty liver disease</w:t>
      </w:r>
    </w:p>
    <w:p w14:paraId="40B03EB6" w14:textId="77777777" w:rsidR="0052432F" w:rsidRPr="000D74CA" w:rsidRDefault="00000000">
      <w:pPr>
        <w:pStyle w:val="SourceNote"/>
        <w:rPr>
          <w:rFonts w:cs="Arial"/>
          <w:sz w:val="22"/>
        </w:rPr>
      </w:pPr>
      <w:r w:rsidRPr="000D74CA">
        <w:rPr>
          <w:rFonts w:cs="Arial"/>
          <w:sz w:val="22"/>
        </w:rPr>
        <w:t xml:space="preserve">Source: National Institute of Diabetes and Digestive and Kidney Diseases (2024), Cirrhosis and fatty liver disease: causes and risk factors. Available at: </w:t>
      </w:r>
      <w:hyperlink r:id="rId12">
        <w:r w:rsidR="0052432F" w:rsidRPr="000D74CA">
          <w:rPr>
            <w:rFonts w:cs="Arial"/>
            <w:color w:val="0563C1"/>
            <w:sz w:val="22"/>
            <w:u w:val="single"/>
          </w:rPr>
          <w:t>https://www.niddk.nih.gov/news/media-library/24418</w:t>
        </w:r>
      </w:hyperlink>
      <w:r w:rsidRPr="000D74CA">
        <w:rPr>
          <w:rFonts w:cs="Arial"/>
          <w:sz w:val="22"/>
        </w:rPr>
        <w:t xml:space="preserve"> (Accessed: 19 October 2026).</w:t>
      </w:r>
    </w:p>
    <w:p w14:paraId="6E4F63BD" w14:textId="41A0B57B" w:rsidR="00DA345A" w:rsidRPr="000D74CA" w:rsidRDefault="00DA345A" w:rsidP="00DA345A">
      <w:pPr>
        <w:rPr>
          <w:rFonts w:cs="Arial"/>
        </w:rPr>
      </w:pPr>
      <w:r w:rsidRPr="000D74CA">
        <w:rPr>
          <w:rFonts w:cs="Arial"/>
        </w:rPr>
        <w:t xml:space="preserve">The risk assessment process must take into account alcohol consumption, metabolic health, infections, family history, drugs, deprivation, and care barriers. This approach may contribute to increased stigmatization and neglect important aspects of treatment and health policy (European Association for the Study of the Liver </w:t>
      </w:r>
      <w:r w:rsidR="00753D25" w:rsidRPr="000D74CA">
        <w:rPr>
          <w:rFonts w:cs="Arial"/>
          <w:i/>
          <w:iCs/>
        </w:rPr>
        <w:t>et al</w:t>
      </w:r>
      <w:r w:rsidRPr="000D74CA">
        <w:rPr>
          <w:rFonts w:cs="Arial"/>
        </w:rPr>
        <w:t>., 2024, Office for Health Improvement and Disparities, 2024). For this reason, prevention requires personal measures as well as interventions at the population level. They include access to alcohol services, hepatitis testing and vaccination, improved nutrition environment, and information in various languages. These measures tackle various factors instead of assuming that chronic liver disease is associated only with certain lifestyles (World Health Organization, 2022, UK Health Security Agency, 2024).</w:t>
      </w:r>
    </w:p>
    <w:p w14:paraId="1557D2C5" w14:textId="225692ED" w:rsidR="0052432F" w:rsidRPr="000D74CA" w:rsidRDefault="00000000">
      <w:pPr>
        <w:pStyle w:val="Heading1"/>
        <w:rPr>
          <w:rFonts w:ascii="Arial" w:hAnsi="Arial" w:cs="Arial"/>
          <w:sz w:val="22"/>
          <w:szCs w:val="22"/>
        </w:rPr>
      </w:pPr>
      <w:bookmarkStart w:id="5" w:name="_Toc243320476"/>
      <w:r w:rsidRPr="000D74CA">
        <w:rPr>
          <w:rFonts w:ascii="Arial" w:hAnsi="Arial" w:cs="Arial"/>
          <w:sz w:val="22"/>
          <w:szCs w:val="22"/>
        </w:rPr>
        <w:lastRenderedPageBreak/>
        <w:t>4. Aim</w:t>
      </w:r>
      <w:bookmarkEnd w:id="5"/>
    </w:p>
    <w:p w14:paraId="653D7C72" w14:textId="77777777" w:rsidR="0052432F" w:rsidRPr="000D74CA" w:rsidRDefault="00000000">
      <w:pPr>
        <w:rPr>
          <w:rFonts w:cs="Arial"/>
        </w:rPr>
      </w:pPr>
      <w:r w:rsidRPr="000D74CA">
        <w:rPr>
          <w:rFonts w:cs="Arial"/>
        </w:rPr>
        <w:t>This booklet evaluates the burden, causes, effects and management of chronic liver disease, with attention to person-</w:t>
      </w:r>
      <w:proofErr w:type="spellStart"/>
      <w:r w:rsidRPr="000D74CA">
        <w:rPr>
          <w:rFonts w:cs="Arial"/>
        </w:rPr>
        <w:t>centred</w:t>
      </w:r>
      <w:proofErr w:type="spellEnd"/>
      <w:r w:rsidRPr="000D74CA">
        <w:rPr>
          <w:rFonts w:cs="Arial"/>
        </w:rPr>
        <w:t xml:space="preserve"> care, UK policy and coordinated long-term support.</w:t>
      </w:r>
    </w:p>
    <w:p w14:paraId="02DC1A0D" w14:textId="77777777" w:rsidR="0052432F" w:rsidRPr="000D74CA" w:rsidRDefault="00000000">
      <w:pPr>
        <w:pStyle w:val="Heading1"/>
        <w:rPr>
          <w:rFonts w:ascii="Arial" w:hAnsi="Arial" w:cs="Arial"/>
          <w:sz w:val="22"/>
          <w:szCs w:val="22"/>
        </w:rPr>
      </w:pPr>
      <w:bookmarkStart w:id="6" w:name="_Toc243320477"/>
      <w:r w:rsidRPr="000D74CA">
        <w:rPr>
          <w:rFonts w:ascii="Arial" w:hAnsi="Arial" w:cs="Arial"/>
          <w:sz w:val="22"/>
          <w:szCs w:val="22"/>
        </w:rPr>
        <w:t>5. Physical, Psychological and Social Implications</w:t>
      </w:r>
      <w:bookmarkEnd w:id="6"/>
    </w:p>
    <w:p w14:paraId="50E02922" w14:textId="77777777" w:rsidR="0052432F" w:rsidRPr="000D74CA" w:rsidRDefault="00000000">
      <w:pPr>
        <w:pStyle w:val="Heading2"/>
        <w:rPr>
          <w:rFonts w:ascii="Arial" w:hAnsi="Arial" w:cs="Arial"/>
          <w:sz w:val="22"/>
          <w:szCs w:val="22"/>
        </w:rPr>
      </w:pPr>
      <w:bookmarkStart w:id="7" w:name="_Toc243320478"/>
      <w:r w:rsidRPr="000D74CA">
        <w:rPr>
          <w:rFonts w:ascii="Arial" w:hAnsi="Arial" w:cs="Arial"/>
          <w:sz w:val="22"/>
          <w:szCs w:val="22"/>
        </w:rPr>
        <w:t>5.1 Physical implications</w:t>
      </w:r>
      <w:bookmarkEnd w:id="7"/>
    </w:p>
    <w:p w14:paraId="034B76B8" w14:textId="52D7A186" w:rsidR="00DA345A" w:rsidRPr="000D74CA" w:rsidRDefault="00DA345A" w:rsidP="00DA345A">
      <w:pPr>
        <w:rPr>
          <w:rFonts w:cs="Arial"/>
        </w:rPr>
      </w:pPr>
      <w:r w:rsidRPr="000D74CA">
        <w:rPr>
          <w:rFonts w:cs="Arial"/>
        </w:rPr>
        <w:t xml:space="preserve">Liver disease may advance from asymptomatic stages to cirrhosis and liver failure. Possible complications involve portal hypertension, ascites, bleeding from dilated veins, infections, kidney problems, muscle wasting, malnutrition, encephalopathy, and liver cancer. Such complications tend to interconnect, causing a number of conditions in patients simultaneously (Fadlallah </w:t>
      </w:r>
      <w:r w:rsidR="00753D25" w:rsidRPr="000D74CA">
        <w:rPr>
          <w:rFonts w:cs="Arial"/>
          <w:i/>
          <w:iCs/>
        </w:rPr>
        <w:t>et al</w:t>
      </w:r>
      <w:r w:rsidRPr="000D74CA">
        <w:rPr>
          <w:rFonts w:cs="Arial"/>
        </w:rPr>
        <w:t>., 2025).</w:t>
      </w:r>
    </w:p>
    <w:p w14:paraId="7CD54027" w14:textId="4EC9B5DA" w:rsidR="00A83A21" w:rsidRPr="000D74CA" w:rsidRDefault="00A83A21" w:rsidP="00A83A21">
      <w:pPr>
        <w:rPr>
          <w:rFonts w:cs="Arial"/>
        </w:rPr>
      </w:pPr>
      <w:r w:rsidRPr="000D74CA">
        <w:rPr>
          <w:rFonts w:cs="Arial"/>
          <w:noProof/>
        </w:rPr>
        <w:drawing>
          <wp:inline distT="0" distB="0" distL="0" distR="0" wp14:anchorId="4912C61F" wp14:editId="0720C090">
            <wp:extent cx="5731510" cy="5174615"/>
            <wp:effectExtent l="0" t="0" r="2540" b="6985"/>
            <wp:docPr id="1620325420" name="Picture 4" descr="Figure 3: Major physical complications of liver cirrhosis across body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gure 3: Major physical complications of liver cirrhosis across body system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174615"/>
                    </a:xfrm>
                    <a:prstGeom prst="rect">
                      <a:avLst/>
                    </a:prstGeom>
                    <a:noFill/>
                    <a:ln>
                      <a:noFill/>
                    </a:ln>
                  </pic:spPr>
                </pic:pic>
              </a:graphicData>
            </a:graphic>
          </wp:inline>
        </w:drawing>
      </w:r>
    </w:p>
    <w:p w14:paraId="404FD2B8" w14:textId="3746581F" w:rsidR="0052432F" w:rsidRPr="000D74CA" w:rsidRDefault="00000000" w:rsidP="00DA345A">
      <w:pPr>
        <w:keepLines/>
        <w:spacing w:before="80" w:after="40"/>
        <w:jc w:val="center"/>
        <w:rPr>
          <w:rFonts w:cs="Arial"/>
        </w:rPr>
      </w:pPr>
      <w:r w:rsidRPr="000D74CA">
        <w:rPr>
          <w:rFonts w:cs="Arial"/>
        </w:rPr>
        <w:t>Figure 3: Major physical complications of liver cirrhosis across body systems</w:t>
      </w:r>
    </w:p>
    <w:p w14:paraId="5153B329" w14:textId="3492EAA1" w:rsidR="0052432F" w:rsidRPr="000D74CA" w:rsidRDefault="00000000">
      <w:pPr>
        <w:pStyle w:val="SourceNote"/>
        <w:rPr>
          <w:rFonts w:cs="Arial"/>
          <w:sz w:val="22"/>
        </w:rPr>
      </w:pPr>
      <w:r w:rsidRPr="000D74CA">
        <w:rPr>
          <w:rFonts w:cs="Arial"/>
          <w:sz w:val="22"/>
        </w:rPr>
        <w:lastRenderedPageBreak/>
        <w:t xml:space="preserve">Source: Fadlallah </w:t>
      </w:r>
      <w:r w:rsidR="00753D25" w:rsidRPr="000D74CA">
        <w:rPr>
          <w:rFonts w:cs="Arial"/>
          <w:i/>
          <w:iCs/>
          <w:sz w:val="22"/>
        </w:rPr>
        <w:t>et al</w:t>
      </w:r>
      <w:r w:rsidRPr="000D74CA">
        <w:rPr>
          <w:rFonts w:cs="Arial"/>
          <w:sz w:val="22"/>
        </w:rPr>
        <w:t xml:space="preserve">. (2025), Update on the complications and management of liver cirrhosis. Available at: </w:t>
      </w:r>
      <w:hyperlink r:id="rId14">
        <w:r w:rsidR="0052432F" w:rsidRPr="000D74CA">
          <w:rPr>
            <w:rFonts w:cs="Arial"/>
            <w:color w:val="0563C1"/>
            <w:sz w:val="22"/>
            <w:u w:val="single"/>
          </w:rPr>
          <w:t>https://www.mdpi.com/2076-3271/13/1/13</w:t>
        </w:r>
      </w:hyperlink>
      <w:r w:rsidRPr="000D74CA">
        <w:rPr>
          <w:rFonts w:cs="Arial"/>
          <w:sz w:val="22"/>
        </w:rPr>
        <w:t xml:space="preserve"> (Accessed: 19 October 2026).</w:t>
      </w:r>
    </w:p>
    <w:p w14:paraId="12E37E5E" w14:textId="0853BC90" w:rsidR="00DA345A" w:rsidRPr="000D74CA" w:rsidRDefault="00DA345A" w:rsidP="00DA345A">
      <w:pPr>
        <w:rPr>
          <w:rFonts w:cs="Arial"/>
        </w:rPr>
      </w:pPr>
      <w:r w:rsidRPr="000D74CA">
        <w:rPr>
          <w:rFonts w:cs="Arial"/>
        </w:rPr>
        <w:t xml:space="preserve">Physical effects may include weakness, difficulty with work, hospitalizations and loss of independence. Management should move beyond liver blood tests and consider fibrosis, nutrition, muscle strength, symptoms and the risk of complications (National Institute for Health and Care Excellence, 2023, Mansour </w:t>
      </w:r>
      <w:r w:rsidR="00753D25" w:rsidRPr="000D74CA">
        <w:rPr>
          <w:rFonts w:cs="Arial"/>
          <w:i/>
          <w:iCs/>
        </w:rPr>
        <w:t>et al</w:t>
      </w:r>
      <w:r w:rsidRPr="000D74CA">
        <w:rPr>
          <w:rFonts w:cs="Arial"/>
        </w:rPr>
        <w:t xml:space="preserve">., 2023a). Routine blood tests may under-represent fibrosis, so non-invasive evaluation and re-review could be preferable to one-off testing. Nutrition and muscle status are important as malnutrition and frailty affect outcomes (Lai </w:t>
      </w:r>
      <w:r w:rsidR="00753D25" w:rsidRPr="000D74CA">
        <w:rPr>
          <w:rFonts w:cs="Arial"/>
          <w:i/>
          <w:iCs/>
        </w:rPr>
        <w:t>et al</w:t>
      </w:r>
      <w:r w:rsidRPr="000D74CA">
        <w:rPr>
          <w:rFonts w:cs="Arial"/>
        </w:rPr>
        <w:t>., 2021).</w:t>
      </w:r>
    </w:p>
    <w:p w14:paraId="3C73850F" w14:textId="77777777" w:rsidR="00DA345A" w:rsidRPr="000D74CA" w:rsidRDefault="00DA345A" w:rsidP="00DA345A">
      <w:pPr>
        <w:pStyle w:val="Heading2"/>
        <w:rPr>
          <w:rFonts w:ascii="Arial" w:hAnsi="Arial" w:cs="Arial"/>
          <w:sz w:val="22"/>
          <w:szCs w:val="22"/>
        </w:rPr>
      </w:pPr>
      <w:bookmarkStart w:id="8" w:name="_Toc243320479"/>
      <w:r w:rsidRPr="000D74CA">
        <w:rPr>
          <w:rFonts w:ascii="Arial" w:hAnsi="Arial" w:cs="Arial"/>
          <w:sz w:val="22"/>
          <w:szCs w:val="22"/>
        </w:rPr>
        <w:t>5.2 Psychosocial aspects</w:t>
      </w:r>
      <w:bookmarkEnd w:id="8"/>
    </w:p>
    <w:p w14:paraId="36C47108" w14:textId="77777777" w:rsidR="00DA345A" w:rsidRPr="000D74CA" w:rsidRDefault="00DA345A" w:rsidP="00DA345A">
      <w:pPr>
        <w:rPr>
          <w:rFonts w:cs="Arial"/>
        </w:rPr>
      </w:pPr>
      <w:r w:rsidRPr="000D74CA">
        <w:rPr>
          <w:rFonts w:cs="Arial"/>
        </w:rPr>
        <w:t xml:space="preserve">People may fear cancer and liver failure and feel guilty, uncertain, anxious or depressed. Depression and anxiety were found to be higher in cirrhosis and associated with lower quality of life, worse symptoms and reduced treatment effectiveness by </w:t>
      </w:r>
      <w:proofErr w:type="spellStart"/>
      <w:r w:rsidRPr="000D74CA">
        <w:rPr>
          <w:rFonts w:cs="Arial"/>
        </w:rPr>
        <w:t>Zimbrean</w:t>
      </w:r>
      <w:proofErr w:type="spellEnd"/>
      <w:r w:rsidRPr="000D74CA">
        <w:rPr>
          <w:rFonts w:cs="Arial"/>
        </w:rPr>
        <w:t xml:space="preserve"> and Jakab. Fatigue and insomnia should not always be considered purely physical phenomena (</w:t>
      </w:r>
      <w:proofErr w:type="spellStart"/>
      <w:r w:rsidRPr="000D74CA">
        <w:rPr>
          <w:rFonts w:cs="Arial"/>
        </w:rPr>
        <w:t>Zimbrean</w:t>
      </w:r>
      <w:proofErr w:type="spellEnd"/>
      <w:r w:rsidRPr="000D74CA">
        <w:rPr>
          <w:rFonts w:cs="Arial"/>
        </w:rPr>
        <w:t xml:space="preserve"> and Jakab, 2025).</w:t>
      </w:r>
    </w:p>
    <w:p w14:paraId="29311EEB" w14:textId="2A213BAC" w:rsidR="00DA345A" w:rsidRPr="000D74CA" w:rsidRDefault="00DA345A" w:rsidP="00DA345A">
      <w:pPr>
        <w:rPr>
          <w:rFonts w:cs="Arial"/>
        </w:rPr>
      </w:pPr>
      <w:r w:rsidRPr="000D74CA">
        <w:rPr>
          <w:rFonts w:cs="Arial"/>
        </w:rPr>
        <w:t xml:space="preserve">Alcohol-related stigma may prevent patients from undergoing testing and follow-up as well as disclosing their condition to clinicians. Providers should consider mood issues and alcohol consumption when asking people, and provide appropriate psychological help and treatment of dependence in liver care. Testing requires a referral pathway for evaluation and treatment (Rogal </w:t>
      </w:r>
      <w:r w:rsidR="00753D25" w:rsidRPr="000D74CA">
        <w:rPr>
          <w:rFonts w:cs="Arial"/>
          <w:i/>
          <w:iCs/>
        </w:rPr>
        <w:t>et al</w:t>
      </w:r>
      <w:r w:rsidRPr="000D74CA">
        <w:rPr>
          <w:rFonts w:cs="Arial"/>
        </w:rPr>
        <w:t xml:space="preserve">., 2022, </w:t>
      </w:r>
      <w:proofErr w:type="spellStart"/>
      <w:r w:rsidRPr="000D74CA">
        <w:rPr>
          <w:rFonts w:cs="Arial"/>
        </w:rPr>
        <w:t>Zimbrean</w:t>
      </w:r>
      <w:proofErr w:type="spellEnd"/>
      <w:r w:rsidRPr="000D74CA">
        <w:rPr>
          <w:rFonts w:cs="Arial"/>
        </w:rPr>
        <w:t xml:space="preserve"> and Jakab, 2025). Psychiatric evaluation should cover the issue of sleep, cognition and medication management. Hepatic encephalopathy mimics other conditions, so evaluation is necessary. Support should be tailored to each patient (</w:t>
      </w:r>
      <w:proofErr w:type="spellStart"/>
      <w:r w:rsidRPr="000D74CA">
        <w:rPr>
          <w:rFonts w:cs="Arial"/>
        </w:rPr>
        <w:t>Zimbrean</w:t>
      </w:r>
      <w:proofErr w:type="spellEnd"/>
      <w:r w:rsidRPr="000D74CA">
        <w:rPr>
          <w:rFonts w:cs="Arial"/>
        </w:rPr>
        <w:t xml:space="preserve"> and Jakab, 2025).</w:t>
      </w:r>
    </w:p>
    <w:p w14:paraId="5C7BDD22" w14:textId="77777777" w:rsidR="00DA345A" w:rsidRPr="000D74CA" w:rsidRDefault="00DA345A" w:rsidP="00DA345A">
      <w:pPr>
        <w:pStyle w:val="Heading2"/>
        <w:rPr>
          <w:rFonts w:ascii="Arial" w:hAnsi="Arial" w:cs="Arial"/>
          <w:sz w:val="22"/>
          <w:szCs w:val="22"/>
        </w:rPr>
      </w:pPr>
      <w:bookmarkStart w:id="9" w:name="_Toc243320480"/>
      <w:r w:rsidRPr="000D74CA">
        <w:rPr>
          <w:rFonts w:ascii="Arial" w:hAnsi="Arial" w:cs="Arial"/>
          <w:sz w:val="22"/>
          <w:szCs w:val="22"/>
        </w:rPr>
        <w:t>5.3 Social aspects</w:t>
      </w:r>
      <w:bookmarkEnd w:id="9"/>
    </w:p>
    <w:p w14:paraId="2C42343D" w14:textId="5CFA78A2" w:rsidR="00DA345A" w:rsidRPr="000D74CA" w:rsidRDefault="00DA345A" w:rsidP="00DA345A">
      <w:pPr>
        <w:rPr>
          <w:rFonts w:cs="Arial"/>
        </w:rPr>
      </w:pPr>
      <w:r w:rsidRPr="000D74CA">
        <w:rPr>
          <w:rFonts w:cs="Arial"/>
        </w:rPr>
        <w:t xml:space="preserve">Patients' appointments, fatigue, nutritional changes and </w:t>
      </w:r>
      <w:proofErr w:type="spellStart"/>
      <w:r w:rsidRPr="000D74CA">
        <w:rPr>
          <w:rFonts w:cs="Arial"/>
        </w:rPr>
        <w:t>hospitalisation</w:t>
      </w:r>
      <w:proofErr w:type="spellEnd"/>
      <w:r w:rsidRPr="000D74CA">
        <w:rPr>
          <w:rFonts w:cs="Arial"/>
        </w:rPr>
        <w:t xml:space="preserve"> can negatively impact their work, financial situation, place of living and relationships. Patients who have low incomes may have difficulties with transport, visiting clinics or recommended foods. The connection between deprivation and premature liver mortality rates in England reveals that education alone is not enough to </w:t>
      </w:r>
      <w:proofErr w:type="spellStart"/>
      <w:r w:rsidRPr="000D74CA">
        <w:rPr>
          <w:rFonts w:cs="Arial"/>
        </w:rPr>
        <w:t>equalise</w:t>
      </w:r>
      <w:proofErr w:type="spellEnd"/>
      <w:r w:rsidRPr="000D74CA">
        <w:rPr>
          <w:rFonts w:cs="Arial"/>
        </w:rPr>
        <w:t xml:space="preserve"> outcomes (Office for Health Improvement and Disparities, 2024).</w:t>
      </w:r>
    </w:p>
    <w:p w14:paraId="7753B95C" w14:textId="012DD389" w:rsidR="00DA345A" w:rsidRPr="000D74CA" w:rsidRDefault="00DA345A" w:rsidP="00DA345A">
      <w:pPr>
        <w:rPr>
          <w:rFonts w:cs="Arial"/>
        </w:rPr>
      </w:pPr>
      <w:r w:rsidRPr="000D74CA">
        <w:rPr>
          <w:rFonts w:cs="Arial"/>
        </w:rPr>
        <w:t xml:space="preserve">Relatives can provide transport, medication reminders, and assistance during confusion and illness deterioration, resulting in emotional, physical, and financial pressure. Some studies highlight quality-of-life problems and caregiver burden among patients with cirrhosis. Informed consent from patients must allow health care services to evaluate caregivers’ needs and </w:t>
      </w:r>
      <w:r w:rsidRPr="000D74CA">
        <w:rPr>
          <w:rFonts w:cs="Arial"/>
        </w:rPr>
        <w:lastRenderedPageBreak/>
        <w:t>provide practical assistance (</w:t>
      </w:r>
      <w:proofErr w:type="spellStart"/>
      <w:r w:rsidRPr="000D74CA">
        <w:rPr>
          <w:rFonts w:cs="Arial"/>
        </w:rPr>
        <w:t>Hareendran</w:t>
      </w:r>
      <w:proofErr w:type="spellEnd"/>
      <w:r w:rsidRPr="000D74CA">
        <w:rPr>
          <w:rFonts w:cs="Arial"/>
        </w:rPr>
        <w:t xml:space="preserve"> </w:t>
      </w:r>
      <w:r w:rsidR="00753D25" w:rsidRPr="000D74CA">
        <w:rPr>
          <w:rFonts w:cs="Arial"/>
          <w:i/>
          <w:iCs/>
        </w:rPr>
        <w:t>et al</w:t>
      </w:r>
      <w:r w:rsidRPr="000D74CA">
        <w:rPr>
          <w:rFonts w:cs="Arial"/>
        </w:rPr>
        <w:t xml:space="preserve">., 2020; Ching </w:t>
      </w:r>
      <w:r w:rsidR="00753D25" w:rsidRPr="000D74CA">
        <w:rPr>
          <w:rFonts w:cs="Arial"/>
          <w:i/>
          <w:iCs/>
        </w:rPr>
        <w:t>et al</w:t>
      </w:r>
      <w:r w:rsidRPr="000D74CA">
        <w:rPr>
          <w:rFonts w:cs="Arial"/>
        </w:rPr>
        <w:t xml:space="preserve">., 2025). Family support is not something that must be considered to be present and applicable in all cases. A contact professional and an emergency plan can help eliminate any confusion while ensuring privacy (Rogal </w:t>
      </w:r>
      <w:r w:rsidR="00753D25" w:rsidRPr="000D74CA">
        <w:rPr>
          <w:rFonts w:cs="Arial"/>
          <w:i/>
          <w:iCs/>
        </w:rPr>
        <w:t>et al</w:t>
      </w:r>
      <w:r w:rsidRPr="000D74CA">
        <w:rPr>
          <w:rFonts w:cs="Arial"/>
        </w:rPr>
        <w:t>., 2022).</w:t>
      </w:r>
    </w:p>
    <w:p w14:paraId="7A8A478E" w14:textId="77777777" w:rsidR="0052432F" w:rsidRPr="000D74CA" w:rsidRDefault="00000000">
      <w:pPr>
        <w:pStyle w:val="Heading1"/>
        <w:rPr>
          <w:rFonts w:ascii="Arial" w:hAnsi="Arial" w:cs="Arial"/>
          <w:sz w:val="22"/>
          <w:szCs w:val="22"/>
        </w:rPr>
      </w:pPr>
      <w:bookmarkStart w:id="10" w:name="_Toc243320481"/>
      <w:r w:rsidRPr="000D74CA">
        <w:rPr>
          <w:rFonts w:ascii="Arial" w:hAnsi="Arial" w:cs="Arial"/>
          <w:sz w:val="22"/>
          <w:szCs w:val="22"/>
        </w:rPr>
        <w:t>6. Evidence-Based Treatment and Management Through the National Health Service</w:t>
      </w:r>
      <w:bookmarkEnd w:id="10"/>
    </w:p>
    <w:p w14:paraId="09AC5D54" w14:textId="136A3F8A" w:rsidR="00DA345A" w:rsidRPr="000D74CA" w:rsidRDefault="00DA345A" w:rsidP="00DA345A">
      <w:pPr>
        <w:rPr>
          <w:rFonts w:cs="Arial"/>
        </w:rPr>
      </w:pPr>
      <w:r w:rsidRPr="000D74CA">
        <w:rPr>
          <w:rFonts w:cs="Arial"/>
        </w:rPr>
        <w:t xml:space="preserve">Treatment varies depending on the cause, disease stage and comorbidity. Treatment for alcohol-associated liver disease involves support for abstinence and supervised withdrawal in case dependence requires it. Metabolic dysfunction-associated </w:t>
      </w:r>
      <w:proofErr w:type="spellStart"/>
      <w:r w:rsidRPr="000D74CA">
        <w:rPr>
          <w:rFonts w:cs="Arial"/>
        </w:rPr>
        <w:t>steatotic</w:t>
      </w:r>
      <w:proofErr w:type="spellEnd"/>
      <w:r w:rsidRPr="000D74CA">
        <w:rPr>
          <w:rFonts w:cs="Arial"/>
        </w:rPr>
        <w:t xml:space="preserve"> liver disease benefits from sustainable eating habits, exercise and weight reduction. Treatment advice includes promoting overall heart and metabolic health rather than just the liver health (National Institute for Health and Care Excellence, 2023, European Association for the Study of the Liver </w:t>
      </w:r>
      <w:r w:rsidR="00753D25" w:rsidRPr="000D74CA">
        <w:rPr>
          <w:rFonts w:cs="Arial"/>
          <w:i/>
          <w:iCs/>
        </w:rPr>
        <w:t>et al</w:t>
      </w:r>
      <w:r w:rsidRPr="000D74CA">
        <w:rPr>
          <w:rFonts w:cs="Arial"/>
        </w:rPr>
        <w:t>., 2024).</w:t>
      </w:r>
    </w:p>
    <w:p w14:paraId="3485141E" w14:textId="19347662" w:rsidR="00DA345A" w:rsidRPr="000D74CA" w:rsidRDefault="00DA345A" w:rsidP="00DA345A">
      <w:pPr>
        <w:rPr>
          <w:rFonts w:cs="Arial"/>
        </w:rPr>
      </w:pPr>
      <w:r w:rsidRPr="000D74CA">
        <w:rPr>
          <w:rFonts w:cs="Arial"/>
        </w:rPr>
        <w:t xml:space="preserve">Treatment with direct-acting antivirals cures most hepatitis C cases, whereas hepatitis B requires lifelong antiviral treatment. Immunosuppression might be required for autoimmune hepatitis. Specific treatment is required for cholestatic diseases. It is critical for a correct diagnosis because the lifestyle support cannot substitute the antiviral treatment, immune system treatment and other treatments (World Health Organization, 2024a, UK Health Security Agency, 2024, </w:t>
      </w:r>
      <w:proofErr w:type="spellStart"/>
      <w:r w:rsidRPr="000D74CA">
        <w:rPr>
          <w:rFonts w:cs="Arial"/>
        </w:rPr>
        <w:t>Yoshiji</w:t>
      </w:r>
      <w:proofErr w:type="spellEnd"/>
      <w:r w:rsidRPr="000D74CA">
        <w:rPr>
          <w:rFonts w:cs="Arial"/>
        </w:rPr>
        <w:t xml:space="preserve"> </w:t>
      </w:r>
      <w:r w:rsidR="00753D25" w:rsidRPr="000D74CA">
        <w:rPr>
          <w:rFonts w:cs="Arial"/>
          <w:i/>
          <w:iCs/>
        </w:rPr>
        <w:t>et al</w:t>
      </w:r>
      <w:r w:rsidRPr="000D74CA">
        <w:rPr>
          <w:rFonts w:cs="Arial"/>
        </w:rPr>
        <w:t>., 2021).</w:t>
      </w:r>
    </w:p>
    <w:p w14:paraId="2DA2C5E3" w14:textId="5B9A416F" w:rsidR="00DA345A" w:rsidRPr="000D74CA" w:rsidRDefault="00DA345A" w:rsidP="00DA345A">
      <w:pPr>
        <w:rPr>
          <w:rFonts w:cs="Arial"/>
        </w:rPr>
      </w:pPr>
      <w:r w:rsidRPr="000D74CA">
        <w:rPr>
          <w:rFonts w:cs="Arial"/>
        </w:rPr>
        <w:t xml:space="preserve">Treatment for cirrhosis is targeted at preventing its complications and involves taking medicines that reduce portal pressure, endoscopy for varices, diuretics for ascites, lactulose for hepatic encephalopathy, infection prevention, nutrition and screening for liver cancer. High-risk individuals require specialist assessment. National guidelines recommend six-monthly liver ultrasound for appropriate patients with cirrhosis (National Institute for Health and Care Excellence, 2023, Mansour </w:t>
      </w:r>
      <w:r w:rsidR="00753D25" w:rsidRPr="000D74CA">
        <w:rPr>
          <w:rFonts w:cs="Arial"/>
          <w:i/>
          <w:iCs/>
        </w:rPr>
        <w:t>et al</w:t>
      </w:r>
      <w:r w:rsidRPr="000D74CA">
        <w:rPr>
          <w:rFonts w:cs="Arial"/>
        </w:rPr>
        <w:t xml:space="preserve">., 2023b, De </w:t>
      </w:r>
      <w:proofErr w:type="spellStart"/>
      <w:r w:rsidRPr="000D74CA">
        <w:rPr>
          <w:rFonts w:cs="Arial"/>
        </w:rPr>
        <w:t>Franchis</w:t>
      </w:r>
      <w:proofErr w:type="spellEnd"/>
      <w:r w:rsidRPr="000D74CA">
        <w:rPr>
          <w:rFonts w:cs="Arial"/>
        </w:rPr>
        <w:t xml:space="preserve"> </w:t>
      </w:r>
      <w:r w:rsidR="00753D25" w:rsidRPr="000D74CA">
        <w:rPr>
          <w:rFonts w:cs="Arial"/>
          <w:i/>
          <w:iCs/>
        </w:rPr>
        <w:t>et al</w:t>
      </w:r>
      <w:r w:rsidRPr="000D74CA">
        <w:rPr>
          <w:rFonts w:cs="Arial"/>
        </w:rPr>
        <w:t>., 2022).</w:t>
      </w:r>
    </w:p>
    <w:p w14:paraId="6B6D57B8" w14:textId="316D1B00" w:rsidR="00A83A21" w:rsidRPr="000D74CA" w:rsidRDefault="00A83A21" w:rsidP="00A83A21">
      <w:pPr>
        <w:jc w:val="center"/>
        <w:rPr>
          <w:rFonts w:cs="Arial"/>
        </w:rPr>
      </w:pPr>
      <w:r w:rsidRPr="000D74CA">
        <w:rPr>
          <w:rFonts w:cs="Arial"/>
          <w:noProof/>
        </w:rPr>
        <w:lastRenderedPageBreak/>
        <w:drawing>
          <wp:inline distT="0" distB="0" distL="0" distR="0" wp14:anchorId="0F5496A0" wp14:editId="31073880">
            <wp:extent cx="5731510" cy="3152140"/>
            <wp:effectExtent l="0" t="0" r="2540" b="0"/>
            <wp:docPr id="1580619722" name="Picture 5" descr="Figure 4: Lifestyle management algorithm for metabolic dysfunction-associated steatotic liver dise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igure 4: Lifestyle management algorithm for metabolic dysfunction-associated steatotic liver diseas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52140"/>
                    </a:xfrm>
                    <a:prstGeom prst="rect">
                      <a:avLst/>
                    </a:prstGeom>
                    <a:noFill/>
                    <a:ln>
                      <a:noFill/>
                    </a:ln>
                  </pic:spPr>
                </pic:pic>
              </a:graphicData>
            </a:graphic>
          </wp:inline>
        </w:drawing>
      </w:r>
    </w:p>
    <w:p w14:paraId="0CA180BF" w14:textId="00BD207C" w:rsidR="0052432F" w:rsidRPr="000D74CA" w:rsidRDefault="0052432F">
      <w:pPr>
        <w:keepLines/>
        <w:spacing w:before="80" w:after="40"/>
        <w:jc w:val="center"/>
        <w:rPr>
          <w:rFonts w:cs="Arial"/>
        </w:rPr>
      </w:pPr>
    </w:p>
    <w:p w14:paraId="2AD4E991" w14:textId="77777777" w:rsidR="0052432F" w:rsidRPr="000D74CA" w:rsidRDefault="00000000">
      <w:pPr>
        <w:pStyle w:val="FigureCaption"/>
        <w:rPr>
          <w:rFonts w:cs="Arial"/>
          <w:sz w:val="22"/>
        </w:rPr>
      </w:pPr>
      <w:r w:rsidRPr="000D74CA">
        <w:rPr>
          <w:rFonts w:cs="Arial"/>
          <w:sz w:val="22"/>
        </w:rPr>
        <w:t xml:space="preserve">Figure 4: Lifestyle management pathway for metabolic dysfunction-associated </w:t>
      </w:r>
      <w:proofErr w:type="spellStart"/>
      <w:r w:rsidRPr="000D74CA">
        <w:rPr>
          <w:rFonts w:cs="Arial"/>
          <w:sz w:val="22"/>
        </w:rPr>
        <w:t>steatotic</w:t>
      </w:r>
      <w:proofErr w:type="spellEnd"/>
      <w:r w:rsidRPr="000D74CA">
        <w:rPr>
          <w:rFonts w:cs="Arial"/>
          <w:sz w:val="22"/>
        </w:rPr>
        <w:t xml:space="preserve"> liver disease</w:t>
      </w:r>
    </w:p>
    <w:p w14:paraId="451132C5" w14:textId="77777777" w:rsidR="0052432F" w:rsidRPr="000D74CA" w:rsidRDefault="00000000">
      <w:pPr>
        <w:pStyle w:val="SourceNote"/>
        <w:rPr>
          <w:rFonts w:cs="Arial"/>
          <w:sz w:val="22"/>
        </w:rPr>
      </w:pPr>
      <w:r w:rsidRPr="000D74CA">
        <w:rPr>
          <w:rFonts w:cs="Arial"/>
          <w:sz w:val="22"/>
        </w:rPr>
        <w:t xml:space="preserve">Source: European Association for the Study of the Liver, European Association for the Study of Diabetes and European Association for the Study of Obesity (2024), Clinical practice guideline figure on the management of metabolic dysfunction-associated </w:t>
      </w:r>
      <w:proofErr w:type="spellStart"/>
      <w:r w:rsidRPr="000D74CA">
        <w:rPr>
          <w:rFonts w:cs="Arial"/>
          <w:sz w:val="22"/>
        </w:rPr>
        <w:t>steatotic</w:t>
      </w:r>
      <w:proofErr w:type="spellEnd"/>
      <w:r w:rsidRPr="000D74CA">
        <w:rPr>
          <w:rFonts w:cs="Arial"/>
          <w:sz w:val="22"/>
        </w:rPr>
        <w:t xml:space="preserve"> liver disease. Available at: </w:t>
      </w:r>
      <w:hyperlink r:id="rId16">
        <w:r w:rsidR="0052432F" w:rsidRPr="000D74CA">
          <w:rPr>
            <w:rFonts w:cs="Arial"/>
            <w:color w:val="0563C1"/>
            <w:sz w:val="22"/>
            <w:u w:val="single"/>
          </w:rPr>
          <w:t>https://pubmed.ncbi.nlm.nih.gov/38851997/</w:t>
        </w:r>
      </w:hyperlink>
      <w:r w:rsidRPr="000D74CA">
        <w:rPr>
          <w:rFonts w:cs="Arial"/>
          <w:sz w:val="22"/>
        </w:rPr>
        <w:t xml:space="preserve"> (Accessed: 19 October 2026).</w:t>
      </w:r>
    </w:p>
    <w:p w14:paraId="507262FB" w14:textId="667830DF" w:rsidR="00DA345A" w:rsidRPr="000D74CA" w:rsidRDefault="00DA345A" w:rsidP="00DA345A">
      <w:pPr>
        <w:rPr>
          <w:rFonts w:cs="Arial"/>
        </w:rPr>
      </w:pPr>
      <w:r w:rsidRPr="000D74CA">
        <w:rPr>
          <w:rFonts w:cs="Arial"/>
        </w:rPr>
        <w:t xml:space="preserve">Medications and supplements should be evaluated carefully as they could do harm and kidney functioning can influence treatment safety. Proper nutrition, evaluation of frailty and safe resistance training may help prevent muscle wasting. Advanced disease requires assessment for transplantation. Palliative care can be provided together with active treatment to alleviate symptoms and help patients' relatives (Lai </w:t>
      </w:r>
      <w:r w:rsidR="00753D25" w:rsidRPr="000D74CA">
        <w:rPr>
          <w:rFonts w:cs="Arial"/>
          <w:i/>
          <w:iCs/>
        </w:rPr>
        <w:t>et al</w:t>
      </w:r>
      <w:r w:rsidRPr="000D74CA">
        <w:rPr>
          <w:rFonts w:cs="Arial"/>
        </w:rPr>
        <w:t xml:space="preserve">., 2021, Rogal </w:t>
      </w:r>
      <w:r w:rsidR="00753D25" w:rsidRPr="000D74CA">
        <w:rPr>
          <w:rFonts w:cs="Arial"/>
          <w:i/>
          <w:iCs/>
        </w:rPr>
        <w:t>et al</w:t>
      </w:r>
      <w:r w:rsidRPr="000D74CA">
        <w:rPr>
          <w:rFonts w:cs="Arial"/>
        </w:rPr>
        <w:t xml:space="preserve">., 2022, Mansour </w:t>
      </w:r>
      <w:r w:rsidR="00753D25" w:rsidRPr="000D74CA">
        <w:rPr>
          <w:rFonts w:cs="Arial"/>
          <w:i/>
          <w:iCs/>
        </w:rPr>
        <w:t>et al</w:t>
      </w:r>
      <w:r w:rsidRPr="000D74CA">
        <w:rPr>
          <w:rFonts w:cs="Arial"/>
        </w:rPr>
        <w:t xml:space="preserve">., 2023c). Treatment should be reviewed as a result of change in the course of the disease because the treatment regimen that was appropriate for stable disease may become unsafe when there is kidney injury, infection or decompensation. Treatment should address cardiovascular risk, diabetes, adverse effects, and medication interactions (European Association for the Study of the Liver </w:t>
      </w:r>
      <w:r w:rsidR="00753D25" w:rsidRPr="000D74CA">
        <w:rPr>
          <w:rFonts w:cs="Arial"/>
          <w:i/>
          <w:iCs/>
        </w:rPr>
        <w:t>et al</w:t>
      </w:r>
      <w:r w:rsidRPr="000D74CA">
        <w:rPr>
          <w:rFonts w:cs="Arial"/>
        </w:rPr>
        <w:t xml:space="preserve">., 2024, </w:t>
      </w:r>
      <w:proofErr w:type="spellStart"/>
      <w:r w:rsidRPr="000D74CA">
        <w:rPr>
          <w:rFonts w:cs="Arial"/>
        </w:rPr>
        <w:t>Yoshiji</w:t>
      </w:r>
      <w:proofErr w:type="spellEnd"/>
      <w:r w:rsidRPr="000D74CA">
        <w:rPr>
          <w:rFonts w:cs="Arial"/>
        </w:rPr>
        <w:t xml:space="preserve"> </w:t>
      </w:r>
      <w:r w:rsidR="00753D25" w:rsidRPr="000D74CA">
        <w:rPr>
          <w:rFonts w:cs="Arial"/>
          <w:i/>
          <w:iCs/>
        </w:rPr>
        <w:t>et al</w:t>
      </w:r>
      <w:r w:rsidRPr="000D74CA">
        <w:rPr>
          <w:rFonts w:cs="Arial"/>
        </w:rPr>
        <w:t>., 2021).</w:t>
      </w:r>
    </w:p>
    <w:p w14:paraId="4F4C0CE7" w14:textId="77777777" w:rsidR="00DA345A" w:rsidRPr="000D74CA" w:rsidRDefault="00DA345A" w:rsidP="00DA345A">
      <w:pPr>
        <w:pStyle w:val="Heading1"/>
        <w:rPr>
          <w:rFonts w:ascii="Arial" w:hAnsi="Arial" w:cs="Arial"/>
          <w:sz w:val="22"/>
          <w:szCs w:val="22"/>
        </w:rPr>
      </w:pPr>
      <w:bookmarkStart w:id="11" w:name="_Toc243320482"/>
      <w:r w:rsidRPr="000D74CA">
        <w:rPr>
          <w:rFonts w:ascii="Arial" w:hAnsi="Arial" w:cs="Arial"/>
          <w:sz w:val="22"/>
          <w:szCs w:val="22"/>
        </w:rPr>
        <w:t>7. Theoretical Perspectives and Models for Improving Outcomes</w:t>
      </w:r>
      <w:bookmarkEnd w:id="11"/>
    </w:p>
    <w:p w14:paraId="3397CBF7" w14:textId="77777777" w:rsidR="00DA345A" w:rsidRPr="000D74CA" w:rsidRDefault="00DA345A" w:rsidP="00DA345A">
      <w:pPr>
        <w:pStyle w:val="Heading2"/>
        <w:rPr>
          <w:rFonts w:ascii="Arial" w:hAnsi="Arial" w:cs="Arial"/>
          <w:sz w:val="22"/>
          <w:szCs w:val="22"/>
        </w:rPr>
      </w:pPr>
      <w:bookmarkStart w:id="12" w:name="_Toc243320483"/>
      <w:r w:rsidRPr="000D74CA">
        <w:rPr>
          <w:rFonts w:ascii="Arial" w:hAnsi="Arial" w:cs="Arial"/>
          <w:sz w:val="22"/>
          <w:szCs w:val="22"/>
        </w:rPr>
        <w:t xml:space="preserve">7.1 UK model: National Health Service Comprehensive Model for </w:t>
      </w:r>
      <w:proofErr w:type="spellStart"/>
      <w:r w:rsidRPr="000D74CA">
        <w:rPr>
          <w:rFonts w:ascii="Arial" w:hAnsi="Arial" w:cs="Arial"/>
          <w:sz w:val="22"/>
          <w:szCs w:val="22"/>
        </w:rPr>
        <w:t>Personalised</w:t>
      </w:r>
      <w:proofErr w:type="spellEnd"/>
      <w:r w:rsidRPr="000D74CA">
        <w:rPr>
          <w:rFonts w:ascii="Arial" w:hAnsi="Arial" w:cs="Arial"/>
          <w:sz w:val="22"/>
          <w:szCs w:val="22"/>
        </w:rPr>
        <w:t xml:space="preserve"> Care</w:t>
      </w:r>
      <w:bookmarkEnd w:id="12"/>
    </w:p>
    <w:p w14:paraId="1C4FAA22" w14:textId="61789899" w:rsidR="0052432F" w:rsidRPr="000D74CA" w:rsidRDefault="00DA345A" w:rsidP="00DA345A">
      <w:pPr>
        <w:rPr>
          <w:rFonts w:cs="Arial"/>
        </w:rPr>
      </w:pPr>
      <w:r w:rsidRPr="000D74CA">
        <w:rPr>
          <w:rFonts w:cs="Arial"/>
        </w:rPr>
        <w:t xml:space="preserve">National Health Service Comprehensive Model for </w:t>
      </w:r>
      <w:proofErr w:type="spellStart"/>
      <w:r w:rsidRPr="000D74CA">
        <w:rPr>
          <w:rFonts w:cs="Arial"/>
        </w:rPr>
        <w:t>Personalised</w:t>
      </w:r>
      <w:proofErr w:type="spellEnd"/>
      <w:r w:rsidRPr="000D74CA">
        <w:rPr>
          <w:rFonts w:cs="Arial"/>
        </w:rPr>
        <w:t xml:space="preserve"> Care includes shared decision-making, personalized care planning, supported self-management, social prescribing, personal health budgets, and community support. The goals of this approach applied to </w:t>
      </w:r>
      <w:r w:rsidRPr="000D74CA">
        <w:rPr>
          <w:rFonts w:cs="Arial"/>
        </w:rPr>
        <w:lastRenderedPageBreak/>
        <w:t>chronic liver disease may be reduction of fatigue, going back to work, receiving treatment for alcohol abuse or fulfilling family responsibilities, not just achieving laboratory values. National guidance also calls for engagement in decisions (NHS England, 2021a, National Institute for Health and Care Excellence, 2021).</w:t>
      </w:r>
    </w:p>
    <w:p w14:paraId="4C8FC1F4" w14:textId="7E534709" w:rsidR="00A83A21" w:rsidRPr="000D74CA" w:rsidRDefault="00A83A21" w:rsidP="00A83A21">
      <w:pPr>
        <w:jc w:val="center"/>
        <w:rPr>
          <w:rFonts w:cs="Arial"/>
        </w:rPr>
      </w:pPr>
      <w:r w:rsidRPr="000D74CA">
        <w:rPr>
          <w:rFonts w:cs="Arial"/>
          <w:noProof/>
        </w:rPr>
        <w:drawing>
          <wp:inline distT="0" distB="0" distL="0" distR="0" wp14:anchorId="681E284F" wp14:editId="7F9D044B">
            <wp:extent cx="5731510" cy="4485005"/>
            <wp:effectExtent l="0" t="0" r="2540" b="0"/>
            <wp:docPr id="1159675302" name="Picture 6" descr="Figure 5: National Health Service personalised care operatin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igure 5: National Health Service personalised care operating mode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485005"/>
                    </a:xfrm>
                    <a:prstGeom prst="rect">
                      <a:avLst/>
                    </a:prstGeom>
                    <a:noFill/>
                    <a:ln>
                      <a:noFill/>
                    </a:ln>
                  </pic:spPr>
                </pic:pic>
              </a:graphicData>
            </a:graphic>
          </wp:inline>
        </w:drawing>
      </w:r>
    </w:p>
    <w:p w14:paraId="373E946C" w14:textId="77777777" w:rsidR="0052432F" w:rsidRPr="000D74CA" w:rsidRDefault="00000000">
      <w:pPr>
        <w:pStyle w:val="FigureCaption"/>
        <w:rPr>
          <w:rFonts w:cs="Arial"/>
          <w:sz w:val="22"/>
        </w:rPr>
      </w:pPr>
      <w:r w:rsidRPr="000D74CA">
        <w:rPr>
          <w:rFonts w:cs="Arial"/>
          <w:sz w:val="22"/>
        </w:rPr>
        <w:t xml:space="preserve">Figure 5: National Health Service </w:t>
      </w:r>
      <w:proofErr w:type="spellStart"/>
      <w:r w:rsidRPr="000D74CA">
        <w:rPr>
          <w:rFonts w:cs="Arial"/>
          <w:sz w:val="22"/>
        </w:rPr>
        <w:t>personalised</w:t>
      </w:r>
      <w:proofErr w:type="spellEnd"/>
      <w:r w:rsidRPr="000D74CA">
        <w:rPr>
          <w:rFonts w:cs="Arial"/>
          <w:sz w:val="22"/>
        </w:rPr>
        <w:t xml:space="preserve"> care operating model</w:t>
      </w:r>
    </w:p>
    <w:p w14:paraId="76D0C44E" w14:textId="77777777" w:rsidR="0052432F" w:rsidRPr="000D74CA" w:rsidRDefault="00000000">
      <w:pPr>
        <w:pStyle w:val="SourceNote"/>
        <w:rPr>
          <w:rFonts w:cs="Arial"/>
          <w:sz w:val="22"/>
        </w:rPr>
      </w:pPr>
      <w:r w:rsidRPr="000D74CA">
        <w:rPr>
          <w:rFonts w:cs="Arial"/>
          <w:sz w:val="22"/>
        </w:rPr>
        <w:t xml:space="preserve">Source: NHS England (2021), </w:t>
      </w:r>
      <w:proofErr w:type="spellStart"/>
      <w:r w:rsidRPr="000D74CA">
        <w:rPr>
          <w:rFonts w:cs="Arial"/>
          <w:sz w:val="22"/>
        </w:rPr>
        <w:t>Personalised</w:t>
      </w:r>
      <w:proofErr w:type="spellEnd"/>
      <w:r w:rsidRPr="000D74CA">
        <w:rPr>
          <w:rFonts w:cs="Arial"/>
          <w:sz w:val="22"/>
        </w:rPr>
        <w:t xml:space="preserve"> care operating model. Available at: </w:t>
      </w:r>
      <w:hyperlink r:id="rId18">
        <w:r w:rsidR="0052432F" w:rsidRPr="000D74CA">
          <w:rPr>
            <w:rFonts w:cs="Arial"/>
            <w:color w:val="0563C1"/>
            <w:sz w:val="22"/>
            <w:u w:val="single"/>
          </w:rPr>
          <w:t>https://www.england.nhs.uk/publication/personalised-care-operating-model/</w:t>
        </w:r>
      </w:hyperlink>
      <w:r w:rsidRPr="000D74CA">
        <w:rPr>
          <w:rFonts w:cs="Arial"/>
          <w:sz w:val="22"/>
        </w:rPr>
        <w:t xml:space="preserve"> (Accessed: 19 October 2026).</w:t>
      </w:r>
    </w:p>
    <w:p w14:paraId="4E837171" w14:textId="77777777" w:rsidR="00DA345A" w:rsidRPr="000D74CA" w:rsidRDefault="00DA345A" w:rsidP="00DA345A">
      <w:pPr>
        <w:rPr>
          <w:rFonts w:cs="Arial"/>
        </w:rPr>
      </w:pPr>
      <w:r w:rsidRPr="000D74CA">
        <w:rPr>
          <w:rFonts w:cs="Arial"/>
        </w:rPr>
        <w:t>The model acknowledges the importance of community support in determining the outcomes. Nevertheless, there is likely to be inconsistency in personalization in case there is a limitation of staff, interpreters, treatment of alcohol use disorders or social support from the voluntary agencies in the area. Person-</w:t>
      </w:r>
      <w:proofErr w:type="spellStart"/>
      <w:r w:rsidRPr="000D74CA">
        <w:rPr>
          <w:rFonts w:cs="Arial"/>
        </w:rPr>
        <w:t>centred</w:t>
      </w:r>
      <w:proofErr w:type="spellEnd"/>
      <w:r w:rsidRPr="000D74CA">
        <w:rPr>
          <w:rFonts w:cs="Arial"/>
        </w:rPr>
        <w:t xml:space="preserve"> planning is not possible without the provision of required services as specified in the care plan (NHS England, 2021a, NHS England, 2021b). People should be given the required support and their outcomes evaluated. There should be an auditing of missed appointments, delays in referral, surveillance completion and patients' experiences. This should be considered in deprivation, ethnicity and disability where appropriate because the average improvements might conceal the inequality of benefits (Office for Health Improvement and Disparities, 2024).</w:t>
      </w:r>
    </w:p>
    <w:p w14:paraId="23A3DF8F" w14:textId="77777777" w:rsidR="00DA345A" w:rsidRPr="000D74CA" w:rsidRDefault="00DA345A" w:rsidP="00DA345A">
      <w:pPr>
        <w:pStyle w:val="Heading2"/>
        <w:rPr>
          <w:rFonts w:ascii="Arial" w:hAnsi="Arial" w:cs="Arial"/>
          <w:sz w:val="22"/>
          <w:szCs w:val="22"/>
        </w:rPr>
      </w:pPr>
      <w:bookmarkStart w:id="13" w:name="_Toc243320484"/>
      <w:r w:rsidRPr="000D74CA">
        <w:rPr>
          <w:rFonts w:ascii="Arial" w:hAnsi="Arial" w:cs="Arial"/>
          <w:sz w:val="22"/>
          <w:szCs w:val="22"/>
        </w:rPr>
        <w:lastRenderedPageBreak/>
        <w:t>7.2 International model: Expanded Chronic Care Model</w:t>
      </w:r>
      <w:bookmarkEnd w:id="13"/>
    </w:p>
    <w:p w14:paraId="26CEE381" w14:textId="5A630F89" w:rsidR="00DA345A" w:rsidRPr="000D74CA" w:rsidRDefault="00DA345A" w:rsidP="00DA345A">
      <w:pPr>
        <w:rPr>
          <w:rFonts w:cs="Arial"/>
        </w:rPr>
      </w:pPr>
      <w:r w:rsidRPr="000D74CA">
        <w:rPr>
          <w:rFonts w:cs="Arial"/>
        </w:rPr>
        <w:t xml:space="preserve">The Expanded Chronic Care Model connects organization of the healthcare system with community efforts and policy making. It promotes informed patients, proactive care teams, decision support, information systems and community partnerships. In the context of chronic liver disease, it includes surveillance recalls, referral coordination, record sharing, nutritional and psychological support, and connections between general practitioners, hospitals and alcohol services (Agency for Healthcare Research and Quality, 2013, Mansour </w:t>
      </w:r>
      <w:r w:rsidR="00753D25" w:rsidRPr="000D74CA">
        <w:rPr>
          <w:rFonts w:cs="Arial"/>
          <w:i/>
          <w:iCs/>
        </w:rPr>
        <w:t>et al</w:t>
      </w:r>
      <w:r w:rsidRPr="000D74CA">
        <w:rPr>
          <w:rFonts w:cs="Arial"/>
        </w:rPr>
        <w:t>., 2023a).</w:t>
      </w:r>
    </w:p>
    <w:p w14:paraId="521C9601" w14:textId="77777777" w:rsidR="00DA345A" w:rsidRPr="000D74CA" w:rsidRDefault="00DA345A">
      <w:pPr>
        <w:spacing w:before="80" w:after="40"/>
        <w:jc w:val="center"/>
        <w:rPr>
          <w:rFonts w:cs="Arial"/>
        </w:rPr>
      </w:pPr>
    </w:p>
    <w:p w14:paraId="7DF25BED" w14:textId="736DB097" w:rsidR="0052432F" w:rsidRPr="000D74CA" w:rsidRDefault="00000000">
      <w:pPr>
        <w:spacing w:before="80" w:after="40"/>
        <w:jc w:val="center"/>
        <w:rPr>
          <w:rFonts w:cs="Arial"/>
        </w:rPr>
      </w:pPr>
      <w:r w:rsidRPr="000D74CA">
        <w:rPr>
          <w:rFonts w:cs="Arial"/>
          <w:noProof/>
        </w:rPr>
        <w:drawing>
          <wp:inline distT="0" distB="0" distL="114300" distR="114300" wp14:anchorId="1C1EB008" wp14:editId="6053F1F4">
            <wp:extent cx="5212080" cy="3392805"/>
            <wp:effectExtent l="0" t="0" r="0" b="5715"/>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pic:cNvPicPr>
                      <a:picLocks noChangeAspect="1"/>
                    </pic:cNvPicPr>
                  </pic:nvPicPr>
                  <pic:blipFill>
                    <a:blip r:embed="rId19"/>
                    <a:stretch>
                      <a:fillRect/>
                    </a:stretch>
                  </pic:blipFill>
                  <pic:spPr>
                    <a:xfrm>
                      <a:off x="0" y="0"/>
                      <a:ext cx="5212080" cy="3393202"/>
                    </a:xfrm>
                    <a:prstGeom prst="rect">
                      <a:avLst/>
                    </a:prstGeom>
                  </pic:spPr>
                </pic:pic>
              </a:graphicData>
            </a:graphic>
          </wp:inline>
        </w:drawing>
      </w:r>
    </w:p>
    <w:p w14:paraId="55BD7FBE" w14:textId="77777777" w:rsidR="0052432F" w:rsidRPr="000D74CA" w:rsidRDefault="00000000">
      <w:pPr>
        <w:pStyle w:val="FigureCaption"/>
        <w:rPr>
          <w:rFonts w:cs="Arial"/>
          <w:sz w:val="22"/>
        </w:rPr>
      </w:pPr>
      <w:r w:rsidRPr="000D74CA">
        <w:rPr>
          <w:rFonts w:cs="Arial"/>
          <w:sz w:val="22"/>
        </w:rPr>
        <w:t>Figure 6: Expanded Chronic Care Model showing community, health system and patient-care interactions</w:t>
      </w:r>
    </w:p>
    <w:p w14:paraId="61DA848C" w14:textId="38EE0F08" w:rsidR="0052432F" w:rsidRPr="000D74CA" w:rsidRDefault="00000000">
      <w:pPr>
        <w:pStyle w:val="SourceNote"/>
        <w:rPr>
          <w:rFonts w:cs="Arial"/>
          <w:sz w:val="22"/>
        </w:rPr>
      </w:pPr>
      <w:r w:rsidRPr="000D74CA">
        <w:rPr>
          <w:rFonts w:cs="Arial"/>
          <w:sz w:val="22"/>
        </w:rPr>
        <w:t xml:space="preserve">Source: Agency for Healthcare Research and Quality (2013), Clinical-community relationships </w:t>
      </w:r>
      <w:proofErr w:type="gramStart"/>
      <w:r w:rsidRPr="000D74CA">
        <w:rPr>
          <w:rFonts w:cs="Arial"/>
          <w:sz w:val="22"/>
        </w:rPr>
        <w:t>measures</w:t>
      </w:r>
      <w:proofErr w:type="gramEnd"/>
      <w:r w:rsidRPr="000D74CA">
        <w:rPr>
          <w:rFonts w:cs="Arial"/>
          <w:sz w:val="22"/>
        </w:rPr>
        <w:t xml:space="preserve"> atlas, Figure 3-2, based on Barr </w:t>
      </w:r>
      <w:r w:rsidR="00753D25" w:rsidRPr="000D74CA">
        <w:rPr>
          <w:rFonts w:cs="Arial"/>
          <w:i/>
          <w:iCs/>
          <w:sz w:val="22"/>
        </w:rPr>
        <w:t>et al</w:t>
      </w:r>
      <w:r w:rsidRPr="000D74CA">
        <w:rPr>
          <w:rFonts w:cs="Arial"/>
          <w:sz w:val="22"/>
        </w:rPr>
        <w:t xml:space="preserve">. (2003). Available at: </w:t>
      </w:r>
      <w:hyperlink r:id="rId20">
        <w:r w:rsidR="0052432F" w:rsidRPr="000D74CA">
          <w:rPr>
            <w:rFonts w:cs="Arial"/>
            <w:color w:val="0563C1"/>
            <w:sz w:val="22"/>
            <w:u w:val="single"/>
          </w:rPr>
          <w:t>https://www.ahrq.gov/prevention/resources/chronic-care/clinical-community-relationships-measures-atlas/ccrm-atlas3.html</w:t>
        </w:r>
      </w:hyperlink>
      <w:r w:rsidRPr="000D74CA">
        <w:rPr>
          <w:rFonts w:cs="Arial"/>
          <w:sz w:val="22"/>
        </w:rPr>
        <w:t xml:space="preserve"> (Accessed: 19 October 2026).</w:t>
      </w:r>
    </w:p>
    <w:p w14:paraId="57D0DBC6" w14:textId="2631804A" w:rsidR="00DA345A" w:rsidRPr="000D74CA" w:rsidRDefault="00DA345A" w:rsidP="00DA345A">
      <w:pPr>
        <w:rPr>
          <w:rFonts w:cs="Arial"/>
        </w:rPr>
      </w:pPr>
      <w:r w:rsidRPr="000D74CA">
        <w:rPr>
          <w:rFonts w:cs="Arial"/>
        </w:rPr>
        <w:t xml:space="preserve">Its strengths include its system-level perspective on fragmented care provision. However, it was not designed specifically for liver diseases and needs modification to fit the case of urgent decompensation, monitoring, transplantation and alcohol dependence. Indicators should not only address clinical processes but also experience of patients and equity of access (Agency for Healthcare Research and Quality, 2013; Fadlallah </w:t>
      </w:r>
      <w:r w:rsidR="00753D25" w:rsidRPr="000D74CA">
        <w:rPr>
          <w:rFonts w:cs="Arial"/>
          <w:i/>
          <w:iCs/>
        </w:rPr>
        <w:t>et al</w:t>
      </w:r>
      <w:r w:rsidRPr="000D74CA">
        <w:rPr>
          <w:rFonts w:cs="Arial"/>
        </w:rPr>
        <w:t>., 2025).</w:t>
      </w:r>
    </w:p>
    <w:p w14:paraId="028C1D17" w14:textId="77777777" w:rsidR="00DA345A" w:rsidRPr="000D74CA" w:rsidRDefault="00DA345A" w:rsidP="00DA345A">
      <w:pPr>
        <w:pStyle w:val="Heading2"/>
        <w:rPr>
          <w:rFonts w:ascii="Arial" w:hAnsi="Arial" w:cs="Arial"/>
          <w:sz w:val="22"/>
          <w:szCs w:val="22"/>
        </w:rPr>
      </w:pPr>
      <w:bookmarkStart w:id="14" w:name="_Toc243320485"/>
      <w:r w:rsidRPr="000D74CA">
        <w:rPr>
          <w:rFonts w:ascii="Arial" w:hAnsi="Arial" w:cs="Arial"/>
          <w:sz w:val="22"/>
          <w:szCs w:val="22"/>
        </w:rPr>
        <w:t>7.3 Critical comparison of the models</w:t>
      </w:r>
      <w:bookmarkEnd w:id="14"/>
    </w:p>
    <w:p w14:paraId="5444ACE2" w14:textId="77777777" w:rsidR="00DA345A" w:rsidRPr="000D74CA" w:rsidRDefault="00DA345A" w:rsidP="00DA345A">
      <w:pPr>
        <w:rPr>
          <w:rFonts w:cs="Arial"/>
        </w:rPr>
      </w:pPr>
      <w:proofErr w:type="spellStart"/>
      <w:r w:rsidRPr="000D74CA">
        <w:rPr>
          <w:rFonts w:cs="Arial"/>
        </w:rPr>
        <w:t>Personalised</w:t>
      </w:r>
      <w:proofErr w:type="spellEnd"/>
      <w:r w:rsidRPr="000D74CA">
        <w:rPr>
          <w:rFonts w:cs="Arial"/>
        </w:rPr>
        <w:t xml:space="preserve"> care starts with the person’s needs while the Expanded Chronic Care Model </w:t>
      </w:r>
      <w:proofErr w:type="spellStart"/>
      <w:r w:rsidRPr="000D74CA">
        <w:rPr>
          <w:rFonts w:cs="Arial"/>
        </w:rPr>
        <w:t>emphasises</w:t>
      </w:r>
      <w:proofErr w:type="spellEnd"/>
      <w:r w:rsidRPr="000D74CA">
        <w:rPr>
          <w:rFonts w:cs="Arial"/>
        </w:rPr>
        <w:t xml:space="preserve"> service design, proactive care and community connection. These two approaches </w:t>
      </w:r>
      <w:r w:rsidRPr="000D74CA">
        <w:rPr>
          <w:rFonts w:cs="Arial"/>
        </w:rPr>
        <w:lastRenderedPageBreak/>
        <w:t xml:space="preserve">complement each other. </w:t>
      </w:r>
      <w:proofErr w:type="spellStart"/>
      <w:r w:rsidRPr="000D74CA">
        <w:rPr>
          <w:rFonts w:cs="Arial"/>
        </w:rPr>
        <w:t>Personalised</w:t>
      </w:r>
      <w:proofErr w:type="spellEnd"/>
      <w:r w:rsidRPr="000D74CA">
        <w:rPr>
          <w:rFonts w:cs="Arial"/>
        </w:rPr>
        <w:t xml:space="preserve"> care helps to identify obstacles, whereas chronic care could help to enhance recall, referral and information exchange. Neither one will solve the problems associated with understaffing, stigma and poverty, so services will need to try changes and measure clinical outcomes and patient experience (NHS England, 2021a; Agency for Healthcare Research and Quality, 2013).</w:t>
      </w:r>
    </w:p>
    <w:p w14:paraId="69A9366A" w14:textId="77777777" w:rsidR="00DA345A" w:rsidRPr="000D74CA" w:rsidRDefault="00DA345A" w:rsidP="00DA345A">
      <w:pPr>
        <w:pStyle w:val="Heading2"/>
        <w:rPr>
          <w:rFonts w:ascii="Arial" w:hAnsi="Arial" w:cs="Arial"/>
          <w:sz w:val="22"/>
          <w:szCs w:val="22"/>
        </w:rPr>
      </w:pPr>
      <w:bookmarkStart w:id="15" w:name="_Toc243320486"/>
      <w:r w:rsidRPr="000D74CA">
        <w:rPr>
          <w:rFonts w:ascii="Arial" w:hAnsi="Arial" w:cs="Arial"/>
          <w:sz w:val="22"/>
          <w:szCs w:val="22"/>
        </w:rPr>
        <w:t>8. Political, Health and Social Care Agendas</w:t>
      </w:r>
      <w:bookmarkEnd w:id="15"/>
    </w:p>
    <w:p w14:paraId="1B9968F6" w14:textId="77777777" w:rsidR="00DA345A" w:rsidRPr="000D74CA" w:rsidRDefault="00DA345A" w:rsidP="00DA345A">
      <w:pPr>
        <w:rPr>
          <w:rFonts w:cs="Arial"/>
        </w:rPr>
      </w:pPr>
      <w:r w:rsidRPr="000D74CA">
        <w:rPr>
          <w:rFonts w:cs="Arial"/>
        </w:rPr>
        <w:t xml:space="preserve">Agenda of integration of healthcare in England has been articulated in NHS England’s 2020 policy document and subsequent guidance on implementation of integration. Integrated care systems unite NHS, local authorities and other partners in the delivery of care. Liver diseases require general practitioners, emergency services, hepatologists, alcohol therapy, psychiatry, dietetic support, social care and voluntary sector involvement. Integration may decrease missed </w:t>
      </w:r>
      <w:proofErr w:type="gramStart"/>
      <w:r w:rsidRPr="000D74CA">
        <w:rPr>
          <w:rFonts w:cs="Arial"/>
        </w:rPr>
        <w:t>transfers,</w:t>
      </w:r>
      <w:proofErr w:type="gramEnd"/>
      <w:r w:rsidRPr="000D74CA">
        <w:rPr>
          <w:rFonts w:cs="Arial"/>
        </w:rPr>
        <w:t xml:space="preserve"> however, responsibilities and data exchange must be transparent (NHS England, 2020; NHS England, 2021b).</w:t>
      </w:r>
    </w:p>
    <w:p w14:paraId="0501DA5C" w14:textId="675C60C9" w:rsidR="0052432F" w:rsidRPr="000D74CA" w:rsidRDefault="00DA345A" w:rsidP="00DA345A">
      <w:pPr>
        <w:rPr>
          <w:rFonts w:cs="Arial"/>
        </w:rPr>
      </w:pPr>
      <w:r w:rsidRPr="000D74CA">
        <w:rPr>
          <w:rFonts w:cs="Arial"/>
        </w:rPr>
        <w:t>Core20PLUS5 focuses on the most deprived 20% of the population and others who experience inequity of care. For liver disease, Core20PLUS5 framework may inform hepatitis screening and vaccination, alcohol therapy, cultural competency, and monitoring of waiting times. Policy must translate into funded local services and improvements measured (NHS England, 2021c; Office for Health Improvement and Disparities, 2024).</w:t>
      </w:r>
    </w:p>
    <w:p w14:paraId="2AD36F80" w14:textId="11793426" w:rsidR="00A83A21" w:rsidRPr="000D74CA" w:rsidRDefault="00A83A21" w:rsidP="00A83A21">
      <w:pPr>
        <w:jc w:val="center"/>
        <w:rPr>
          <w:rFonts w:cs="Arial"/>
        </w:rPr>
      </w:pPr>
      <w:r w:rsidRPr="000D74CA">
        <w:rPr>
          <w:rFonts w:cs="Arial"/>
          <w:noProof/>
        </w:rPr>
        <w:lastRenderedPageBreak/>
        <w:drawing>
          <wp:inline distT="0" distB="0" distL="0" distR="0" wp14:anchorId="4B77747E" wp14:editId="300472AC">
            <wp:extent cx="5731510" cy="5994400"/>
            <wp:effectExtent l="0" t="0" r="2540" b="6350"/>
            <wp:docPr id="802733337" name="Picture 7" descr="Figure 7: FibroScan assessment equipment in a United Kingdom liver clin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gure 7: FibroScan assessment equipment in a United Kingdom liver clinic"/>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5994400"/>
                    </a:xfrm>
                    <a:prstGeom prst="rect">
                      <a:avLst/>
                    </a:prstGeom>
                    <a:noFill/>
                    <a:ln>
                      <a:noFill/>
                    </a:ln>
                  </pic:spPr>
                </pic:pic>
              </a:graphicData>
            </a:graphic>
          </wp:inline>
        </w:drawing>
      </w:r>
    </w:p>
    <w:p w14:paraId="33229CFE" w14:textId="77777777" w:rsidR="0052432F" w:rsidRPr="000D74CA" w:rsidRDefault="00000000">
      <w:pPr>
        <w:pStyle w:val="FigureCaption"/>
        <w:rPr>
          <w:rFonts w:cs="Arial"/>
          <w:sz w:val="22"/>
        </w:rPr>
      </w:pPr>
      <w:r w:rsidRPr="000D74CA">
        <w:rPr>
          <w:rFonts w:cs="Arial"/>
          <w:sz w:val="22"/>
        </w:rPr>
        <w:t xml:space="preserve">Figure 7: </w:t>
      </w:r>
      <w:proofErr w:type="spellStart"/>
      <w:r w:rsidRPr="000D74CA">
        <w:rPr>
          <w:rFonts w:cs="Arial"/>
          <w:sz w:val="22"/>
        </w:rPr>
        <w:t>FibroScan</w:t>
      </w:r>
      <w:proofErr w:type="spellEnd"/>
      <w:r w:rsidRPr="000D74CA">
        <w:rPr>
          <w:rFonts w:cs="Arial"/>
          <w:sz w:val="22"/>
        </w:rPr>
        <w:t xml:space="preserve"> assessment in a United Kingdom liver clinic</w:t>
      </w:r>
    </w:p>
    <w:p w14:paraId="51ED7E22" w14:textId="77777777" w:rsidR="0052432F" w:rsidRPr="000D74CA" w:rsidRDefault="00000000">
      <w:pPr>
        <w:pStyle w:val="SourceNote"/>
        <w:rPr>
          <w:rFonts w:cs="Arial"/>
          <w:sz w:val="22"/>
        </w:rPr>
      </w:pPr>
      <w:r w:rsidRPr="000D74CA">
        <w:rPr>
          <w:rFonts w:cs="Arial"/>
          <w:sz w:val="22"/>
        </w:rPr>
        <w:t xml:space="preserve">Source: Future Humber (n.d.), New liver clinics to launch at Goole Hospital. Available at: </w:t>
      </w:r>
      <w:hyperlink r:id="rId22">
        <w:r w:rsidR="0052432F" w:rsidRPr="000D74CA">
          <w:rPr>
            <w:rFonts w:cs="Arial"/>
            <w:color w:val="0563C1"/>
            <w:sz w:val="22"/>
            <w:u w:val="single"/>
          </w:rPr>
          <w:t>https://www.futurehumber.com/news/new-liver-clinics-to-launch-at-goole-hospital</w:t>
        </w:r>
      </w:hyperlink>
      <w:r w:rsidRPr="000D74CA">
        <w:rPr>
          <w:rFonts w:cs="Arial"/>
          <w:sz w:val="22"/>
        </w:rPr>
        <w:t xml:space="preserve"> (Accessed: 19 October 2026).</w:t>
      </w:r>
    </w:p>
    <w:p w14:paraId="371CE25D" w14:textId="77777777" w:rsidR="001818D8" w:rsidRPr="000D74CA" w:rsidRDefault="001818D8" w:rsidP="001818D8">
      <w:pPr>
        <w:rPr>
          <w:rFonts w:cs="Arial"/>
        </w:rPr>
      </w:pPr>
      <w:r w:rsidRPr="000D74CA">
        <w:rPr>
          <w:rFonts w:cs="Arial"/>
        </w:rPr>
        <w:t xml:space="preserve">While there is progress in hepatitis C therapy and testing according to the United Kingdom Health Security Agency, reaching those outside of conventional healthcare remains a priority. Policy should include effective treatment combined with easy access to testing and appropriate outreach and support that reduces stigma and practical barriers (UK Health Security Agency, 2024, World Health Organization, 2024a). National targets cannot secure local capacity. Commissioners should assess delays between testing and treatment, engagement with community organizations, and outcomes among higher-risk populations. </w:t>
      </w:r>
      <w:r w:rsidRPr="000D74CA">
        <w:rPr>
          <w:rFonts w:cs="Arial"/>
        </w:rPr>
        <w:lastRenderedPageBreak/>
        <w:t>Public reporting should describe both shortcomings and successes (NHS England, 2021b, UK Health Security Agency, 2024).</w:t>
      </w:r>
    </w:p>
    <w:p w14:paraId="6A24EDF6" w14:textId="77777777" w:rsidR="001818D8" w:rsidRPr="000D74CA" w:rsidRDefault="001818D8" w:rsidP="001818D8">
      <w:pPr>
        <w:pStyle w:val="Heading1"/>
        <w:rPr>
          <w:rFonts w:ascii="Arial" w:hAnsi="Arial" w:cs="Arial"/>
          <w:sz w:val="22"/>
          <w:szCs w:val="22"/>
        </w:rPr>
      </w:pPr>
      <w:bookmarkStart w:id="16" w:name="_Toc243320487"/>
      <w:r w:rsidRPr="000D74CA">
        <w:rPr>
          <w:rFonts w:ascii="Arial" w:hAnsi="Arial" w:cs="Arial"/>
          <w:sz w:val="22"/>
          <w:szCs w:val="22"/>
        </w:rPr>
        <w:t>9. Recommendations for person-</w:t>
      </w:r>
      <w:proofErr w:type="spellStart"/>
      <w:r w:rsidRPr="000D74CA">
        <w:rPr>
          <w:rFonts w:ascii="Arial" w:hAnsi="Arial" w:cs="Arial"/>
          <w:sz w:val="22"/>
          <w:szCs w:val="22"/>
        </w:rPr>
        <w:t>centred</w:t>
      </w:r>
      <w:proofErr w:type="spellEnd"/>
      <w:r w:rsidRPr="000D74CA">
        <w:rPr>
          <w:rFonts w:ascii="Arial" w:hAnsi="Arial" w:cs="Arial"/>
          <w:sz w:val="22"/>
          <w:szCs w:val="22"/>
        </w:rPr>
        <w:t xml:space="preserve"> care, self-management and end-of-life care</w:t>
      </w:r>
      <w:bookmarkEnd w:id="16"/>
    </w:p>
    <w:p w14:paraId="25C9F0F4" w14:textId="77777777" w:rsidR="001818D8" w:rsidRPr="000D74CA" w:rsidRDefault="001818D8" w:rsidP="001818D8">
      <w:pPr>
        <w:pStyle w:val="Heading2"/>
        <w:rPr>
          <w:rFonts w:ascii="Arial" w:hAnsi="Arial" w:cs="Arial"/>
          <w:sz w:val="22"/>
          <w:szCs w:val="22"/>
        </w:rPr>
      </w:pPr>
      <w:bookmarkStart w:id="17" w:name="_Toc243320488"/>
      <w:r w:rsidRPr="000D74CA">
        <w:rPr>
          <w:rFonts w:ascii="Arial" w:hAnsi="Arial" w:cs="Arial"/>
          <w:sz w:val="22"/>
          <w:szCs w:val="22"/>
        </w:rPr>
        <w:t>9.1 Person-</w:t>
      </w:r>
      <w:proofErr w:type="spellStart"/>
      <w:r w:rsidRPr="000D74CA">
        <w:rPr>
          <w:rFonts w:ascii="Arial" w:hAnsi="Arial" w:cs="Arial"/>
          <w:sz w:val="22"/>
          <w:szCs w:val="22"/>
        </w:rPr>
        <w:t>centred</w:t>
      </w:r>
      <w:proofErr w:type="spellEnd"/>
      <w:r w:rsidRPr="000D74CA">
        <w:rPr>
          <w:rFonts w:ascii="Arial" w:hAnsi="Arial" w:cs="Arial"/>
          <w:sz w:val="22"/>
          <w:szCs w:val="22"/>
        </w:rPr>
        <w:t xml:space="preserve"> care and shared decision making</w:t>
      </w:r>
      <w:bookmarkEnd w:id="17"/>
    </w:p>
    <w:p w14:paraId="4F2D7A69" w14:textId="77777777" w:rsidR="001818D8" w:rsidRPr="000D74CA" w:rsidRDefault="001818D8" w:rsidP="001818D8">
      <w:pPr>
        <w:rPr>
          <w:rFonts w:cs="Arial"/>
        </w:rPr>
      </w:pPr>
      <w:r w:rsidRPr="000D74CA">
        <w:rPr>
          <w:rFonts w:cs="Arial"/>
        </w:rPr>
        <w:t>At every review, the clinician should discuss the cause and stage of the condition using clear language and agree on the achievable goals taking into account benefits and side effects as well as responsibilities, culture, mental health problems, alcohol use, and access to food. If the patient gives a consent, the caregiver can be included without neglecting patients' preferences (National Institute for Health and Care Excellence, 2021).</w:t>
      </w:r>
    </w:p>
    <w:p w14:paraId="1EBDE9B6" w14:textId="77777777" w:rsidR="001818D8" w:rsidRPr="000D74CA" w:rsidRDefault="001818D8" w:rsidP="001818D8">
      <w:pPr>
        <w:pStyle w:val="Heading2"/>
        <w:rPr>
          <w:rFonts w:ascii="Arial" w:hAnsi="Arial" w:cs="Arial"/>
          <w:sz w:val="22"/>
          <w:szCs w:val="22"/>
        </w:rPr>
      </w:pPr>
      <w:bookmarkStart w:id="18" w:name="_Toc243320489"/>
      <w:r w:rsidRPr="000D74CA">
        <w:rPr>
          <w:rFonts w:ascii="Arial" w:hAnsi="Arial" w:cs="Arial"/>
          <w:sz w:val="22"/>
          <w:szCs w:val="22"/>
        </w:rPr>
        <w:t>9.2 Self-management and health literacy</w:t>
      </w:r>
      <w:bookmarkEnd w:id="18"/>
    </w:p>
    <w:p w14:paraId="43A84964" w14:textId="5A842CA6" w:rsidR="0052432F" w:rsidRPr="000D74CA" w:rsidRDefault="001818D8" w:rsidP="001818D8">
      <w:pPr>
        <w:rPr>
          <w:rFonts w:cs="Arial"/>
        </w:rPr>
      </w:pPr>
      <w:r w:rsidRPr="000D74CA">
        <w:rPr>
          <w:rFonts w:cs="Arial"/>
        </w:rPr>
        <w:t xml:space="preserve">The self-management </w:t>
      </w:r>
      <w:proofErr w:type="spellStart"/>
      <w:r w:rsidRPr="000D74CA">
        <w:rPr>
          <w:rFonts w:cs="Arial"/>
        </w:rPr>
        <w:t>programme</w:t>
      </w:r>
      <w:proofErr w:type="spellEnd"/>
      <w:r w:rsidRPr="000D74CA">
        <w:rPr>
          <w:rFonts w:cs="Arial"/>
        </w:rPr>
        <w:t xml:space="preserve"> should include a written action plan, a medication review, medication reminders, indicated vaccinations, nutrition advice, safe physical activities and alcohol support. It is necessary to discuss the symptoms of disease worsening and to give contact information for swollen abdomen, yellowish skin, fever, or confusion. Explain the plan with teach-back, use easily readable materials, interpret and give non-digital solutions (National Health Service, 2025, Mansour </w:t>
      </w:r>
      <w:r w:rsidR="00753D25" w:rsidRPr="000D74CA">
        <w:rPr>
          <w:rFonts w:cs="Arial"/>
          <w:i/>
          <w:iCs/>
        </w:rPr>
        <w:t>et al</w:t>
      </w:r>
      <w:r w:rsidRPr="000D74CA">
        <w:rPr>
          <w:rFonts w:cs="Arial"/>
        </w:rPr>
        <w:t>., 2023b).</w:t>
      </w:r>
    </w:p>
    <w:p w14:paraId="64C2099F" w14:textId="054B95F6" w:rsidR="00A83A21" w:rsidRPr="000D74CA" w:rsidRDefault="00A83A21" w:rsidP="00A83A21">
      <w:pPr>
        <w:jc w:val="center"/>
        <w:rPr>
          <w:rFonts w:cs="Arial"/>
        </w:rPr>
      </w:pPr>
      <w:r w:rsidRPr="000D74CA">
        <w:rPr>
          <w:rFonts w:cs="Arial"/>
          <w:noProof/>
        </w:rPr>
        <w:drawing>
          <wp:inline distT="0" distB="0" distL="0" distR="0" wp14:anchorId="62CDBB91" wp14:editId="1104EED8">
            <wp:extent cx="5715000" cy="3223260"/>
            <wp:effectExtent l="0" t="0" r="0" b="0"/>
            <wp:docPr id="572126379" name="Picture 8" descr="British Liver Trust Love Your Liver three-step public health 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ritish Liver Trust Love Your Liver three-step public health infographic"/>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15000" cy="3223260"/>
                    </a:xfrm>
                    <a:prstGeom prst="rect">
                      <a:avLst/>
                    </a:prstGeom>
                    <a:noFill/>
                    <a:ln>
                      <a:noFill/>
                    </a:ln>
                  </pic:spPr>
                </pic:pic>
              </a:graphicData>
            </a:graphic>
          </wp:inline>
        </w:drawing>
      </w:r>
    </w:p>
    <w:p w14:paraId="2A14655C" w14:textId="77777777" w:rsidR="0052432F" w:rsidRPr="000D74CA" w:rsidRDefault="00000000">
      <w:pPr>
        <w:pStyle w:val="FigureCaption"/>
        <w:rPr>
          <w:rFonts w:cs="Arial"/>
          <w:sz w:val="22"/>
        </w:rPr>
      </w:pPr>
      <w:r w:rsidRPr="000D74CA">
        <w:rPr>
          <w:rFonts w:cs="Arial"/>
          <w:sz w:val="22"/>
        </w:rPr>
        <w:t>Figure 8: Three public health steps to support liver health and self-management</w:t>
      </w:r>
    </w:p>
    <w:p w14:paraId="6B8140B4" w14:textId="77777777" w:rsidR="0052432F" w:rsidRPr="000D74CA" w:rsidRDefault="00000000">
      <w:pPr>
        <w:pStyle w:val="SourceNote"/>
        <w:rPr>
          <w:rFonts w:cs="Arial"/>
          <w:sz w:val="22"/>
        </w:rPr>
      </w:pPr>
      <w:r w:rsidRPr="000D74CA">
        <w:rPr>
          <w:rFonts w:cs="Arial"/>
          <w:sz w:val="22"/>
        </w:rPr>
        <w:t xml:space="preserve">Source: British Liver Trust (n.d.), Love Your Liver: three steps to support liver health. Available at: </w:t>
      </w:r>
      <w:hyperlink r:id="rId24">
        <w:r w:rsidR="0052432F" w:rsidRPr="000D74CA">
          <w:rPr>
            <w:rFonts w:cs="Arial"/>
            <w:color w:val="0563C1"/>
            <w:sz w:val="22"/>
            <w:u w:val="single"/>
          </w:rPr>
          <w:t>https://britishlivertrust.org.uk/information-and-support/love-your-liver/</w:t>
        </w:r>
      </w:hyperlink>
      <w:r w:rsidRPr="000D74CA">
        <w:rPr>
          <w:rFonts w:cs="Arial"/>
          <w:sz w:val="22"/>
        </w:rPr>
        <w:t xml:space="preserve"> (Accessed: 19 October 2026).</w:t>
      </w:r>
    </w:p>
    <w:p w14:paraId="589C21C4" w14:textId="77777777" w:rsidR="0052432F" w:rsidRPr="000D74CA" w:rsidRDefault="00000000" w:rsidP="001818D8">
      <w:pPr>
        <w:rPr>
          <w:rFonts w:cs="Arial"/>
        </w:rPr>
      </w:pPr>
      <w:r w:rsidRPr="000D74CA">
        <w:rPr>
          <w:rFonts w:cs="Arial"/>
        </w:rPr>
        <w:t>Suggested long-term care plan aligned with National Health Service and specialist guidance</w:t>
      </w:r>
    </w:p>
    <w:p w14:paraId="13047B56" w14:textId="77777777" w:rsidR="001818D8" w:rsidRPr="000D74CA" w:rsidRDefault="001818D8" w:rsidP="001818D8">
      <w:pPr>
        <w:pStyle w:val="ListParagraph"/>
        <w:numPr>
          <w:ilvl w:val="0"/>
          <w:numId w:val="9"/>
        </w:numPr>
        <w:rPr>
          <w:rFonts w:cs="Arial"/>
        </w:rPr>
      </w:pPr>
      <w:r w:rsidRPr="000D74CA">
        <w:rPr>
          <w:rFonts w:cs="Arial"/>
        </w:rPr>
        <w:lastRenderedPageBreak/>
        <w:t>At the point of diagnosis, ascertain the cause of disease, fibrosis and complications, check alcohol and medications, test for viral hepatitis if needed, assess nutritional and psychological state, and identify a lead clinician.</w:t>
      </w:r>
    </w:p>
    <w:p w14:paraId="2DFC56E1" w14:textId="77777777" w:rsidR="001818D8" w:rsidRPr="000D74CA" w:rsidRDefault="001818D8" w:rsidP="001818D8">
      <w:pPr>
        <w:pStyle w:val="ListParagraph"/>
        <w:numPr>
          <w:ilvl w:val="0"/>
          <w:numId w:val="9"/>
        </w:numPr>
        <w:rPr>
          <w:rFonts w:cs="Arial"/>
        </w:rPr>
      </w:pPr>
      <w:r w:rsidRPr="000D74CA">
        <w:rPr>
          <w:rFonts w:cs="Arial"/>
        </w:rPr>
        <w:t>Within three to six months after starting management, assess implementation of treatment, completion of referrals, ability to manage according to the plan, changes in symptoms or risks. If the condition is advanced or there are complications, assessment should be more frequent.</w:t>
      </w:r>
    </w:p>
    <w:p w14:paraId="449DB7E6" w14:textId="77777777" w:rsidR="001818D8" w:rsidRPr="000D74CA" w:rsidRDefault="001818D8" w:rsidP="001818D8">
      <w:pPr>
        <w:pStyle w:val="ListParagraph"/>
        <w:numPr>
          <w:ilvl w:val="0"/>
          <w:numId w:val="9"/>
        </w:numPr>
        <w:rPr>
          <w:rFonts w:cs="Arial"/>
        </w:rPr>
      </w:pPr>
      <w:r w:rsidRPr="000D74CA">
        <w:rPr>
          <w:rFonts w:cs="Arial"/>
        </w:rPr>
        <w:t>For patients with compensated cirrhosis, arrange expert follow-up and assessment of risks at least according to the recommendations of the treating team. Six-months follow-up and calculation of Model for End-Stage Liver Disease score are recommended in national guidelines for patients with cirrhosis suitable for liver cancer screening and for compensated cirrhosis.</w:t>
      </w:r>
    </w:p>
    <w:p w14:paraId="71A4DB4D" w14:textId="77777777" w:rsidR="001818D8" w:rsidRPr="000D74CA" w:rsidRDefault="001818D8" w:rsidP="001818D8">
      <w:pPr>
        <w:pStyle w:val="ListParagraph"/>
        <w:numPr>
          <w:ilvl w:val="0"/>
          <w:numId w:val="9"/>
        </w:numPr>
        <w:rPr>
          <w:rFonts w:cs="Arial"/>
        </w:rPr>
      </w:pPr>
      <w:r w:rsidRPr="000D74CA">
        <w:rPr>
          <w:rFonts w:cs="Arial"/>
        </w:rPr>
        <w:t>Each time, assess medications, alcohol and metabolic risks, nutrition, frailty, mood, vaccinations, needs of relatives or caregivers, and barriers to treatment access. Address urgently new ascites, GI bleeding, infections, deterioration of renal function or mental status.</w:t>
      </w:r>
    </w:p>
    <w:p w14:paraId="25D36D0D" w14:textId="7577AD17" w:rsidR="001818D8" w:rsidRPr="000D74CA" w:rsidRDefault="001818D8" w:rsidP="001818D8">
      <w:pPr>
        <w:pStyle w:val="ListParagraph"/>
        <w:numPr>
          <w:ilvl w:val="0"/>
          <w:numId w:val="9"/>
        </w:numPr>
        <w:rPr>
          <w:rFonts w:cs="Arial"/>
        </w:rPr>
      </w:pPr>
      <w:r w:rsidRPr="000D74CA">
        <w:rPr>
          <w:rFonts w:cs="Arial"/>
        </w:rPr>
        <w:t>In cases of recurrent decompensation, discuss transplant listing and palliative care possibilities. Note the preferences of the patient regarding place of treatment and future care options, revisit them regularly.</w:t>
      </w:r>
    </w:p>
    <w:p w14:paraId="34C4C045" w14:textId="4AB79533" w:rsidR="001818D8" w:rsidRPr="000D74CA" w:rsidRDefault="001818D8" w:rsidP="001818D8">
      <w:pPr>
        <w:rPr>
          <w:rFonts w:cs="Arial"/>
        </w:rPr>
      </w:pPr>
      <w:r w:rsidRPr="000D74CA">
        <w:rPr>
          <w:rFonts w:cs="Arial"/>
        </w:rPr>
        <w:t xml:space="preserve">This is a service planning framework, not a replacement for a patient’s clinical advice. Follow-up time and test intervals should vary according to causality and disease stage along the appropriate care pathway. Every review should capture action details, responsible party, deadlines, and follow-up arrangements for any missed procedures. This promotes accountability through general practice, hospital care, and community services. National guidance recommends a risk-based specialist surveillance (National Institute for Health and Care Excellence, 2023; Mansour </w:t>
      </w:r>
      <w:r w:rsidR="00753D25" w:rsidRPr="000D74CA">
        <w:rPr>
          <w:rFonts w:cs="Arial"/>
          <w:i/>
          <w:iCs/>
        </w:rPr>
        <w:t>et al</w:t>
      </w:r>
      <w:r w:rsidRPr="000D74CA">
        <w:rPr>
          <w:rFonts w:cs="Arial"/>
        </w:rPr>
        <w:t xml:space="preserve">., 2023a; Mansour </w:t>
      </w:r>
      <w:r w:rsidR="00753D25" w:rsidRPr="000D74CA">
        <w:rPr>
          <w:rFonts w:cs="Arial"/>
          <w:i/>
          <w:iCs/>
        </w:rPr>
        <w:t>et al</w:t>
      </w:r>
      <w:r w:rsidRPr="000D74CA">
        <w:rPr>
          <w:rFonts w:cs="Arial"/>
        </w:rPr>
        <w:t>., 2023b).</w:t>
      </w:r>
    </w:p>
    <w:p w14:paraId="7B10ED9B" w14:textId="77777777" w:rsidR="001818D8" w:rsidRPr="000D74CA" w:rsidRDefault="001818D8" w:rsidP="001818D8">
      <w:pPr>
        <w:pStyle w:val="Heading2"/>
        <w:rPr>
          <w:rFonts w:ascii="Arial" w:hAnsi="Arial" w:cs="Arial"/>
          <w:sz w:val="22"/>
          <w:szCs w:val="22"/>
        </w:rPr>
      </w:pPr>
      <w:bookmarkStart w:id="19" w:name="_Toc243320490"/>
      <w:r w:rsidRPr="000D74CA">
        <w:rPr>
          <w:rFonts w:ascii="Arial" w:hAnsi="Arial" w:cs="Arial"/>
          <w:sz w:val="22"/>
          <w:szCs w:val="22"/>
        </w:rPr>
        <w:t>9.3 End-of-life care</w:t>
      </w:r>
      <w:bookmarkEnd w:id="19"/>
    </w:p>
    <w:p w14:paraId="53784BA5" w14:textId="597FB52A" w:rsidR="001818D8" w:rsidRPr="000D74CA" w:rsidRDefault="001818D8" w:rsidP="001818D8">
      <w:pPr>
        <w:rPr>
          <w:rFonts w:cs="Arial"/>
        </w:rPr>
      </w:pPr>
      <w:r w:rsidRPr="000D74CA">
        <w:rPr>
          <w:rFonts w:cs="Arial"/>
        </w:rPr>
        <w:t xml:space="preserve">End-of-life care does not have to wait until treatment for the underlying disease is discontinued. Palliative care can provide symptom management, including pain, pruritus, nausea, sleep disturbance, distress and discussion of treatment priorities during ongoing specialist care. The discussions should cover uncertainty, place of care preferences, emergency admissions, and family concerns. National guidance encourages early palliative involvement in decompensated cirrhosis (Rogal </w:t>
      </w:r>
      <w:r w:rsidR="00753D25" w:rsidRPr="000D74CA">
        <w:rPr>
          <w:rFonts w:cs="Arial"/>
          <w:i/>
          <w:iCs/>
        </w:rPr>
        <w:t>et al</w:t>
      </w:r>
      <w:r w:rsidRPr="000D74CA">
        <w:rPr>
          <w:rFonts w:cs="Arial"/>
        </w:rPr>
        <w:t xml:space="preserve">., 2022; Philips and </w:t>
      </w:r>
      <w:proofErr w:type="spellStart"/>
      <w:r w:rsidRPr="000D74CA">
        <w:rPr>
          <w:rFonts w:cs="Arial"/>
        </w:rPr>
        <w:t>Kedarisetty</w:t>
      </w:r>
      <w:proofErr w:type="spellEnd"/>
      <w:r w:rsidRPr="000D74CA">
        <w:rPr>
          <w:rFonts w:cs="Arial"/>
        </w:rPr>
        <w:t>, 2023).</w:t>
      </w:r>
    </w:p>
    <w:p w14:paraId="48FAC7FE" w14:textId="77777777" w:rsidR="001818D8" w:rsidRPr="000D74CA" w:rsidRDefault="001818D8" w:rsidP="001818D8">
      <w:pPr>
        <w:pStyle w:val="Heading1"/>
        <w:rPr>
          <w:rFonts w:ascii="Arial" w:hAnsi="Arial" w:cs="Arial"/>
          <w:sz w:val="22"/>
          <w:szCs w:val="22"/>
        </w:rPr>
      </w:pPr>
      <w:bookmarkStart w:id="20" w:name="_Toc243320491"/>
      <w:r w:rsidRPr="000D74CA">
        <w:rPr>
          <w:rFonts w:ascii="Arial" w:hAnsi="Arial" w:cs="Arial"/>
          <w:sz w:val="22"/>
          <w:szCs w:val="22"/>
        </w:rPr>
        <w:lastRenderedPageBreak/>
        <w:t>10. Conclusion</w:t>
      </w:r>
      <w:bookmarkEnd w:id="20"/>
    </w:p>
    <w:p w14:paraId="0A67A44F" w14:textId="02A73EEC" w:rsidR="0052432F" w:rsidRPr="000D74CA" w:rsidRDefault="001818D8" w:rsidP="001818D8">
      <w:pPr>
        <w:rPr>
          <w:rFonts w:cs="Arial"/>
        </w:rPr>
      </w:pPr>
      <w:r w:rsidRPr="000D74CA">
        <w:rPr>
          <w:rFonts w:cs="Arial"/>
        </w:rPr>
        <w:t xml:space="preserve">Chronic liver disease is a complex public health problem. The most common causes are alcohol use, metabolic risk, and viral hepatitis, but auto-immune and genetic disorders must not be overlooked. Physical manifestations are interlinked with distress, reduced self-sufficiency and family stress. Effective long-term management requires targeted therapy, surveillance, psychosocial and sociocultural support, proper communications and equitable access. Patient-centered approach and Expanded Chronic Care Model are alternative frameworks for </w:t>
      </w:r>
      <w:proofErr w:type="spellStart"/>
      <w:r w:rsidRPr="000D74CA">
        <w:rPr>
          <w:rFonts w:cs="Arial"/>
        </w:rPr>
        <w:t>organising</w:t>
      </w:r>
      <w:proofErr w:type="spellEnd"/>
      <w:r w:rsidRPr="000D74CA">
        <w:rPr>
          <w:rFonts w:cs="Arial"/>
        </w:rPr>
        <w:t xml:space="preserve"> services, which will be effective in terms of implementation and outcomes monitoring (Tham </w:t>
      </w:r>
      <w:r w:rsidR="00753D25" w:rsidRPr="000D74CA">
        <w:rPr>
          <w:rFonts w:cs="Arial"/>
          <w:i/>
          <w:iCs/>
        </w:rPr>
        <w:t>et al</w:t>
      </w:r>
      <w:r w:rsidRPr="000D74CA">
        <w:rPr>
          <w:rFonts w:cs="Arial"/>
        </w:rPr>
        <w:t xml:space="preserve">., 2025; European Association for the Study of the Liver </w:t>
      </w:r>
      <w:r w:rsidR="00753D25" w:rsidRPr="000D74CA">
        <w:rPr>
          <w:rFonts w:cs="Arial"/>
          <w:i/>
          <w:iCs/>
        </w:rPr>
        <w:t>et al</w:t>
      </w:r>
      <w:r w:rsidRPr="000D74CA">
        <w:rPr>
          <w:rFonts w:cs="Arial"/>
        </w:rPr>
        <w:t>., 2024; NHS England, 2021a).</w:t>
      </w:r>
      <w:r w:rsidRPr="000D74CA">
        <w:rPr>
          <w:rFonts w:cs="Arial"/>
        </w:rPr>
        <w:br w:type="page"/>
      </w:r>
    </w:p>
    <w:p w14:paraId="45172046" w14:textId="77777777" w:rsidR="0052432F" w:rsidRDefault="00000000">
      <w:pPr>
        <w:pStyle w:val="Heading1"/>
      </w:pPr>
      <w:bookmarkStart w:id="21" w:name="_Toc243320492"/>
      <w:r>
        <w:lastRenderedPageBreak/>
        <w:t>References</w:t>
      </w:r>
      <w:bookmarkEnd w:id="21"/>
    </w:p>
    <w:p w14:paraId="233DF267" w14:textId="6EB0BE15" w:rsidR="0052432F" w:rsidRPr="00867AA9" w:rsidRDefault="00000000">
      <w:pPr>
        <w:spacing w:line="259" w:lineRule="auto"/>
        <w:ind w:left="374" w:hanging="374"/>
        <w:jc w:val="left"/>
      </w:pPr>
      <w:proofErr w:type="spellStart"/>
      <w:r w:rsidRPr="00867AA9">
        <w:t>Banait</w:t>
      </w:r>
      <w:proofErr w:type="spellEnd"/>
      <w:r w:rsidRPr="00867AA9">
        <w:t xml:space="preserve">, V.S. </w:t>
      </w:r>
      <w:r w:rsidR="00753D25" w:rsidRPr="00753D25">
        <w:rPr>
          <w:i/>
          <w:iCs/>
        </w:rPr>
        <w:t>et al</w:t>
      </w:r>
      <w:r w:rsidRPr="00867AA9">
        <w:t xml:space="preserve">. (2021) Risk factors for chronic liver disease in population of Central India: a case-control study from rural India. Egyptian Liver Journal, 11, article 10. Available at: </w:t>
      </w:r>
      <w:hyperlink r:id="rId25">
        <w:r w:rsidR="0052432F" w:rsidRPr="00867AA9">
          <w:rPr>
            <w:color w:val="0563C1"/>
            <w:u w:val="single"/>
          </w:rPr>
          <w:t>https://doi.org/10.1186/s43066-021-00077-9</w:t>
        </w:r>
      </w:hyperlink>
      <w:r w:rsidRPr="00867AA9">
        <w:t xml:space="preserve"> (Accessed: 19 October 2026).</w:t>
      </w:r>
    </w:p>
    <w:p w14:paraId="1A890C26" w14:textId="77777777" w:rsidR="0052432F" w:rsidRPr="00867AA9" w:rsidRDefault="00000000">
      <w:pPr>
        <w:spacing w:line="259" w:lineRule="auto"/>
        <w:ind w:left="374" w:hanging="374"/>
        <w:jc w:val="left"/>
      </w:pPr>
      <w:r w:rsidRPr="00867AA9">
        <w:t xml:space="preserve">British Liver Trust (2023) Love Your Liver: three steps to support liver health. Available at: </w:t>
      </w:r>
      <w:hyperlink r:id="rId26">
        <w:r w:rsidR="0052432F" w:rsidRPr="00867AA9">
          <w:rPr>
            <w:color w:val="0563C1"/>
            <w:u w:val="single"/>
          </w:rPr>
          <w:t>https://britishlivertrust.org.uk/information-and-support/love-your-liver/</w:t>
        </w:r>
      </w:hyperlink>
      <w:r w:rsidRPr="00867AA9">
        <w:t xml:space="preserve"> (Accessed: 19 October 2026).</w:t>
      </w:r>
    </w:p>
    <w:p w14:paraId="16A3C029" w14:textId="77777777" w:rsidR="0052432F" w:rsidRPr="00867AA9" w:rsidRDefault="00000000">
      <w:pPr>
        <w:spacing w:line="259" w:lineRule="auto"/>
        <w:ind w:left="374" w:hanging="374"/>
        <w:jc w:val="left"/>
      </w:pPr>
      <w:r w:rsidRPr="00867AA9">
        <w:t xml:space="preserve">British Liver Trust (2024) Sharp 46% increase in alcohol-related liver disease deaths across UK in past decade raises public health concerns. Available at: </w:t>
      </w:r>
      <w:hyperlink r:id="rId27">
        <w:r w:rsidR="0052432F" w:rsidRPr="00867AA9">
          <w:rPr>
            <w:color w:val="0563C1"/>
            <w:u w:val="single"/>
          </w:rPr>
          <w:t>https://britishlivertrust.org.uk/sharp-46-increase-in-alcohol-related-liver-disease-deaths-across-uk-in-past-decade-raises-public-health-concerns/</w:t>
        </w:r>
      </w:hyperlink>
      <w:r w:rsidRPr="00867AA9">
        <w:t xml:space="preserve"> (Accessed: 19 October 2026).</w:t>
      </w:r>
    </w:p>
    <w:p w14:paraId="230F9AC5" w14:textId="77777777" w:rsidR="0052432F" w:rsidRPr="00867AA9" w:rsidRDefault="00000000">
      <w:pPr>
        <w:spacing w:line="259" w:lineRule="auto"/>
        <w:ind w:left="374" w:hanging="374"/>
        <w:jc w:val="left"/>
      </w:pPr>
      <w:r w:rsidRPr="00867AA9">
        <w:t xml:space="preserve">Ching, C., Wiebe, N. and Zhu, J. (2025) Prevalence and predicting factors of caregiver burden in cirrhotic patients. Available at: </w:t>
      </w:r>
      <w:hyperlink r:id="rId28">
        <w:r w:rsidR="0052432F" w:rsidRPr="00867AA9">
          <w:rPr>
            <w:color w:val="0563C1"/>
            <w:u w:val="single"/>
          </w:rPr>
          <w:t>https://doi.org/10.3138/canlivj-2025-0013</w:t>
        </w:r>
      </w:hyperlink>
      <w:r w:rsidRPr="00867AA9">
        <w:t xml:space="preserve"> (Accessed: 19 October 2026).</w:t>
      </w:r>
    </w:p>
    <w:p w14:paraId="28B1420C" w14:textId="77777777" w:rsidR="0052432F" w:rsidRPr="00867AA9" w:rsidRDefault="00000000">
      <w:pPr>
        <w:spacing w:line="259" w:lineRule="auto"/>
        <w:ind w:left="374" w:hanging="374"/>
        <w:jc w:val="left"/>
      </w:pPr>
      <w:proofErr w:type="spellStart"/>
      <w:r w:rsidRPr="00867AA9">
        <w:t>Cheemerla</w:t>
      </w:r>
      <w:proofErr w:type="spellEnd"/>
      <w:r w:rsidRPr="00867AA9">
        <w:t xml:space="preserve">, S. and Balakrishnan, M. (2021) Global epidemiology of chronic liver disease. Clinical Liver Disease, 17(5). Available at: </w:t>
      </w:r>
      <w:hyperlink r:id="rId29">
        <w:r w:rsidR="0052432F" w:rsidRPr="00867AA9">
          <w:rPr>
            <w:color w:val="0563C1"/>
            <w:u w:val="single"/>
          </w:rPr>
          <w:t>https://doi.org/10.1002/cld.1061</w:t>
        </w:r>
      </w:hyperlink>
      <w:r w:rsidRPr="00867AA9">
        <w:t xml:space="preserve"> (Accessed: 19 October 2026).</w:t>
      </w:r>
    </w:p>
    <w:p w14:paraId="333F8EF7" w14:textId="794EE1AE" w:rsidR="0052432F" w:rsidRPr="00867AA9" w:rsidRDefault="00000000">
      <w:pPr>
        <w:spacing w:line="259" w:lineRule="auto"/>
        <w:ind w:left="374" w:hanging="374"/>
        <w:jc w:val="left"/>
      </w:pPr>
      <w:r w:rsidRPr="00867AA9">
        <w:t xml:space="preserve">De </w:t>
      </w:r>
      <w:proofErr w:type="spellStart"/>
      <w:r w:rsidRPr="00867AA9">
        <w:t>Franchis</w:t>
      </w:r>
      <w:proofErr w:type="spellEnd"/>
      <w:r w:rsidRPr="00867AA9">
        <w:t xml:space="preserve">, R. </w:t>
      </w:r>
      <w:r w:rsidR="00753D25" w:rsidRPr="00753D25">
        <w:rPr>
          <w:i/>
          <w:iCs/>
        </w:rPr>
        <w:t>et al</w:t>
      </w:r>
      <w:r w:rsidRPr="00867AA9">
        <w:t xml:space="preserve">. (2022) </w:t>
      </w:r>
      <w:proofErr w:type="spellStart"/>
      <w:r w:rsidRPr="00867AA9">
        <w:t>Baveno</w:t>
      </w:r>
      <w:proofErr w:type="spellEnd"/>
      <w:r w:rsidRPr="00867AA9">
        <w:t xml:space="preserve"> VII – renewing consensus in portal hypertension. Journal of Hepatology, 76(4), pp. 959–974. Available at: </w:t>
      </w:r>
      <w:hyperlink r:id="rId30">
        <w:r w:rsidR="0052432F" w:rsidRPr="00867AA9">
          <w:rPr>
            <w:color w:val="0563C1"/>
            <w:u w:val="single"/>
          </w:rPr>
          <w:t>https://doi.org/10.1016/j.jhep.2021.12.022</w:t>
        </w:r>
      </w:hyperlink>
      <w:r w:rsidRPr="00867AA9">
        <w:t xml:space="preserve"> (Accessed: 19 October 2026).</w:t>
      </w:r>
    </w:p>
    <w:p w14:paraId="285C73F2" w14:textId="77777777" w:rsidR="0052432F" w:rsidRPr="00867AA9" w:rsidRDefault="00000000">
      <w:pPr>
        <w:spacing w:line="259" w:lineRule="auto"/>
        <w:ind w:left="374" w:hanging="374"/>
        <w:jc w:val="left"/>
      </w:pPr>
      <w:r w:rsidRPr="00867AA9">
        <w:t xml:space="preserve">European Association for the Study of the Liver, European Association for the Study of Diabetes and European Association for the Study of Obesity (2024) Clinical practice guidelines on the management of metabolic dysfunction-associated </w:t>
      </w:r>
      <w:proofErr w:type="spellStart"/>
      <w:r w:rsidRPr="00867AA9">
        <w:t>steatotic</w:t>
      </w:r>
      <w:proofErr w:type="spellEnd"/>
      <w:r w:rsidRPr="00867AA9">
        <w:t xml:space="preserve"> liver disease. Journal of Hepatology, 81(3), pp. 492–542. Available at: </w:t>
      </w:r>
      <w:hyperlink r:id="rId31">
        <w:r w:rsidR="0052432F" w:rsidRPr="00867AA9">
          <w:rPr>
            <w:color w:val="0563C1"/>
            <w:u w:val="single"/>
          </w:rPr>
          <w:t>https://doi.org/10.1016/j.jhep.2024.04.031</w:t>
        </w:r>
      </w:hyperlink>
      <w:r w:rsidRPr="00867AA9">
        <w:t xml:space="preserve"> (Accessed: 19 October 2026).</w:t>
      </w:r>
    </w:p>
    <w:p w14:paraId="7DD8D910" w14:textId="77777777" w:rsidR="0052432F" w:rsidRPr="00867AA9" w:rsidRDefault="00000000">
      <w:pPr>
        <w:spacing w:line="259" w:lineRule="auto"/>
        <w:ind w:left="374" w:hanging="374"/>
        <w:jc w:val="left"/>
      </w:pPr>
      <w:r w:rsidRPr="00867AA9">
        <w:t xml:space="preserve">Fadlallah, H., El Masri, D., </w:t>
      </w:r>
      <w:proofErr w:type="spellStart"/>
      <w:r w:rsidRPr="00867AA9">
        <w:t>Bahmad</w:t>
      </w:r>
      <w:proofErr w:type="spellEnd"/>
      <w:r w:rsidRPr="00867AA9">
        <w:t xml:space="preserve">, H.F., Abou-Kheir, W. and El Masri, J. (2025) Update on the complications and management of liver cirrhosis. Medical Sciences, 13(1), article 13. Available at: </w:t>
      </w:r>
      <w:hyperlink r:id="rId32">
        <w:r w:rsidR="0052432F" w:rsidRPr="00867AA9">
          <w:rPr>
            <w:color w:val="0563C1"/>
            <w:u w:val="single"/>
          </w:rPr>
          <w:t>https://doi.org/10.3390/medsci13010013</w:t>
        </w:r>
      </w:hyperlink>
      <w:r w:rsidRPr="00867AA9">
        <w:t xml:space="preserve"> (Accessed: 19 October 2026).</w:t>
      </w:r>
    </w:p>
    <w:p w14:paraId="030C25F7" w14:textId="209953E8" w:rsidR="0052432F" w:rsidRPr="00867AA9" w:rsidRDefault="00000000">
      <w:pPr>
        <w:spacing w:line="259" w:lineRule="auto"/>
        <w:ind w:left="374" w:hanging="374"/>
        <w:jc w:val="left"/>
      </w:pPr>
      <w:proofErr w:type="spellStart"/>
      <w:r w:rsidRPr="00867AA9">
        <w:t>Hareendran</w:t>
      </w:r>
      <w:proofErr w:type="spellEnd"/>
      <w:r w:rsidRPr="00867AA9">
        <w:t xml:space="preserve">, A. </w:t>
      </w:r>
      <w:r w:rsidR="00753D25" w:rsidRPr="00753D25">
        <w:rPr>
          <w:i/>
          <w:iCs/>
        </w:rPr>
        <w:t>et al</w:t>
      </w:r>
      <w:r w:rsidRPr="00867AA9">
        <w:t xml:space="preserve">. (2020) Quality of life, caregiver burden and mental health disorders in primary caregivers of patients with cirrhosis. Available at: </w:t>
      </w:r>
      <w:hyperlink r:id="rId33">
        <w:r w:rsidR="0052432F" w:rsidRPr="00867AA9">
          <w:rPr>
            <w:color w:val="0563C1"/>
            <w:u w:val="single"/>
          </w:rPr>
          <w:t>https://doi.org/10.1111/liv.14614</w:t>
        </w:r>
      </w:hyperlink>
      <w:r w:rsidRPr="00867AA9">
        <w:t xml:space="preserve"> (Accessed: 19 October 2026).</w:t>
      </w:r>
    </w:p>
    <w:p w14:paraId="04191E9F" w14:textId="42CEBB34" w:rsidR="0052432F" w:rsidRPr="00867AA9" w:rsidRDefault="00000000">
      <w:pPr>
        <w:spacing w:line="259" w:lineRule="auto"/>
        <w:ind w:left="374" w:hanging="374"/>
        <w:jc w:val="left"/>
      </w:pPr>
      <w:r w:rsidRPr="00867AA9">
        <w:t xml:space="preserve">Lai, J.C. </w:t>
      </w:r>
      <w:r w:rsidR="00753D25" w:rsidRPr="00753D25">
        <w:rPr>
          <w:i/>
          <w:iCs/>
        </w:rPr>
        <w:t>et al</w:t>
      </w:r>
      <w:r w:rsidRPr="00867AA9">
        <w:t xml:space="preserve">. (2021) Malnutrition, frailty, and sarcopenia in patients with cirrhosis: 2021 practice guidance by the American Association for the Study of Liver Diseases. Available at: </w:t>
      </w:r>
      <w:hyperlink r:id="rId34">
        <w:r w:rsidR="0052432F" w:rsidRPr="00867AA9">
          <w:rPr>
            <w:color w:val="0563C1"/>
            <w:u w:val="single"/>
          </w:rPr>
          <w:t>https://doi.org/10.1002/hep.32049</w:t>
        </w:r>
      </w:hyperlink>
      <w:r w:rsidRPr="00867AA9">
        <w:t xml:space="preserve"> (Accessed: 19 October 2026).</w:t>
      </w:r>
    </w:p>
    <w:p w14:paraId="52B85B7B" w14:textId="1B579EFF" w:rsidR="0052432F" w:rsidRPr="00867AA9" w:rsidRDefault="00000000">
      <w:pPr>
        <w:spacing w:line="259" w:lineRule="auto"/>
        <w:ind w:left="374" w:hanging="374"/>
        <w:jc w:val="left"/>
      </w:pPr>
      <w:r w:rsidRPr="00867AA9">
        <w:t xml:space="preserve">Mansour, D. </w:t>
      </w:r>
      <w:r w:rsidR="00753D25" w:rsidRPr="00753D25">
        <w:rPr>
          <w:i/>
          <w:iCs/>
        </w:rPr>
        <w:t>et al</w:t>
      </w:r>
      <w:r w:rsidRPr="00867AA9">
        <w:t xml:space="preserve">. (2023a) British Society of Gastroenterology best practice guidance: outpatient management of cirrhosis. Part 1: compensated cirrhosis. Available at: </w:t>
      </w:r>
      <w:hyperlink r:id="rId35">
        <w:r w:rsidR="0052432F" w:rsidRPr="00867AA9">
          <w:rPr>
            <w:color w:val="0563C1"/>
            <w:u w:val="single"/>
          </w:rPr>
          <w:t>https://doi.org/10.1136/flgastro-2023-102430</w:t>
        </w:r>
      </w:hyperlink>
      <w:r w:rsidRPr="00867AA9">
        <w:t xml:space="preserve"> (Accessed: 19 October 2026).</w:t>
      </w:r>
    </w:p>
    <w:p w14:paraId="059A647B" w14:textId="168645A6" w:rsidR="0052432F" w:rsidRPr="00867AA9" w:rsidRDefault="00000000">
      <w:pPr>
        <w:spacing w:line="259" w:lineRule="auto"/>
        <w:ind w:left="374" w:hanging="374"/>
        <w:jc w:val="left"/>
      </w:pPr>
      <w:r w:rsidRPr="00867AA9">
        <w:t xml:space="preserve">Mansour, D. </w:t>
      </w:r>
      <w:r w:rsidR="00753D25" w:rsidRPr="00753D25">
        <w:rPr>
          <w:i/>
          <w:iCs/>
        </w:rPr>
        <w:t>et al</w:t>
      </w:r>
      <w:r w:rsidRPr="00867AA9">
        <w:t xml:space="preserve">. (2023b) British Society of Gastroenterology best practice guidance: outpatient management of cirrhosis. Part 2: decompensated cirrhosis. Available at: </w:t>
      </w:r>
      <w:hyperlink r:id="rId36">
        <w:r w:rsidR="0052432F" w:rsidRPr="00867AA9">
          <w:rPr>
            <w:color w:val="0563C1"/>
            <w:u w:val="single"/>
          </w:rPr>
          <w:t>https://doi.org/10.1136/flgastro-2023-102431</w:t>
        </w:r>
      </w:hyperlink>
      <w:r w:rsidRPr="00867AA9">
        <w:t xml:space="preserve"> (Accessed: 19 October 2026).</w:t>
      </w:r>
    </w:p>
    <w:p w14:paraId="0F0D6EF8" w14:textId="56794468" w:rsidR="0052432F" w:rsidRPr="00867AA9" w:rsidRDefault="00000000">
      <w:pPr>
        <w:spacing w:line="259" w:lineRule="auto"/>
        <w:ind w:left="374" w:hanging="374"/>
        <w:jc w:val="left"/>
      </w:pPr>
      <w:r w:rsidRPr="00867AA9">
        <w:t xml:space="preserve">Mansour, D. </w:t>
      </w:r>
      <w:r w:rsidR="00753D25" w:rsidRPr="00753D25">
        <w:rPr>
          <w:i/>
          <w:iCs/>
        </w:rPr>
        <w:t>et al</w:t>
      </w:r>
      <w:r w:rsidRPr="00867AA9">
        <w:t xml:space="preserve">. (2023c) British Society of Gastroenterology best practice guidance: outpatient management of cirrhosis. Part 3: special circumstances. Available at: </w:t>
      </w:r>
      <w:hyperlink r:id="rId37">
        <w:r w:rsidR="0052432F" w:rsidRPr="00867AA9">
          <w:rPr>
            <w:color w:val="0563C1"/>
            <w:u w:val="single"/>
          </w:rPr>
          <w:t>https://doi.org/10.1136/flgastro-2023-102432</w:t>
        </w:r>
      </w:hyperlink>
      <w:r w:rsidRPr="00867AA9">
        <w:t xml:space="preserve"> (Accessed: 19 October 2026).</w:t>
      </w:r>
    </w:p>
    <w:p w14:paraId="1166E0FC" w14:textId="77777777" w:rsidR="0052432F" w:rsidRPr="00867AA9" w:rsidRDefault="00000000">
      <w:pPr>
        <w:spacing w:line="259" w:lineRule="auto"/>
        <w:ind w:left="374" w:hanging="374"/>
        <w:jc w:val="left"/>
      </w:pPr>
      <w:r w:rsidRPr="00867AA9">
        <w:lastRenderedPageBreak/>
        <w:t xml:space="preserve">National Health Service (2025) Cirrhosis. Available at: </w:t>
      </w:r>
      <w:hyperlink r:id="rId38">
        <w:r w:rsidR="0052432F" w:rsidRPr="00867AA9">
          <w:rPr>
            <w:color w:val="0563C1"/>
            <w:u w:val="single"/>
          </w:rPr>
          <w:t>https://www.nhs.uk/conditions/cirrhosis/</w:t>
        </w:r>
      </w:hyperlink>
      <w:r w:rsidRPr="00867AA9">
        <w:t xml:space="preserve"> (Accessed: 19 October 2026).</w:t>
      </w:r>
    </w:p>
    <w:p w14:paraId="32D1E290" w14:textId="77777777" w:rsidR="0052432F" w:rsidRPr="00867AA9" w:rsidRDefault="00000000">
      <w:pPr>
        <w:spacing w:line="259" w:lineRule="auto"/>
        <w:ind w:left="374" w:hanging="374"/>
        <w:jc w:val="left"/>
      </w:pPr>
      <w:r w:rsidRPr="00867AA9">
        <w:t xml:space="preserve">National Institute for Health and Care Excellence (2021) Shared decision making. NICE guideline NG197. Available at: </w:t>
      </w:r>
      <w:hyperlink r:id="rId39">
        <w:r w:rsidR="0052432F" w:rsidRPr="00867AA9">
          <w:rPr>
            <w:color w:val="0563C1"/>
            <w:u w:val="single"/>
          </w:rPr>
          <w:t>https://www.nice.org.uk/guidance/ng197</w:t>
        </w:r>
      </w:hyperlink>
      <w:r w:rsidRPr="00867AA9">
        <w:t xml:space="preserve"> (Accessed: 19 October 2026).</w:t>
      </w:r>
    </w:p>
    <w:p w14:paraId="38ED7EF0" w14:textId="77777777" w:rsidR="0052432F" w:rsidRPr="00867AA9" w:rsidRDefault="00000000">
      <w:pPr>
        <w:spacing w:line="259" w:lineRule="auto"/>
        <w:ind w:left="374" w:hanging="374"/>
        <w:jc w:val="left"/>
      </w:pPr>
      <w:r w:rsidRPr="00867AA9">
        <w:t xml:space="preserve">National Institute for Health and Care Excellence (2023) Cirrhosis in over 16s: assessment and management. NICE guideline NG50. Available at: </w:t>
      </w:r>
      <w:hyperlink r:id="rId40">
        <w:r w:rsidR="0052432F" w:rsidRPr="00867AA9">
          <w:rPr>
            <w:color w:val="0563C1"/>
            <w:u w:val="single"/>
          </w:rPr>
          <w:t>https://www.nice.org.uk/guidance/ng50/chapter/Recommendations</w:t>
        </w:r>
      </w:hyperlink>
      <w:r w:rsidRPr="00867AA9">
        <w:t xml:space="preserve"> (Accessed: 19 October 2026).</w:t>
      </w:r>
    </w:p>
    <w:p w14:paraId="0A2B81C0" w14:textId="77777777" w:rsidR="0052432F" w:rsidRPr="00867AA9" w:rsidRDefault="00000000">
      <w:pPr>
        <w:spacing w:line="259" w:lineRule="auto"/>
        <w:ind w:left="374" w:hanging="374"/>
        <w:jc w:val="left"/>
      </w:pPr>
      <w:r w:rsidRPr="00867AA9">
        <w:t xml:space="preserve">NHS Digital (2022) Compendium: mortality from chronic liver disease. Available at: </w:t>
      </w:r>
      <w:hyperlink r:id="rId41">
        <w:r w:rsidR="0052432F" w:rsidRPr="00867AA9">
          <w:rPr>
            <w:color w:val="0563C1"/>
            <w:u w:val="single"/>
          </w:rPr>
          <w:t>https://digital.nhs.uk/data-and-information/publications/statistical/compendium-mortality/current/mortality-from-chronic-liver-disease</w:t>
        </w:r>
      </w:hyperlink>
      <w:r w:rsidRPr="00867AA9">
        <w:t xml:space="preserve"> (Accessed: 19 October 2026).</w:t>
      </w:r>
    </w:p>
    <w:p w14:paraId="421D5DF2" w14:textId="77777777" w:rsidR="0052432F" w:rsidRPr="00867AA9" w:rsidRDefault="00000000">
      <w:pPr>
        <w:spacing w:line="259" w:lineRule="auto"/>
        <w:ind w:left="374" w:hanging="374"/>
        <w:jc w:val="left"/>
      </w:pPr>
      <w:r w:rsidRPr="00867AA9">
        <w:t xml:space="preserve">NHS England (2021a) </w:t>
      </w:r>
      <w:proofErr w:type="spellStart"/>
      <w:r w:rsidRPr="00867AA9">
        <w:t>Personalised</w:t>
      </w:r>
      <w:proofErr w:type="spellEnd"/>
      <w:r w:rsidRPr="00867AA9">
        <w:t xml:space="preserve"> care operating model. Available at: </w:t>
      </w:r>
      <w:hyperlink r:id="rId42">
        <w:r w:rsidR="0052432F" w:rsidRPr="00867AA9">
          <w:rPr>
            <w:color w:val="0563C1"/>
            <w:u w:val="single"/>
          </w:rPr>
          <w:t>https://www.england.nhs.uk/publication/personalised-care-operating-model/</w:t>
        </w:r>
      </w:hyperlink>
      <w:r w:rsidRPr="00867AA9">
        <w:t xml:space="preserve"> (Accessed: 19 October 2026).</w:t>
      </w:r>
    </w:p>
    <w:p w14:paraId="7BA9D36B" w14:textId="77777777" w:rsidR="0052432F" w:rsidRPr="00867AA9" w:rsidRDefault="00000000">
      <w:pPr>
        <w:spacing w:line="259" w:lineRule="auto"/>
        <w:ind w:left="374" w:hanging="374"/>
        <w:jc w:val="left"/>
      </w:pPr>
      <w:r w:rsidRPr="00867AA9">
        <w:t xml:space="preserve">NHS England (2021b) Integrated care systems: guidance. Available at: </w:t>
      </w:r>
      <w:hyperlink r:id="rId43">
        <w:r w:rsidR="0052432F" w:rsidRPr="00867AA9">
          <w:rPr>
            <w:color w:val="0563C1"/>
            <w:u w:val="single"/>
          </w:rPr>
          <w:t>https://www.england.nhs.uk/publication/integrated-care-systems-guidance/</w:t>
        </w:r>
      </w:hyperlink>
      <w:r w:rsidRPr="00867AA9">
        <w:t xml:space="preserve"> (Accessed: 19 October 2026).</w:t>
      </w:r>
    </w:p>
    <w:p w14:paraId="3D20AD27" w14:textId="77777777" w:rsidR="0052432F" w:rsidRPr="00867AA9" w:rsidRDefault="00000000">
      <w:pPr>
        <w:spacing w:line="259" w:lineRule="auto"/>
        <w:ind w:left="374" w:hanging="374"/>
        <w:jc w:val="left"/>
      </w:pPr>
      <w:r w:rsidRPr="00867AA9">
        <w:t xml:space="preserve">NHS England (2021c) Core20PLUS5: an approach to reducing healthcare inequalities. Available at: </w:t>
      </w:r>
      <w:hyperlink r:id="rId44">
        <w:r w:rsidR="0052432F" w:rsidRPr="00867AA9">
          <w:rPr>
            <w:color w:val="0563C1"/>
            <w:u w:val="single"/>
          </w:rPr>
          <w:t>https://www.england.nhs.uk/about/equality/equality-hub/national-healthcare-inequalities-improvement-programme/core20plus5/</w:t>
        </w:r>
      </w:hyperlink>
      <w:r w:rsidRPr="00867AA9">
        <w:t xml:space="preserve"> (Accessed: 19 October 2026).</w:t>
      </w:r>
    </w:p>
    <w:p w14:paraId="299F7F9F" w14:textId="77777777" w:rsidR="0052432F" w:rsidRPr="00867AA9" w:rsidRDefault="00000000">
      <w:pPr>
        <w:spacing w:line="259" w:lineRule="auto"/>
        <w:ind w:left="374" w:hanging="374"/>
        <w:jc w:val="left"/>
      </w:pPr>
      <w:r w:rsidRPr="00867AA9">
        <w:t xml:space="preserve">Office for Health Improvement and Disparities (2024) Liver disease profile, December 2024 update. Available at: </w:t>
      </w:r>
      <w:hyperlink r:id="rId45">
        <w:r w:rsidR="0052432F" w:rsidRPr="00867AA9">
          <w:rPr>
            <w:color w:val="0563C1"/>
            <w:u w:val="single"/>
          </w:rPr>
          <w:t>https://www.gov.uk/government/statistics/liver-disease-profile-december-2024-update/liver-disease-profile-december-2024-update</w:t>
        </w:r>
      </w:hyperlink>
      <w:r w:rsidRPr="00867AA9">
        <w:t xml:space="preserve"> (Accessed: 19 October 2026).</w:t>
      </w:r>
    </w:p>
    <w:p w14:paraId="66EFB10E" w14:textId="77777777" w:rsidR="0052432F" w:rsidRPr="00867AA9" w:rsidRDefault="00000000">
      <w:pPr>
        <w:spacing w:line="259" w:lineRule="auto"/>
        <w:ind w:left="374" w:hanging="374"/>
        <w:jc w:val="left"/>
      </w:pPr>
      <w:r w:rsidRPr="00867AA9">
        <w:t xml:space="preserve">Philips, C.A. and </w:t>
      </w:r>
      <w:proofErr w:type="spellStart"/>
      <w:r w:rsidRPr="00867AA9">
        <w:t>Kedarisetty</w:t>
      </w:r>
      <w:proofErr w:type="spellEnd"/>
      <w:r w:rsidRPr="00867AA9">
        <w:t xml:space="preserve">, C.K. (2023) Palliative care for patients with end-stage liver disease. Journal of Clinical and Experimental Hepatology, 13(2), pp. 319–328. Available at: </w:t>
      </w:r>
      <w:hyperlink r:id="rId46">
        <w:r w:rsidR="0052432F" w:rsidRPr="00867AA9">
          <w:rPr>
            <w:color w:val="0563C1"/>
            <w:u w:val="single"/>
          </w:rPr>
          <w:t>https://doi.org/10.1016/j.jceh.2022.08.003</w:t>
        </w:r>
      </w:hyperlink>
      <w:r w:rsidRPr="00867AA9">
        <w:t xml:space="preserve"> (Accessed: 19 October 2026).</w:t>
      </w:r>
    </w:p>
    <w:p w14:paraId="14684C11" w14:textId="5593F9FA" w:rsidR="0052432F" w:rsidRPr="00867AA9" w:rsidRDefault="00000000">
      <w:pPr>
        <w:spacing w:line="259" w:lineRule="auto"/>
        <w:ind w:left="374" w:hanging="374"/>
        <w:jc w:val="left"/>
      </w:pPr>
      <w:r w:rsidRPr="00867AA9">
        <w:t xml:space="preserve">Rinella, M.E. </w:t>
      </w:r>
      <w:r w:rsidR="00753D25" w:rsidRPr="00753D25">
        <w:rPr>
          <w:i/>
          <w:iCs/>
        </w:rPr>
        <w:t>et al</w:t>
      </w:r>
      <w:r w:rsidRPr="00867AA9">
        <w:t xml:space="preserve">. (2023) AASLD practice guidance on the clinical assessment and management of nonalcoholic fatty liver disease. Hepatology, 77(5), pp. 1797–1835. Available at: </w:t>
      </w:r>
      <w:hyperlink r:id="rId47">
        <w:r w:rsidR="0052432F" w:rsidRPr="00867AA9">
          <w:rPr>
            <w:color w:val="0563C1"/>
            <w:u w:val="single"/>
          </w:rPr>
          <w:t>https://doi.org/10.1097/HEP.0000000000000323</w:t>
        </w:r>
      </w:hyperlink>
      <w:r w:rsidRPr="00867AA9">
        <w:t xml:space="preserve"> (Accessed: 19 October 2026).</w:t>
      </w:r>
    </w:p>
    <w:p w14:paraId="003AE3D3" w14:textId="2B03198F" w:rsidR="0052432F" w:rsidRPr="00867AA9" w:rsidRDefault="00000000">
      <w:pPr>
        <w:spacing w:line="259" w:lineRule="auto"/>
        <w:ind w:left="374" w:hanging="374"/>
        <w:jc w:val="left"/>
      </w:pPr>
      <w:r w:rsidRPr="00867AA9">
        <w:t xml:space="preserve">Rogal, S.S. </w:t>
      </w:r>
      <w:r w:rsidR="00753D25" w:rsidRPr="00753D25">
        <w:rPr>
          <w:i/>
          <w:iCs/>
        </w:rPr>
        <w:t>et al</w:t>
      </w:r>
      <w:r w:rsidRPr="00867AA9">
        <w:t xml:space="preserve">. (2022) AASLD practice guidance: palliative care and symptom-based management in decompensated cirrhosis. Hepatology, 76(3), pp. 819–853. Available at: </w:t>
      </w:r>
      <w:hyperlink r:id="rId48">
        <w:r w:rsidR="0052432F" w:rsidRPr="00867AA9">
          <w:rPr>
            <w:color w:val="0563C1"/>
            <w:u w:val="single"/>
          </w:rPr>
          <w:t>https://doi.org/10.1002/hep.32378</w:t>
        </w:r>
      </w:hyperlink>
      <w:r w:rsidRPr="00867AA9">
        <w:t xml:space="preserve"> (Accessed: 19 October 2026).</w:t>
      </w:r>
    </w:p>
    <w:p w14:paraId="6E42B93E" w14:textId="4268AA6D" w:rsidR="0052432F" w:rsidRPr="00867AA9" w:rsidRDefault="00000000">
      <w:pPr>
        <w:spacing w:line="259" w:lineRule="auto"/>
        <w:ind w:left="374" w:hanging="374"/>
        <w:jc w:val="left"/>
      </w:pPr>
      <w:r w:rsidRPr="00867AA9">
        <w:t xml:space="preserve">Tham, T.Y. </w:t>
      </w:r>
      <w:r w:rsidR="00753D25" w:rsidRPr="00753D25">
        <w:rPr>
          <w:i/>
          <w:iCs/>
        </w:rPr>
        <w:t>et al</w:t>
      </w:r>
      <w:r w:rsidRPr="00867AA9">
        <w:t xml:space="preserve">. (2025) The global burden of cirrhosis and other chronic liver diseases in 2021. Liver International. Available at: </w:t>
      </w:r>
      <w:hyperlink r:id="rId49">
        <w:r w:rsidR="0052432F" w:rsidRPr="00867AA9">
          <w:rPr>
            <w:color w:val="0563C1"/>
            <w:u w:val="single"/>
          </w:rPr>
          <w:t>https://doi.org/10.1111/liv.70001</w:t>
        </w:r>
      </w:hyperlink>
      <w:r w:rsidRPr="00867AA9">
        <w:t xml:space="preserve"> (Accessed: 19 October 2026).</w:t>
      </w:r>
    </w:p>
    <w:p w14:paraId="10C96415" w14:textId="77777777" w:rsidR="0052432F" w:rsidRPr="00867AA9" w:rsidRDefault="00000000">
      <w:pPr>
        <w:spacing w:line="259" w:lineRule="auto"/>
        <w:ind w:left="374" w:hanging="374"/>
        <w:jc w:val="left"/>
      </w:pPr>
      <w:r w:rsidRPr="00867AA9">
        <w:t xml:space="preserve">Zhang, Y., Luo, M. and Ming, Y. (2025) Global burden of cirrhosis and other chronic liver diseases caused by specific etiologies from 1990 to 2021. BMC Gastroenterology, 25, article 641. Available at: </w:t>
      </w:r>
      <w:hyperlink r:id="rId50">
        <w:r w:rsidR="0052432F" w:rsidRPr="00867AA9">
          <w:rPr>
            <w:color w:val="0563C1"/>
            <w:u w:val="single"/>
          </w:rPr>
          <w:t>https://doi.org/10.1186/s12876-025-04264-5</w:t>
        </w:r>
      </w:hyperlink>
      <w:r w:rsidRPr="00867AA9">
        <w:t xml:space="preserve"> (Accessed: 19 October 2026).</w:t>
      </w:r>
    </w:p>
    <w:p w14:paraId="1911325A" w14:textId="77777777" w:rsidR="0052432F" w:rsidRPr="00867AA9" w:rsidRDefault="00000000">
      <w:pPr>
        <w:spacing w:line="259" w:lineRule="auto"/>
        <w:ind w:left="374" w:hanging="374"/>
        <w:jc w:val="left"/>
      </w:pPr>
      <w:r w:rsidRPr="00867AA9">
        <w:t xml:space="preserve">UK Health Security Agency (2024) Hepatitis C in England 2024. Available at: </w:t>
      </w:r>
      <w:hyperlink r:id="rId51">
        <w:r w:rsidR="0052432F" w:rsidRPr="00867AA9">
          <w:rPr>
            <w:color w:val="0563C1"/>
            <w:u w:val="single"/>
          </w:rPr>
          <w:t>https://www.gov.uk/government/publications/hepatitis-c-in-england-and-the-uk</w:t>
        </w:r>
      </w:hyperlink>
      <w:r w:rsidRPr="00867AA9">
        <w:t xml:space="preserve"> (Accessed: 19 October 2026).</w:t>
      </w:r>
    </w:p>
    <w:p w14:paraId="43C56D6D" w14:textId="77777777" w:rsidR="0052432F" w:rsidRPr="00867AA9" w:rsidRDefault="00000000">
      <w:pPr>
        <w:spacing w:line="259" w:lineRule="auto"/>
        <w:ind w:left="374" w:hanging="374"/>
        <w:jc w:val="left"/>
      </w:pPr>
      <w:r w:rsidRPr="00867AA9">
        <w:lastRenderedPageBreak/>
        <w:t xml:space="preserve">World Health Organization (2022) Global alcohol action plan 2022–2030 to strengthen implementation of the Global Strategy to Reduce the Harmful Use of Alcohol. Available at: </w:t>
      </w:r>
      <w:hyperlink r:id="rId52">
        <w:r w:rsidR="0052432F" w:rsidRPr="00867AA9">
          <w:rPr>
            <w:color w:val="0563C1"/>
            <w:u w:val="single"/>
          </w:rPr>
          <w:t>https://www.who.int/publications/i/item/9789240060893</w:t>
        </w:r>
      </w:hyperlink>
      <w:r w:rsidRPr="00867AA9">
        <w:t xml:space="preserve"> (Accessed: 19 October 2026).</w:t>
      </w:r>
    </w:p>
    <w:p w14:paraId="0803DA6C" w14:textId="77777777" w:rsidR="0052432F" w:rsidRPr="00867AA9" w:rsidRDefault="00000000">
      <w:pPr>
        <w:spacing w:line="259" w:lineRule="auto"/>
        <w:ind w:left="374" w:hanging="374"/>
        <w:jc w:val="left"/>
      </w:pPr>
      <w:r w:rsidRPr="00867AA9">
        <w:t xml:space="preserve">World Health Organization (2024a) Global hepatitis report 2024: action for access in low- and middle-income countries. Available at: </w:t>
      </w:r>
      <w:hyperlink r:id="rId53">
        <w:r w:rsidR="0052432F" w:rsidRPr="00867AA9">
          <w:rPr>
            <w:color w:val="0563C1"/>
            <w:u w:val="single"/>
          </w:rPr>
          <w:t>https://www.who.int/publications/i/item/9789240091672</w:t>
        </w:r>
      </w:hyperlink>
      <w:r w:rsidRPr="00867AA9">
        <w:t xml:space="preserve"> (Accessed: 19 October 2026).</w:t>
      </w:r>
    </w:p>
    <w:p w14:paraId="16DF2353" w14:textId="77777777" w:rsidR="0052432F" w:rsidRPr="00867AA9" w:rsidRDefault="00000000">
      <w:pPr>
        <w:spacing w:line="259" w:lineRule="auto"/>
        <w:ind w:left="374" w:hanging="374"/>
        <w:jc w:val="left"/>
      </w:pPr>
      <w:r w:rsidRPr="00867AA9">
        <w:t xml:space="preserve">World Health Organization (2024b) Alcohol. Fact sheet. Available at: </w:t>
      </w:r>
      <w:hyperlink r:id="rId54">
        <w:r w:rsidR="0052432F" w:rsidRPr="00867AA9">
          <w:rPr>
            <w:color w:val="0563C1"/>
            <w:u w:val="single"/>
          </w:rPr>
          <w:t>https://www.who.int/news-room/fact-sheets/detail/alcohol</w:t>
        </w:r>
      </w:hyperlink>
      <w:r w:rsidRPr="00867AA9">
        <w:t xml:space="preserve"> (Accessed: 19 October 2026).</w:t>
      </w:r>
    </w:p>
    <w:p w14:paraId="095AE293" w14:textId="0A04FFFE" w:rsidR="0052432F" w:rsidRPr="00867AA9" w:rsidRDefault="00000000">
      <w:pPr>
        <w:spacing w:line="259" w:lineRule="auto"/>
        <w:ind w:left="374" w:hanging="374"/>
        <w:jc w:val="left"/>
      </w:pPr>
      <w:r w:rsidRPr="00867AA9">
        <w:t xml:space="preserve">Yoshiji, H. </w:t>
      </w:r>
      <w:r w:rsidR="00753D25" w:rsidRPr="00753D25">
        <w:rPr>
          <w:i/>
          <w:iCs/>
        </w:rPr>
        <w:t>et al</w:t>
      </w:r>
      <w:r w:rsidRPr="00867AA9">
        <w:t xml:space="preserve">. (2021) Evidence-based clinical practice guidelines for liver cirrhosis 2020. Journal of Gastroenterology, 56, pp. 593–619. Available at: </w:t>
      </w:r>
      <w:hyperlink r:id="rId55">
        <w:r w:rsidR="0052432F" w:rsidRPr="00867AA9">
          <w:rPr>
            <w:color w:val="0563C1"/>
            <w:u w:val="single"/>
          </w:rPr>
          <w:t>https://doi.org/10.1007/s00535-021-01788-x</w:t>
        </w:r>
      </w:hyperlink>
      <w:r w:rsidRPr="00867AA9">
        <w:t xml:space="preserve"> (Accessed: 19 October 2026).</w:t>
      </w:r>
    </w:p>
    <w:p w14:paraId="7EB2D673" w14:textId="77777777" w:rsidR="0052432F" w:rsidRPr="00867AA9" w:rsidRDefault="00000000">
      <w:pPr>
        <w:spacing w:line="259" w:lineRule="auto"/>
        <w:ind w:left="374" w:hanging="374"/>
        <w:jc w:val="left"/>
      </w:pPr>
      <w:proofErr w:type="spellStart"/>
      <w:r w:rsidRPr="00867AA9">
        <w:t>Zimbrean</w:t>
      </w:r>
      <w:proofErr w:type="spellEnd"/>
      <w:r w:rsidRPr="00867AA9">
        <w:t xml:space="preserve">, P.C. and Jakab, S.S. (2025) Depression and anxiety management in cirrhosis. Hepatology Communications, 9(1), e0600. Available at: </w:t>
      </w:r>
      <w:hyperlink r:id="rId56">
        <w:r w:rsidR="0052432F" w:rsidRPr="00867AA9">
          <w:rPr>
            <w:color w:val="0563C1"/>
            <w:u w:val="single"/>
          </w:rPr>
          <w:t>https://doi.org/10.1097/HC9.0000000000000600</w:t>
        </w:r>
      </w:hyperlink>
      <w:r w:rsidRPr="00867AA9">
        <w:t xml:space="preserve"> (Accessed: 19 October 2026).</w:t>
      </w:r>
    </w:p>
    <w:p w14:paraId="2DD9EAB2" w14:textId="77777777" w:rsidR="0052432F" w:rsidRPr="00867AA9" w:rsidRDefault="00000000">
      <w:pPr>
        <w:spacing w:line="259" w:lineRule="auto"/>
        <w:ind w:left="374" w:hanging="374"/>
        <w:jc w:val="left"/>
      </w:pPr>
      <w:r w:rsidRPr="00867AA9">
        <w:t xml:space="preserve">National Institute of Diabetes and Digestive and Kidney Diseases (2024) Cirrhosis and fatty liver disease: causes and risk factors. Media library. Available at: </w:t>
      </w:r>
      <w:hyperlink r:id="rId57">
        <w:r w:rsidR="0052432F" w:rsidRPr="00867AA9">
          <w:rPr>
            <w:color w:val="0563C1"/>
            <w:u w:val="single"/>
          </w:rPr>
          <w:t>https://www.niddk.nih.gov/news/media-library/24418</w:t>
        </w:r>
      </w:hyperlink>
      <w:r w:rsidRPr="00867AA9">
        <w:t xml:space="preserve"> (Accessed: 19 October 2026).</w:t>
      </w:r>
    </w:p>
    <w:p w14:paraId="1C0D7E51" w14:textId="77777777" w:rsidR="0052432F" w:rsidRPr="00867AA9" w:rsidRDefault="00000000">
      <w:pPr>
        <w:spacing w:line="259" w:lineRule="auto"/>
        <w:ind w:left="374" w:hanging="374"/>
        <w:jc w:val="left"/>
      </w:pPr>
      <w:r w:rsidRPr="00867AA9">
        <w:t xml:space="preserve">Future Humber (n.d.) New liver clinics to launch at Goole Hospital. Available at: </w:t>
      </w:r>
      <w:hyperlink r:id="rId58">
        <w:r w:rsidR="0052432F" w:rsidRPr="00867AA9">
          <w:rPr>
            <w:color w:val="0563C1"/>
            <w:u w:val="single"/>
          </w:rPr>
          <w:t>https://www.futurehumber.com/news/new-liver-clinics-to-launch-at-goole-hospital</w:t>
        </w:r>
      </w:hyperlink>
      <w:r w:rsidRPr="00867AA9">
        <w:t xml:space="preserve"> (Accessed: 19 October 2026).</w:t>
      </w:r>
    </w:p>
    <w:p w14:paraId="4CB3A01F" w14:textId="77777777" w:rsidR="0052432F" w:rsidRPr="00867AA9" w:rsidRDefault="00000000">
      <w:pPr>
        <w:spacing w:line="259" w:lineRule="auto"/>
        <w:ind w:left="374" w:hanging="374"/>
        <w:jc w:val="left"/>
      </w:pPr>
      <w:r w:rsidRPr="00867AA9">
        <w:t xml:space="preserve">NHS England (2020) Integrating care: next steps to building strong and effective integrated care systems across England. Available at: </w:t>
      </w:r>
      <w:hyperlink r:id="rId59">
        <w:r w:rsidR="0052432F" w:rsidRPr="00867AA9">
          <w:rPr>
            <w:color w:val="0563C1"/>
            <w:u w:val="single"/>
          </w:rPr>
          <w:t>https://www.england.nhs.uk/publication/integrating-care-next-steps-to-building-strong-and-effective-integrated-care-systems-across-england/</w:t>
        </w:r>
      </w:hyperlink>
      <w:r w:rsidRPr="00867AA9">
        <w:t xml:space="preserve"> (Accessed: 19 October 2026).</w:t>
      </w:r>
    </w:p>
    <w:p w14:paraId="2212B608" w14:textId="53F54E58" w:rsidR="0052432F" w:rsidRPr="00867AA9" w:rsidRDefault="00000000">
      <w:pPr>
        <w:spacing w:line="259" w:lineRule="auto"/>
        <w:ind w:left="374" w:hanging="374"/>
        <w:jc w:val="left"/>
      </w:pPr>
      <w:r w:rsidRPr="00867AA9">
        <w:t xml:space="preserve">Agency for Healthcare Research and Quality (2013) Clinical-community relationships measures atlas, Figure 3-2: Expanded Chronic Care Model, based on Barr </w:t>
      </w:r>
      <w:r w:rsidR="00753D25" w:rsidRPr="00753D25">
        <w:rPr>
          <w:i/>
          <w:iCs/>
        </w:rPr>
        <w:t>et al</w:t>
      </w:r>
      <w:r w:rsidRPr="00867AA9">
        <w:t xml:space="preserve">. (2003). Available at: </w:t>
      </w:r>
      <w:hyperlink r:id="rId60">
        <w:r w:rsidR="0052432F" w:rsidRPr="00867AA9">
          <w:rPr>
            <w:color w:val="0563C1"/>
            <w:u w:val="single"/>
          </w:rPr>
          <w:t>https://www.ahrq.gov/prevention/resources/chronic-care/clinical-community-relationships-measures-atlas/ccrm-atlas3.html</w:t>
        </w:r>
      </w:hyperlink>
      <w:r w:rsidRPr="00867AA9">
        <w:t xml:space="preserve"> (Accessed: 19 October 2026).</w:t>
      </w:r>
    </w:p>
    <w:p w14:paraId="42DE128B" w14:textId="77777777" w:rsidR="0052432F" w:rsidRPr="00867AA9" w:rsidRDefault="00000000">
      <w:pPr>
        <w:spacing w:line="259" w:lineRule="auto"/>
        <w:ind w:left="374" w:hanging="374"/>
        <w:jc w:val="left"/>
      </w:pPr>
      <w:r w:rsidRPr="00867AA9">
        <w:t xml:space="preserve">Wikimedia Commons (n.d.) Liver </w:t>
      </w:r>
      <w:proofErr w:type="spellStart"/>
      <w:r w:rsidRPr="00867AA9">
        <w:t>Diagram.svg</w:t>
      </w:r>
      <w:proofErr w:type="spellEnd"/>
      <w:r w:rsidRPr="00867AA9">
        <w:t xml:space="preserve">. Available at: </w:t>
      </w:r>
      <w:hyperlink r:id="rId61">
        <w:r w:rsidR="0052432F" w:rsidRPr="00867AA9">
          <w:rPr>
            <w:color w:val="0563C1"/>
            <w:u w:val="single"/>
          </w:rPr>
          <w:t>https://commons.wikimedia.org/wiki/File:Liver_Diagram.svg</w:t>
        </w:r>
      </w:hyperlink>
      <w:r w:rsidRPr="00867AA9">
        <w:t xml:space="preserve"> (Accessed: 19 October 2026).</w:t>
      </w:r>
    </w:p>
    <w:p w14:paraId="5C7A3CD4" w14:textId="77777777" w:rsidR="0052432F" w:rsidRDefault="0052432F"/>
    <w:sectPr w:rsidR="0052432F" w:rsidSect="00AB53D7">
      <w:footerReference w:type="default" r:id="rId6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40A773" w14:textId="77777777" w:rsidR="009B4747" w:rsidRDefault="009B4747">
      <w:pPr>
        <w:spacing w:line="240" w:lineRule="auto"/>
      </w:pPr>
      <w:r>
        <w:separator/>
      </w:r>
    </w:p>
  </w:endnote>
  <w:endnote w:type="continuationSeparator" w:id="0">
    <w:p w14:paraId="337F828C" w14:textId="77777777" w:rsidR="009B4747" w:rsidRDefault="009B4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default"/>
    <w:sig w:usb0="00000000"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37EC78" w14:textId="77777777" w:rsidR="0052432F" w:rsidRDefault="00000000">
    <w:pPr>
      <w:pStyle w:val="Footer"/>
      <w:jc w:val="center"/>
    </w:pPr>
    <w:r>
      <w:rPr>
        <w:sz w:val="18"/>
      </w:rPr>
      <w:fldChar w:fldCharType="begin"/>
    </w:r>
    <w:r>
      <w:rPr>
        <w:sz w:val="18"/>
      </w:rPr>
      <w:instrText xml:space="preserve"> PAGE </w:instrText>
    </w:r>
    <w:r>
      <w:rPr>
        <w:sz w:val="18"/>
      </w:rPr>
      <w:fldChar w:fldCharType="separate"/>
    </w:r>
    <w:r w:rsidR="00AB53D7">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5C77CD" w14:textId="77777777" w:rsidR="009B4747" w:rsidRDefault="009B4747">
      <w:pPr>
        <w:spacing w:after="0"/>
      </w:pPr>
      <w:r>
        <w:separator/>
      </w:r>
    </w:p>
  </w:footnote>
  <w:footnote w:type="continuationSeparator" w:id="0">
    <w:p w14:paraId="52CB5638" w14:textId="77777777" w:rsidR="009B4747" w:rsidRDefault="009B474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FFFFFF7E"/>
    <w:lvl w:ilvl="0">
      <w:start w:val="1"/>
      <w:numFmt w:val="decimal"/>
      <w:pStyle w:val="ListNumber3"/>
      <w:lvlText w:val="%1."/>
      <w:lvlJc w:val="left"/>
      <w:pPr>
        <w:tabs>
          <w:tab w:val="left" w:pos="1080"/>
        </w:tabs>
        <w:ind w:left="1080" w:hanging="360"/>
      </w:pPr>
    </w:lvl>
  </w:abstractNum>
  <w:abstractNum w:abstractNumId="1" w15:restartNumberingAfterBreak="0">
    <w:nsid w:val="FFFFFF7F"/>
    <w:multiLevelType w:val="singleLevel"/>
    <w:tmpl w:val="FFFFFF7F"/>
    <w:lvl w:ilvl="0">
      <w:start w:val="1"/>
      <w:numFmt w:val="decimal"/>
      <w:pStyle w:val="ListNumber2"/>
      <w:lvlText w:val="%1."/>
      <w:lvlJc w:val="left"/>
      <w:pPr>
        <w:tabs>
          <w:tab w:val="left" w:pos="720"/>
        </w:tabs>
        <w:ind w:left="720" w:hanging="360"/>
      </w:pPr>
    </w:lvl>
  </w:abstractNum>
  <w:abstractNum w:abstractNumId="2" w15:restartNumberingAfterBreak="0">
    <w:nsid w:val="FFFFFF82"/>
    <w:multiLevelType w:val="singleLevel"/>
    <w:tmpl w:val="FFFFFF82"/>
    <w:lvl w:ilvl="0">
      <w:start w:val="1"/>
      <w:numFmt w:val="bullet"/>
      <w:pStyle w:val="ListBullet3"/>
      <w:lvlText w:val=""/>
      <w:lvlJc w:val="left"/>
      <w:pPr>
        <w:tabs>
          <w:tab w:val="left" w:pos="1080"/>
        </w:tabs>
        <w:ind w:left="1080" w:hanging="360"/>
      </w:pPr>
      <w:rPr>
        <w:rFonts w:ascii="Symbol" w:hAnsi="Symbol" w:hint="default"/>
      </w:rPr>
    </w:lvl>
  </w:abstractNum>
  <w:abstractNum w:abstractNumId="3" w15:restartNumberingAfterBreak="0">
    <w:nsid w:val="FFFFFF83"/>
    <w:multiLevelType w:val="singleLevel"/>
    <w:tmpl w:val="FFFFFF83"/>
    <w:lvl w:ilvl="0">
      <w:start w:val="1"/>
      <w:numFmt w:val="bullet"/>
      <w:pStyle w:val="ListBullet2"/>
      <w:lvlText w:val=""/>
      <w:lvlJc w:val="left"/>
      <w:pPr>
        <w:tabs>
          <w:tab w:val="left" w:pos="720"/>
        </w:tabs>
        <w:ind w:left="720" w:hanging="360"/>
      </w:pPr>
      <w:rPr>
        <w:rFonts w:ascii="Symbol" w:hAnsi="Symbol" w:hint="default"/>
      </w:rPr>
    </w:lvl>
  </w:abstractNum>
  <w:abstractNum w:abstractNumId="4"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5" w15:restartNumberingAfterBreak="0">
    <w:nsid w:val="FFFFFF89"/>
    <w:multiLevelType w:val="singleLevel"/>
    <w:tmpl w:val="FFFFFF89"/>
    <w:lvl w:ilvl="0">
      <w:start w:val="1"/>
      <w:numFmt w:val="bullet"/>
      <w:pStyle w:val="ListBullet"/>
      <w:lvlText w:val=""/>
      <w:lvlJc w:val="left"/>
      <w:pPr>
        <w:tabs>
          <w:tab w:val="left" w:pos="360"/>
        </w:tabs>
        <w:ind w:left="360" w:hanging="360"/>
      </w:pPr>
      <w:rPr>
        <w:rFonts w:ascii="Symbol" w:hAnsi="Symbol" w:hint="default"/>
      </w:rPr>
    </w:lvl>
  </w:abstractNum>
  <w:abstractNum w:abstractNumId="6" w15:restartNumberingAfterBreak="0">
    <w:nsid w:val="123D6736"/>
    <w:multiLevelType w:val="hybridMultilevel"/>
    <w:tmpl w:val="A844C684"/>
    <w:lvl w:ilvl="0" w:tplc="CF325A92">
      <w:numFmt w:val="bullet"/>
      <w:lvlText w:val="•"/>
      <w:lvlJc w:val="left"/>
      <w:pPr>
        <w:ind w:left="720" w:hanging="360"/>
      </w:pPr>
      <w:rPr>
        <w:rFonts w:ascii="Arial" w:eastAsia="Arial"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9713A70"/>
    <w:multiLevelType w:val="hybridMultilevel"/>
    <w:tmpl w:val="24E011E4"/>
    <w:lvl w:ilvl="0" w:tplc="CF325A92">
      <w:numFmt w:val="bullet"/>
      <w:lvlText w:val="•"/>
      <w:lvlJc w:val="left"/>
      <w:pPr>
        <w:ind w:left="720" w:hanging="360"/>
      </w:pPr>
      <w:rPr>
        <w:rFonts w:ascii="Arial" w:eastAsia="Arial"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7F462F8"/>
    <w:multiLevelType w:val="hybridMultilevel"/>
    <w:tmpl w:val="140A42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54930004">
    <w:abstractNumId w:val="5"/>
  </w:num>
  <w:num w:numId="2" w16cid:durableId="1962102426">
    <w:abstractNumId w:val="3"/>
  </w:num>
  <w:num w:numId="3" w16cid:durableId="798642915">
    <w:abstractNumId w:val="2"/>
  </w:num>
  <w:num w:numId="4" w16cid:durableId="664548947">
    <w:abstractNumId w:val="4"/>
  </w:num>
  <w:num w:numId="5" w16cid:durableId="1996564016">
    <w:abstractNumId w:val="1"/>
  </w:num>
  <w:num w:numId="6" w16cid:durableId="2084257311">
    <w:abstractNumId w:val="0"/>
  </w:num>
  <w:num w:numId="7" w16cid:durableId="873613368">
    <w:abstractNumId w:val="8"/>
  </w:num>
  <w:num w:numId="8" w16cid:durableId="1900818627">
    <w:abstractNumId w:val="7"/>
  </w:num>
  <w:num w:numId="9" w16cid:durableId="20324093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30FD"/>
    <w:rsid w:val="0006063C"/>
    <w:rsid w:val="000D74CA"/>
    <w:rsid w:val="0015074B"/>
    <w:rsid w:val="001818D8"/>
    <w:rsid w:val="002336C2"/>
    <w:rsid w:val="0029639D"/>
    <w:rsid w:val="00326F90"/>
    <w:rsid w:val="0052432F"/>
    <w:rsid w:val="005E5739"/>
    <w:rsid w:val="00693531"/>
    <w:rsid w:val="006F3884"/>
    <w:rsid w:val="00753D25"/>
    <w:rsid w:val="007C6AC7"/>
    <w:rsid w:val="007F3ED5"/>
    <w:rsid w:val="00844D30"/>
    <w:rsid w:val="00867AA9"/>
    <w:rsid w:val="009B4747"/>
    <w:rsid w:val="00A03357"/>
    <w:rsid w:val="00A83A21"/>
    <w:rsid w:val="00AA1D8D"/>
    <w:rsid w:val="00AB53D7"/>
    <w:rsid w:val="00B47730"/>
    <w:rsid w:val="00C90836"/>
    <w:rsid w:val="00CB0664"/>
    <w:rsid w:val="00DA345A"/>
    <w:rsid w:val="00F520D2"/>
    <w:rsid w:val="00F572B4"/>
    <w:rsid w:val="00F70F40"/>
    <w:rsid w:val="00FC693F"/>
    <w:rsid w:val="0C7E090C"/>
    <w:rsid w:val="118A0300"/>
    <w:rsid w:val="2D347437"/>
    <w:rsid w:val="5CA31609"/>
    <w:rsid w:val="768D428E"/>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2DBFA74"/>
  <w14:defaultImageDpi w14:val="300"/>
  <w15:docId w15:val="{27911131-5752-4D24-859A-B0656B5EE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unhideWhenUsed="1"/>
    <w:lsdException w:name="toa heading" w:semiHidden="1" w:unhideWhenUsed="1"/>
    <w:lsdException w:name="List" w:unhideWhenUsed="1"/>
    <w:lsdException w:name="List Bullet" w:unhideWhenUsed="1"/>
    <w:lsdException w:name="List Number" w:unhideWhenUsed="1"/>
    <w:lsdException w:name="List 2" w:unhideWhenUsed="1"/>
    <w:lsdException w:name="List 3" w:unhideWhenUsed="1"/>
    <w:lsdException w:name="List 4" w:semiHidden="1" w:unhideWhenUsed="1"/>
    <w:lsdException w:name="List 5" w:semiHidden="1" w:unhideWhenUsed="1"/>
    <w:lsdException w:name="List Bullet 2" w:unhideWhenUsed="1"/>
    <w:lsdException w:name="List Bullet 3" w:unhideWhenUsed="1"/>
    <w:lsdException w:name="List Bullet 4" w:semiHidden="1" w:unhideWhenUsed="1"/>
    <w:lsdException w:name="List Bullet 5" w:semiHidden="1" w:unhideWhenUsed="1"/>
    <w:lsdException w:name="List Number 2" w:unhideWhenUsed="1"/>
    <w:lsdException w:name="List Number 3"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nhideWhenUsed="1" w:qFormat="1"/>
    <w:lsdException w:name="Body Text Indent" w:semiHidden="1" w:unhideWhenUsed="1"/>
    <w:lsdException w:name="List Continue" w:unhideWhenUsed="1"/>
    <w:lsdException w:name="List Continue 2" w:unhideWhenUsed="1"/>
    <w:lsdException w:name="List Continue 3"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unhideWhenUsed="1"/>
    <w:lsdException w:name="Body Text 3"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53D7"/>
    <w:pPr>
      <w:spacing w:before="120" w:after="120" w:line="360" w:lineRule="auto"/>
      <w:jc w:val="both"/>
    </w:pPr>
    <w:rPr>
      <w:rFonts w:ascii="Arial" w:eastAsia="Arial" w:hAnsi="Arial"/>
      <w:sz w:val="22"/>
      <w:szCs w:val="22"/>
      <w:lang w:val="en-US" w:eastAsia="en-US" w:bidi="ar-SA"/>
    </w:rPr>
  </w:style>
  <w:style w:type="paragraph" w:styleId="Heading1">
    <w:name w:val="heading 1"/>
    <w:basedOn w:val="Normal"/>
    <w:next w:val="Normal"/>
    <w:link w:val="Heading1Char"/>
    <w:uiPriority w:val="9"/>
    <w:qFormat/>
    <w:pPr>
      <w:keepNext/>
      <w:keepLines/>
      <w:spacing w:before="180" w:after="80"/>
      <w:outlineLvl w:val="0"/>
    </w:pPr>
    <w:rPr>
      <w:rFonts w:asciiTheme="majorHAnsi" w:eastAsiaTheme="majorEastAsia" w:hAnsiTheme="majorHAnsi" w:cstheme="majorBidi"/>
      <w:b/>
      <w:bCs/>
      <w:color w:val="1C5342"/>
      <w:sz w:val="30"/>
      <w:szCs w:val="28"/>
    </w:rPr>
  </w:style>
  <w:style w:type="paragraph" w:styleId="Heading2">
    <w:name w:val="heading 2"/>
    <w:basedOn w:val="Normal"/>
    <w:next w:val="Normal"/>
    <w:link w:val="Heading2Char"/>
    <w:uiPriority w:val="9"/>
    <w:unhideWhenUsed/>
    <w:qFormat/>
    <w:pPr>
      <w:keepNext/>
      <w:keepLines/>
      <w:spacing w:before="180" w:after="80"/>
      <w:outlineLvl w:val="1"/>
    </w:pPr>
    <w:rPr>
      <w:rFonts w:asciiTheme="majorHAnsi" w:eastAsiaTheme="majorEastAsia" w:hAnsiTheme="majorHAnsi" w:cstheme="majorBidi"/>
      <w:b/>
      <w:bCs/>
      <w:color w:val="1C5342"/>
      <w:sz w:val="24"/>
      <w:szCs w:val="26"/>
    </w:rPr>
  </w:style>
  <w:style w:type="paragraph" w:styleId="Heading3">
    <w:name w:val="heading 3"/>
    <w:basedOn w:val="Normal"/>
    <w:next w:val="Normal"/>
    <w:link w:val="Heading3Char"/>
    <w:uiPriority w:val="9"/>
    <w:unhideWhenUsed/>
    <w:qFormat/>
    <w:pPr>
      <w:keepNext/>
      <w:keepLines/>
      <w:spacing w:before="180" w:after="80"/>
      <w:outlineLvl w:val="2"/>
    </w:pPr>
    <w:rPr>
      <w:rFonts w:asciiTheme="majorHAnsi" w:eastAsiaTheme="majorEastAsia" w:hAnsiTheme="majorHAnsi" w:cstheme="majorBidi"/>
      <w:b/>
      <w:bCs/>
      <w:color w:val="1C534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244061"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244061" w:themeColor="accent1" w:themeShade="80"/>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qFormat/>
  </w:style>
  <w:style w:type="paragraph" w:styleId="BodyText2">
    <w:name w:val="Body Text 2"/>
    <w:basedOn w:val="Normal"/>
    <w:link w:val="BodyText2Char"/>
    <w:uiPriority w:val="99"/>
    <w:unhideWhenUsed/>
    <w:pPr>
      <w:spacing w:line="480" w:lineRule="auto"/>
    </w:pPr>
  </w:style>
  <w:style w:type="paragraph" w:styleId="BodyText3">
    <w:name w:val="Body Text 3"/>
    <w:basedOn w:val="Normal"/>
    <w:link w:val="BodyText3Char"/>
    <w:uiPriority w:val="99"/>
    <w:unhideWhenUsed/>
    <w:rPr>
      <w:sz w:val="16"/>
      <w:szCs w:val="16"/>
    </w:rPr>
  </w:style>
  <w:style w:type="paragraph" w:styleId="Caption">
    <w:name w:val="caption"/>
    <w:basedOn w:val="Normal"/>
    <w:next w:val="Normal"/>
    <w:uiPriority w:val="35"/>
    <w:semiHidden/>
    <w:unhideWhenUsed/>
    <w:qFormat/>
    <w:pPr>
      <w:spacing w:line="240" w:lineRule="auto"/>
    </w:pPr>
    <w:rPr>
      <w:b/>
      <w:bCs/>
      <w:color w:val="4F81BD" w:themeColor="accent1"/>
      <w:sz w:val="18"/>
      <w:szCs w:val="18"/>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paragraph" w:styleId="List">
    <w:name w:val="List"/>
    <w:basedOn w:val="Normal"/>
    <w:uiPriority w:val="99"/>
    <w:unhideWhenUsed/>
    <w:pPr>
      <w:ind w:left="360" w:hanging="360"/>
      <w:contextualSpacing/>
    </w:pPr>
  </w:style>
  <w:style w:type="paragraph" w:styleId="List2">
    <w:name w:val="List 2"/>
    <w:basedOn w:val="Normal"/>
    <w:uiPriority w:val="99"/>
    <w:unhideWhenUsed/>
    <w:pPr>
      <w:ind w:left="720" w:hanging="360"/>
      <w:contextualSpacing/>
    </w:pPr>
  </w:style>
  <w:style w:type="paragraph" w:styleId="List3">
    <w:name w:val="List 3"/>
    <w:basedOn w:val="Normal"/>
    <w:uiPriority w:val="99"/>
    <w:unhideWhenUsed/>
    <w:pPr>
      <w:ind w:left="1080" w:hanging="360"/>
      <w:contextualSpacing/>
    </w:pPr>
  </w:style>
  <w:style w:type="paragraph" w:styleId="ListBullet">
    <w:name w:val="List Bullet"/>
    <w:basedOn w:val="Normal"/>
    <w:uiPriority w:val="99"/>
    <w:unhideWhenUsed/>
    <w:pPr>
      <w:numPr>
        <w:numId w:val="1"/>
      </w:numPr>
      <w:contextualSpacing/>
    </w:pPr>
  </w:style>
  <w:style w:type="paragraph" w:styleId="ListBullet2">
    <w:name w:val="List Bullet 2"/>
    <w:basedOn w:val="Normal"/>
    <w:uiPriority w:val="99"/>
    <w:unhideWhenUsed/>
    <w:pPr>
      <w:numPr>
        <w:numId w:val="2"/>
      </w:numPr>
      <w:contextualSpacing/>
    </w:pPr>
  </w:style>
  <w:style w:type="paragraph" w:styleId="ListBullet3">
    <w:name w:val="List Bullet 3"/>
    <w:basedOn w:val="Normal"/>
    <w:uiPriority w:val="99"/>
    <w:unhideWhenUsed/>
    <w:pPr>
      <w:numPr>
        <w:numId w:val="3"/>
      </w:numPr>
      <w:contextualSpacing/>
    </w:pPr>
  </w:style>
  <w:style w:type="paragraph" w:styleId="ListContinue">
    <w:name w:val="List Continue"/>
    <w:basedOn w:val="Normal"/>
    <w:uiPriority w:val="99"/>
    <w:unhideWhenUsed/>
    <w:pPr>
      <w:ind w:left="360"/>
      <w:contextualSpacing/>
    </w:pPr>
  </w:style>
  <w:style w:type="paragraph" w:styleId="ListContinue2">
    <w:name w:val="List Continue 2"/>
    <w:basedOn w:val="Normal"/>
    <w:uiPriority w:val="99"/>
    <w:unhideWhenUsed/>
    <w:pPr>
      <w:ind w:left="720"/>
      <w:contextualSpacing/>
    </w:pPr>
  </w:style>
  <w:style w:type="paragraph" w:styleId="ListContinue3">
    <w:name w:val="List Continue 3"/>
    <w:basedOn w:val="Normal"/>
    <w:uiPriority w:val="99"/>
    <w:unhideWhenUsed/>
    <w:pPr>
      <w:ind w:left="1080"/>
      <w:contextualSpacing/>
    </w:pPr>
  </w:style>
  <w:style w:type="paragraph" w:styleId="ListNumber">
    <w:name w:val="List Number"/>
    <w:basedOn w:val="Normal"/>
    <w:uiPriority w:val="99"/>
    <w:unhideWhenUsed/>
    <w:pPr>
      <w:numPr>
        <w:numId w:val="4"/>
      </w:numPr>
      <w:contextualSpacing/>
    </w:pPr>
  </w:style>
  <w:style w:type="paragraph" w:styleId="ListNumber2">
    <w:name w:val="List Number 2"/>
    <w:basedOn w:val="Normal"/>
    <w:uiPriority w:val="99"/>
    <w:unhideWhenUsed/>
    <w:pPr>
      <w:numPr>
        <w:numId w:val="5"/>
      </w:numPr>
      <w:contextualSpacing/>
    </w:pPr>
  </w:style>
  <w:style w:type="paragraph" w:styleId="ListNumber3">
    <w:name w:val="List Number 3"/>
    <w:basedOn w:val="Normal"/>
    <w:uiPriority w:val="99"/>
    <w:unhideWhenUsed/>
    <w:pPr>
      <w:numPr>
        <w:numId w:val="6"/>
      </w:numPr>
      <w:contextualSpacing/>
    </w:pPr>
  </w:style>
  <w:style w:type="paragraph" w:styleId="MacroText">
    <w:name w:val="macro"/>
    <w:link w:val="MacroTextChar"/>
    <w:uiPriority w:val="99"/>
    <w:unhideWhenUsed/>
    <w:pPr>
      <w:tabs>
        <w:tab w:val="left" w:pos="576"/>
        <w:tab w:val="left" w:pos="1152"/>
        <w:tab w:val="left" w:pos="1728"/>
        <w:tab w:val="left" w:pos="2304"/>
        <w:tab w:val="left" w:pos="2880"/>
        <w:tab w:val="left" w:pos="3456"/>
        <w:tab w:val="left" w:pos="4032"/>
      </w:tabs>
      <w:spacing w:after="200" w:line="276" w:lineRule="auto"/>
    </w:pPr>
    <w:rPr>
      <w:rFonts w:ascii="Courier" w:hAnsi="Courier"/>
      <w:lang w:val="en-US" w:eastAsia="en-US" w:bidi="ar-SA"/>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F81BD" w:themeColor="accent1"/>
      <w:spacing w:val="15"/>
      <w:sz w:val="24"/>
      <w:szCs w:val="24"/>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keepNext/>
      <w:pBdr>
        <w:bottom w:val="single" w:sz="8" w:space="4" w:color="4F81BD" w:themeColor="accent1"/>
      </w:pBdr>
      <w:spacing w:before="0" w:after="80" w:line="240" w:lineRule="auto"/>
      <w:contextualSpacing/>
    </w:pPr>
    <w:rPr>
      <w:rFonts w:asciiTheme="majorHAnsi" w:eastAsiaTheme="majorEastAsia" w:hAnsiTheme="majorHAnsi" w:cstheme="majorBidi"/>
      <w:b/>
      <w:color w:val="1C5342"/>
      <w:spacing w:val="5"/>
      <w:kern w:val="28"/>
      <w:sz w:val="46"/>
      <w:szCs w:val="52"/>
    </w:rPr>
  </w:style>
  <w:style w:type="table" w:styleId="LightShading">
    <w:name w:val="Light Shading"/>
    <w:basedOn w:val="TableNormal"/>
    <w:uiPriority w:val="60"/>
    <w:rPr>
      <w:color w:val="000000" w:themeColor="text1" w:themeShade="BF"/>
    </w:rPr>
    <w:tblPr>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Pr>
      <w:color w:val="365F91" w:themeColor="accent1" w:themeShade="BF"/>
    </w:rPr>
    <w:tblPr>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Pr>
      <w:color w:val="943634" w:themeColor="accent2" w:themeShade="BF"/>
    </w:rPr>
    <w:tblPr>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Pr>
      <w:color w:val="76923C" w:themeColor="accent3" w:themeShade="BF"/>
    </w:rPr>
    <w:tblPr>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Pr>
      <w:color w:val="5F497A" w:themeColor="accent4" w:themeShade="BF"/>
    </w:rPr>
    <w:tblPr>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Pr>
      <w:color w:val="31849B" w:themeColor="accent5" w:themeShade="BF"/>
    </w:rPr>
    <w:tblPr>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Pr>
      <w:color w:val="E36C0A" w:themeColor="accent6" w:themeShade="BF"/>
    </w:rPr>
    <w:tblPr>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tblPr>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tblPr>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tblPr>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tblPr>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tblPr>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tblPr>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tcPr>
    </w:tblStylePr>
  </w:style>
  <w:style w:type="table" w:styleId="LightGrid-Accent1">
    <w:name w:val="Light Grid Accent 1"/>
    <w:basedOn w:val="TableNormal"/>
    <w:uiPriority w:val="62"/>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table" w:styleId="LightGrid-Accent2">
    <w:name w:val="Light Grid Accent 2"/>
    <w:basedOn w:val="TableNormal"/>
    <w:uiPriority w:val="62"/>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tcPr>
    </w:tblStylePr>
  </w:style>
  <w:style w:type="table" w:styleId="LightGrid-Accent3">
    <w:name w:val="Light Grid Accent 3"/>
    <w:basedOn w:val="TableNormal"/>
    <w:uiPriority w:val="62"/>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tcPr>
    </w:tblStylePr>
  </w:style>
  <w:style w:type="table" w:styleId="LightGrid-Accent4">
    <w:name w:val="Light Grid Accent 4"/>
    <w:basedOn w:val="TableNormal"/>
    <w:uiPriority w:val="62"/>
    <w:tblPr>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tcPr>
    </w:tblStylePr>
  </w:style>
  <w:style w:type="table" w:styleId="LightGrid-Accent5">
    <w:name w:val="Light Grid Accent 5"/>
    <w:basedOn w:val="TableNormal"/>
    <w:uiPriority w:val="62"/>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tcPr>
    </w:tblStylePr>
  </w:style>
  <w:style w:type="table" w:styleId="LightGrid-Accent6">
    <w:name w:val="Light Grid Accent 6"/>
    <w:basedOn w:val="TableNormal"/>
    <w:uiPriority w:val="62"/>
    <w:tblPr>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tcPr>
    </w:tblStylePr>
  </w:style>
  <w:style w:type="table" w:styleId="MediumShading1">
    <w:name w:val="Medium Shading 1"/>
    <w:basedOn w:val="TableNormal"/>
    <w:uiPriority w:val="63"/>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tblPr>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tblPr>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tblPr>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tblPr>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Pr>
      <w:color w:val="000000" w:themeColor="text1"/>
    </w:rPr>
    <w:tblPr>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Pr>
      <w:color w:val="000000" w:themeColor="text1"/>
    </w:rPr>
    <w:tblPr>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Pr>
      <w:color w:val="000000" w:themeColor="text1"/>
    </w:rPr>
    <w:tblPr>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Pr>
      <w:color w:val="000000" w:themeColor="text1"/>
    </w:rPr>
    <w:tblPr>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Pr>
      <w:color w:val="000000" w:themeColor="text1"/>
    </w:rPr>
    <w:tblPr>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Pr>
      <w:color w:val="000000" w:themeColor="text1"/>
    </w:rPr>
    <w:tblPr>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Pr>
      <w:color w:val="000000" w:themeColor="text1"/>
    </w:rPr>
    <w:tblPr>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Pr>
      <w:rFonts w:asciiTheme="majorHAnsi" w:eastAsiaTheme="majorEastAsia" w:hAnsiTheme="majorHAnsi" w:cstheme="majorBidi"/>
      <w:color w:val="000000" w:themeColor="text1"/>
    </w:rPr>
    <w:tblPr>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Pr>
      <w:rFonts w:asciiTheme="majorHAnsi" w:eastAsiaTheme="majorEastAsia" w:hAnsiTheme="majorHAnsi" w:cstheme="majorBidi"/>
      <w:color w:val="000000" w:themeColor="text1"/>
    </w:rPr>
    <w:tblPr>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tblPr>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tblPr>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tblPr>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tblPr>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tblPr>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auto"/>
          <w:insideV w:val="single" w:sz="6" w:space="0" w:color="auto"/>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auto"/>
          <w:insideV w:val="single" w:sz="6" w:space="0" w:color="auto"/>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auto"/>
          <w:insideV w:val="single" w:sz="6" w:space="0" w:color="auto"/>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auto"/>
          <w:insideV w:val="single" w:sz="6" w:space="0" w:color="auto"/>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Pr>
      <w:rFonts w:asciiTheme="majorHAnsi" w:eastAsiaTheme="majorEastAsia" w:hAnsiTheme="majorHAnsi" w:cstheme="majorBidi"/>
      <w:color w:val="000000" w:themeColor="text1"/>
    </w:rPr>
    <w:tblPr>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auto"/>
          <w:insideV w:val="single" w:sz="6" w:space="0" w:color="auto"/>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auto"/>
          <w:insideV w:val="single" w:sz="6" w:space="0" w:color="auto"/>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Pr>
      <w:rFonts w:asciiTheme="majorHAnsi" w:eastAsiaTheme="majorEastAsia" w:hAnsiTheme="majorHAnsi" w:cstheme="majorBidi"/>
      <w:color w:val="000000" w:themeColor="text1"/>
    </w:rPr>
    <w:tblPr>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auto"/>
          <w:insideV w:val="single" w:sz="6" w:space="0" w:color="auto"/>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808080" w:themeFill="text1" w:themeFillTint="7F"/>
      </w:tcPr>
    </w:tblStylePr>
  </w:style>
  <w:style w:type="table" w:styleId="MediumGrid3-Accent1">
    <w:name w:val="Medium Grid 3 Accent 1"/>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7BFDE" w:themeFill="accent1" w:themeFillTint="7F"/>
      </w:tcPr>
    </w:tblStylePr>
  </w:style>
  <w:style w:type="table" w:styleId="MediumGrid3-Accent2">
    <w:name w:val="Medium Grid 3 Accent 2"/>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DFA7A6" w:themeFill="accent2" w:themeFillTint="7F"/>
      </w:tcPr>
    </w:tblStylePr>
  </w:style>
  <w:style w:type="table" w:styleId="MediumGrid3-Accent3">
    <w:name w:val="Medium Grid 3 Accent 3"/>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CDDDAC" w:themeFill="accent3" w:themeFillTint="7F"/>
      </w:tcPr>
    </w:tblStylePr>
  </w:style>
  <w:style w:type="table" w:styleId="MediumGrid3-Accent4">
    <w:name w:val="Medium Grid 3 Accent 4"/>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BFB1D0" w:themeFill="accent4" w:themeFillTint="7F"/>
      </w:tcPr>
    </w:tblStylePr>
  </w:style>
  <w:style w:type="table" w:styleId="MediumGrid3-Accent5">
    <w:name w:val="Medium Grid 3 Accent 5"/>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5D5E2" w:themeFill="accent5" w:themeFillTint="7F"/>
      </w:tcPr>
    </w:tblStylePr>
  </w:style>
  <w:style w:type="table" w:styleId="MediumGrid3-Accent6">
    <w:name w:val="Medium Grid 3 Accent 6"/>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FBCAA2" w:themeFill="accent6" w:themeFillTint="7F"/>
      </w:tcPr>
    </w:tblStylePr>
  </w:style>
  <w:style w:type="table" w:styleId="DarkList">
    <w:name w:val="Dark List"/>
    <w:basedOn w:val="TableNormal"/>
    <w:uiPriority w:val="70"/>
    <w:rPr>
      <w:color w:val="FFFFFF" w:themeColor="background1"/>
    </w:rP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Pr>
      <w:color w:val="FFFFFF" w:themeColor="background1"/>
    </w:rP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Pr>
      <w:color w:val="FFFFFF" w:themeColor="background1"/>
    </w:rP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Pr>
      <w:color w:val="FFFFFF" w:themeColor="background1"/>
    </w:rP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Pr>
      <w:color w:val="FFFFFF" w:themeColor="background1"/>
    </w:rP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Pr>
      <w:color w:val="FFFFFF" w:themeColor="background1"/>
    </w:rP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Pr>
      <w:color w:val="FFFFFF" w:themeColor="background1"/>
    </w:rP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Pr>
      <w:color w:val="000000" w:themeColor="text1"/>
    </w:rPr>
    <w:tblPr>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Pr>
      <w:color w:val="000000" w:themeColor="text1"/>
    </w:rPr>
    <w:tblPr>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Pr>
      <w:color w:val="000000" w:themeColor="text1"/>
    </w:rPr>
    <w:tblPr>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Pr>
      <w:color w:val="000000" w:themeColor="text1"/>
    </w:rPr>
    <w:tblPr>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Pr>
      <w:color w:val="000000" w:themeColor="text1"/>
    </w:rPr>
    <w:tblPr>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Pr>
      <w:color w:val="000000" w:themeColor="text1"/>
    </w:rPr>
    <w:tblPr>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Pr>
      <w:color w:val="000000" w:themeColor="text1"/>
    </w:rPr>
    <w:tblPr>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Pr>
      <w:color w:val="000000" w:themeColor="text1"/>
    </w:rP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Pr>
      <w:color w:val="000000" w:themeColor="text1"/>
    </w:rP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Pr>
      <w:color w:val="000000" w:themeColor="text1"/>
    </w:rP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Pr>
      <w:color w:val="000000" w:themeColor="text1"/>
    </w:rP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Pr>
      <w:color w:val="000000" w:themeColor="text1"/>
    </w:rP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Pr>
      <w:color w:val="000000" w:themeColor="text1"/>
    </w:rP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Pr>
      <w:color w:val="000000" w:themeColor="text1"/>
    </w:rP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Pr>
      <w:color w:val="000000" w:themeColor="text1"/>
    </w:rPr>
    <w:tblPr>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Pr>
      <w:color w:val="000000" w:themeColor="text1"/>
    </w:rPr>
    <w:tblPr>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Pr>
      <w:color w:val="000000" w:themeColor="text1"/>
    </w:rPr>
    <w:tblPr>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Pr>
      <w:color w:val="000000" w:themeColor="text1"/>
    </w:rPr>
    <w:tblPr>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Pr>
      <w:color w:val="000000" w:themeColor="text1"/>
    </w:rPr>
    <w:tblPr>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Pr>
      <w:color w:val="000000" w:themeColor="text1"/>
    </w:rPr>
    <w:tblPr>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Pr>
      <w:color w:val="000000" w:themeColor="text1"/>
    </w:rPr>
    <w:tblPr>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NoSpacing">
    <w:name w:val="No Spacing"/>
    <w:uiPriority w:val="1"/>
    <w:qFormat/>
    <w:rPr>
      <w:sz w:val="22"/>
      <w:szCs w:val="22"/>
      <w:lang w:val="en-US" w:eastAsia="en-US" w:bidi="ar-SA"/>
    </w:rPr>
  </w:style>
  <w:style w:type="character" w:customStyle="1" w:styleId="Heading1Char">
    <w:name w:val="Heading 1 Char"/>
    <w:basedOn w:val="DefaultParagraphFont"/>
    <w:link w:val="Heading1"/>
    <w:uiPriority w:val="9"/>
    <w:qFormat/>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qFormat/>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qFormat/>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qFormat/>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qFormat/>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pPr>
      <w:ind w:left="720"/>
      <w:contextualSpacing/>
    </w:pPr>
  </w:style>
  <w:style w:type="character" w:customStyle="1" w:styleId="BodyTextChar">
    <w:name w:val="Body Text Char"/>
    <w:basedOn w:val="DefaultParagraphFont"/>
    <w:link w:val="BodyText"/>
    <w:uiPriority w:val="99"/>
    <w:qFormat/>
  </w:style>
  <w:style w:type="character" w:customStyle="1" w:styleId="BodyText2Char">
    <w:name w:val="Body Text 2 Char"/>
    <w:basedOn w:val="DefaultParagraphFont"/>
    <w:link w:val="BodyText2"/>
    <w:uiPriority w:val="99"/>
  </w:style>
  <w:style w:type="character" w:customStyle="1" w:styleId="BodyText3Char">
    <w:name w:val="Body Text 3 Char"/>
    <w:basedOn w:val="DefaultParagraphFont"/>
    <w:link w:val="BodyText3"/>
    <w:uiPriority w:val="99"/>
    <w:rPr>
      <w:sz w:val="16"/>
      <w:szCs w:val="16"/>
    </w:rPr>
  </w:style>
  <w:style w:type="character" w:customStyle="1" w:styleId="MacroTextChar">
    <w:name w:val="Macro Text Char"/>
    <w:basedOn w:val="DefaultParagraphFont"/>
    <w:link w:val="MacroText"/>
    <w:uiPriority w:val="99"/>
    <w:rPr>
      <w:rFonts w:ascii="Courier" w:hAnsi="Courier"/>
      <w:sz w:val="20"/>
      <w:szCs w:val="20"/>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44061"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244061" w:themeColor="accent1" w:themeShade="8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404040" w:themeColor="text1" w:themeTint="BF"/>
      <w:sz w:val="20"/>
      <w:szCs w:val="20"/>
    </w:rPr>
  </w:style>
  <w:style w:type="paragraph" w:styleId="IntenseQuote">
    <w:name w:val="Intense Quote"/>
    <w:basedOn w:val="Normal"/>
    <w:next w:val="Normal"/>
    <w:link w:val="IntenseQuoteChar"/>
    <w:uiPriority w:val="30"/>
    <w:qFormat/>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customStyle="1" w:styleId="SubtleEmphasis1">
    <w:name w:val="Subtle Emphasis1"/>
    <w:basedOn w:val="DefaultParagraphFont"/>
    <w:uiPriority w:val="19"/>
    <w:qFormat/>
    <w:rPr>
      <w:i/>
      <w:iCs/>
      <w:color w:val="7F7F7F" w:themeColor="text1" w:themeTint="80"/>
    </w:rPr>
  </w:style>
  <w:style w:type="character" w:customStyle="1" w:styleId="IntenseEmphasis1">
    <w:name w:val="Intense Emphasis1"/>
    <w:basedOn w:val="DefaultParagraphFont"/>
    <w:uiPriority w:val="21"/>
    <w:qFormat/>
    <w:rPr>
      <w:b/>
      <w:bCs/>
      <w:i/>
      <w:iCs/>
      <w:color w:val="4F81BD" w:themeColor="accent1"/>
    </w:rPr>
  </w:style>
  <w:style w:type="character" w:customStyle="1" w:styleId="SubtleReference1">
    <w:name w:val="Subtle Reference1"/>
    <w:basedOn w:val="DefaultParagraphFont"/>
    <w:uiPriority w:val="31"/>
    <w:qFormat/>
    <w:rPr>
      <w:smallCaps/>
      <w:color w:val="C0504D" w:themeColor="accent2"/>
      <w:u w:val="single"/>
    </w:rPr>
  </w:style>
  <w:style w:type="character" w:customStyle="1" w:styleId="IntenseReference1">
    <w:name w:val="Intense Reference1"/>
    <w:basedOn w:val="DefaultParagraphFont"/>
    <w:uiPriority w:val="32"/>
    <w:qFormat/>
    <w:rPr>
      <w:b/>
      <w:bCs/>
      <w:smallCaps/>
      <w:color w:val="C0504D" w:themeColor="accent2"/>
      <w:spacing w:val="5"/>
      <w:u w:val="single"/>
    </w:rPr>
  </w:style>
  <w:style w:type="character" w:customStyle="1" w:styleId="BookTitle1">
    <w:name w:val="Book Title1"/>
    <w:basedOn w:val="DefaultParagraphFont"/>
    <w:uiPriority w:val="33"/>
    <w:qFormat/>
    <w:rPr>
      <w:b/>
      <w:bCs/>
      <w:smallCaps/>
      <w:spacing w:val="5"/>
    </w:rPr>
  </w:style>
  <w:style w:type="paragraph" w:customStyle="1" w:styleId="TOCHeading1">
    <w:name w:val="TOC Heading1"/>
    <w:basedOn w:val="Heading1"/>
    <w:next w:val="Normal"/>
    <w:uiPriority w:val="39"/>
    <w:semiHidden/>
    <w:unhideWhenUsed/>
    <w:qFormat/>
    <w:pPr>
      <w:outlineLvl w:val="9"/>
    </w:pPr>
  </w:style>
  <w:style w:type="paragraph" w:customStyle="1" w:styleId="FigureCaption">
    <w:name w:val="Figure Caption"/>
    <w:pPr>
      <w:spacing w:before="40" w:after="40"/>
      <w:jc w:val="center"/>
    </w:pPr>
    <w:rPr>
      <w:rFonts w:ascii="Arial" w:eastAsia="Arial" w:hAnsi="Arial"/>
      <w:b/>
      <w:color w:val="1E1E1E"/>
      <w:sz w:val="19"/>
      <w:szCs w:val="22"/>
      <w:lang w:val="en-US" w:eastAsia="en-US" w:bidi="ar-SA"/>
    </w:rPr>
  </w:style>
  <w:style w:type="paragraph" w:customStyle="1" w:styleId="SourceNote">
    <w:name w:val="Source Note"/>
    <w:pPr>
      <w:spacing w:after="120"/>
      <w:jc w:val="center"/>
    </w:pPr>
    <w:rPr>
      <w:rFonts w:ascii="Arial" w:eastAsia="Arial" w:hAnsi="Arial"/>
      <w:color w:val="464646"/>
      <w:sz w:val="17"/>
      <w:szCs w:val="22"/>
      <w:lang w:val="en-US" w:eastAsia="en-US" w:bidi="ar-SA"/>
    </w:rPr>
  </w:style>
  <w:style w:type="paragraph" w:styleId="TOCHeading">
    <w:name w:val="TOC Heading"/>
    <w:basedOn w:val="Heading1"/>
    <w:next w:val="Normal"/>
    <w:uiPriority w:val="39"/>
    <w:unhideWhenUsed/>
    <w:qFormat/>
    <w:rsid w:val="00867AA9"/>
    <w:pPr>
      <w:spacing w:before="240" w:after="0" w:line="259" w:lineRule="auto"/>
      <w:jc w:val="left"/>
      <w:outlineLvl w:val="9"/>
    </w:pPr>
    <w:rPr>
      <w:b w:val="0"/>
      <w:bCs w:val="0"/>
      <w:color w:val="365F91" w:themeColor="accent1" w:themeShade="BF"/>
      <w:sz w:val="32"/>
      <w:szCs w:val="32"/>
    </w:rPr>
  </w:style>
  <w:style w:type="paragraph" w:styleId="TOC1">
    <w:name w:val="toc 1"/>
    <w:basedOn w:val="Normal"/>
    <w:next w:val="Normal"/>
    <w:autoRedefine/>
    <w:uiPriority w:val="39"/>
    <w:unhideWhenUsed/>
    <w:rsid w:val="00867AA9"/>
    <w:pPr>
      <w:spacing w:after="100"/>
    </w:pPr>
  </w:style>
  <w:style w:type="paragraph" w:styleId="TOC2">
    <w:name w:val="toc 2"/>
    <w:basedOn w:val="Normal"/>
    <w:next w:val="Normal"/>
    <w:autoRedefine/>
    <w:uiPriority w:val="39"/>
    <w:unhideWhenUsed/>
    <w:rsid w:val="00867AA9"/>
    <w:pPr>
      <w:spacing w:after="100"/>
      <w:ind w:left="220"/>
    </w:pPr>
  </w:style>
  <w:style w:type="character" w:styleId="Hyperlink">
    <w:name w:val="Hyperlink"/>
    <w:basedOn w:val="DefaultParagraphFont"/>
    <w:uiPriority w:val="99"/>
    <w:unhideWhenUsed/>
    <w:rsid w:val="00867AA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england.nhs.uk/publication/personalised-care-operating-model/" TargetMode="External"/><Relationship Id="rId26" Type="http://schemas.openxmlformats.org/officeDocument/2006/relationships/hyperlink" Target="https://britishlivertrust.org.uk/information-and-support/love-your-liver/" TargetMode="External"/><Relationship Id="rId39" Type="http://schemas.openxmlformats.org/officeDocument/2006/relationships/hyperlink" Target="https://www.nice.org.uk/guidance/ng197" TargetMode="External"/><Relationship Id="rId21" Type="http://schemas.openxmlformats.org/officeDocument/2006/relationships/image" Target="media/image8.jpeg"/><Relationship Id="rId34" Type="http://schemas.openxmlformats.org/officeDocument/2006/relationships/hyperlink" Target="https://doi.org/10.1002/hep.32049" TargetMode="External"/><Relationship Id="rId42" Type="http://schemas.openxmlformats.org/officeDocument/2006/relationships/hyperlink" Target="https://www.england.nhs.uk/publication/personalised-care-operating-model/" TargetMode="External"/><Relationship Id="rId47" Type="http://schemas.openxmlformats.org/officeDocument/2006/relationships/hyperlink" Target="https://doi.org/10.1097/HEP.0000000000000323" TargetMode="External"/><Relationship Id="rId50" Type="http://schemas.openxmlformats.org/officeDocument/2006/relationships/hyperlink" Target="https://doi.org/10.1186/s12876-025-04264-5" TargetMode="External"/><Relationship Id="rId55" Type="http://schemas.openxmlformats.org/officeDocument/2006/relationships/hyperlink" Target="https://doi.org/10.1007/s00535-021-01788-x"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ubmed.ncbi.nlm.nih.gov/38851997/" TargetMode="External"/><Relationship Id="rId29" Type="http://schemas.openxmlformats.org/officeDocument/2006/relationships/hyperlink" Target="https://doi.org/10.1002/cld.1061" TargetMode="External"/><Relationship Id="rId11" Type="http://schemas.openxmlformats.org/officeDocument/2006/relationships/image" Target="media/image3.png"/><Relationship Id="rId24" Type="http://schemas.openxmlformats.org/officeDocument/2006/relationships/hyperlink" Target="https://britishlivertrust.org.uk/information-and-support/love-your-liver/" TargetMode="External"/><Relationship Id="rId32" Type="http://schemas.openxmlformats.org/officeDocument/2006/relationships/hyperlink" Target="https://doi.org/10.3390/medsci13010013" TargetMode="External"/><Relationship Id="rId37" Type="http://schemas.openxmlformats.org/officeDocument/2006/relationships/hyperlink" Target="https://doi.org/10.1136/flgastro-2023-102432" TargetMode="External"/><Relationship Id="rId40" Type="http://schemas.openxmlformats.org/officeDocument/2006/relationships/hyperlink" Target="https://www.nice.org.uk/guidance/ng50/chapter/Recommendations" TargetMode="External"/><Relationship Id="rId45" Type="http://schemas.openxmlformats.org/officeDocument/2006/relationships/hyperlink" Target="https://www.gov.uk/government/statistics/liver-disease-profile-december-2024-update/liver-disease-profile-december-2024-update" TargetMode="External"/><Relationship Id="rId53" Type="http://schemas.openxmlformats.org/officeDocument/2006/relationships/hyperlink" Target="https://www.who.int/publications/i/item/9789240091672" TargetMode="External"/><Relationship Id="rId58" Type="http://schemas.openxmlformats.org/officeDocument/2006/relationships/hyperlink" Target="https://www.futurehumber.com/news/new-liver-clinics-to-launch-at-goole-hospital" TargetMode="External"/><Relationship Id="rId5" Type="http://schemas.openxmlformats.org/officeDocument/2006/relationships/webSettings" Target="webSettings.xml"/><Relationship Id="rId61" Type="http://schemas.openxmlformats.org/officeDocument/2006/relationships/hyperlink" Target="https://commons.wikimedia.org/wiki/File:Liver_Diagram.svg" TargetMode="External"/><Relationship Id="rId19" Type="http://schemas.openxmlformats.org/officeDocument/2006/relationships/image" Target="media/image7.png"/><Relationship Id="rId14" Type="http://schemas.openxmlformats.org/officeDocument/2006/relationships/hyperlink" Target="https://www.mdpi.com/2076-3271/13/1/13" TargetMode="External"/><Relationship Id="rId22" Type="http://schemas.openxmlformats.org/officeDocument/2006/relationships/hyperlink" Target="https://www.futurehumber.com/news/new-liver-clinics-to-launch-at-goole-hospital" TargetMode="External"/><Relationship Id="rId27" Type="http://schemas.openxmlformats.org/officeDocument/2006/relationships/hyperlink" Target="https://britishlivertrust.org.uk/sharp-46-increase-in-alcohol-related-liver-disease-deaths-across-uk-in-past-decade-raises-public-health-concerns/" TargetMode="External"/><Relationship Id="rId30" Type="http://schemas.openxmlformats.org/officeDocument/2006/relationships/hyperlink" Target="https://doi.org/10.1016/j.jhep.2021.12.022" TargetMode="External"/><Relationship Id="rId35" Type="http://schemas.openxmlformats.org/officeDocument/2006/relationships/hyperlink" Target="https://doi.org/10.1136/flgastro-2023-102430" TargetMode="External"/><Relationship Id="rId43" Type="http://schemas.openxmlformats.org/officeDocument/2006/relationships/hyperlink" Target="https://www.england.nhs.uk/publication/integrated-care-systems-guidance/" TargetMode="External"/><Relationship Id="rId48" Type="http://schemas.openxmlformats.org/officeDocument/2006/relationships/hyperlink" Target="https://doi.org/10.1002/hep.32378" TargetMode="External"/><Relationship Id="rId56" Type="http://schemas.openxmlformats.org/officeDocument/2006/relationships/hyperlink" Target="https://doi.org/10.1097/HC9.0000000000000600"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gov.uk/government/publications/hepatitis-c-in-england-and-the-uk" TargetMode="External"/><Relationship Id="rId3" Type="http://schemas.openxmlformats.org/officeDocument/2006/relationships/styles" Target="styles.xml"/><Relationship Id="rId12" Type="http://schemas.openxmlformats.org/officeDocument/2006/relationships/hyperlink" Target="https://www.niddk.nih.gov/news/media-library/24418" TargetMode="External"/><Relationship Id="rId17" Type="http://schemas.openxmlformats.org/officeDocument/2006/relationships/image" Target="media/image6.jpeg"/><Relationship Id="rId25" Type="http://schemas.openxmlformats.org/officeDocument/2006/relationships/hyperlink" Target="https://doi.org/10.1186/s43066-021-00077-9" TargetMode="External"/><Relationship Id="rId33" Type="http://schemas.openxmlformats.org/officeDocument/2006/relationships/hyperlink" Target="https://doi.org/10.1111/liv.14614" TargetMode="External"/><Relationship Id="rId38" Type="http://schemas.openxmlformats.org/officeDocument/2006/relationships/hyperlink" Target="https://www.nhs.uk/conditions/cirrhosis/" TargetMode="External"/><Relationship Id="rId46" Type="http://schemas.openxmlformats.org/officeDocument/2006/relationships/hyperlink" Target="https://doi.org/10.1016/j.jceh.2022.08.003" TargetMode="External"/><Relationship Id="rId59" Type="http://schemas.openxmlformats.org/officeDocument/2006/relationships/hyperlink" Target="https://www.england.nhs.uk/publication/integrating-care-next-steps-to-building-strong-and-effective-integrated-care-systems-across-england/" TargetMode="External"/><Relationship Id="rId20" Type="http://schemas.openxmlformats.org/officeDocument/2006/relationships/hyperlink" Target="https://www.ahrq.gov/prevention/resources/chronic-care/clinical-community-relationships-measures-atlas/ccrm-atlas3.html" TargetMode="External"/><Relationship Id="rId41" Type="http://schemas.openxmlformats.org/officeDocument/2006/relationships/hyperlink" Target="https://digital.nhs.uk/data-and-information/publications/statistical/compendium-mortality/current/mortality-from-chronic-liver-disease" TargetMode="External"/><Relationship Id="rId54" Type="http://schemas.openxmlformats.org/officeDocument/2006/relationships/hyperlink" Target="https://www.who.int/news-room/fact-sheets/detail/alcohol"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9.jpeg"/><Relationship Id="rId28" Type="http://schemas.openxmlformats.org/officeDocument/2006/relationships/hyperlink" Target="https://doi.org/10.3138/canlivj-2025-0013" TargetMode="External"/><Relationship Id="rId36" Type="http://schemas.openxmlformats.org/officeDocument/2006/relationships/hyperlink" Target="https://doi.org/10.1136/flgastro-2023-102431" TargetMode="External"/><Relationship Id="rId49" Type="http://schemas.openxmlformats.org/officeDocument/2006/relationships/hyperlink" Target="https://doi.org/10.1111/liv.70001" TargetMode="External"/><Relationship Id="rId57" Type="http://schemas.openxmlformats.org/officeDocument/2006/relationships/hyperlink" Target="https://www.niddk.nih.gov/news/media-library/24418" TargetMode="External"/><Relationship Id="rId10" Type="http://schemas.openxmlformats.org/officeDocument/2006/relationships/hyperlink" Target="https://link.springer.com/article/10.1186/s12876-025-04264-5" TargetMode="External"/><Relationship Id="rId31" Type="http://schemas.openxmlformats.org/officeDocument/2006/relationships/hyperlink" Target="https://doi.org/10.1016/j.jhep.2024.04.031" TargetMode="External"/><Relationship Id="rId44" Type="http://schemas.openxmlformats.org/officeDocument/2006/relationships/hyperlink" Target="https://www.england.nhs.uk/about/equality/equality-hub/national-healthcare-inequalities-improvement-programme/core20plus5/" TargetMode="External"/><Relationship Id="rId52" Type="http://schemas.openxmlformats.org/officeDocument/2006/relationships/hyperlink" Target="https://www.who.int/publications/i/item/9789240060893" TargetMode="External"/><Relationship Id="rId60" Type="http://schemas.openxmlformats.org/officeDocument/2006/relationships/hyperlink" Target="https://www.ahrq.gov/prevention/resources/chronic-care/clinical-community-relationships-measures-atlas/ccrm-atlas3.html"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20</Pages>
  <Words>5980</Words>
  <Characters>34086</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Kamlesh Nakum</dc:creator>
  <cp:lastModifiedBy>Kamlesh Nakum</cp:lastModifiedBy>
  <cp:revision>3</cp:revision>
  <dcterms:created xsi:type="dcterms:W3CDTF">2026-10-20T11:23:00Z</dcterms:created>
  <dcterms:modified xsi:type="dcterms:W3CDTF">2026-10-22T22:03:00Z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eyJoZGlkIjoiMWJmYmVhMGQ2YWQwOTc0ZDFkYmVkZTE0NzFkNThlYzIifQ==</vt:lpwstr>
  </property>
  <property fmtid="{D5CDD505-2E9C-101B-9397-08002B2CF9AE}" pid="3" name="KSOProductBuildVer">
    <vt:lpwstr>1033-12.1.0.29162</vt:lpwstr>
  </property>
  <property fmtid="{D5CDD505-2E9C-101B-9397-08002B2CF9AE}" pid="4" name="ICV">
    <vt:lpwstr>20204706AB5841D5AA9895506410E5BD_12</vt:lpwstr>
  </property>
  <property fmtid="{D5CDD505-2E9C-101B-9397-08002B2CF9AE}" pid="5" name="GrammarlyDocumentId">
    <vt:lpwstr>db7de9a323803b22cdcbfc713a80ce59e5d0e13c2d2d8c4cf61316f2ca3a8d1a</vt:lpwstr>
  </property>
</Properties>
</file>