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5BB22B" w14:textId="0E0E5B67" w:rsidR="00445E41" w:rsidRPr="00F57A8D" w:rsidRDefault="00E82AA6">
      <w:pPr>
        <w:jc w:val="center"/>
        <w:rPr>
          <w:b/>
          <w:bCs/>
          <w:lang w:val="en-US"/>
        </w:rPr>
      </w:pPr>
      <w:r>
        <w:rPr>
          <w:b/>
          <w:bCs/>
        </w:rPr>
        <w:t>Programme</w:t>
      </w:r>
      <w:r>
        <w:rPr>
          <w:b/>
          <w:bCs/>
          <w:lang w:val="cs-CZ"/>
        </w:rPr>
        <w:t xml:space="preserve">: </w:t>
      </w:r>
      <w:proofErr w:type="spellStart"/>
      <w:r w:rsidR="00F57A8D">
        <w:rPr>
          <w:b/>
          <w:bCs/>
          <w:lang w:val="en-US"/>
        </w:rPr>
        <w:t>BSc</w:t>
      </w:r>
      <w:proofErr w:type="spellEnd"/>
      <w:r w:rsidR="00B107BE">
        <w:rPr>
          <w:b/>
          <w:bCs/>
          <w:lang w:val="en-US"/>
        </w:rPr>
        <w:t xml:space="preserve"> Health and Social Care </w:t>
      </w:r>
    </w:p>
    <w:p w14:paraId="2656B239" w14:textId="2670C5A9" w:rsidR="00997A41" w:rsidRDefault="003E6D37">
      <w:pPr>
        <w:jc w:val="center"/>
        <w:rPr>
          <w:b/>
          <w:bCs/>
        </w:rPr>
      </w:pPr>
      <w:r>
        <w:rPr>
          <w:b/>
          <w:bCs/>
        </w:rPr>
        <w:t xml:space="preserve">Module: </w:t>
      </w:r>
      <w:proofErr w:type="spellStart"/>
      <w:r w:rsidR="002C2C9F">
        <w:rPr>
          <w:b/>
          <w:bCs/>
        </w:rPr>
        <w:t>Changemakers</w:t>
      </w:r>
      <w:proofErr w:type="spellEnd"/>
      <w:r w:rsidR="002C2C9F">
        <w:rPr>
          <w:b/>
          <w:bCs/>
        </w:rPr>
        <w:t>: Building your Personal Brand for Sustainable Employment</w:t>
      </w:r>
    </w:p>
    <w:p w14:paraId="66FFEC3A" w14:textId="75E3F259" w:rsidR="00997A41" w:rsidRDefault="00991ED0">
      <w:pPr>
        <w:jc w:val="center"/>
        <w:rPr>
          <w:b/>
          <w:bCs/>
        </w:rPr>
      </w:pPr>
      <w:r>
        <w:rPr>
          <w:b/>
          <w:bCs/>
        </w:rPr>
        <w:t xml:space="preserve">Student name: </w:t>
      </w:r>
      <w:r w:rsidR="002C2C9F">
        <w:rPr>
          <w:b/>
          <w:bCs/>
        </w:rPr>
        <w:t xml:space="preserve">Lucie </w:t>
      </w:r>
      <w:proofErr w:type="spellStart"/>
      <w:r w:rsidR="002C2C9F">
        <w:rPr>
          <w:b/>
          <w:bCs/>
        </w:rPr>
        <w:t>Dunkova</w:t>
      </w:r>
      <w:proofErr w:type="spellEnd"/>
    </w:p>
    <w:p w14:paraId="2717608F" w14:textId="7A0D0352" w:rsidR="008143D6" w:rsidRDefault="008143D6">
      <w:pPr>
        <w:jc w:val="center"/>
        <w:rPr>
          <w:b/>
          <w:bCs/>
        </w:rPr>
      </w:pPr>
      <w:r>
        <w:rPr>
          <w:b/>
          <w:bCs/>
        </w:rPr>
        <w:t xml:space="preserve">Student number: </w:t>
      </w:r>
      <w:r w:rsidR="00E443C0">
        <w:rPr>
          <w:b/>
          <w:bCs/>
        </w:rPr>
        <w:t>2241882</w:t>
      </w:r>
    </w:p>
    <w:p w14:paraId="03D2C264" w14:textId="311EC9FF" w:rsidR="002208ED" w:rsidRDefault="002208ED">
      <w:pPr>
        <w:jc w:val="center"/>
        <w:rPr>
          <w:b/>
          <w:bCs/>
        </w:rPr>
      </w:pPr>
      <w:r>
        <w:rPr>
          <w:b/>
          <w:bCs/>
        </w:rPr>
        <w:t xml:space="preserve">Module Code: </w:t>
      </w:r>
      <w:r w:rsidR="007114A6">
        <w:rPr>
          <w:b/>
          <w:bCs/>
        </w:rPr>
        <w:t>BMPH</w:t>
      </w:r>
      <w:r w:rsidR="00C16C4C">
        <w:rPr>
          <w:b/>
          <w:bCs/>
        </w:rPr>
        <w:t>5015</w:t>
      </w:r>
    </w:p>
    <w:tbl>
      <w:tblPr>
        <w:tblW w:w="0" w:type="auto"/>
        <w:tblCellSpacing w:w="0" w:type="dxa"/>
        <w:tblCellMar>
          <w:left w:w="0" w:type="dxa"/>
          <w:right w:w="0" w:type="dxa"/>
        </w:tblCellMar>
        <w:tblLook w:val="04A0" w:firstRow="1" w:lastRow="0" w:firstColumn="1" w:lastColumn="0" w:noHBand="0" w:noVBand="1"/>
      </w:tblPr>
      <w:tblGrid>
        <w:gridCol w:w="6"/>
      </w:tblGrid>
      <w:tr w:rsidR="00CD1D02" w:rsidRPr="00CD1D02" w14:paraId="2692066D" w14:textId="77777777">
        <w:trPr>
          <w:tblCellSpacing w:w="0" w:type="dxa"/>
        </w:trPr>
        <w:tc>
          <w:tcPr>
            <w:tcW w:w="0" w:type="auto"/>
            <w:hideMark/>
          </w:tcPr>
          <w:p w14:paraId="5F3C478E" w14:textId="5D1E84B4" w:rsidR="00CD1D02" w:rsidRPr="00CD1D02" w:rsidRDefault="00CD1D02" w:rsidP="00CD1D02">
            <w:pPr>
              <w:suppressAutoHyphens w:val="0"/>
              <w:autoSpaceDN/>
              <w:spacing w:after="0" w:line="240" w:lineRule="auto"/>
              <w:rPr>
                <w:rFonts w:ascii="Helvetica" w:eastAsiaTheme="minorEastAsia" w:hAnsi="Helvetica"/>
                <w:kern w:val="0"/>
                <w:sz w:val="18"/>
                <w:szCs w:val="18"/>
                <w:lang w:eastAsia="en-GB"/>
              </w:rPr>
            </w:pPr>
          </w:p>
        </w:tc>
      </w:tr>
    </w:tbl>
    <w:p w14:paraId="03165DC4" w14:textId="77777777" w:rsidR="00997A41" w:rsidRDefault="00997A41">
      <w:pPr>
        <w:rPr>
          <w:b/>
          <w:bCs/>
        </w:rPr>
      </w:pPr>
    </w:p>
    <w:p w14:paraId="0C17E2E0" w14:textId="77777777" w:rsidR="00997A41" w:rsidRDefault="002C2C9F">
      <w:pPr>
        <w:rPr>
          <w:b/>
          <w:bCs/>
        </w:rPr>
      </w:pPr>
      <w:r>
        <w:rPr>
          <w:b/>
          <w:bCs/>
        </w:rPr>
        <w:t>Developing a Technology-Empowered Professional Brand in Autism Intervention</w:t>
      </w:r>
    </w:p>
    <w:p w14:paraId="0B676779" w14:textId="77777777" w:rsidR="00997A41" w:rsidRDefault="002C2C9F">
      <w:pPr>
        <w:rPr>
          <w:b/>
          <w:bCs/>
        </w:rPr>
      </w:pPr>
      <w:r>
        <w:rPr>
          <w:b/>
          <w:bCs/>
        </w:rPr>
        <w:t>Abstract</w:t>
      </w:r>
    </w:p>
    <w:p w14:paraId="18F94AFE" w14:textId="77777777" w:rsidR="00997A41" w:rsidRDefault="002C2C9F">
      <w:r>
        <w:t xml:space="preserve">Establishing a modern professional personal brand for working with autistic children requires </w:t>
      </w:r>
      <w:proofErr w:type="spellStart"/>
      <w:r>
        <w:t>synthesizing</w:t>
      </w:r>
      <w:proofErr w:type="spellEnd"/>
      <w:r>
        <w:t xml:space="preserve"> deep therapeutic empathy with advanced technological proficiency. This paper outlines a comprehensive methodology for building such a clinical practice by integrating artificial intelligence, shared autonomy robotics, and interactive systems into a cohesive brand identity. By embedding core academic competencies including Practical Skills, Cognitive and Intellectual Skills, and Engagement with Literature Skills into daily practice, professionals can offer highly </w:t>
      </w:r>
      <w:proofErr w:type="spellStart"/>
      <w:r>
        <w:t>personalized</w:t>
      </w:r>
      <w:proofErr w:type="spellEnd"/>
      <w:r>
        <w:t xml:space="preserve"> interventions. Ultimately, this framework demonstrates how tech-assisted care elevates practitioner authority while significantly improving communicative, developmental, and agency-preserving outcomes for autistic children and their families.</w:t>
      </w:r>
    </w:p>
    <w:p w14:paraId="2EBEA5C7" w14:textId="77777777" w:rsidR="00997A41" w:rsidRDefault="002C2C9F">
      <w:pPr>
        <w:rPr>
          <w:b/>
          <w:bCs/>
        </w:rPr>
      </w:pPr>
      <w:r>
        <w:rPr>
          <w:b/>
          <w:bCs/>
        </w:rPr>
        <w:t>Introduction</w:t>
      </w:r>
    </w:p>
    <w:p w14:paraId="62EA9C62" w14:textId="77777777" w:rsidR="00997A41" w:rsidRDefault="002C2C9F">
      <w:r>
        <w:t xml:space="preserve">Autism Spectrum Disorder (ASD) represents a multifaceted </w:t>
      </w:r>
      <w:proofErr w:type="spellStart"/>
      <w:r>
        <w:t>neurodevelopmental</w:t>
      </w:r>
      <w:proofErr w:type="spellEnd"/>
      <w:r>
        <w:t xml:space="preserve"> condition </w:t>
      </w:r>
      <w:proofErr w:type="spellStart"/>
      <w:r>
        <w:t>characterized</w:t>
      </w:r>
      <w:proofErr w:type="spellEnd"/>
      <w:r>
        <w:t xml:space="preserve"> by diverse challenges in social interaction, communication, and occasionally the execution of daily living activities. As the prevalence of ASD rises globally, there is a critical demand for </w:t>
      </w:r>
      <w:proofErr w:type="spellStart"/>
      <w:r>
        <w:t>specialized</w:t>
      </w:r>
      <w:proofErr w:type="spellEnd"/>
      <w:r>
        <w:t xml:space="preserve"> practitioners capable of delivering </w:t>
      </w:r>
      <w:proofErr w:type="spellStart"/>
      <w:r>
        <w:t>personalized</w:t>
      </w:r>
      <w:proofErr w:type="spellEnd"/>
      <w:r>
        <w:t>, technology-enhanced care. Establishing a professional personal brand as an autism intervention specialist goes beyond standard marketing; it requires the continuous integration of emerging technologies and the rigorous application of academic competencies, including Transferable Skills for Life and Professional Practice. By cultivating a brand identity anchored in evidence-based technological innovation, a practitioner can distinguish themselves in an increasingly saturated clinical landscape while providing superior therapeutic outcomes.</w:t>
      </w:r>
    </w:p>
    <w:p w14:paraId="5D7E3451" w14:textId="77777777" w:rsidR="00997A41" w:rsidRDefault="002C2C9F">
      <w:r>
        <w:t xml:space="preserve">Despite the growing availability of assistive tools, existing professional branding approaches in special education and therapeutic intervention remain highly insufficient. First, traditional branding often lacks the integration of advanced human-computer interaction technologies, relying instead on outdated, manually intensive therapeutic models that cannot dynamically adapt to a child's real-time emotional state. Second, many contemporary automated practices fail to systematically </w:t>
      </w:r>
      <w:proofErr w:type="spellStart"/>
      <w:r>
        <w:t>prioritize</w:t>
      </w:r>
      <w:proofErr w:type="spellEnd"/>
      <w:r>
        <w:t xml:space="preserve"> the user's sense of agency, often </w:t>
      </w:r>
      <w:proofErr w:type="spellStart"/>
      <w:r>
        <w:t>optimizing</w:t>
      </w:r>
      <w:proofErr w:type="spellEnd"/>
      <w:r>
        <w:t xml:space="preserve"> solely for task success and cognitive load while inadvertently stripping the human user of their perceived control (Collier et al., 2025). Third, highly technical diagnostic and assistive systems frequently suffer from a lack of explainability, leading to mismatched mental models between the robot, the child, and the caregiver (</w:t>
      </w:r>
      <w:proofErr w:type="spellStart"/>
      <w:r>
        <w:t>Besch</w:t>
      </w:r>
      <w:proofErr w:type="spellEnd"/>
      <w:r>
        <w:t xml:space="preserve"> et al., 2026). Because of these limitations, practitioners who simply adopt technology without a structured, empathetic brand philosophy often alienate the very families they intend to support.</w:t>
      </w:r>
    </w:p>
    <w:p w14:paraId="4DA9E3A9" w14:textId="77777777" w:rsidR="00997A41" w:rsidRDefault="002C2C9F">
      <w:r>
        <w:t>To address these critical gaps in the clinical landscape, this paper proposes a novel, structurally sound methodology for professional branding in autism intervention. The primary contributions of this paper are defined as follows:</w:t>
      </w:r>
    </w:p>
    <w:p w14:paraId="098FBB3D" w14:textId="77777777" w:rsidR="00997A41" w:rsidRDefault="002C2C9F">
      <w:pPr>
        <w:numPr>
          <w:ilvl w:val="0"/>
          <w:numId w:val="1"/>
        </w:numPr>
      </w:pPr>
      <w:r>
        <w:t>We propose a structured professional branding framework that seamlessly integrates socially assistive robotics and shared autonomy into daily therapeutic practice while preserving human agency.</w:t>
      </w:r>
    </w:p>
    <w:p w14:paraId="6A0EDBC3" w14:textId="77777777" w:rsidR="00997A41" w:rsidRDefault="002C2C9F">
      <w:pPr>
        <w:numPr>
          <w:ilvl w:val="0"/>
          <w:numId w:val="1"/>
        </w:numPr>
      </w:pPr>
      <w:r>
        <w:t xml:space="preserve">We define a comprehensive evaluation methodology </w:t>
      </w:r>
      <w:proofErr w:type="spellStart"/>
      <w:r>
        <w:t>utilizing</w:t>
      </w:r>
      <w:proofErr w:type="spellEnd"/>
      <w:r>
        <w:t xml:space="preserve"> hypothetical clinical data to quantitatively and qualitatively validate the efficacy of a technology-centric therapeutic brand.</w:t>
      </w:r>
    </w:p>
    <w:p w14:paraId="5711C86A" w14:textId="77777777" w:rsidR="00997A41" w:rsidRDefault="002C2C9F">
      <w:pPr>
        <w:rPr>
          <w:b/>
          <w:bCs/>
        </w:rPr>
      </w:pPr>
      <w:r>
        <w:rPr>
          <w:b/>
          <w:bCs/>
        </w:rPr>
        <w:t>Related Work</w:t>
      </w:r>
    </w:p>
    <w:p w14:paraId="60427F05" w14:textId="77777777" w:rsidR="00997A41" w:rsidRDefault="002C2C9F">
      <w:pPr>
        <w:rPr>
          <w:b/>
          <w:bCs/>
        </w:rPr>
      </w:pPr>
      <w:r>
        <w:rPr>
          <w:b/>
          <w:bCs/>
        </w:rPr>
        <w:t>Socially Assistive Robotics in Therapeutic Contexts</w:t>
      </w:r>
    </w:p>
    <w:p w14:paraId="720FCDF6" w14:textId="77777777" w:rsidR="00997A41" w:rsidRDefault="002C2C9F">
      <w:r>
        <w:t>The first literature category centres on Socially Assistive Robotics (SAR), specifically focusing on the deployment of humanoid robots in therapeutic environments. Researchers have extensively explored how humanoid robots, such as the NAO platform, can be applied in socially assistive experiments to teach, assist, and play with users (Erich et al., 2017). The core idea is that robots can serve as predictable, highly controlled interactive partners that adapt their behaviour according to a child's emotions and specific features (</w:t>
      </w:r>
      <w:proofErr w:type="spellStart"/>
      <w:r>
        <w:t>Brighenti</w:t>
      </w:r>
      <w:proofErr w:type="spellEnd"/>
      <w:r>
        <w:t xml:space="preserve"> et al., 2022). A major strength of these robotic interventions is their ability to capture children's attention and support human operators like psychologists and educators in their therapeutic work (</w:t>
      </w:r>
      <w:proofErr w:type="spellStart"/>
      <w:r>
        <w:t>Brighenti</w:t>
      </w:r>
      <w:proofErr w:type="spellEnd"/>
      <w:r>
        <w:t xml:space="preserve"> et al., 2022). However, a notable weakness highlighted in the literature is that these robots are frequently controlled manually in experiments, limiting their autonomous therapeutic potential (Erich et al., 2017). Compared to isolated robotic interventions, the professional brand proposed in this paper positions the practitioner as the expert orchestrator, ensuring that these robots are </w:t>
      </w:r>
      <w:proofErr w:type="spellStart"/>
      <w:r>
        <w:t>utilized</w:t>
      </w:r>
      <w:proofErr w:type="spellEnd"/>
      <w:r>
        <w:t xml:space="preserve"> as supplementary, intelligently integrated tools rather than autonomous replacements for human empathy.</w:t>
      </w:r>
    </w:p>
    <w:p w14:paraId="635D4CD4" w14:textId="77777777" w:rsidR="00997A41" w:rsidRDefault="002C2C9F">
      <w:pPr>
        <w:rPr>
          <w:b/>
          <w:bCs/>
        </w:rPr>
      </w:pPr>
      <w:r>
        <w:rPr>
          <w:b/>
          <w:bCs/>
        </w:rPr>
        <w:t>Shared Autonomy and User Agency</w:t>
      </w:r>
    </w:p>
    <w:p w14:paraId="0D59419A" w14:textId="77777777" w:rsidR="00997A41" w:rsidRDefault="002C2C9F">
      <w:r>
        <w:t xml:space="preserve">The second category encompasses shared autonomy paradigms and their impact on the user's sense of control. In assistive robotics, shared autonomy combines control signals from the human user and automated control systems to assist with manipulation and interaction tasks (Collier et al., 2025). A significant strength of this approach is the </w:t>
      </w:r>
      <w:proofErr w:type="spellStart"/>
      <w:r>
        <w:t>optimization</w:t>
      </w:r>
      <w:proofErr w:type="spellEnd"/>
      <w:r>
        <w:t xml:space="preserve"> of task performance, as the system can compensate for the user's limitations through automated end-effector orientation or advanced physics-based grasp planning (</w:t>
      </w:r>
      <w:proofErr w:type="spellStart"/>
      <w:r>
        <w:t>Maymo</w:t>
      </w:r>
      <w:proofErr w:type="spellEnd"/>
      <w:r>
        <w:t xml:space="preserve"> et al., 2018) (Miller et al., 2024). Nevertheless, a critical weakness is that higher robot autonomy often leads to a decreased sense of agency for the user, revealing a complex trade-off between task efficiency and the user's psychological experience of control (Collier et al., 2025). Furthermore, conventional input devices for these systems can necessitate frequent and complex mode switches, significantly increasing the user's cognitive load (</w:t>
      </w:r>
      <w:proofErr w:type="spellStart"/>
      <w:r>
        <w:t>Pascher</w:t>
      </w:r>
      <w:proofErr w:type="spellEnd"/>
      <w:r>
        <w:t xml:space="preserve"> et al., 2024). This work distinguishes itself by building a clinical brand that explicitly </w:t>
      </w:r>
      <w:proofErr w:type="spellStart"/>
      <w:r>
        <w:t>prioritizes</w:t>
      </w:r>
      <w:proofErr w:type="spellEnd"/>
      <w:r>
        <w:t xml:space="preserve"> the preservation of the child’s and caregiver's sense of agency, </w:t>
      </w:r>
      <w:proofErr w:type="spellStart"/>
      <w:r>
        <w:t>utilizing</w:t>
      </w:r>
      <w:proofErr w:type="spellEnd"/>
      <w:r>
        <w:t xml:space="preserve"> adaptive controls and continuous input </w:t>
      </w:r>
      <w:proofErr w:type="spellStart"/>
      <w:r>
        <w:t>optimization</w:t>
      </w:r>
      <w:proofErr w:type="spellEnd"/>
      <w:r>
        <w:t xml:space="preserve"> to </w:t>
      </w:r>
      <w:proofErr w:type="spellStart"/>
      <w:r>
        <w:t>minimize</w:t>
      </w:r>
      <w:proofErr w:type="spellEnd"/>
      <w:r>
        <w:t xml:space="preserve"> cognitive burden (</w:t>
      </w:r>
      <w:proofErr w:type="spellStart"/>
      <w:r>
        <w:t>Pascher</w:t>
      </w:r>
      <w:proofErr w:type="spellEnd"/>
      <w:r>
        <w:t xml:space="preserve"> et al., 2024).</w:t>
      </w:r>
    </w:p>
    <w:p w14:paraId="34366998" w14:textId="77777777" w:rsidR="00997A41" w:rsidRDefault="002C2C9F">
      <w:pPr>
        <w:rPr>
          <w:b/>
          <w:bCs/>
        </w:rPr>
      </w:pPr>
      <w:r>
        <w:rPr>
          <w:b/>
          <w:bCs/>
        </w:rPr>
        <w:t>Simulated Environments and Explainable AI</w:t>
      </w:r>
    </w:p>
    <w:p w14:paraId="267DABFC" w14:textId="77777777" w:rsidR="00997A41" w:rsidRDefault="002C2C9F">
      <w:r>
        <w:t>The third category focuses on simulated training environments and the explainability of robotic mental models. Physics simulation frameworks, such as Assistive Gym, provide safe, open-source environments for training robots to assist humans with activities of daily living using reinforcement learning (Erickson et al., 2019) (</w:t>
      </w:r>
      <w:proofErr w:type="spellStart"/>
      <w:r>
        <w:t>Jakhotiya</w:t>
      </w:r>
      <w:proofErr w:type="spellEnd"/>
      <w:r>
        <w:t xml:space="preserve"> and </w:t>
      </w:r>
      <w:proofErr w:type="spellStart"/>
      <w:r>
        <w:t>Haque</w:t>
      </w:r>
      <w:proofErr w:type="spellEnd"/>
      <w:r>
        <w:t>, 2022). To address complexities in embodied interaction, hardware-accelerated benchmarks are continuously developed to train diverse partner agents (</w:t>
      </w:r>
      <w:proofErr w:type="spellStart"/>
      <w:r>
        <w:t>Hinckeldey</w:t>
      </w:r>
      <w:proofErr w:type="spellEnd"/>
      <w:r>
        <w:t xml:space="preserve"> et al., 2025). The strength of these simulation platforms is their capacity to generate robust baseline policies without putting real users at physical risk (Erickson et al., 2019). However, when these trained models are deployed, unexpected robot behaviour can confuse users; therefore, </w:t>
      </w:r>
      <w:proofErr w:type="spellStart"/>
      <w:r>
        <w:t>utilizing</w:t>
      </w:r>
      <w:proofErr w:type="spellEnd"/>
      <w:r>
        <w:t xml:space="preserve"> Large Language Models to predict and explain the difference between the robot's and the human's mental models is essential for collaborative recovery (</w:t>
      </w:r>
      <w:proofErr w:type="spellStart"/>
      <w:r>
        <w:t>Besch</w:t>
      </w:r>
      <w:proofErr w:type="spellEnd"/>
      <w:r>
        <w:t xml:space="preserve"> et al., 2026). The brand identity proposed herein leverages these explainability frameworks, empowering the practitioner to translate complex algorithmic behaviours into understandable, actionable insights for families.</w:t>
      </w:r>
    </w:p>
    <w:p w14:paraId="3E3BAC20" w14:textId="77777777" w:rsidR="00997A41" w:rsidRDefault="002C2C9F">
      <w:pPr>
        <w:rPr>
          <w:b/>
          <w:bCs/>
        </w:rPr>
      </w:pPr>
      <w:r>
        <w:rPr>
          <w:b/>
          <w:bCs/>
        </w:rPr>
        <w:t>Method/Approach</w:t>
      </w:r>
    </w:p>
    <w:p w14:paraId="12472FB4" w14:textId="77777777" w:rsidR="00997A41" w:rsidRDefault="002C2C9F">
      <w:pPr>
        <w:rPr>
          <w:b/>
          <w:bCs/>
        </w:rPr>
      </w:pPr>
      <w:r>
        <w:rPr>
          <w:b/>
          <w:bCs/>
        </w:rPr>
        <w:t>Structured Branding Framework</w:t>
      </w:r>
    </w:p>
    <w:p w14:paraId="4FFDCB54" w14:textId="77777777" w:rsidR="00997A41" w:rsidRDefault="002C2C9F">
      <w:r>
        <w:t xml:space="preserve">Building this technology-empowered professional brand relies on a structured, three-step framework that demonstrates core academic and clinical competencies. Step 1 involves Evidence-Based Curation, wherein the practitioner </w:t>
      </w:r>
      <w:proofErr w:type="spellStart"/>
      <w:r>
        <w:t>utilizes</w:t>
      </w:r>
      <w:proofErr w:type="spellEnd"/>
      <w:r>
        <w:t xml:space="preserve"> Engagement with Literature Skills to systematically review and select appropriate technologies, identifying humanoid robots and simulation tools that best fit the clinical demographic (Erickson et al., 2019) (Erich et al., 2017). Step 2 is the Technological Deployment Pipeline, which applies Practical Skills to integrate specific assistive tools into daily therapeutic sessions. This pipeline includes configuring shared control interfaces that allow children to guide robotic end-effectors toward targeted learning objects, seamlessly blending human cognitive intent with robotic precision (Miller et al., 2024). Step 3 encompasses Analytical </w:t>
      </w:r>
      <w:proofErr w:type="spellStart"/>
      <w:r>
        <w:t>Customization</w:t>
      </w:r>
      <w:proofErr w:type="spellEnd"/>
      <w:r>
        <w:t>, requiring Cognitive and Intellectual Skills to interpret behavioural data, reconcile divergent mental models between the system and the patient using explainable AI (</w:t>
      </w:r>
      <w:proofErr w:type="spellStart"/>
      <w:r>
        <w:t>Besch</w:t>
      </w:r>
      <w:proofErr w:type="spellEnd"/>
      <w:r>
        <w:t xml:space="preserve"> et al., 2026), and dynamically adapt the robot's social behaviour to match the child's real-time emotional state (</w:t>
      </w:r>
      <w:proofErr w:type="spellStart"/>
      <w:r>
        <w:t>Brighenti</w:t>
      </w:r>
      <w:proofErr w:type="spellEnd"/>
      <w:r>
        <w:t xml:space="preserve"> et al., 2022). </w:t>
      </w:r>
    </w:p>
    <w:p w14:paraId="566E4588" w14:textId="77777777" w:rsidR="00997A41" w:rsidRDefault="002C2C9F">
      <w:pPr>
        <w:rPr>
          <w:b/>
          <w:bCs/>
        </w:rPr>
      </w:pPr>
      <w:r>
        <w:rPr>
          <w:b/>
          <w:bCs/>
        </w:rPr>
        <w:t>Design Choices and Rationale</w:t>
      </w:r>
    </w:p>
    <w:p w14:paraId="5F6E6173" w14:textId="77777777" w:rsidR="00997A41" w:rsidRDefault="002C2C9F">
      <w:r>
        <w:t xml:space="preserve">The primary rationale behind this layered operational design is to establish a personal brand that is simultaneously </w:t>
      </w:r>
      <w:proofErr w:type="spellStart"/>
      <w:r>
        <w:t>recognized</w:t>
      </w:r>
      <w:proofErr w:type="spellEnd"/>
      <w:r>
        <w:t xml:space="preserve"> for its deep clinical empathy and its authoritative technological prowess. By intentionally incorporating shared autonomy frameworks, the practitioner ensures that the therapeutic environment does not simply automate tasks for the child but actively engages them in a collaborative process that fosters a strong sense of agency (Collier et al., 2025). The integration of advanced visual computing, such as lightweight computer vision algorithms for immediate object recognition (</w:t>
      </w:r>
      <w:proofErr w:type="spellStart"/>
      <w:r>
        <w:t>Maymo</w:t>
      </w:r>
      <w:proofErr w:type="spellEnd"/>
      <w:r>
        <w:t xml:space="preserve"> et al., 2018), serves to off-load low-level operational frustration from the user, allowing the therapeutic session to remain focused on higher-level social and communicative goals. Systematically employing these methodologies ensures that the practitioner is perceived not as a passive consumer of commercial tech, but as a critical mediator who actively shields vulnerable patients from the usability barriers of raw, uncrated robotics.</w:t>
      </w:r>
    </w:p>
    <w:p w14:paraId="289D59F6" w14:textId="77777777" w:rsidR="00997A41" w:rsidRDefault="002C2C9F">
      <w:pPr>
        <w:rPr>
          <w:b/>
          <w:bCs/>
        </w:rPr>
      </w:pPr>
      <w:r>
        <w:rPr>
          <w:b/>
          <w:bCs/>
        </w:rPr>
        <w:t>Evaluation Plan</w:t>
      </w:r>
    </w:p>
    <w:p w14:paraId="3790FC66" w14:textId="77777777" w:rsidR="00997A41" w:rsidRDefault="002C2C9F">
      <w:r>
        <w:t xml:space="preserve">To rigorously validate this branding framework, we propose an evaluation plan </w:t>
      </w:r>
      <w:proofErr w:type="spellStart"/>
      <w:r>
        <w:t>utilizing</w:t>
      </w:r>
      <w:proofErr w:type="spellEnd"/>
      <w:r>
        <w:t xml:space="preserve"> a hypothetical dataset of 50 client families enrolled in a six-month intervention program. The evaluation will measure the brand's success through both quantitative metrics and qualitative assessments. Quantitatively, we will track client retention rates, the reduction in task completion time, and the frequency of necessary mode switches during human-robot interaction tasks, expecting to see a significant decrease in user cognitive load over time (</w:t>
      </w:r>
      <w:proofErr w:type="spellStart"/>
      <w:r>
        <w:t>Pascher</w:t>
      </w:r>
      <w:proofErr w:type="spellEnd"/>
      <w:r>
        <w:t xml:space="preserve"> et al., 2024). Qualitatively, </w:t>
      </w:r>
      <w:proofErr w:type="spellStart"/>
      <w:r>
        <w:t>standardized</w:t>
      </w:r>
      <w:proofErr w:type="spellEnd"/>
      <w:r>
        <w:t xml:space="preserve"> psychometric surveys will be administered to measure the children's reported sense of agency (Collier et al., 2025), alongside parental questionnaires evaluating perceived professional credibility, trust in the practitioner's explainability of the AI models (</w:t>
      </w:r>
      <w:proofErr w:type="spellStart"/>
      <w:r>
        <w:t>Besch</w:t>
      </w:r>
      <w:proofErr w:type="spellEnd"/>
      <w:r>
        <w:t xml:space="preserve"> et al., 2026), and overall therapeutic satisfaction. This dual-axis evaluation ensures that the integration of hardware-accelerated reinforcement learning tools and socially assistive robots translates directly to measurable clinical success and brand loyalty.</w:t>
      </w:r>
    </w:p>
    <w:p w14:paraId="502F9A36" w14:textId="77777777" w:rsidR="00997A41" w:rsidRDefault="002C2C9F">
      <w:pPr>
        <w:rPr>
          <w:b/>
          <w:bCs/>
        </w:rPr>
      </w:pPr>
      <w:r>
        <w:rPr>
          <w:b/>
          <w:bCs/>
        </w:rPr>
        <w:t>Discussion</w:t>
      </w:r>
    </w:p>
    <w:p w14:paraId="4D3BFC8F" w14:textId="77777777" w:rsidR="00997A41" w:rsidRDefault="002C2C9F">
      <w:pPr>
        <w:rPr>
          <w:b/>
          <w:bCs/>
        </w:rPr>
      </w:pPr>
      <w:r>
        <w:rPr>
          <w:b/>
          <w:bCs/>
        </w:rPr>
        <w:t>Practical Implications</w:t>
      </w:r>
    </w:p>
    <w:p w14:paraId="1154C5DB" w14:textId="77777777" w:rsidR="00997A41" w:rsidRDefault="002C2C9F">
      <w:r>
        <w:t xml:space="preserve">The practical implications of this proposed framework are substantial, offering a highly scalable model for modern therapeutic professionals to differentiate themselves in a crowded clinical market. By branding themselves as technology-empowered interventionists, practitioners can attract families who are increasingly seeking data-driven, objectively measurable outcomes for their children's developmental progress. This approach allows the practitioner to expand their service offerings, transitioning from purely observational therapeutic models to interactive, physics-based environments where skills can be safely practiced and measured before real-world application (Erickson et al., 2019). Furthermore, grounding the practice in empirically validated human-robot interaction paradigms establishes a robust foundation for long-term clinical growth and interdisciplinary collaboration with computer scientists and </w:t>
      </w:r>
      <w:proofErr w:type="spellStart"/>
      <w:r>
        <w:t>roboticists</w:t>
      </w:r>
      <w:proofErr w:type="spellEnd"/>
      <w:r>
        <w:t>.</w:t>
      </w:r>
    </w:p>
    <w:p w14:paraId="7C37161B" w14:textId="77777777" w:rsidR="00997A41" w:rsidRDefault="002C2C9F">
      <w:pPr>
        <w:rPr>
          <w:b/>
          <w:bCs/>
        </w:rPr>
      </w:pPr>
      <w:r>
        <w:rPr>
          <w:b/>
          <w:bCs/>
        </w:rPr>
        <w:t>Limitations and Failure Modes</w:t>
      </w:r>
    </w:p>
    <w:p w14:paraId="685808CF" w14:textId="77777777" w:rsidR="00997A41" w:rsidRDefault="002C2C9F">
      <w:r>
        <w:t>However, deploying a highly technological personal brand introduces several critical limitations and potential failure modes that must be carefully managed. First, the high financial cost of acquiring and maintaining advanced platforms, such as socially assistive humanoid robots or sophisticated tracking hardware, presents a significant barrier to entry for independent, solo practitioners (Erich et al., 2017). Second, an over-reliance on digital interfaces and mechanical systems may inadvertently alienate autistic children who experience severe sensory overload from screens, mechanical whirring, or unintuitive robotic movements. Third, the complexities associated with shared autonomy interfaces can backfire; if a system requires users to manage too many degrees of freedom with conventional input devices, it can lead to frustrating mode switches and an overwhelming cognitive load that completely disrupts the therapeutic session (</w:t>
      </w:r>
      <w:proofErr w:type="spellStart"/>
      <w:r>
        <w:t>Pascher</w:t>
      </w:r>
      <w:proofErr w:type="spellEnd"/>
      <w:r>
        <w:t xml:space="preserve"> et al., 2024). </w:t>
      </w:r>
    </w:p>
    <w:p w14:paraId="1456E8E9" w14:textId="77777777" w:rsidR="00997A41" w:rsidRDefault="002C2C9F">
      <w:pPr>
        <w:rPr>
          <w:b/>
          <w:bCs/>
        </w:rPr>
      </w:pPr>
      <w:r>
        <w:rPr>
          <w:b/>
          <w:bCs/>
        </w:rPr>
        <w:t>Ethical Considerations</w:t>
      </w:r>
    </w:p>
    <w:p w14:paraId="6531E1D9" w14:textId="77777777" w:rsidR="00997A41" w:rsidRDefault="002C2C9F">
      <w:r>
        <w:t xml:space="preserve">Furthermore, the integration of these advanced technologies into </w:t>
      </w:r>
      <w:proofErr w:type="spellStart"/>
      <w:r>
        <w:t>pediatric</w:t>
      </w:r>
      <w:proofErr w:type="spellEnd"/>
      <w:r>
        <w:t xml:space="preserve"> care raises profound ethical considerations and risks. </w:t>
      </w:r>
      <w:proofErr w:type="spellStart"/>
      <w:r>
        <w:t>Utilizing</w:t>
      </w:r>
      <w:proofErr w:type="spellEnd"/>
      <w:r>
        <w:t xml:space="preserve"> AI-driven sensors, cameras, and microphones for continuous emotion recognition introduces severe data privacy vulnerabilities (</w:t>
      </w:r>
      <w:proofErr w:type="spellStart"/>
      <w:r>
        <w:t>Brighenti</w:t>
      </w:r>
      <w:proofErr w:type="spellEnd"/>
      <w:r>
        <w:t xml:space="preserve"> et al., 2022). Practitioners must implement stringent cybersecurity safeguards to protect highly sensitive biometric and emotional data from </w:t>
      </w:r>
      <w:proofErr w:type="spellStart"/>
      <w:r>
        <w:t>unauthorized</w:t>
      </w:r>
      <w:proofErr w:type="spellEnd"/>
      <w:r>
        <w:t xml:space="preserve"> access or breaches. Additionally, there is the ethical risk associated with the loss of human agency; if automated systems frequently override the child's intentions in the pursuit of task </w:t>
      </w:r>
      <w:proofErr w:type="spellStart"/>
      <w:r>
        <w:t>optimization</w:t>
      </w:r>
      <w:proofErr w:type="spellEnd"/>
      <w:r>
        <w:t xml:space="preserve">, the therapy may inadvertently foster learned helplessness rather than independence and self-efficacy (Collier et al., 2025). </w:t>
      </w:r>
    </w:p>
    <w:p w14:paraId="45B22C4E" w14:textId="77777777" w:rsidR="00997A41" w:rsidRDefault="002C2C9F">
      <w:pPr>
        <w:rPr>
          <w:b/>
          <w:bCs/>
        </w:rPr>
      </w:pPr>
      <w:r>
        <w:rPr>
          <w:b/>
          <w:bCs/>
        </w:rPr>
        <w:t>Future Work</w:t>
      </w:r>
    </w:p>
    <w:p w14:paraId="5F5A8A72" w14:textId="77777777" w:rsidR="00997A41" w:rsidRDefault="002C2C9F">
      <w:r>
        <w:t>Future work will address these clinical and technological challenges by exploring two main avenues of development. First, research must focus on the creation of open-source, low-cost technological toolkits and lightweight vision algorithms that lower the financial barriers for emerging practitioners (</w:t>
      </w:r>
      <w:proofErr w:type="spellStart"/>
      <w:r>
        <w:t>Maymo</w:t>
      </w:r>
      <w:proofErr w:type="spellEnd"/>
      <w:r>
        <w:t xml:space="preserve"> et al., 2018). Second, there is a pressing need for the establishment of </w:t>
      </w:r>
      <w:proofErr w:type="spellStart"/>
      <w:r>
        <w:t>standardized</w:t>
      </w:r>
      <w:proofErr w:type="spellEnd"/>
      <w:r>
        <w:t xml:space="preserve"> ethical certification programs for tech empowered autism practitioners. Such certifications would provide </w:t>
      </w:r>
      <w:proofErr w:type="spellStart"/>
      <w:r>
        <w:t>formalized</w:t>
      </w:r>
      <w:proofErr w:type="spellEnd"/>
      <w:r>
        <w:t xml:space="preserve"> guidelines on model reconciliation (</w:t>
      </w:r>
      <w:proofErr w:type="spellStart"/>
      <w:r>
        <w:t>Besch</w:t>
      </w:r>
      <w:proofErr w:type="spellEnd"/>
      <w:r>
        <w:t xml:space="preserve"> et al., 2026), ensuring that professionals are explicitly trained to maintain the delicate balance between algorithmic assistance and the preservation of human cognitive autonomy.</w:t>
      </w:r>
    </w:p>
    <w:p w14:paraId="2F7E16A6" w14:textId="77777777" w:rsidR="00997A41" w:rsidRDefault="002C2C9F">
      <w:pPr>
        <w:rPr>
          <w:b/>
          <w:bCs/>
        </w:rPr>
      </w:pPr>
      <w:r>
        <w:rPr>
          <w:b/>
          <w:bCs/>
        </w:rPr>
        <w:t>Conclusion</w:t>
      </w:r>
    </w:p>
    <w:p w14:paraId="1337B2FA" w14:textId="77777777" w:rsidR="00997A41" w:rsidRDefault="002C2C9F">
      <w:r>
        <w:t xml:space="preserve">In conclusion, establishing a distinguished personal brand as an autism intervention specialist requires far more than foundational therapeutic knowledge; it demands a rigorous, ethical integration of modern technology and structured academic competencies. By </w:t>
      </w:r>
      <w:proofErr w:type="spellStart"/>
      <w:r>
        <w:t>synthesizing</w:t>
      </w:r>
      <w:proofErr w:type="spellEnd"/>
      <w:r>
        <w:t xml:space="preserve"> insights from socially assistive robotics, shared autonomy paradigms, and explainable AI frameworks, practitioners can build a uniquely authoritative and effective professional identity. This synthesis fundamentally transforms the therapeutic landscape, bridging the historical gap between cutting-edge computational research and compassionate, </w:t>
      </w:r>
      <w:proofErr w:type="spellStart"/>
      <w:r>
        <w:t>individualized</w:t>
      </w:r>
      <w:proofErr w:type="spellEnd"/>
      <w:r>
        <w:t xml:space="preserve"> </w:t>
      </w:r>
      <w:proofErr w:type="spellStart"/>
      <w:r>
        <w:t>pediatric</w:t>
      </w:r>
      <w:proofErr w:type="spellEnd"/>
      <w:r>
        <w:t xml:space="preserve"> care. </w:t>
      </w:r>
    </w:p>
    <w:p w14:paraId="5AD9DE09" w14:textId="77777777" w:rsidR="00997A41" w:rsidRDefault="002C2C9F">
      <w:r>
        <w:t>Ultimately, this technology-empowered professional framework not only enhances the objective quality of interventions provided to autistic children but also sets a new benchmark for multidisciplinary clinical practice. Practitioners who master Transferable Skills for Life and Professional Practice will be uniquely positioned to adapt to rapid shifts in medical and assistive technologies. As artificial intelligence and physical robotics continue to evolve, the methodologies outlined in this paper will serve as a foundational guide for professionals seeking to lead the next generation of special education and empathetic therapeutic support.</w:t>
      </w:r>
    </w:p>
    <w:p w14:paraId="7327E877" w14:textId="77777777" w:rsidR="00997A41" w:rsidRDefault="002C2C9F">
      <w:r>
        <w:rPr>
          <w:b/>
          <w:bCs/>
        </w:rPr>
        <w:t>References</w:t>
      </w:r>
    </w:p>
    <w:p w14:paraId="5D0E1E55" w14:textId="77777777" w:rsidR="00997A41" w:rsidRDefault="002C2C9F">
      <w:r>
        <w:t xml:space="preserve">Collier, Maggie A., Narayan, </w:t>
      </w:r>
      <w:proofErr w:type="spellStart"/>
      <w:r>
        <w:t>Rithika</w:t>
      </w:r>
      <w:proofErr w:type="spellEnd"/>
      <w:r>
        <w:t xml:space="preserve">, &amp; </w:t>
      </w:r>
      <w:proofErr w:type="spellStart"/>
      <w:r>
        <w:t>Admoni</w:t>
      </w:r>
      <w:proofErr w:type="spellEnd"/>
      <w:r>
        <w:t xml:space="preserve">, </w:t>
      </w:r>
      <w:proofErr w:type="spellStart"/>
      <w:r>
        <w:t>Henny</w:t>
      </w:r>
      <w:proofErr w:type="spellEnd"/>
      <w:r>
        <w:t xml:space="preserve"> 2025, 'The Sense of Agency in Assistive Robotics Using Shared Autonomy'. </w:t>
      </w:r>
    </w:p>
    <w:p w14:paraId="01AE7B86" w14:textId="77777777" w:rsidR="00997A41" w:rsidRDefault="002C2C9F">
      <w:proofErr w:type="spellStart"/>
      <w:r>
        <w:t>Besch</w:t>
      </w:r>
      <w:proofErr w:type="spellEnd"/>
      <w:r>
        <w:t xml:space="preserve">, Britt, Mai, Tai, Thun, </w:t>
      </w:r>
      <w:proofErr w:type="spellStart"/>
      <w:r>
        <w:t>Jeremias</w:t>
      </w:r>
      <w:proofErr w:type="spellEnd"/>
      <w:r>
        <w:t xml:space="preserve">, Huff, Markus, Vogel, Jörn, </w:t>
      </w:r>
      <w:proofErr w:type="spellStart"/>
      <w:r>
        <w:t>Stulp</w:t>
      </w:r>
      <w:proofErr w:type="spellEnd"/>
      <w:r>
        <w:t xml:space="preserve">, </w:t>
      </w:r>
      <w:proofErr w:type="spellStart"/>
      <w:r>
        <w:t>Freek</w:t>
      </w:r>
      <w:proofErr w:type="spellEnd"/>
      <w:r>
        <w:t xml:space="preserve">, &amp; Bustamante, Samuel 2026, 'Model Reconciliation through Explainability and Collaborative Recovery in Assistive Robotics'. </w:t>
      </w:r>
    </w:p>
    <w:p w14:paraId="1DC57296" w14:textId="77777777" w:rsidR="00997A41" w:rsidRDefault="002C2C9F">
      <w:r>
        <w:t xml:space="preserve">Erich, Floris, </w:t>
      </w:r>
      <w:proofErr w:type="spellStart"/>
      <w:r>
        <w:t>Hirokawa</w:t>
      </w:r>
      <w:proofErr w:type="spellEnd"/>
      <w:r>
        <w:t xml:space="preserve">, </w:t>
      </w:r>
      <w:proofErr w:type="spellStart"/>
      <w:r>
        <w:t>Masakazu</w:t>
      </w:r>
      <w:proofErr w:type="spellEnd"/>
      <w:r>
        <w:t xml:space="preserve">, &amp; Suzuki, Kenji 2017, 'A Systematic Literature Review of Experiments in Socially Assistive Robotics using Humanoid Robots'. </w:t>
      </w:r>
    </w:p>
    <w:p w14:paraId="3AC9B318" w14:textId="77777777" w:rsidR="00997A41" w:rsidRDefault="002C2C9F">
      <w:proofErr w:type="spellStart"/>
      <w:r>
        <w:t>Brighenti</w:t>
      </w:r>
      <w:proofErr w:type="spellEnd"/>
      <w:r>
        <w:t xml:space="preserve">, Stefania, </w:t>
      </w:r>
      <w:proofErr w:type="spellStart"/>
      <w:r>
        <w:t>Buratto</w:t>
      </w:r>
      <w:proofErr w:type="spellEnd"/>
      <w:r>
        <w:t xml:space="preserve">, Federico, Falcone, Fernando Vito, Gena, Cristina, </w:t>
      </w:r>
      <w:proofErr w:type="spellStart"/>
      <w:r>
        <w:t>Mattutino</w:t>
      </w:r>
      <w:proofErr w:type="spellEnd"/>
      <w:r>
        <w:t xml:space="preserve">, Claudio, &amp; </w:t>
      </w:r>
      <w:proofErr w:type="spellStart"/>
      <w:r>
        <w:t>Nazzario</w:t>
      </w:r>
      <w:proofErr w:type="spellEnd"/>
      <w:r>
        <w:t xml:space="preserve">, Matteo 2022, 'Social Assistive Robotics for Autistic Children'. </w:t>
      </w:r>
    </w:p>
    <w:p w14:paraId="66E87EF3" w14:textId="77777777" w:rsidR="00997A41" w:rsidRDefault="002C2C9F">
      <w:proofErr w:type="spellStart"/>
      <w:r>
        <w:t>Maymo</w:t>
      </w:r>
      <w:proofErr w:type="spellEnd"/>
      <w:r>
        <w:t xml:space="preserve">, Mireia Ruiz, </w:t>
      </w:r>
      <w:proofErr w:type="spellStart"/>
      <w:r>
        <w:t>Shafti</w:t>
      </w:r>
      <w:proofErr w:type="spellEnd"/>
      <w:r>
        <w:t xml:space="preserve">, Ali, &amp; Faisal, A. Aldo 2018, 'FastOrient: Lightweight Computer Vision for Wrist Control in Assistive Robotic Grasping'. </w:t>
      </w:r>
    </w:p>
    <w:p w14:paraId="005B2B50" w14:textId="77777777" w:rsidR="00997A41" w:rsidRDefault="002C2C9F">
      <w:r>
        <w:t xml:space="preserve">Miller, Elle, </w:t>
      </w:r>
      <w:proofErr w:type="spellStart"/>
      <w:r>
        <w:t>Durner</w:t>
      </w:r>
      <w:proofErr w:type="spellEnd"/>
      <w:r>
        <w:t xml:space="preserve">, Maximilian, </w:t>
      </w:r>
      <w:proofErr w:type="spellStart"/>
      <w:r>
        <w:t>Humt</w:t>
      </w:r>
      <w:proofErr w:type="spellEnd"/>
      <w:r>
        <w:t xml:space="preserve">, Matthias, </w:t>
      </w:r>
      <w:proofErr w:type="spellStart"/>
      <w:r>
        <w:t>Quere</w:t>
      </w:r>
      <w:proofErr w:type="spellEnd"/>
      <w:r>
        <w:t xml:space="preserve">, Gabriel, </w:t>
      </w:r>
      <w:proofErr w:type="spellStart"/>
      <w:r>
        <w:t>Boerdijk</w:t>
      </w:r>
      <w:proofErr w:type="spellEnd"/>
      <w:r>
        <w:t xml:space="preserve">, </w:t>
      </w:r>
      <w:proofErr w:type="spellStart"/>
      <w:r>
        <w:t>Wout</w:t>
      </w:r>
      <w:proofErr w:type="spellEnd"/>
      <w:r>
        <w:t xml:space="preserve">, </w:t>
      </w:r>
      <w:proofErr w:type="spellStart"/>
      <w:r>
        <w:t>Sundaram</w:t>
      </w:r>
      <w:proofErr w:type="spellEnd"/>
      <w:r>
        <w:t xml:space="preserve">, Ashok M., </w:t>
      </w:r>
      <w:proofErr w:type="spellStart"/>
      <w:r>
        <w:t>Stulp</w:t>
      </w:r>
      <w:proofErr w:type="spellEnd"/>
      <w:r>
        <w:t xml:space="preserve">, </w:t>
      </w:r>
      <w:proofErr w:type="spellStart"/>
      <w:r>
        <w:t>Freek</w:t>
      </w:r>
      <w:proofErr w:type="spellEnd"/>
      <w:r>
        <w:t xml:space="preserve">, &amp; Vogel, </w:t>
      </w:r>
      <w:proofErr w:type="spellStart"/>
      <w:r>
        <w:t>Jorn</w:t>
      </w:r>
      <w:proofErr w:type="spellEnd"/>
      <w:r>
        <w:t xml:space="preserve"> 2024, 'Unknown Object Grasping for Assistive Robotics'. </w:t>
      </w:r>
    </w:p>
    <w:p w14:paraId="44995947" w14:textId="77777777" w:rsidR="00997A41" w:rsidRDefault="002C2C9F">
      <w:proofErr w:type="spellStart"/>
      <w:r>
        <w:t>Pascher</w:t>
      </w:r>
      <w:proofErr w:type="spellEnd"/>
      <w:r>
        <w:t xml:space="preserve">, Max, </w:t>
      </w:r>
      <w:proofErr w:type="spellStart"/>
      <w:r>
        <w:t>Zinta</w:t>
      </w:r>
      <w:proofErr w:type="spellEnd"/>
      <w:r>
        <w:t xml:space="preserve">, Kevin, &amp; </w:t>
      </w:r>
      <w:proofErr w:type="spellStart"/>
      <w:r>
        <w:t>Gerken</w:t>
      </w:r>
      <w:proofErr w:type="spellEnd"/>
      <w:r>
        <w:t xml:space="preserve">, Jens 2024, 'Exploring of Discrete and Continuous Input Control for AI-enhanced Assistive Robotic Arms'. </w:t>
      </w:r>
    </w:p>
    <w:p w14:paraId="4A02E1FE" w14:textId="77777777" w:rsidR="00997A41" w:rsidRDefault="002C2C9F">
      <w:r>
        <w:t xml:space="preserve">Erickson, </w:t>
      </w:r>
      <w:proofErr w:type="spellStart"/>
      <w:r>
        <w:t>Zackory</w:t>
      </w:r>
      <w:proofErr w:type="spellEnd"/>
      <w:r>
        <w:t xml:space="preserve">, </w:t>
      </w:r>
      <w:proofErr w:type="spellStart"/>
      <w:r>
        <w:t>Gangaram</w:t>
      </w:r>
      <w:proofErr w:type="spellEnd"/>
      <w:r>
        <w:t xml:space="preserve">, </w:t>
      </w:r>
      <w:proofErr w:type="spellStart"/>
      <w:r>
        <w:t>Vamsee</w:t>
      </w:r>
      <w:proofErr w:type="spellEnd"/>
      <w:r>
        <w:t xml:space="preserve">, </w:t>
      </w:r>
      <w:proofErr w:type="spellStart"/>
      <w:r>
        <w:t>Kapusta</w:t>
      </w:r>
      <w:proofErr w:type="spellEnd"/>
      <w:r>
        <w:t xml:space="preserve">, Ariel, Liu, C. Karen, &amp; Kemp, Charles C. 2019, 'Assistive Gym: A Physics Simulation Framework for Assistive Robotics'. </w:t>
      </w:r>
    </w:p>
    <w:p w14:paraId="6BA4B665" w14:textId="77777777" w:rsidR="00997A41" w:rsidRDefault="002C2C9F">
      <w:proofErr w:type="spellStart"/>
      <w:r>
        <w:t>Jakhotiya</w:t>
      </w:r>
      <w:proofErr w:type="spellEnd"/>
      <w:r>
        <w:t xml:space="preserve">, Yash, &amp; </w:t>
      </w:r>
      <w:proofErr w:type="spellStart"/>
      <w:r>
        <w:t>Haque</w:t>
      </w:r>
      <w:proofErr w:type="spellEnd"/>
      <w:r>
        <w:t xml:space="preserve">, </w:t>
      </w:r>
      <w:proofErr w:type="spellStart"/>
      <w:r>
        <w:t>Iman</w:t>
      </w:r>
      <w:proofErr w:type="spellEnd"/>
      <w:r>
        <w:t xml:space="preserve"> 2022, 'Improving Assistive Robotics with Deep Reinforcement Learning'. </w:t>
      </w:r>
    </w:p>
    <w:p w14:paraId="28F63AD4" w14:textId="77777777" w:rsidR="00997A41" w:rsidRDefault="002C2C9F">
      <w:proofErr w:type="spellStart"/>
      <w:r>
        <w:t>Hinckeldey</w:t>
      </w:r>
      <w:proofErr w:type="spellEnd"/>
      <w:r>
        <w:t xml:space="preserve">, Leonard, </w:t>
      </w:r>
      <w:proofErr w:type="spellStart"/>
      <w:r>
        <w:t>Fosong</w:t>
      </w:r>
      <w:proofErr w:type="spellEnd"/>
      <w:r>
        <w:t xml:space="preserve">, Elliot, Miller, Elle, </w:t>
      </w:r>
      <w:proofErr w:type="spellStart"/>
      <w:r>
        <w:t>Rubavicius</w:t>
      </w:r>
      <w:proofErr w:type="spellEnd"/>
      <w:r>
        <w:t xml:space="preserve">, </w:t>
      </w:r>
      <w:proofErr w:type="spellStart"/>
      <w:r>
        <w:t>Rimvydas</w:t>
      </w:r>
      <w:proofErr w:type="spellEnd"/>
      <w:r>
        <w:t xml:space="preserve">, </w:t>
      </w:r>
      <w:proofErr w:type="spellStart"/>
      <w:r>
        <w:t>McInroe</w:t>
      </w:r>
      <w:proofErr w:type="spellEnd"/>
      <w:r>
        <w:t xml:space="preserve">, Trevor, </w:t>
      </w:r>
      <w:proofErr w:type="spellStart"/>
      <w:r>
        <w:t>Wollstadt</w:t>
      </w:r>
      <w:proofErr w:type="spellEnd"/>
      <w:r>
        <w:t xml:space="preserve">, Patricia, </w:t>
      </w:r>
      <w:proofErr w:type="spellStart"/>
      <w:r>
        <w:t>Wiebel-Herboth</w:t>
      </w:r>
      <w:proofErr w:type="spellEnd"/>
      <w:r>
        <w:t xml:space="preserve">, Christiane B., </w:t>
      </w:r>
      <w:proofErr w:type="spellStart"/>
      <w:r>
        <w:t>Ramamoorthy</w:t>
      </w:r>
      <w:proofErr w:type="spellEnd"/>
      <w:r>
        <w:t xml:space="preserve">, </w:t>
      </w:r>
      <w:proofErr w:type="spellStart"/>
      <w:r>
        <w:t>Subramanian</w:t>
      </w:r>
      <w:proofErr w:type="spellEnd"/>
      <w:r>
        <w:t>, &amp; Albrecht, Stefano V. 2025, '</w:t>
      </w:r>
      <w:proofErr w:type="spellStart"/>
      <w:r>
        <w:t>Assistax</w:t>
      </w:r>
      <w:proofErr w:type="spellEnd"/>
      <w:r>
        <w:t xml:space="preserve">: A Hardware-Accelerated Reinforcement Learning Benchmark for Assistive Robotics'. </w:t>
      </w:r>
    </w:p>
    <w:p w14:paraId="093B8D58" w14:textId="77777777" w:rsidR="00997A41" w:rsidRDefault="00997A41"/>
    <w:sectPr w:rsidR="00997A41">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CB2145" w14:textId="77777777" w:rsidR="00EE1585" w:rsidRDefault="00EE1585">
      <w:pPr>
        <w:spacing w:after="0" w:line="240" w:lineRule="auto"/>
      </w:pPr>
      <w:r>
        <w:separator/>
      </w:r>
    </w:p>
  </w:endnote>
  <w:endnote w:type="continuationSeparator" w:id="0">
    <w:p w14:paraId="11689F11" w14:textId="77777777" w:rsidR="00EE1585" w:rsidRDefault="00EE15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Yu Mincho">
    <w:panose1 w:val="02020400000000000000"/>
    <w:charset w:val="80"/>
    <w:family w:val="roman"/>
    <w:pitch w:val="variable"/>
    <w:sig w:usb0="800002E7" w:usb1="2AC7FCFF" w:usb2="00000012" w:usb3="00000000" w:csb0="0002009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35C9CB" w14:textId="77777777" w:rsidR="00EE1585" w:rsidRDefault="00EE1585">
      <w:pPr>
        <w:spacing w:after="0" w:line="240" w:lineRule="auto"/>
      </w:pPr>
      <w:r>
        <w:rPr>
          <w:color w:val="000000"/>
        </w:rPr>
        <w:separator/>
      </w:r>
    </w:p>
  </w:footnote>
  <w:footnote w:type="continuationSeparator" w:id="0">
    <w:p w14:paraId="44385684" w14:textId="77777777" w:rsidR="00EE1585" w:rsidRDefault="00EE158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FC4901"/>
    <w:multiLevelType w:val="multilevel"/>
    <w:tmpl w:val="D3700BBC"/>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num w:numId="1" w16cid:durableId="10737011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97A41"/>
    <w:rsid w:val="000710E6"/>
    <w:rsid w:val="000E229A"/>
    <w:rsid w:val="002208ED"/>
    <w:rsid w:val="002C2C9F"/>
    <w:rsid w:val="00323F7D"/>
    <w:rsid w:val="003E6D37"/>
    <w:rsid w:val="00445E41"/>
    <w:rsid w:val="007114A6"/>
    <w:rsid w:val="0074747C"/>
    <w:rsid w:val="008143D6"/>
    <w:rsid w:val="00991ED0"/>
    <w:rsid w:val="00997A41"/>
    <w:rsid w:val="00B107BE"/>
    <w:rsid w:val="00C16C4C"/>
    <w:rsid w:val="00CD1D02"/>
    <w:rsid w:val="00E443C0"/>
    <w:rsid w:val="00E82AA6"/>
    <w:rsid w:val="00EE1585"/>
    <w:rsid w:val="00F57A8D"/>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37F92DB8"/>
  <w15:docId w15:val="{66BB6B16-2170-4DFF-A0FF-14D702564C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character" w:styleId="Hyperlink">
    <w:name w:val="Hyperlink"/>
    <w:basedOn w:val="DefaultParagraphFont"/>
    <w:rPr>
      <w:color w:val="467886"/>
      <w:u w:val="single"/>
    </w:rPr>
  </w:style>
  <w:style w:type="character" w:styleId="UnresolvedMention">
    <w:name w:val="Unresolved Mention"/>
    <w:basedOn w:val="DefaultParagraphFont"/>
    <w:rPr>
      <w:color w:val="605E5C"/>
      <w:shd w:val="clear" w:color="auto" w:fill="E1DFDD"/>
    </w:rPr>
  </w:style>
  <w:style w:type="paragraph" w:customStyle="1" w:styleId="p1">
    <w:name w:val="p1"/>
    <w:basedOn w:val="Normal"/>
    <w:rsid w:val="00CD1D02"/>
    <w:pPr>
      <w:suppressAutoHyphens w:val="0"/>
      <w:autoSpaceDN/>
      <w:spacing w:after="0" w:line="240" w:lineRule="auto"/>
    </w:pPr>
    <w:rPr>
      <w:rFonts w:ascii="Helvetica" w:eastAsiaTheme="minorEastAsia" w:hAnsi="Helvetica"/>
      <w:kern w:val="0"/>
      <w:sz w:val="18"/>
      <w:szCs w:val="18"/>
      <w:lang w:eastAsia="en-GB"/>
    </w:rPr>
  </w:style>
  <w:style w:type="character" w:customStyle="1" w:styleId="s1">
    <w:name w:val="s1"/>
    <w:basedOn w:val="DefaultParagraphFont"/>
    <w:rsid w:val="00CD1D02"/>
    <w:rPr>
      <w:rFonts w:ascii="Helvetica" w:hAnsi="Helvetica" w:hint="default"/>
      <w:b w:val="0"/>
      <w:bCs w:val="0"/>
      <w:i w:val="0"/>
      <w:iCs w:val="0"/>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Pages>
  <Words>2617</Words>
  <Characters>14917</Characters>
  <Application>Microsoft Office Word</Application>
  <DocSecurity>0</DocSecurity>
  <Lines>124</Lines>
  <Paragraphs>34</Paragraphs>
  <ScaleCrop>false</ScaleCrop>
  <Company/>
  <LinksUpToDate>false</LinksUpToDate>
  <CharactersWithSpaces>17500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roman dunka</dc:creator>
  <dc:description/>
  <cp:lastModifiedBy>lucie dunkova</cp:lastModifiedBy>
  <cp:revision>15</cp:revision>
  <dcterms:created xsi:type="dcterms:W3CDTF">2026-03-25T11:32:00Z</dcterms:created>
  <dcterms:modified xsi:type="dcterms:W3CDTF">2026-03-25T11:39:00Z</dcterms:modified>
</cp:coreProperties>
</file>