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6DBDE" w14:textId="77777777" w:rsidR="00533AA2" w:rsidRDefault="00533AA2" w:rsidP="00533AA2">
      <w:pPr>
        <w:jc w:val="center"/>
        <w:rPr>
          <w:rFonts w:ascii="Times New Roman" w:eastAsiaTheme="majorEastAsia" w:hAnsi="Times New Roman" w:cs="Times New Roman"/>
          <w:b/>
          <w:bCs/>
          <w:color w:val="365F91" w:themeColor="accent1" w:themeShade="BF"/>
          <w:spacing w:val="5"/>
          <w:kern w:val="28"/>
          <w:sz w:val="44"/>
          <w:szCs w:val="44"/>
        </w:rPr>
      </w:pPr>
      <w:r w:rsidRPr="00533AA2">
        <w:rPr>
          <w:rFonts w:ascii="Times New Roman" w:eastAsiaTheme="majorEastAsia" w:hAnsi="Times New Roman" w:cs="Times New Roman"/>
          <w:b/>
          <w:bCs/>
          <w:color w:val="365F91" w:themeColor="accent1" w:themeShade="BF"/>
          <w:spacing w:val="5"/>
          <w:kern w:val="28"/>
          <w:sz w:val="44"/>
          <w:szCs w:val="44"/>
        </w:rPr>
        <w:t>BMPL4005, BMLW4006 Legal Process</w:t>
      </w:r>
    </w:p>
    <w:p w14:paraId="789CDD65" w14:textId="71F508DD" w:rsidR="000F45CD" w:rsidRDefault="00533AA2" w:rsidP="00533AA2">
      <w:pPr>
        <w:jc w:val="center"/>
        <w:rPr>
          <w:rStyle w:val="Heading1Char"/>
          <w:rFonts w:ascii="Times New Roman" w:hAnsi="Times New Roman" w:cs="Times New Roman"/>
        </w:rPr>
      </w:pPr>
      <w:r>
        <w:rPr>
          <w:rFonts w:ascii="Times New Roman" w:eastAsiaTheme="majorEastAsia" w:hAnsi="Times New Roman" w:cs="Times New Roman"/>
          <w:b/>
          <w:bCs/>
          <w:color w:val="365F91" w:themeColor="accent1" w:themeShade="BF"/>
          <w:spacing w:val="5"/>
          <w:kern w:val="28"/>
          <w:sz w:val="44"/>
          <w:szCs w:val="44"/>
        </w:rPr>
        <w:t>Common Law</w:t>
      </w:r>
      <w:r w:rsidR="000F45CD">
        <w:rPr>
          <w:rStyle w:val="Heading1Char"/>
          <w:rFonts w:ascii="Times New Roman" w:hAnsi="Times New Roman" w:cs="Times New Roman"/>
        </w:rPr>
        <w:br w:type="page"/>
      </w:r>
    </w:p>
    <w:p w14:paraId="34E6733D" w14:textId="77777777" w:rsidR="00360338" w:rsidRPr="00760B1D" w:rsidRDefault="005C6780">
      <w:pPr>
        <w:pStyle w:val="Normal1"/>
        <w:spacing w:line="360" w:lineRule="auto"/>
        <w:jc w:val="both"/>
        <w:rPr>
          <w:rFonts w:ascii="Times New Roman" w:eastAsia="Times New Roman" w:hAnsi="Times New Roman" w:cs="Times New Roman"/>
          <w:sz w:val="24"/>
          <w:szCs w:val="24"/>
        </w:rPr>
      </w:pPr>
      <w:r w:rsidRPr="00760B1D">
        <w:rPr>
          <w:rStyle w:val="Heading1Char"/>
          <w:rFonts w:ascii="Times New Roman" w:hAnsi="Times New Roman" w:cs="Times New Roman"/>
        </w:rPr>
        <w:t>Thesis Statement</w:t>
      </w:r>
      <w:r w:rsidRPr="00760B1D">
        <w:rPr>
          <w:rFonts w:ascii="Times New Roman" w:eastAsia="Times New Roman" w:hAnsi="Times New Roman" w:cs="Times New Roman"/>
          <w:sz w:val="24"/>
          <w:szCs w:val="24"/>
        </w:rPr>
        <w:t>: The English Legal System is based upon common law principles.</w:t>
      </w:r>
    </w:p>
    <w:p w14:paraId="07DFB545" w14:textId="77777777" w:rsidR="00360338" w:rsidRPr="00760B1D" w:rsidRDefault="00D70D39">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   </w:t>
      </w:r>
      <w:r w:rsidR="005C6780" w:rsidRPr="00760B1D">
        <w:rPr>
          <w:rFonts w:ascii="Times New Roman" w:eastAsia="Times New Roman" w:hAnsi="Times New Roman" w:cs="Times New Roman"/>
          <w:sz w:val="24"/>
          <w:szCs w:val="24"/>
        </w:rPr>
        <w:t>Common law principles have a strong influence on the English legal system. It has a strong influence as it prioritizes different areas including judicial precedent, adaptability, and the organic evolution of the law. Thus, common law is more relevant among European countries than civil law systems</w:t>
      </w:r>
      <w:r w:rsidRPr="00760B1D">
        <w:rPr>
          <w:rFonts w:ascii="Times New Roman" w:hAnsi="Times New Roman" w:cs="Times New Roman"/>
          <w:color w:val="222222"/>
          <w:sz w:val="20"/>
          <w:szCs w:val="20"/>
          <w:shd w:val="clear" w:color="auto" w:fill="FFFFFF"/>
        </w:rPr>
        <w:t xml:space="preserve"> (Partington, 2021</w:t>
      </w:r>
      <w:r w:rsidRPr="00760B1D">
        <w:rPr>
          <w:rFonts w:ascii="Times New Roman" w:eastAsia="Times New Roman" w:hAnsi="Times New Roman" w:cs="Times New Roman"/>
          <w:sz w:val="24"/>
          <w:szCs w:val="24"/>
        </w:rPr>
        <w:t>)</w:t>
      </w:r>
      <w:r w:rsidR="005C6780" w:rsidRPr="00760B1D">
        <w:rPr>
          <w:rFonts w:ascii="Times New Roman" w:eastAsia="Times New Roman" w:hAnsi="Times New Roman" w:cs="Times New Roman"/>
          <w:sz w:val="24"/>
          <w:szCs w:val="24"/>
        </w:rPr>
        <w:t>. So, this essay will focus on the thesis statement by exploring both the common law principles and civil law principles as well as it will contrast these two to understand the importance of common law principles in the English Legal System.</w:t>
      </w:r>
    </w:p>
    <w:p w14:paraId="2C39BDD5" w14:textId="77777777" w:rsidR="00D70D39" w:rsidRPr="00760B1D" w:rsidRDefault="00D70D39">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   </w:t>
      </w:r>
      <w:r w:rsidR="005C6780" w:rsidRPr="00760B1D">
        <w:rPr>
          <w:rFonts w:ascii="Times New Roman" w:eastAsia="Times New Roman" w:hAnsi="Times New Roman" w:cs="Times New Roman"/>
          <w:sz w:val="24"/>
          <w:szCs w:val="24"/>
        </w:rPr>
        <w:t>The term "Common Law" can be explained by its several aspects. Common law is a practice that focuses on judicial decisions which is an important aspect. As a result, common laws primarily rely on the judges' knowledge and logic for specific cases</w:t>
      </w:r>
      <w:r w:rsidRPr="00760B1D">
        <w:rPr>
          <w:rFonts w:ascii="Times New Roman" w:hAnsi="Times New Roman" w:cs="Times New Roman"/>
          <w:color w:val="222222"/>
          <w:sz w:val="20"/>
          <w:szCs w:val="20"/>
          <w:shd w:val="clear" w:color="auto" w:fill="FFFFFF"/>
        </w:rPr>
        <w:t xml:space="preserve"> (Baldacci, 2022</w:t>
      </w:r>
      <w:r w:rsidRPr="00760B1D">
        <w:rPr>
          <w:rFonts w:ascii="Times New Roman" w:eastAsia="Times New Roman" w:hAnsi="Times New Roman" w:cs="Times New Roman"/>
          <w:sz w:val="24"/>
          <w:szCs w:val="24"/>
        </w:rPr>
        <w:t>)</w:t>
      </w:r>
      <w:r w:rsidR="005C6780" w:rsidRPr="00760B1D">
        <w:rPr>
          <w:rFonts w:ascii="Times New Roman" w:eastAsia="Times New Roman" w:hAnsi="Times New Roman" w:cs="Times New Roman"/>
          <w:sz w:val="24"/>
          <w:szCs w:val="24"/>
        </w:rPr>
        <w:t>. Another important aspect is common law's adaptability which is vital for responding to emerging challenges including societal changes. As a result, common law's responses always focus on relevance to the evolving situation</w:t>
      </w:r>
      <w:r w:rsidRPr="00760B1D">
        <w:rPr>
          <w:rFonts w:ascii="Times New Roman" w:eastAsia="Times New Roman" w:hAnsi="Times New Roman" w:cs="Times New Roman"/>
          <w:sz w:val="24"/>
          <w:szCs w:val="24"/>
        </w:rPr>
        <w:t xml:space="preserve"> (</w:t>
      </w:r>
      <w:r w:rsidRPr="00760B1D">
        <w:rPr>
          <w:rFonts w:ascii="Times New Roman" w:hAnsi="Times New Roman" w:cs="Times New Roman"/>
          <w:color w:val="222222"/>
          <w:sz w:val="20"/>
          <w:szCs w:val="20"/>
          <w:shd w:val="clear" w:color="auto" w:fill="FFFFFF"/>
        </w:rPr>
        <w:t>Franklin, 2023)</w:t>
      </w:r>
      <w:r w:rsidR="005C6780" w:rsidRPr="00760B1D">
        <w:rPr>
          <w:rFonts w:ascii="Times New Roman" w:eastAsia="Times New Roman" w:hAnsi="Times New Roman" w:cs="Times New Roman"/>
          <w:sz w:val="24"/>
          <w:szCs w:val="24"/>
        </w:rPr>
        <w:t>. Additionally, the reliance on precedents which explains the dependency on previous higher court decisions helps to find similar cases and ensures consistency and predictability in legal outcomes. As a result, common laws highly prioritized stability and fairness promotion in the law structure. Additionally, the common law system prioritizes the stand-by decided matters for adhering to the matters which are already established</w:t>
      </w:r>
      <w:r w:rsidRPr="00760B1D">
        <w:rPr>
          <w:rFonts w:ascii="Times New Roman" w:hAnsi="Times New Roman" w:cs="Times New Roman"/>
          <w:color w:val="222222"/>
          <w:sz w:val="20"/>
          <w:szCs w:val="20"/>
          <w:shd w:val="clear" w:color="auto" w:fill="FFFFFF"/>
        </w:rPr>
        <w:t xml:space="preserve"> (Faroldi 2021</w:t>
      </w:r>
      <w:r w:rsidRPr="00760B1D">
        <w:rPr>
          <w:rFonts w:ascii="Times New Roman" w:eastAsia="Times New Roman" w:hAnsi="Times New Roman" w:cs="Times New Roman"/>
          <w:sz w:val="24"/>
          <w:szCs w:val="24"/>
        </w:rPr>
        <w:t>)</w:t>
      </w:r>
      <w:r w:rsidR="005C6780" w:rsidRPr="00760B1D">
        <w:rPr>
          <w:rFonts w:ascii="Times New Roman" w:eastAsia="Times New Roman" w:hAnsi="Times New Roman" w:cs="Times New Roman"/>
          <w:sz w:val="24"/>
          <w:szCs w:val="24"/>
        </w:rPr>
        <w:t>. As a result, it ensures the stability and predictability of the law which is vital for justifications of precedent. Thus, common law ensures confidence in the legal system with its commitment.</w:t>
      </w:r>
    </w:p>
    <w:p w14:paraId="3E345CD6" w14:textId="77777777" w:rsidR="00360338" w:rsidRPr="00760B1D" w:rsidRDefault="00D70D39">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    </w:t>
      </w:r>
      <w:r w:rsidR="005C6780" w:rsidRPr="00760B1D">
        <w:rPr>
          <w:rFonts w:ascii="Times New Roman" w:eastAsia="Times New Roman" w:hAnsi="Times New Roman" w:cs="Times New Roman"/>
          <w:sz w:val="24"/>
          <w:szCs w:val="24"/>
        </w:rPr>
        <w:t>On the other hand, the term "Civil Law" focuses on comprehensive legal codes and statutes which is opposite from the common law. Civil laws highly prioritize common laws rather than judicial decisions and precedents. As a result of focusing on legal codes, civil laws focus on detailed and specific rules for matters such as contracts, property, and family. The main aspect of civil law is, it acts like both the interpreters and appliers by focusing on statutes and codes. As a result, their decision-making process focuses on deductive reasoning to analyze a case to reach relevance</w:t>
      </w:r>
      <w:r w:rsidRPr="00760B1D">
        <w:rPr>
          <w:rFonts w:ascii="Times New Roman" w:hAnsi="Times New Roman" w:cs="Times New Roman"/>
          <w:color w:val="222222"/>
          <w:sz w:val="20"/>
          <w:szCs w:val="20"/>
          <w:shd w:val="clear" w:color="auto" w:fill="FFFFFF"/>
        </w:rPr>
        <w:t xml:space="preserve"> (Cairns, 2022</w:t>
      </w:r>
      <w:r w:rsidRPr="00760B1D">
        <w:rPr>
          <w:rFonts w:ascii="Times New Roman" w:eastAsia="Times New Roman" w:hAnsi="Times New Roman" w:cs="Times New Roman"/>
          <w:sz w:val="24"/>
          <w:szCs w:val="24"/>
        </w:rPr>
        <w:t>)</w:t>
      </w:r>
      <w:r w:rsidR="005C6780" w:rsidRPr="00760B1D">
        <w:rPr>
          <w:rFonts w:ascii="Times New Roman" w:eastAsia="Times New Roman" w:hAnsi="Times New Roman" w:cs="Times New Roman"/>
          <w:sz w:val="24"/>
          <w:szCs w:val="24"/>
        </w:rPr>
        <w:t>. Furthermore, civil law prioritizes written laws to ensure certainty and predictability in their outcomes. As this system uses codes, their goal is to be specified in rules for different situations.</w:t>
      </w:r>
    </w:p>
    <w:p w14:paraId="79DA4A04" w14:textId="77777777" w:rsidR="00360338" w:rsidRPr="00760B1D" w:rsidRDefault="00360338">
      <w:pPr>
        <w:pStyle w:val="Normal1"/>
        <w:spacing w:line="360" w:lineRule="auto"/>
        <w:jc w:val="both"/>
        <w:rPr>
          <w:rFonts w:ascii="Times New Roman" w:eastAsia="Times New Roman" w:hAnsi="Times New Roman" w:cs="Times New Roman"/>
          <w:sz w:val="24"/>
          <w:szCs w:val="24"/>
        </w:rPr>
      </w:pPr>
    </w:p>
    <w:p w14:paraId="46567835" w14:textId="77777777" w:rsidR="00360338" w:rsidRPr="00760B1D" w:rsidRDefault="00D70D39">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    </w:t>
      </w:r>
      <w:r w:rsidR="005C6780" w:rsidRPr="00760B1D">
        <w:rPr>
          <w:rFonts w:ascii="Times New Roman" w:eastAsia="Times New Roman" w:hAnsi="Times New Roman" w:cs="Times New Roman"/>
          <w:sz w:val="24"/>
          <w:szCs w:val="24"/>
        </w:rPr>
        <w:t>In the previous section, it has explained common law principles and civil law principles for understanding the concept. Now, it will focus on the contrast between these two.</w:t>
      </w:r>
    </w:p>
    <w:p w14:paraId="7E4E73B9" w14:textId="77777777" w:rsidR="00360338" w:rsidRPr="00760B1D" w:rsidRDefault="005C6780">
      <w:pPr>
        <w:pStyle w:val="Normal1"/>
        <w:numPr>
          <w:ilvl w:val="0"/>
          <w:numId w:val="1"/>
        </w:numPr>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It has already been explained that civil law mainly focuses on legal codes and statutes to conduct legal activities. As a result, the codes are the primary sources that govern the legal matters concentrating the codification. This system aims to achieve clarity, precision, and effectiveness using codes. In contrast, the main focus of the common law system is an interpretation of precedents with the authority of judges. In terms of common laws, it prioritizes judicial decisions of precedents rather than codes</w:t>
      </w:r>
      <w:r w:rsidR="00760B1D" w:rsidRPr="00760B1D">
        <w:rPr>
          <w:rFonts w:ascii="Times New Roman" w:hAnsi="Times New Roman" w:cs="Times New Roman"/>
          <w:color w:val="222222"/>
          <w:sz w:val="20"/>
          <w:szCs w:val="20"/>
          <w:shd w:val="clear" w:color="auto" w:fill="FFFFFF"/>
        </w:rPr>
        <w:t xml:space="preserve"> (Tetley, 2020</w:t>
      </w:r>
      <w:r w:rsidR="00760B1D" w:rsidRPr="00760B1D">
        <w:rPr>
          <w:rFonts w:ascii="Times New Roman" w:eastAsia="Times New Roman" w:hAnsi="Times New Roman" w:cs="Times New Roman"/>
          <w:sz w:val="24"/>
          <w:szCs w:val="24"/>
        </w:rPr>
        <w:t>)</w:t>
      </w:r>
      <w:r w:rsidRPr="00760B1D">
        <w:rPr>
          <w:rFonts w:ascii="Times New Roman" w:eastAsia="Times New Roman" w:hAnsi="Times New Roman" w:cs="Times New Roman"/>
          <w:sz w:val="24"/>
          <w:szCs w:val="24"/>
        </w:rPr>
        <w:t>.</w:t>
      </w:r>
      <w:r w:rsidR="00760B1D" w:rsidRPr="00760B1D">
        <w:rPr>
          <w:rFonts w:ascii="Times New Roman" w:eastAsia="Times New Roman" w:hAnsi="Times New Roman" w:cs="Times New Roman"/>
          <w:sz w:val="24"/>
          <w:szCs w:val="24"/>
        </w:rPr>
        <w:t xml:space="preserve"> </w:t>
      </w:r>
      <w:r w:rsidRPr="00760B1D">
        <w:rPr>
          <w:rFonts w:ascii="Times New Roman" w:eastAsia="Times New Roman" w:hAnsi="Times New Roman" w:cs="Times New Roman"/>
          <w:sz w:val="24"/>
          <w:szCs w:val="24"/>
        </w:rPr>
        <w:t xml:space="preserve"> </w:t>
      </w:r>
    </w:p>
    <w:p w14:paraId="22BA84AF" w14:textId="77777777" w:rsidR="00360338" w:rsidRPr="00760B1D" w:rsidRDefault="005C6780">
      <w:pPr>
        <w:pStyle w:val="Normal1"/>
        <w:numPr>
          <w:ilvl w:val="0"/>
          <w:numId w:val="1"/>
        </w:numPr>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Another difference between these two is their law sources. In terms of common law, they prioritize judicial decisions and precedents as their source. As a result, it depends on judges' interpretation and development of laws for specific cases. Thus, common law provides flexibility in law adaptation in terms of different changes. In contrast, civil law is dependent on codes thus it limits the role of judges</w:t>
      </w:r>
      <w:r w:rsidR="00760B1D" w:rsidRPr="00760B1D">
        <w:rPr>
          <w:rFonts w:ascii="Times New Roman" w:eastAsia="Times New Roman" w:hAnsi="Times New Roman" w:cs="Times New Roman"/>
          <w:sz w:val="24"/>
          <w:szCs w:val="24"/>
        </w:rPr>
        <w:t xml:space="preserve"> (</w:t>
      </w:r>
      <w:r w:rsidR="00760B1D" w:rsidRPr="00760B1D">
        <w:rPr>
          <w:rFonts w:ascii="Times New Roman" w:hAnsi="Times New Roman" w:cs="Times New Roman"/>
          <w:color w:val="222222"/>
          <w:sz w:val="20"/>
          <w:szCs w:val="20"/>
          <w:shd w:val="clear" w:color="auto" w:fill="FFFFFF"/>
        </w:rPr>
        <w:t>Chouaibi et al., 2021)</w:t>
      </w:r>
      <w:r w:rsidRPr="00760B1D">
        <w:rPr>
          <w:rFonts w:ascii="Times New Roman" w:eastAsia="Times New Roman" w:hAnsi="Times New Roman" w:cs="Times New Roman"/>
          <w:sz w:val="24"/>
          <w:szCs w:val="24"/>
        </w:rPr>
        <w:t>. As a result, their primary focus becomes the application of existing statutes and codes which is a huge difference from common law. The reliability of codes made this system very rigid.</w:t>
      </w:r>
    </w:p>
    <w:p w14:paraId="6880E671" w14:textId="77777777" w:rsidR="00360338" w:rsidRPr="00760B1D" w:rsidRDefault="005C6780">
      <w:pPr>
        <w:pStyle w:val="Normal1"/>
        <w:numPr>
          <w:ilvl w:val="0"/>
          <w:numId w:val="1"/>
        </w:numPr>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As civil law is rigid in nature and bound to codes, it focuses on the details of codes for covering up different situations with rules to take control over the situations. As a result, civil law became centered on written laws to ensure certainty and predictability.  With such nature, civil law creates a clear understanding of their rights using codes</w:t>
      </w:r>
      <w:r w:rsidR="00760B1D" w:rsidRPr="00760B1D">
        <w:rPr>
          <w:rFonts w:ascii="Times New Roman" w:hAnsi="Times New Roman" w:cs="Times New Roman"/>
          <w:color w:val="222222"/>
          <w:sz w:val="20"/>
          <w:szCs w:val="20"/>
          <w:shd w:val="clear" w:color="auto" w:fill="FFFFFF"/>
        </w:rPr>
        <w:t xml:space="preserve"> (Lyu, 2021</w:t>
      </w:r>
      <w:r w:rsidR="00760B1D" w:rsidRPr="00760B1D">
        <w:rPr>
          <w:rFonts w:ascii="Times New Roman" w:eastAsia="Times New Roman" w:hAnsi="Times New Roman" w:cs="Times New Roman"/>
          <w:sz w:val="24"/>
          <w:szCs w:val="24"/>
        </w:rPr>
        <w:t>)</w:t>
      </w:r>
      <w:r w:rsidRPr="00760B1D">
        <w:rPr>
          <w:rFonts w:ascii="Times New Roman" w:eastAsia="Times New Roman" w:hAnsi="Times New Roman" w:cs="Times New Roman"/>
          <w:sz w:val="24"/>
          <w:szCs w:val="24"/>
        </w:rPr>
        <w:t>. On the other hand, the dependency on greater judicial discretion makes the common laws flexible and enhances adaptability. In this system, judges are the authority for interpreting legal principles. Additionally, they focus on the alignment of contemporary values and societal changes which enables flexibility</w:t>
      </w:r>
      <w:r w:rsidR="00760B1D" w:rsidRPr="00760B1D">
        <w:rPr>
          <w:rFonts w:ascii="Times New Roman" w:hAnsi="Times New Roman" w:cs="Times New Roman"/>
          <w:color w:val="222222"/>
          <w:sz w:val="20"/>
          <w:szCs w:val="20"/>
          <w:shd w:val="clear" w:color="auto" w:fill="FFFFFF"/>
        </w:rPr>
        <w:t xml:space="preserve"> (Ramsey, 2020</w:t>
      </w:r>
      <w:r w:rsidR="00760B1D" w:rsidRPr="00760B1D">
        <w:rPr>
          <w:rFonts w:ascii="Times New Roman" w:eastAsia="Times New Roman" w:hAnsi="Times New Roman" w:cs="Times New Roman"/>
          <w:sz w:val="24"/>
          <w:szCs w:val="24"/>
        </w:rPr>
        <w:t>)</w:t>
      </w:r>
      <w:r w:rsidRPr="00760B1D">
        <w:rPr>
          <w:rFonts w:ascii="Times New Roman" w:eastAsia="Times New Roman" w:hAnsi="Times New Roman" w:cs="Times New Roman"/>
          <w:sz w:val="24"/>
          <w:szCs w:val="24"/>
        </w:rPr>
        <w:t>. Thus, laws in this system become organic to respond to new challenges which are absent in civil laws.</w:t>
      </w:r>
    </w:p>
    <w:p w14:paraId="34157816" w14:textId="77777777" w:rsidR="00360338" w:rsidRPr="00760B1D" w:rsidRDefault="005C6780">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Finally, it can be said that common law principles and civil law principles are different from each other from concept to their implications. While common law systems prioritize judges' wisdom to develop legal principles, civil law systems focus on codes to ensure clarity and predictability. Thus, both are strong from their points however, the flexibility and adaptability made the common law a strong one which is considered as the central pillar of the English Legal System. </w:t>
      </w:r>
    </w:p>
    <w:p w14:paraId="36ACA136" w14:textId="77777777" w:rsidR="00360338" w:rsidRPr="00760B1D" w:rsidRDefault="00D70D39">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    </w:t>
      </w:r>
      <w:r w:rsidR="005C6780" w:rsidRPr="00760B1D">
        <w:rPr>
          <w:rFonts w:ascii="Times New Roman" w:eastAsia="Times New Roman" w:hAnsi="Times New Roman" w:cs="Times New Roman"/>
          <w:sz w:val="24"/>
          <w:szCs w:val="24"/>
        </w:rPr>
        <w:t>The previous section has shown the strength of the common law system which is why it is important to understand the historical development of common laws to understand the concept from its core. From the middle age of England, the aspects of the common law system which is dependent on judges' wisdom for customary laws derived from local practice. For their effectiveness, these customary laws started to expand in royal courts. As a result, it established the consistency of laws. From that time, the common law was emerging for its effectiveness in predictability and uniformity which was a necessity</w:t>
      </w:r>
      <w:r w:rsidR="00760B1D" w:rsidRPr="00760B1D">
        <w:rPr>
          <w:rFonts w:ascii="Times New Roman" w:eastAsia="Times New Roman" w:hAnsi="Times New Roman" w:cs="Times New Roman"/>
          <w:sz w:val="24"/>
          <w:szCs w:val="24"/>
        </w:rPr>
        <w:t xml:space="preserve"> (</w:t>
      </w:r>
      <w:r w:rsidR="00760B1D" w:rsidRPr="00760B1D">
        <w:rPr>
          <w:rFonts w:ascii="Times New Roman" w:hAnsi="Times New Roman" w:cs="Times New Roman"/>
          <w:color w:val="222222"/>
          <w:sz w:val="20"/>
          <w:szCs w:val="20"/>
          <w:shd w:val="clear" w:color="auto" w:fill="FFFFFF"/>
        </w:rPr>
        <w:t>Brewer, 2021)</w:t>
      </w:r>
      <w:r w:rsidR="005C6780" w:rsidRPr="00760B1D">
        <w:rPr>
          <w:rFonts w:ascii="Times New Roman" w:eastAsia="Times New Roman" w:hAnsi="Times New Roman" w:cs="Times New Roman"/>
          <w:sz w:val="24"/>
          <w:szCs w:val="24"/>
        </w:rPr>
        <w:t>. Additionally, this law introduced the doctrine of stare decisis to ensure the dependency on precedent and prioritize judicial decisions with a focus on established legal principles. As a result, from the Court of Common Pleas to the Court of King's Bench, the establishment of common laws was developing rapidly in the 13th century for its effectiveness and flexibility. The professional judges of these courts focused on the development of common laws and contributed to its standardized legal system. Thus, common law ensured a strong ground in the 17th century by positioning itself as a primary legal system in England and the United Kingdom as well</w:t>
      </w:r>
      <w:r w:rsidR="00760B1D" w:rsidRPr="00760B1D">
        <w:rPr>
          <w:rFonts w:ascii="Times New Roman" w:hAnsi="Times New Roman" w:cs="Times New Roman"/>
          <w:color w:val="222222"/>
          <w:sz w:val="20"/>
          <w:szCs w:val="20"/>
          <w:shd w:val="clear" w:color="auto" w:fill="FFFFFF"/>
        </w:rPr>
        <w:t xml:space="preserve"> (Whiting, 2021</w:t>
      </w:r>
      <w:r w:rsidR="00760B1D" w:rsidRPr="00760B1D">
        <w:rPr>
          <w:rFonts w:ascii="Times New Roman" w:eastAsia="Times New Roman" w:hAnsi="Times New Roman" w:cs="Times New Roman"/>
          <w:sz w:val="24"/>
          <w:szCs w:val="24"/>
        </w:rPr>
        <w:t>)</w:t>
      </w:r>
      <w:r w:rsidR="005C6780" w:rsidRPr="00760B1D">
        <w:rPr>
          <w:rFonts w:ascii="Times New Roman" w:eastAsia="Times New Roman" w:hAnsi="Times New Roman" w:cs="Times New Roman"/>
          <w:sz w:val="24"/>
          <w:szCs w:val="24"/>
        </w:rPr>
        <w:t xml:space="preserve">. </w:t>
      </w:r>
    </w:p>
    <w:p w14:paraId="17B15775" w14:textId="77777777" w:rsidR="00360338" w:rsidRPr="00760B1D" w:rsidRDefault="00D70D39">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     </w:t>
      </w:r>
      <w:r w:rsidR="005C6780" w:rsidRPr="00760B1D">
        <w:rPr>
          <w:rFonts w:ascii="Times New Roman" w:eastAsia="Times New Roman" w:hAnsi="Times New Roman" w:cs="Times New Roman"/>
          <w:sz w:val="24"/>
          <w:szCs w:val="24"/>
        </w:rPr>
        <w:t xml:space="preserve">To provide evidence of the importance of common law principles within the English Legal System, it is going to provide some practical applications which will explain it from different perspectives with evidence. </w:t>
      </w:r>
    </w:p>
    <w:p w14:paraId="0974D7E2" w14:textId="77777777" w:rsidR="00360338" w:rsidRPr="00760B1D" w:rsidRDefault="005C6780">
      <w:pPr>
        <w:pStyle w:val="Normal1"/>
        <w:numPr>
          <w:ilvl w:val="0"/>
          <w:numId w:val="2"/>
        </w:numPr>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The doctrine of precedent is the first evidence of this essay to explain how judges were focused on previous cases by higher courts to make judgments. As a result, legal outcomes became more consistent and predictable. It also created fairness and stability that contributed to maintaining law unification. </w:t>
      </w:r>
    </w:p>
    <w:p w14:paraId="628AAB4D" w14:textId="77777777" w:rsidR="00360338" w:rsidRPr="00760B1D" w:rsidRDefault="005C6780">
      <w:pPr>
        <w:pStyle w:val="Normal1"/>
        <w:numPr>
          <w:ilvl w:val="0"/>
          <w:numId w:val="2"/>
        </w:numPr>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Next, comes the judicial flexibility and adaptability for law interpretation and application which helped in aligning the societal changes and emerging issues. Whereas civil laws only focused on codes and needed legal actions to make any changes, common laws focused on shaping laws by relying on judges' reasoned decisions. As a result, this is evidence of flexibility where the law becomes the voice of societal needs.</w:t>
      </w:r>
    </w:p>
    <w:p w14:paraId="7CDA9DA2" w14:textId="77777777" w:rsidR="00360338" w:rsidRPr="00760B1D" w:rsidRDefault="005C6780">
      <w:pPr>
        <w:pStyle w:val="Normal1"/>
        <w:numPr>
          <w:ilvl w:val="0"/>
          <w:numId w:val="2"/>
        </w:numPr>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The operations of common laws to develop principles using case law is an important example of this system as it provides the flexibility to establish case law or refine existing ones according to the situation. Thus, legal principles were developing according to the emerging needs and development. Two landmark cases can be given as evidence which is Donoghue v. Stevenson (1932) in tort law and R v. R (1991) in criminal law. In these two cases, the common law developed novel principles to influence these two cases</w:t>
      </w:r>
      <w:r w:rsidR="00760B1D" w:rsidRPr="00760B1D">
        <w:rPr>
          <w:rFonts w:ascii="Times New Roman" w:hAnsi="Times New Roman" w:cs="Times New Roman"/>
          <w:color w:val="222222"/>
          <w:sz w:val="20"/>
          <w:szCs w:val="20"/>
          <w:shd w:val="clear" w:color="auto" w:fill="FFFFFF"/>
        </w:rPr>
        <w:t xml:space="preserve"> (Bussani et al., 2022)</w:t>
      </w:r>
      <w:r w:rsidRPr="00760B1D">
        <w:rPr>
          <w:rFonts w:ascii="Times New Roman" w:eastAsia="Times New Roman" w:hAnsi="Times New Roman" w:cs="Times New Roman"/>
          <w:sz w:val="24"/>
          <w:szCs w:val="24"/>
        </w:rPr>
        <w:t>. As a result, this system has influenced legal decisions as well as developing the understanding of legal thoughts. Thus, it enabled the establishment of new legal standards.</w:t>
      </w:r>
    </w:p>
    <w:p w14:paraId="69DE48EF" w14:textId="77777777" w:rsidR="00D70D39" w:rsidRPr="00760B1D" w:rsidRDefault="005C6780">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So, this section has shown the practical application of common law principles which explored the evidence of doctrine of precedent and its effectiveness to develop new principles using case laws. As a result, it aligned with the nature of the English Legal System. This section also showed the legal outcomes with consistency, predictability which is evidence of the adaptive nature of this system. </w:t>
      </w:r>
    </w:p>
    <w:p w14:paraId="0FA0E70C" w14:textId="77777777" w:rsidR="00D70D39" w:rsidRPr="00760B1D" w:rsidRDefault="00D70D39">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    </w:t>
      </w:r>
      <w:r w:rsidR="005C6780" w:rsidRPr="00760B1D">
        <w:rPr>
          <w:rFonts w:ascii="Times New Roman" w:eastAsia="Times New Roman" w:hAnsi="Times New Roman" w:cs="Times New Roman"/>
          <w:sz w:val="24"/>
          <w:szCs w:val="24"/>
        </w:rPr>
        <w:t xml:space="preserve">To sum up, it can be said that reliance on common law principles was the most effective legal framework in the English Legal System as it prioritized reliance on judicial precedent. Additionally, the adaptability nature of this system enabled flexibility which developed the organic evolution of the law. As a result of such flexibility, common laws were able to stay relevant to society's needs. Additionally, the flexibility and adaptability ensured providing a framework with a strong ground for the legal structure for fairness, predictability, and stability. Furthermore, this essay has provided different examples to show the practical implications and their effectiveness which ensured the validity of this system. The examples included the doctrine of precedent and using case laws to develop legal principles. As a result, with such examples, this essay has shown the effectiveness of the common law system with its relevance. </w:t>
      </w:r>
    </w:p>
    <w:p w14:paraId="2ACC7241" w14:textId="77777777" w:rsidR="00D70D39" w:rsidRPr="00760B1D" w:rsidRDefault="00D70D39">
      <w:pPr>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br w:type="page"/>
      </w:r>
    </w:p>
    <w:p w14:paraId="0047F89D" w14:textId="77777777" w:rsidR="00760B1D" w:rsidRPr="00760B1D" w:rsidRDefault="00D70D39" w:rsidP="00760B1D">
      <w:pPr>
        <w:pStyle w:val="Heading1"/>
        <w:rPr>
          <w:rFonts w:ascii="Times New Roman" w:eastAsia="Times New Roman" w:hAnsi="Times New Roman" w:cs="Times New Roman"/>
        </w:rPr>
      </w:pPr>
      <w:r w:rsidRPr="00760B1D">
        <w:rPr>
          <w:rFonts w:ascii="Times New Roman" w:eastAsia="Times New Roman" w:hAnsi="Times New Roman" w:cs="Times New Roman"/>
        </w:rPr>
        <w:t>References</w:t>
      </w:r>
    </w:p>
    <w:p w14:paraId="64196012"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Baldacci, C.J., 2022. The common law of interpretation. </w:t>
      </w:r>
      <w:r w:rsidRPr="00760B1D">
        <w:rPr>
          <w:rFonts w:ascii="Times New Roman" w:hAnsi="Times New Roman" w:cs="Times New Roman"/>
          <w:i/>
          <w:iCs/>
          <w:color w:val="222222"/>
          <w:sz w:val="24"/>
          <w:szCs w:val="24"/>
          <w:shd w:val="clear" w:color="auto" w:fill="FFFFFF"/>
        </w:rPr>
        <w:t>Va. L. Rev.</w:t>
      </w:r>
      <w:r w:rsidRPr="00760B1D">
        <w:rPr>
          <w:rFonts w:ascii="Times New Roman" w:hAnsi="Times New Roman" w:cs="Times New Roman"/>
          <w:color w:val="222222"/>
          <w:sz w:val="24"/>
          <w:szCs w:val="24"/>
          <w:shd w:val="clear" w:color="auto" w:fill="FFFFFF"/>
        </w:rPr>
        <w:t>, </w:t>
      </w:r>
      <w:r w:rsidRPr="00760B1D">
        <w:rPr>
          <w:rFonts w:ascii="Times New Roman" w:hAnsi="Times New Roman" w:cs="Times New Roman"/>
          <w:i/>
          <w:iCs/>
          <w:color w:val="222222"/>
          <w:sz w:val="24"/>
          <w:szCs w:val="24"/>
          <w:shd w:val="clear" w:color="auto" w:fill="FFFFFF"/>
        </w:rPr>
        <w:t>108</w:t>
      </w:r>
      <w:r w:rsidRPr="00760B1D">
        <w:rPr>
          <w:rFonts w:ascii="Times New Roman" w:hAnsi="Times New Roman" w:cs="Times New Roman"/>
          <w:color w:val="222222"/>
          <w:sz w:val="24"/>
          <w:szCs w:val="24"/>
          <w:shd w:val="clear" w:color="auto" w:fill="FFFFFF"/>
        </w:rPr>
        <w:t>, p.1243.</w:t>
      </w:r>
    </w:p>
    <w:p w14:paraId="3C8785DB"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Brewer, H., 2021. Creating a Common Law of Slavery for England and its New World Empire. </w:t>
      </w:r>
      <w:r w:rsidRPr="00760B1D">
        <w:rPr>
          <w:rFonts w:ascii="Times New Roman" w:hAnsi="Times New Roman" w:cs="Times New Roman"/>
          <w:i/>
          <w:iCs/>
          <w:color w:val="222222"/>
          <w:sz w:val="24"/>
          <w:szCs w:val="24"/>
          <w:shd w:val="clear" w:color="auto" w:fill="FFFFFF"/>
        </w:rPr>
        <w:t>Law and History Review</w:t>
      </w:r>
      <w:r w:rsidRPr="00760B1D">
        <w:rPr>
          <w:rFonts w:ascii="Times New Roman" w:hAnsi="Times New Roman" w:cs="Times New Roman"/>
          <w:color w:val="222222"/>
          <w:sz w:val="24"/>
          <w:szCs w:val="24"/>
          <w:shd w:val="clear" w:color="auto" w:fill="FFFFFF"/>
        </w:rPr>
        <w:t>, </w:t>
      </w:r>
      <w:r w:rsidRPr="00760B1D">
        <w:rPr>
          <w:rFonts w:ascii="Times New Roman" w:hAnsi="Times New Roman" w:cs="Times New Roman"/>
          <w:i/>
          <w:iCs/>
          <w:color w:val="222222"/>
          <w:sz w:val="24"/>
          <w:szCs w:val="24"/>
          <w:shd w:val="clear" w:color="auto" w:fill="FFFFFF"/>
        </w:rPr>
        <w:t>39</w:t>
      </w:r>
      <w:r w:rsidRPr="00760B1D">
        <w:rPr>
          <w:rFonts w:ascii="Times New Roman" w:hAnsi="Times New Roman" w:cs="Times New Roman"/>
          <w:color w:val="222222"/>
          <w:sz w:val="24"/>
          <w:szCs w:val="24"/>
          <w:shd w:val="clear" w:color="auto" w:fill="FFFFFF"/>
        </w:rPr>
        <w:t>(4), pp.765-834.</w:t>
      </w:r>
    </w:p>
    <w:p w14:paraId="3626F954"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Bussani, M., Sebok, A. and Infantino, M., 2022. </w:t>
      </w:r>
      <w:r w:rsidRPr="00760B1D">
        <w:rPr>
          <w:rFonts w:ascii="Times New Roman" w:hAnsi="Times New Roman" w:cs="Times New Roman"/>
          <w:i/>
          <w:iCs/>
          <w:color w:val="222222"/>
          <w:sz w:val="24"/>
          <w:szCs w:val="24"/>
          <w:shd w:val="clear" w:color="auto" w:fill="FFFFFF"/>
        </w:rPr>
        <w:t>Common Law and Civil Law Perspectives on Tort Law</w:t>
      </w:r>
      <w:r w:rsidRPr="00760B1D">
        <w:rPr>
          <w:rFonts w:ascii="Times New Roman" w:hAnsi="Times New Roman" w:cs="Times New Roman"/>
          <w:color w:val="222222"/>
          <w:sz w:val="24"/>
          <w:szCs w:val="24"/>
          <w:shd w:val="clear" w:color="auto" w:fill="FFFFFF"/>
        </w:rPr>
        <w:t>. Oxford University Press.</w:t>
      </w:r>
    </w:p>
    <w:p w14:paraId="1037CC08"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Cairns, J.W., 2022. Civil-Law Systems, Judges, and the British Empire. </w:t>
      </w:r>
      <w:r w:rsidRPr="00760B1D">
        <w:rPr>
          <w:rFonts w:ascii="Times New Roman" w:hAnsi="Times New Roman" w:cs="Times New Roman"/>
          <w:i/>
          <w:iCs/>
          <w:color w:val="222222"/>
          <w:sz w:val="24"/>
          <w:szCs w:val="24"/>
          <w:shd w:val="clear" w:color="auto" w:fill="FFFFFF"/>
        </w:rPr>
        <w:t>Tul. Eur. &amp; Civ. LF</w:t>
      </w:r>
      <w:r w:rsidRPr="00760B1D">
        <w:rPr>
          <w:rFonts w:ascii="Times New Roman" w:hAnsi="Times New Roman" w:cs="Times New Roman"/>
          <w:color w:val="222222"/>
          <w:sz w:val="24"/>
          <w:szCs w:val="24"/>
          <w:shd w:val="clear" w:color="auto" w:fill="FFFFFF"/>
        </w:rPr>
        <w:t>, </w:t>
      </w:r>
      <w:r w:rsidRPr="00760B1D">
        <w:rPr>
          <w:rFonts w:ascii="Times New Roman" w:hAnsi="Times New Roman" w:cs="Times New Roman"/>
          <w:i/>
          <w:iCs/>
          <w:color w:val="222222"/>
          <w:sz w:val="24"/>
          <w:szCs w:val="24"/>
          <w:shd w:val="clear" w:color="auto" w:fill="FFFFFF"/>
        </w:rPr>
        <w:t>37</w:t>
      </w:r>
      <w:r w:rsidRPr="00760B1D">
        <w:rPr>
          <w:rFonts w:ascii="Times New Roman" w:hAnsi="Times New Roman" w:cs="Times New Roman"/>
          <w:color w:val="222222"/>
          <w:sz w:val="24"/>
          <w:szCs w:val="24"/>
          <w:shd w:val="clear" w:color="auto" w:fill="FFFFFF"/>
        </w:rPr>
        <w:t>, p.81.</w:t>
      </w:r>
    </w:p>
    <w:p w14:paraId="479B1171"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Chouaibi, S., Chouaibi, J. and Rossi, M., 2022. ESG and corporate financial performance: the mediating role of green innovation: UK common law versus Germany civil law. </w:t>
      </w:r>
      <w:r w:rsidRPr="00760B1D">
        <w:rPr>
          <w:rFonts w:ascii="Times New Roman" w:hAnsi="Times New Roman" w:cs="Times New Roman"/>
          <w:i/>
          <w:iCs/>
          <w:color w:val="222222"/>
          <w:sz w:val="24"/>
          <w:szCs w:val="24"/>
          <w:shd w:val="clear" w:color="auto" w:fill="FFFFFF"/>
        </w:rPr>
        <w:t>EuroMed Journal of Business</w:t>
      </w:r>
      <w:r w:rsidRPr="00760B1D">
        <w:rPr>
          <w:rFonts w:ascii="Times New Roman" w:hAnsi="Times New Roman" w:cs="Times New Roman"/>
          <w:color w:val="222222"/>
          <w:sz w:val="24"/>
          <w:szCs w:val="24"/>
          <w:shd w:val="clear" w:color="auto" w:fill="FFFFFF"/>
        </w:rPr>
        <w:t>, </w:t>
      </w:r>
      <w:r w:rsidRPr="00760B1D">
        <w:rPr>
          <w:rFonts w:ascii="Times New Roman" w:hAnsi="Times New Roman" w:cs="Times New Roman"/>
          <w:i/>
          <w:iCs/>
          <w:color w:val="222222"/>
          <w:sz w:val="24"/>
          <w:szCs w:val="24"/>
          <w:shd w:val="clear" w:color="auto" w:fill="FFFFFF"/>
        </w:rPr>
        <w:t>17</w:t>
      </w:r>
      <w:r w:rsidRPr="00760B1D">
        <w:rPr>
          <w:rFonts w:ascii="Times New Roman" w:hAnsi="Times New Roman" w:cs="Times New Roman"/>
          <w:color w:val="222222"/>
          <w:sz w:val="24"/>
          <w:szCs w:val="24"/>
          <w:shd w:val="clear" w:color="auto" w:fill="FFFFFF"/>
        </w:rPr>
        <w:t>(1), pp.46-71.</w:t>
      </w:r>
    </w:p>
    <w:p w14:paraId="22F90148"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Faroldi, F.L., 2021. Common Law Precedent and the Logic of Reasons. In </w:t>
      </w:r>
      <w:r w:rsidRPr="00760B1D">
        <w:rPr>
          <w:rFonts w:ascii="Times New Roman" w:hAnsi="Times New Roman" w:cs="Times New Roman"/>
          <w:i/>
          <w:iCs/>
          <w:color w:val="222222"/>
          <w:sz w:val="24"/>
          <w:szCs w:val="24"/>
          <w:shd w:val="clear" w:color="auto" w:fill="FFFFFF"/>
        </w:rPr>
        <w:t>New Developments in Legal Reasoning and Logic: From Ancient Law to Modern Legal Systems</w:t>
      </w:r>
      <w:r w:rsidRPr="00760B1D">
        <w:rPr>
          <w:rFonts w:ascii="Times New Roman" w:hAnsi="Times New Roman" w:cs="Times New Roman"/>
          <w:color w:val="222222"/>
          <w:sz w:val="24"/>
          <w:szCs w:val="24"/>
          <w:shd w:val="clear" w:color="auto" w:fill="FFFFFF"/>
        </w:rPr>
        <w:t> (pp. 301-319). Cham: Springer International Publishing.</w:t>
      </w:r>
    </w:p>
    <w:p w14:paraId="45B2E9D8"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Franklin, C.N., 2023. A legal cultural “take” on the legal system of England and Wales. In </w:t>
      </w:r>
      <w:r w:rsidRPr="00760B1D">
        <w:rPr>
          <w:rFonts w:ascii="Times New Roman" w:hAnsi="Times New Roman" w:cs="Times New Roman"/>
          <w:i/>
          <w:iCs/>
          <w:color w:val="222222"/>
          <w:sz w:val="24"/>
          <w:szCs w:val="24"/>
          <w:shd w:val="clear" w:color="auto" w:fill="FFFFFF"/>
        </w:rPr>
        <w:t>Handbook on Legal Cultures: A Selection of the World's Legal Cultures</w:t>
      </w:r>
      <w:r w:rsidRPr="00760B1D">
        <w:rPr>
          <w:rFonts w:ascii="Times New Roman" w:hAnsi="Times New Roman" w:cs="Times New Roman"/>
          <w:color w:val="222222"/>
          <w:sz w:val="24"/>
          <w:szCs w:val="24"/>
          <w:shd w:val="clear" w:color="auto" w:fill="FFFFFF"/>
        </w:rPr>
        <w:t> (pp. 327-388). Cham: Springer International Publishing.</w:t>
      </w:r>
    </w:p>
    <w:p w14:paraId="7BC1D044"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Lyu, S., 2021, December. Legal Analysis on Rigid Payment of Commercial Trust. In </w:t>
      </w:r>
      <w:r w:rsidRPr="00760B1D">
        <w:rPr>
          <w:rFonts w:ascii="Times New Roman" w:hAnsi="Times New Roman" w:cs="Times New Roman"/>
          <w:i/>
          <w:iCs/>
          <w:color w:val="222222"/>
          <w:sz w:val="24"/>
          <w:szCs w:val="24"/>
          <w:shd w:val="clear" w:color="auto" w:fill="FFFFFF"/>
        </w:rPr>
        <w:t>2021 4th International Conference on Humanities Education and Social Sciences (ICHESS 2021)</w:t>
      </w:r>
      <w:r w:rsidRPr="00760B1D">
        <w:rPr>
          <w:rFonts w:ascii="Times New Roman" w:hAnsi="Times New Roman" w:cs="Times New Roman"/>
          <w:color w:val="222222"/>
          <w:sz w:val="24"/>
          <w:szCs w:val="24"/>
          <w:shd w:val="clear" w:color="auto" w:fill="FFFFFF"/>
        </w:rPr>
        <w:t> (pp. 851-854). Atlantis Press.</w:t>
      </w:r>
    </w:p>
    <w:p w14:paraId="555FC7DF"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Partington, M., 2021. </w:t>
      </w:r>
      <w:r w:rsidRPr="00760B1D">
        <w:rPr>
          <w:rFonts w:ascii="Times New Roman" w:hAnsi="Times New Roman" w:cs="Times New Roman"/>
          <w:i/>
          <w:iCs/>
          <w:color w:val="222222"/>
          <w:sz w:val="24"/>
          <w:szCs w:val="24"/>
          <w:shd w:val="clear" w:color="auto" w:fill="FFFFFF"/>
        </w:rPr>
        <w:t>Introduction to the English legal system</w:t>
      </w:r>
      <w:r w:rsidRPr="00760B1D">
        <w:rPr>
          <w:rFonts w:ascii="Times New Roman" w:hAnsi="Times New Roman" w:cs="Times New Roman"/>
          <w:color w:val="222222"/>
          <w:sz w:val="24"/>
          <w:szCs w:val="24"/>
          <w:shd w:val="clear" w:color="auto" w:fill="FFFFFF"/>
        </w:rPr>
        <w:t>. oxford university press.</w:t>
      </w:r>
    </w:p>
    <w:p w14:paraId="5683A9ED"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Ramsey, L.P., 2020. Protectable Trademark Subject Matter in Common Law Countries and the Problem with Flexibility. </w:t>
      </w:r>
      <w:r w:rsidRPr="00760B1D">
        <w:rPr>
          <w:rFonts w:ascii="Times New Roman" w:hAnsi="Times New Roman" w:cs="Times New Roman"/>
          <w:i/>
          <w:iCs/>
          <w:color w:val="222222"/>
          <w:sz w:val="24"/>
          <w:szCs w:val="24"/>
          <w:shd w:val="clear" w:color="auto" w:fill="FFFFFF"/>
        </w:rPr>
        <w:t>THE CAMBRIDGE HANDBOOK OF INTERNATIONAL AND COMPARATIVE TRADEMARK LAW (Irene Calboli &amp; Jane C. Ginsburg eds., Cambridge University Press 2020), San Diego Legal Studies Paper</w:t>
      </w:r>
      <w:r w:rsidRPr="00760B1D">
        <w:rPr>
          <w:rFonts w:ascii="Times New Roman" w:hAnsi="Times New Roman" w:cs="Times New Roman"/>
          <w:color w:val="222222"/>
          <w:sz w:val="24"/>
          <w:szCs w:val="24"/>
          <w:shd w:val="clear" w:color="auto" w:fill="FFFFFF"/>
        </w:rPr>
        <w:t>.</w:t>
      </w:r>
    </w:p>
    <w:p w14:paraId="141AC2DD"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Tetley, W., 2020. Mixed jurisdictions: common law v. civil law (codified and uncodified). </w:t>
      </w:r>
      <w:r w:rsidRPr="00760B1D">
        <w:rPr>
          <w:rFonts w:ascii="Times New Roman" w:hAnsi="Times New Roman" w:cs="Times New Roman"/>
          <w:i/>
          <w:iCs/>
          <w:color w:val="222222"/>
          <w:sz w:val="24"/>
          <w:szCs w:val="24"/>
          <w:shd w:val="clear" w:color="auto" w:fill="FFFFFF"/>
        </w:rPr>
        <w:t>La. L. Rev.</w:t>
      </w:r>
      <w:r w:rsidRPr="00760B1D">
        <w:rPr>
          <w:rFonts w:ascii="Times New Roman" w:hAnsi="Times New Roman" w:cs="Times New Roman"/>
          <w:color w:val="222222"/>
          <w:sz w:val="24"/>
          <w:szCs w:val="24"/>
          <w:shd w:val="clear" w:color="auto" w:fill="FFFFFF"/>
        </w:rPr>
        <w:t>, </w:t>
      </w:r>
      <w:r w:rsidRPr="00760B1D">
        <w:rPr>
          <w:rFonts w:ascii="Times New Roman" w:hAnsi="Times New Roman" w:cs="Times New Roman"/>
          <w:i/>
          <w:iCs/>
          <w:color w:val="222222"/>
          <w:sz w:val="24"/>
          <w:szCs w:val="24"/>
          <w:shd w:val="clear" w:color="auto" w:fill="FFFFFF"/>
        </w:rPr>
        <w:t>60</w:t>
      </w:r>
      <w:r w:rsidRPr="00760B1D">
        <w:rPr>
          <w:rFonts w:ascii="Times New Roman" w:hAnsi="Times New Roman" w:cs="Times New Roman"/>
          <w:color w:val="222222"/>
          <w:sz w:val="24"/>
          <w:szCs w:val="24"/>
          <w:shd w:val="clear" w:color="auto" w:fill="FFFFFF"/>
        </w:rPr>
        <w:t>, p.677.</w:t>
      </w:r>
    </w:p>
    <w:p w14:paraId="61B262FD" w14:textId="77777777" w:rsidR="00760B1D" w:rsidRPr="00760B1D" w:rsidRDefault="00760B1D" w:rsidP="00D70D39">
      <w:pPr>
        <w:pStyle w:val="ListParagraph"/>
        <w:numPr>
          <w:ilvl w:val="0"/>
          <w:numId w:val="3"/>
        </w:numPr>
        <w:rPr>
          <w:rFonts w:ascii="Times New Roman" w:hAnsi="Times New Roman" w:cs="Times New Roman"/>
          <w:sz w:val="24"/>
          <w:szCs w:val="24"/>
        </w:rPr>
      </w:pPr>
      <w:r w:rsidRPr="00760B1D">
        <w:rPr>
          <w:rFonts w:ascii="Times New Roman" w:hAnsi="Times New Roman" w:cs="Times New Roman"/>
          <w:color w:val="222222"/>
          <w:sz w:val="24"/>
          <w:szCs w:val="24"/>
          <w:shd w:val="clear" w:color="auto" w:fill="FFFFFF"/>
        </w:rPr>
        <w:t>Whiting, A., 2021. </w:t>
      </w:r>
      <w:r w:rsidRPr="00760B1D">
        <w:rPr>
          <w:rFonts w:ascii="Times New Roman" w:hAnsi="Times New Roman" w:cs="Times New Roman"/>
          <w:i/>
          <w:iCs/>
          <w:color w:val="222222"/>
          <w:sz w:val="24"/>
          <w:szCs w:val="24"/>
          <w:shd w:val="clear" w:color="auto" w:fill="FFFFFF"/>
        </w:rPr>
        <w:t>The origins and development of professional legal attorneys by reference to thirteenth-century eyre proceedings</w:t>
      </w:r>
      <w:r w:rsidRPr="00760B1D">
        <w:rPr>
          <w:rFonts w:ascii="Times New Roman" w:hAnsi="Times New Roman" w:cs="Times New Roman"/>
          <w:color w:val="222222"/>
          <w:sz w:val="24"/>
          <w:szCs w:val="24"/>
          <w:shd w:val="clear" w:color="auto" w:fill="FFFFFF"/>
        </w:rPr>
        <w:t> (Doctoral dissertation, University of Oxford).</w:t>
      </w:r>
    </w:p>
    <w:p w14:paraId="138C616C" w14:textId="77777777" w:rsidR="00360338" w:rsidRPr="00760B1D" w:rsidRDefault="00360338">
      <w:pPr>
        <w:pStyle w:val="Normal1"/>
        <w:spacing w:line="360" w:lineRule="auto"/>
        <w:jc w:val="both"/>
        <w:rPr>
          <w:rFonts w:ascii="Times New Roman" w:eastAsia="Times New Roman" w:hAnsi="Times New Roman" w:cs="Times New Roman"/>
          <w:sz w:val="24"/>
          <w:szCs w:val="24"/>
        </w:rPr>
      </w:pPr>
    </w:p>
    <w:p w14:paraId="0B823A17" w14:textId="77777777" w:rsidR="00360338" w:rsidRPr="00760B1D" w:rsidRDefault="005C6780">
      <w:pPr>
        <w:pStyle w:val="Normal1"/>
        <w:spacing w:line="360" w:lineRule="auto"/>
        <w:jc w:val="both"/>
        <w:rPr>
          <w:rFonts w:ascii="Times New Roman" w:eastAsia="Times New Roman" w:hAnsi="Times New Roman" w:cs="Times New Roman"/>
          <w:sz w:val="24"/>
          <w:szCs w:val="24"/>
        </w:rPr>
      </w:pPr>
      <w:r w:rsidRPr="00760B1D">
        <w:rPr>
          <w:rFonts w:ascii="Times New Roman" w:eastAsia="Times New Roman" w:hAnsi="Times New Roman" w:cs="Times New Roman"/>
          <w:sz w:val="24"/>
          <w:szCs w:val="24"/>
        </w:rPr>
        <w:t xml:space="preserve"> </w:t>
      </w:r>
    </w:p>
    <w:p w14:paraId="1DFB2D45" w14:textId="77777777" w:rsidR="00360338" w:rsidRPr="00760B1D" w:rsidRDefault="00360338">
      <w:pPr>
        <w:pStyle w:val="Normal1"/>
        <w:spacing w:line="360" w:lineRule="auto"/>
        <w:jc w:val="both"/>
        <w:rPr>
          <w:rFonts w:ascii="Times New Roman" w:eastAsia="Times New Roman" w:hAnsi="Times New Roman" w:cs="Times New Roman"/>
          <w:sz w:val="24"/>
          <w:szCs w:val="24"/>
        </w:rPr>
      </w:pPr>
    </w:p>
    <w:sectPr w:rsidR="00360338" w:rsidRPr="00760B1D" w:rsidSect="00360338">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268D1" w14:textId="77777777" w:rsidR="0046772B" w:rsidRDefault="0046772B" w:rsidP="00D70D39">
      <w:pPr>
        <w:spacing w:after="0" w:line="240" w:lineRule="auto"/>
      </w:pPr>
      <w:r>
        <w:separator/>
      </w:r>
    </w:p>
  </w:endnote>
  <w:endnote w:type="continuationSeparator" w:id="0">
    <w:p w14:paraId="47056964" w14:textId="77777777" w:rsidR="0046772B" w:rsidRDefault="0046772B" w:rsidP="00D70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6EA58" w14:textId="77777777" w:rsidR="0046772B" w:rsidRDefault="0046772B" w:rsidP="00D70D39">
      <w:pPr>
        <w:spacing w:after="0" w:line="240" w:lineRule="auto"/>
      </w:pPr>
      <w:r>
        <w:separator/>
      </w:r>
    </w:p>
  </w:footnote>
  <w:footnote w:type="continuationSeparator" w:id="0">
    <w:p w14:paraId="083DAB3B" w14:textId="77777777" w:rsidR="0046772B" w:rsidRDefault="0046772B" w:rsidP="00D70D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909549"/>
      <w:docPartObj>
        <w:docPartGallery w:val="Page Numbers (Top of Page)"/>
        <w:docPartUnique/>
      </w:docPartObj>
    </w:sdtPr>
    <w:sdtEndPr/>
    <w:sdtContent>
      <w:p w14:paraId="362CB38E" w14:textId="77777777" w:rsidR="00D70D39" w:rsidRDefault="0046772B">
        <w:pPr>
          <w:pStyle w:val="Header"/>
        </w:pPr>
        <w:r>
          <w:fldChar w:fldCharType="begin"/>
        </w:r>
        <w:r>
          <w:instrText xml:space="preserve"> PAGE   \* MERGEFORMAT </w:instrText>
        </w:r>
        <w:r>
          <w:fldChar w:fldCharType="separate"/>
        </w:r>
        <w:r w:rsidR="000F45CD">
          <w:rPr>
            <w:noProof/>
          </w:rPr>
          <w:t>1</w:t>
        </w:r>
        <w:r>
          <w:rPr>
            <w:noProof/>
          </w:rPr>
          <w:fldChar w:fldCharType="end"/>
        </w:r>
      </w:p>
    </w:sdtContent>
  </w:sdt>
  <w:p w14:paraId="6BF11A7C" w14:textId="77777777" w:rsidR="00D70D39" w:rsidRDefault="00D70D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05287"/>
    <w:multiLevelType w:val="hybridMultilevel"/>
    <w:tmpl w:val="A09278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F11618"/>
    <w:multiLevelType w:val="multilevel"/>
    <w:tmpl w:val="B546D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65695F"/>
    <w:multiLevelType w:val="multilevel"/>
    <w:tmpl w:val="7C9038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59023441">
    <w:abstractNumId w:val="1"/>
  </w:num>
  <w:num w:numId="2" w16cid:durableId="1196818596">
    <w:abstractNumId w:val="2"/>
  </w:num>
  <w:num w:numId="3" w16cid:durableId="556358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338"/>
    <w:rsid w:val="000F45CD"/>
    <w:rsid w:val="00360338"/>
    <w:rsid w:val="00432687"/>
    <w:rsid w:val="0046772B"/>
    <w:rsid w:val="00533AA2"/>
    <w:rsid w:val="005C6780"/>
    <w:rsid w:val="00760B1D"/>
    <w:rsid w:val="00D70D39"/>
    <w:rsid w:val="00E07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2BDB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D39"/>
  </w:style>
  <w:style w:type="paragraph" w:styleId="Heading1">
    <w:name w:val="heading 1"/>
    <w:basedOn w:val="Normal"/>
    <w:next w:val="Normal"/>
    <w:link w:val="Heading1Char"/>
    <w:uiPriority w:val="9"/>
    <w:qFormat/>
    <w:rsid w:val="00D70D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0D3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70D3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70D3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D70D3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D70D39"/>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70D3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70D39"/>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D70D3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0338"/>
  </w:style>
  <w:style w:type="paragraph" w:styleId="Title">
    <w:name w:val="Title"/>
    <w:basedOn w:val="Normal"/>
    <w:next w:val="Normal"/>
    <w:link w:val="TitleChar"/>
    <w:uiPriority w:val="10"/>
    <w:qFormat/>
    <w:rsid w:val="00D70D3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D70D3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D70D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0D3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70D3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70D3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70D3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70D3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D70D3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D70D39"/>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D70D3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70D39"/>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D70D39"/>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D70D39"/>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D70D39"/>
    <w:rPr>
      <w:b/>
      <w:bCs/>
    </w:rPr>
  </w:style>
  <w:style w:type="character" w:styleId="Emphasis">
    <w:name w:val="Emphasis"/>
    <w:basedOn w:val="DefaultParagraphFont"/>
    <w:uiPriority w:val="20"/>
    <w:qFormat/>
    <w:rsid w:val="00D70D39"/>
    <w:rPr>
      <w:i/>
      <w:iCs/>
    </w:rPr>
  </w:style>
  <w:style w:type="paragraph" w:styleId="NoSpacing">
    <w:name w:val="No Spacing"/>
    <w:uiPriority w:val="1"/>
    <w:qFormat/>
    <w:rsid w:val="00D70D39"/>
    <w:pPr>
      <w:spacing w:after="0" w:line="240" w:lineRule="auto"/>
    </w:pPr>
  </w:style>
  <w:style w:type="paragraph" w:styleId="ListParagraph">
    <w:name w:val="List Paragraph"/>
    <w:basedOn w:val="Normal"/>
    <w:uiPriority w:val="34"/>
    <w:qFormat/>
    <w:rsid w:val="00D70D39"/>
    <w:pPr>
      <w:ind w:left="720"/>
      <w:contextualSpacing/>
    </w:pPr>
  </w:style>
  <w:style w:type="paragraph" w:styleId="Quote">
    <w:name w:val="Quote"/>
    <w:basedOn w:val="Normal"/>
    <w:next w:val="Normal"/>
    <w:link w:val="QuoteChar"/>
    <w:uiPriority w:val="29"/>
    <w:qFormat/>
    <w:rsid w:val="00D70D39"/>
    <w:rPr>
      <w:i/>
      <w:iCs/>
      <w:color w:val="000000" w:themeColor="text1"/>
    </w:rPr>
  </w:style>
  <w:style w:type="character" w:customStyle="1" w:styleId="QuoteChar">
    <w:name w:val="Quote Char"/>
    <w:basedOn w:val="DefaultParagraphFont"/>
    <w:link w:val="Quote"/>
    <w:uiPriority w:val="29"/>
    <w:rsid w:val="00D70D39"/>
    <w:rPr>
      <w:i/>
      <w:iCs/>
      <w:color w:val="000000" w:themeColor="text1"/>
    </w:rPr>
  </w:style>
  <w:style w:type="paragraph" w:styleId="IntenseQuote">
    <w:name w:val="Intense Quote"/>
    <w:basedOn w:val="Normal"/>
    <w:next w:val="Normal"/>
    <w:link w:val="IntenseQuoteChar"/>
    <w:uiPriority w:val="30"/>
    <w:qFormat/>
    <w:rsid w:val="00D70D3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70D39"/>
    <w:rPr>
      <w:b/>
      <w:bCs/>
      <w:i/>
      <w:iCs/>
      <w:color w:val="4F81BD" w:themeColor="accent1"/>
    </w:rPr>
  </w:style>
  <w:style w:type="character" w:styleId="SubtleEmphasis">
    <w:name w:val="Subtle Emphasis"/>
    <w:basedOn w:val="DefaultParagraphFont"/>
    <w:uiPriority w:val="19"/>
    <w:qFormat/>
    <w:rsid w:val="00D70D39"/>
    <w:rPr>
      <w:i/>
      <w:iCs/>
      <w:color w:val="808080" w:themeColor="text1" w:themeTint="7F"/>
    </w:rPr>
  </w:style>
  <w:style w:type="character" w:styleId="IntenseEmphasis">
    <w:name w:val="Intense Emphasis"/>
    <w:basedOn w:val="DefaultParagraphFont"/>
    <w:uiPriority w:val="21"/>
    <w:qFormat/>
    <w:rsid w:val="00D70D39"/>
    <w:rPr>
      <w:b/>
      <w:bCs/>
      <w:i/>
      <w:iCs/>
      <w:color w:val="4F81BD" w:themeColor="accent1"/>
    </w:rPr>
  </w:style>
  <w:style w:type="character" w:styleId="SubtleReference">
    <w:name w:val="Subtle Reference"/>
    <w:basedOn w:val="DefaultParagraphFont"/>
    <w:uiPriority w:val="31"/>
    <w:qFormat/>
    <w:rsid w:val="00D70D39"/>
    <w:rPr>
      <w:smallCaps/>
      <w:color w:val="C0504D" w:themeColor="accent2"/>
      <w:u w:val="single"/>
    </w:rPr>
  </w:style>
  <w:style w:type="character" w:styleId="IntenseReference">
    <w:name w:val="Intense Reference"/>
    <w:basedOn w:val="DefaultParagraphFont"/>
    <w:uiPriority w:val="32"/>
    <w:qFormat/>
    <w:rsid w:val="00D70D39"/>
    <w:rPr>
      <w:b/>
      <w:bCs/>
      <w:smallCaps/>
      <w:color w:val="C0504D" w:themeColor="accent2"/>
      <w:spacing w:val="5"/>
      <w:u w:val="single"/>
    </w:rPr>
  </w:style>
  <w:style w:type="character" w:styleId="BookTitle">
    <w:name w:val="Book Title"/>
    <w:basedOn w:val="DefaultParagraphFont"/>
    <w:uiPriority w:val="33"/>
    <w:qFormat/>
    <w:rsid w:val="00D70D39"/>
    <w:rPr>
      <w:b/>
      <w:bCs/>
      <w:smallCaps/>
      <w:spacing w:val="5"/>
    </w:rPr>
  </w:style>
  <w:style w:type="paragraph" w:styleId="TOCHeading">
    <w:name w:val="TOC Heading"/>
    <w:basedOn w:val="Heading1"/>
    <w:next w:val="Normal"/>
    <w:uiPriority w:val="39"/>
    <w:semiHidden/>
    <w:unhideWhenUsed/>
    <w:qFormat/>
    <w:rsid w:val="00D70D39"/>
    <w:pPr>
      <w:outlineLvl w:val="9"/>
    </w:pPr>
  </w:style>
  <w:style w:type="paragraph" w:styleId="Header">
    <w:name w:val="header"/>
    <w:basedOn w:val="Normal"/>
    <w:link w:val="HeaderChar"/>
    <w:uiPriority w:val="99"/>
    <w:unhideWhenUsed/>
    <w:rsid w:val="00D70D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0D39"/>
  </w:style>
  <w:style w:type="paragraph" w:styleId="Footer">
    <w:name w:val="footer"/>
    <w:basedOn w:val="Normal"/>
    <w:link w:val="FooterChar"/>
    <w:uiPriority w:val="99"/>
    <w:unhideWhenUsed/>
    <w:rsid w:val="00D70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1720</Words>
  <Characters>9806</Characters>
  <Application>Microsoft Office Word</Application>
  <DocSecurity>0</DocSecurity>
  <Lines>81</Lines>
  <Paragraphs>23</Paragraphs>
  <ScaleCrop>false</ScaleCrop>
  <Company/>
  <LinksUpToDate>false</LinksUpToDate>
  <CharactersWithSpaces>11503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2023-07-20T09:17:00Z</dcterms:created>
  <dcterms:modified xsi:type="dcterms:W3CDTF">2023-07-20T09:17:00Z</dcterms:modified>
</cp:coreProperties>
</file>