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F8E2F" w14:textId="737E8A7F" w:rsidR="00A863A8" w:rsidRDefault="00A863A8" w:rsidP="00582589">
      <w:pPr>
        <w:spacing w:line="360" w:lineRule="auto"/>
        <w:rPr>
          <w:sz w:val="32"/>
          <w:szCs w:val="36"/>
          <w:lang w:val="en-US"/>
        </w:rPr>
      </w:pPr>
      <w:bookmarkStart w:id="0" w:name="_Hlk217997465"/>
    </w:p>
    <w:p w14:paraId="4B22B6C5" w14:textId="77777777" w:rsidR="00A863A8" w:rsidRPr="000011DB" w:rsidRDefault="00A863A8" w:rsidP="00A863A8">
      <w:pPr>
        <w:spacing w:line="360" w:lineRule="auto"/>
        <w:rPr>
          <w:sz w:val="32"/>
          <w:szCs w:val="36"/>
          <w:lang w:val="en-US"/>
        </w:rPr>
      </w:pPr>
      <w:r w:rsidRPr="00A406E5">
        <w:rPr>
          <w:rFonts w:ascii="Arial" w:hAnsi="Arial" w:cs="Arial"/>
          <w:noProof/>
        </w:rPr>
        <w:drawing>
          <wp:anchor distT="0" distB="0" distL="114300" distR="114300" simplePos="0" relativeHeight="251659264" behindDoc="0" locked="0" layoutInCell="1" allowOverlap="1" wp14:anchorId="0DA23DAD" wp14:editId="2424C01C">
            <wp:simplePos x="0" y="0"/>
            <wp:positionH relativeFrom="column">
              <wp:posOffset>0</wp:posOffset>
            </wp:positionH>
            <wp:positionV relativeFrom="paragraph">
              <wp:posOffset>382270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anchor>
        </w:drawing>
      </w:r>
    </w:p>
    <w:p w14:paraId="0DCA911D" w14:textId="77777777" w:rsidR="00A863A8" w:rsidRDefault="00A863A8" w:rsidP="00A863A8">
      <w:pPr>
        <w:spacing w:line="360" w:lineRule="auto"/>
        <w:rPr>
          <w:sz w:val="32"/>
          <w:szCs w:val="36"/>
          <w:lang w:val="en-US"/>
        </w:rPr>
      </w:pPr>
    </w:p>
    <w:p w14:paraId="2F2DCE71" w14:textId="77777777" w:rsidR="00A863A8" w:rsidRDefault="00A863A8" w:rsidP="00A863A8">
      <w:pPr>
        <w:spacing w:line="360" w:lineRule="auto"/>
        <w:rPr>
          <w:sz w:val="32"/>
          <w:szCs w:val="36"/>
          <w:lang w:val="en-US"/>
        </w:rPr>
      </w:pPr>
    </w:p>
    <w:p w14:paraId="0B5594C7" w14:textId="77777777" w:rsidR="00A863A8" w:rsidRDefault="00A863A8" w:rsidP="00A863A8">
      <w:pPr>
        <w:spacing w:line="360" w:lineRule="auto"/>
        <w:rPr>
          <w:sz w:val="32"/>
          <w:szCs w:val="36"/>
          <w:lang w:val="en-US"/>
        </w:rPr>
      </w:pPr>
    </w:p>
    <w:tbl>
      <w:tblPr>
        <w:tblStyle w:val="TableGrid"/>
        <w:tblW w:w="9922" w:type="dxa"/>
        <w:tblLayout w:type="fixed"/>
        <w:tblLook w:val="0000" w:firstRow="0" w:lastRow="0" w:firstColumn="0" w:lastColumn="0" w:noHBand="0" w:noVBand="0"/>
      </w:tblPr>
      <w:tblGrid>
        <w:gridCol w:w="2093"/>
        <w:gridCol w:w="3293"/>
        <w:gridCol w:w="2268"/>
        <w:gridCol w:w="2268"/>
      </w:tblGrid>
      <w:tr w:rsidR="00CC5CAD" w:rsidRPr="00756F4C" w14:paraId="4DE7097E" w14:textId="77777777" w:rsidTr="00CC5CAD">
        <w:tc>
          <w:tcPr>
            <w:tcW w:w="2093" w:type="dxa"/>
          </w:tcPr>
          <w:p w14:paraId="6D3953F5" w14:textId="54D94E25" w:rsidR="00CC5CAD" w:rsidRPr="00CC5CAD" w:rsidRDefault="00CC5CAD" w:rsidP="00CC5CAD">
            <w:pPr>
              <w:spacing w:before="120" w:after="120" w:line="360" w:lineRule="auto"/>
              <w:rPr>
                <w:rFonts w:cs="Times New Roman"/>
                <w:b/>
                <w:bCs/>
                <w:szCs w:val="24"/>
              </w:rPr>
            </w:pPr>
            <w:r w:rsidRPr="00CC5CAD">
              <w:rPr>
                <w:b/>
                <w:bCs/>
              </w:rPr>
              <w:t>Student name:</w:t>
            </w:r>
          </w:p>
        </w:tc>
        <w:tc>
          <w:tcPr>
            <w:tcW w:w="3293" w:type="dxa"/>
          </w:tcPr>
          <w:p w14:paraId="4B56CAA6" w14:textId="6B8B243B" w:rsidR="00CC5CAD" w:rsidRPr="00CC5CAD" w:rsidRDefault="00CC5CAD" w:rsidP="00CC5CAD">
            <w:pPr>
              <w:spacing w:before="120" w:after="120" w:line="360" w:lineRule="auto"/>
              <w:rPr>
                <w:rFonts w:cs="Times New Roman"/>
                <w:b/>
                <w:bCs/>
                <w:szCs w:val="24"/>
              </w:rPr>
            </w:pPr>
            <w:r w:rsidRPr="00CC5CAD">
              <w:rPr>
                <w:b/>
                <w:bCs/>
              </w:rPr>
              <w:t>Noman Saddiquee</w:t>
            </w:r>
          </w:p>
        </w:tc>
        <w:tc>
          <w:tcPr>
            <w:tcW w:w="2268" w:type="dxa"/>
          </w:tcPr>
          <w:p w14:paraId="5BA92AD4" w14:textId="33001E59" w:rsidR="00CC5CAD" w:rsidRPr="00CC5CAD" w:rsidRDefault="00CC5CAD" w:rsidP="00CC5CAD">
            <w:pPr>
              <w:spacing w:before="120" w:after="120" w:line="360" w:lineRule="auto"/>
              <w:rPr>
                <w:rFonts w:cs="Times New Roman"/>
                <w:b/>
                <w:bCs/>
                <w:szCs w:val="24"/>
              </w:rPr>
            </w:pPr>
            <w:r w:rsidRPr="00CC5CAD">
              <w:rPr>
                <w:b/>
                <w:bCs/>
              </w:rPr>
              <w:t>Student ID number:</w:t>
            </w:r>
          </w:p>
        </w:tc>
        <w:tc>
          <w:tcPr>
            <w:tcW w:w="2268" w:type="dxa"/>
          </w:tcPr>
          <w:p w14:paraId="03DCEFC5" w14:textId="2699144D" w:rsidR="00CC5CAD" w:rsidRPr="00CC5CAD" w:rsidRDefault="00CC5CAD" w:rsidP="00CC5CAD">
            <w:pPr>
              <w:spacing w:before="120" w:after="120" w:line="360" w:lineRule="auto"/>
              <w:rPr>
                <w:rFonts w:cs="Times New Roman"/>
                <w:b/>
                <w:bCs/>
                <w:szCs w:val="24"/>
              </w:rPr>
            </w:pPr>
            <w:r w:rsidRPr="00CC5CAD">
              <w:rPr>
                <w:b/>
                <w:bCs/>
              </w:rPr>
              <w:t>2510122</w:t>
            </w:r>
          </w:p>
        </w:tc>
      </w:tr>
      <w:tr w:rsidR="00A863A8" w:rsidRPr="00756F4C" w14:paraId="5E0768EB" w14:textId="77777777" w:rsidTr="00CC5CAD">
        <w:tc>
          <w:tcPr>
            <w:tcW w:w="2093" w:type="dxa"/>
          </w:tcPr>
          <w:p w14:paraId="33641811" w14:textId="77777777" w:rsidR="00A863A8" w:rsidRPr="00756F4C" w:rsidRDefault="00A863A8" w:rsidP="00766FC8">
            <w:pPr>
              <w:spacing w:before="120" w:after="120" w:line="360" w:lineRule="auto"/>
              <w:rPr>
                <w:rFonts w:cs="Times New Roman"/>
                <w:b/>
                <w:szCs w:val="24"/>
              </w:rPr>
            </w:pPr>
            <w:r w:rsidRPr="00756F4C">
              <w:rPr>
                <w:rFonts w:cs="Times New Roman"/>
                <w:b/>
                <w:szCs w:val="24"/>
              </w:rPr>
              <w:t>Programme:</w:t>
            </w:r>
          </w:p>
        </w:tc>
        <w:tc>
          <w:tcPr>
            <w:tcW w:w="7829" w:type="dxa"/>
            <w:gridSpan w:val="3"/>
          </w:tcPr>
          <w:p w14:paraId="21FC103B" w14:textId="77777777" w:rsidR="00A863A8" w:rsidRPr="00756F4C" w:rsidRDefault="00A863A8" w:rsidP="00766FC8">
            <w:pPr>
              <w:spacing w:before="120" w:after="120" w:line="360" w:lineRule="auto"/>
              <w:rPr>
                <w:rFonts w:cs="Times New Roman"/>
                <w:b/>
                <w:szCs w:val="24"/>
              </w:rPr>
            </w:pPr>
            <w:r w:rsidRPr="00756F4C">
              <w:rPr>
                <w:rFonts w:cs="Times New Roman"/>
                <w:szCs w:val="24"/>
              </w:rPr>
              <w:t>MBA</w:t>
            </w:r>
          </w:p>
        </w:tc>
      </w:tr>
      <w:tr w:rsidR="00A863A8" w:rsidRPr="00756F4C" w14:paraId="2E21A012" w14:textId="77777777" w:rsidTr="00CC5CAD">
        <w:tc>
          <w:tcPr>
            <w:tcW w:w="2093" w:type="dxa"/>
          </w:tcPr>
          <w:p w14:paraId="5D50F622" w14:textId="77777777" w:rsidR="00A863A8" w:rsidRPr="00756F4C" w:rsidRDefault="00A863A8" w:rsidP="00766FC8">
            <w:pPr>
              <w:spacing w:before="120" w:after="120" w:line="360" w:lineRule="auto"/>
              <w:rPr>
                <w:rFonts w:cs="Times New Roman"/>
                <w:b/>
                <w:szCs w:val="24"/>
              </w:rPr>
            </w:pPr>
            <w:r w:rsidRPr="00756F4C">
              <w:rPr>
                <w:rFonts w:cs="Times New Roman"/>
                <w:b/>
                <w:szCs w:val="24"/>
              </w:rPr>
              <w:t>Module:</w:t>
            </w:r>
          </w:p>
        </w:tc>
        <w:tc>
          <w:tcPr>
            <w:tcW w:w="7829" w:type="dxa"/>
            <w:gridSpan w:val="3"/>
          </w:tcPr>
          <w:p w14:paraId="05FF4C60" w14:textId="77777777" w:rsidR="00A863A8" w:rsidRPr="00756F4C" w:rsidRDefault="00A863A8" w:rsidP="00766FC8">
            <w:pPr>
              <w:spacing w:before="120" w:after="120" w:line="360" w:lineRule="auto"/>
              <w:rPr>
                <w:rFonts w:cs="Times New Roman"/>
                <w:b/>
                <w:szCs w:val="24"/>
              </w:rPr>
            </w:pPr>
            <w:r w:rsidRPr="00756F4C">
              <w:rPr>
                <w:rFonts w:cs="Times New Roman"/>
                <w:szCs w:val="24"/>
              </w:rPr>
              <w:t>Finance for Business Managers</w:t>
            </w:r>
          </w:p>
        </w:tc>
      </w:tr>
      <w:tr w:rsidR="00A863A8" w:rsidRPr="00756F4C" w14:paraId="633C6527" w14:textId="77777777" w:rsidTr="00CC5CAD">
        <w:tc>
          <w:tcPr>
            <w:tcW w:w="2093" w:type="dxa"/>
          </w:tcPr>
          <w:p w14:paraId="5B0697EC" w14:textId="77777777" w:rsidR="00A863A8" w:rsidRPr="00756F4C" w:rsidRDefault="00A863A8" w:rsidP="00766FC8">
            <w:pPr>
              <w:spacing w:before="120" w:after="120" w:line="360" w:lineRule="auto"/>
              <w:rPr>
                <w:rFonts w:cs="Times New Roman"/>
                <w:b/>
                <w:szCs w:val="24"/>
              </w:rPr>
            </w:pPr>
            <w:r w:rsidRPr="00756F4C">
              <w:rPr>
                <w:rFonts w:cs="Times New Roman"/>
                <w:b/>
                <w:szCs w:val="24"/>
              </w:rPr>
              <w:t>Module code:</w:t>
            </w:r>
          </w:p>
        </w:tc>
        <w:tc>
          <w:tcPr>
            <w:tcW w:w="3293" w:type="dxa"/>
          </w:tcPr>
          <w:p w14:paraId="26FF1A38" w14:textId="77777777" w:rsidR="00A863A8" w:rsidRPr="00756F4C" w:rsidRDefault="00A863A8" w:rsidP="00766FC8">
            <w:pPr>
              <w:spacing w:before="120" w:after="120" w:line="360" w:lineRule="auto"/>
              <w:rPr>
                <w:rFonts w:cs="Times New Roman"/>
                <w:b/>
                <w:szCs w:val="24"/>
              </w:rPr>
            </w:pPr>
            <w:r w:rsidRPr="00756F4C">
              <w:rPr>
                <w:rFonts w:cs="Times New Roman"/>
                <w:bCs/>
                <w:szCs w:val="24"/>
              </w:rPr>
              <w:t>BMMB7005D</w:t>
            </w:r>
          </w:p>
        </w:tc>
        <w:tc>
          <w:tcPr>
            <w:tcW w:w="2268" w:type="dxa"/>
          </w:tcPr>
          <w:p w14:paraId="239D95E3" w14:textId="77777777" w:rsidR="00A863A8" w:rsidRPr="00756F4C" w:rsidRDefault="00A863A8" w:rsidP="00766FC8">
            <w:pPr>
              <w:pStyle w:val="Heading2"/>
              <w:outlineLvl w:val="1"/>
              <w:rPr>
                <w:rFonts w:cs="Times New Roman"/>
                <w:color w:val="auto"/>
                <w:sz w:val="24"/>
                <w:szCs w:val="24"/>
              </w:rPr>
            </w:pPr>
            <w:r w:rsidRPr="00756F4C">
              <w:rPr>
                <w:rFonts w:cs="Times New Roman"/>
                <w:color w:val="auto"/>
                <w:sz w:val="24"/>
                <w:szCs w:val="24"/>
              </w:rPr>
              <w:t>Contribution to Overall Module Assessment (%):</w:t>
            </w:r>
          </w:p>
        </w:tc>
        <w:tc>
          <w:tcPr>
            <w:tcW w:w="2268" w:type="dxa"/>
          </w:tcPr>
          <w:p w14:paraId="6F8BDA23" w14:textId="77777777" w:rsidR="00A863A8" w:rsidRPr="00756F4C" w:rsidRDefault="00A863A8" w:rsidP="00766FC8">
            <w:pPr>
              <w:spacing w:before="120" w:after="120" w:line="360" w:lineRule="auto"/>
              <w:rPr>
                <w:rFonts w:cs="Times New Roman"/>
                <w:b/>
                <w:szCs w:val="24"/>
              </w:rPr>
            </w:pPr>
            <w:r w:rsidRPr="00756F4C">
              <w:rPr>
                <w:rFonts w:cs="Times New Roman"/>
                <w:szCs w:val="24"/>
              </w:rPr>
              <w:t>100%</w:t>
            </w:r>
          </w:p>
        </w:tc>
      </w:tr>
      <w:tr w:rsidR="00A863A8" w:rsidRPr="00756F4C" w14:paraId="3081B8FE" w14:textId="77777777" w:rsidTr="00CC5CAD">
        <w:tc>
          <w:tcPr>
            <w:tcW w:w="2093" w:type="dxa"/>
          </w:tcPr>
          <w:p w14:paraId="1F016D80" w14:textId="77777777" w:rsidR="00A863A8" w:rsidRPr="00756F4C" w:rsidRDefault="00A863A8" w:rsidP="00766FC8">
            <w:pPr>
              <w:spacing w:before="120" w:after="120" w:line="360" w:lineRule="auto"/>
              <w:rPr>
                <w:rFonts w:cs="Times New Roman"/>
                <w:b/>
                <w:szCs w:val="24"/>
              </w:rPr>
            </w:pPr>
            <w:r w:rsidRPr="00756F4C">
              <w:rPr>
                <w:rFonts w:cs="Times New Roman"/>
                <w:b/>
                <w:szCs w:val="24"/>
              </w:rPr>
              <w:t>Lecturer:</w:t>
            </w:r>
          </w:p>
        </w:tc>
        <w:tc>
          <w:tcPr>
            <w:tcW w:w="3293" w:type="dxa"/>
          </w:tcPr>
          <w:p w14:paraId="14D2834C" w14:textId="77777777" w:rsidR="00A863A8" w:rsidRPr="00756F4C" w:rsidRDefault="00A863A8" w:rsidP="00766FC8">
            <w:pPr>
              <w:spacing w:before="120" w:after="120" w:line="360" w:lineRule="auto"/>
              <w:rPr>
                <w:rFonts w:cs="Times New Roman"/>
                <w:b/>
                <w:szCs w:val="24"/>
              </w:rPr>
            </w:pPr>
            <w:r w:rsidRPr="00756F4C">
              <w:rPr>
                <w:rFonts w:cs="Times New Roman"/>
                <w:szCs w:val="24"/>
              </w:rPr>
              <w:t>Marie Pitson</w:t>
            </w:r>
          </w:p>
        </w:tc>
        <w:tc>
          <w:tcPr>
            <w:tcW w:w="2268" w:type="dxa"/>
          </w:tcPr>
          <w:p w14:paraId="6B03AC22" w14:textId="77777777" w:rsidR="00A863A8" w:rsidRPr="00756F4C" w:rsidRDefault="00A863A8" w:rsidP="00766FC8">
            <w:pPr>
              <w:spacing w:before="120" w:after="120" w:line="360" w:lineRule="auto"/>
              <w:rPr>
                <w:rFonts w:cs="Times New Roman"/>
                <w:b/>
                <w:szCs w:val="24"/>
              </w:rPr>
            </w:pPr>
            <w:r w:rsidRPr="00756F4C">
              <w:rPr>
                <w:rFonts w:cs="Times New Roman"/>
                <w:b/>
                <w:szCs w:val="24"/>
              </w:rPr>
              <w:t>Internal Verifier:</w:t>
            </w:r>
          </w:p>
        </w:tc>
        <w:tc>
          <w:tcPr>
            <w:tcW w:w="2268" w:type="dxa"/>
          </w:tcPr>
          <w:p w14:paraId="06EF9708" w14:textId="77777777" w:rsidR="00A863A8" w:rsidRPr="00756F4C" w:rsidRDefault="00A863A8" w:rsidP="00766FC8">
            <w:pPr>
              <w:spacing w:before="120" w:after="120" w:line="360" w:lineRule="auto"/>
              <w:rPr>
                <w:rFonts w:cs="Times New Roman"/>
                <w:b/>
                <w:szCs w:val="24"/>
              </w:rPr>
            </w:pPr>
            <w:r w:rsidRPr="00756F4C">
              <w:rPr>
                <w:rFonts w:cs="Times New Roman"/>
                <w:szCs w:val="24"/>
              </w:rPr>
              <w:t>Badir Miftah</w:t>
            </w:r>
          </w:p>
        </w:tc>
      </w:tr>
      <w:tr w:rsidR="00A863A8" w:rsidRPr="00756F4C" w14:paraId="23A5191A" w14:textId="77777777" w:rsidTr="00CC5CAD">
        <w:tc>
          <w:tcPr>
            <w:tcW w:w="2093" w:type="dxa"/>
          </w:tcPr>
          <w:p w14:paraId="7BA2ACC1" w14:textId="77777777" w:rsidR="00A863A8" w:rsidRPr="00756F4C" w:rsidRDefault="00A863A8" w:rsidP="00766FC8">
            <w:pPr>
              <w:spacing w:before="120" w:after="120" w:line="360" w:lineRule="auto"/>
              <w:rPr>
                <w:rFonts w:cs="Times New Roman"/>
                <w:b/>
                <w:szCs w:val="24"/>
              </w:rPr>
            </w:pPr>
            <w:r w:rsidRPr="00756F4C">
              <w:rPr>
                <w:rFonts w:cs="Times New Roman"/>
                <w:b/>
                <w:szCs w:val="24"/>
              </w:rPr>
              <w:t>Assignment Title:</w:t>
            </w:r>
          </w:p>
        </w:tc>
        <w:tc>
          <w:tcPr>
            <w:tcW w:w="3293" w:type="dxa"/>
          </w:tcPr>
          <w:p w14:paraId="2ACA6911" w14:textId="235FDD45" w:rsidR="00A863A8" w:rsidRPr="00756F4C" w:rsidRDefault="00A863A8" w:rsidP="00766FC8">
            <w:pPr>
              <w:spacing w:before="120" w:after="120" w:line="360" w:lineRule="auto"/>
              <w:rPr>
                <w:rFonts w:cs="Times New Roman"/>
                <w:szCs w:val="24"/>
              </w:rPr>
            </w:pPr>
            <w:r>
              <w:rPr>
                <w:rFonts w:cs="Times New Roman"/>
                <w:szCs w:val="24"/>
              </w:rPr>
              <w:t>Finance Report for</w:t>
            </w:r>
            <w:r w:rsidR="00363AD6">
              <w:rPr>
                <w:rFonts w:cs="Times New Roman"/>
                <w:szCs w:val="24"/>
              </w:rPr>
              <w:t xml:space="preserve"> </w:t>
            </w:r>
            <w:r w:rsidR="00363AD6">
              <w:rPr>
                <w:lang w:val="en-US"/>
              </w:rPr>
              <w:t>Standard Chartered</w:t>
            </w:r>
            <w:r>
              <w:rPr>
                <w:rFonts w:cs="Times New Roman"/>
                <w:szCs w:val="24"/>
              </w:rPr>
              <w:t xml:space="preserve"> Plc &amp; </w:t>
            </w:r>
            <w:r w:rsidRPr="00756F4C">
              <w:rPr>
                <w:rFonts w:cs="Times New Roman"/>
                <w:szCs w:val="24"/>
              </w:rPr>
              <w:t>Westward Plc</w:t>
            </w:r>
          </w:p>
        </w:tc>
        <w:tc>
          <w:tcPr>
            <w:tcW w:w="2268" w:type="dxa"/>
          </w:tcPr>
          <w:p w14:paraId="322D7BE1" w14:textId="77777777" w:rsidR="00A863A8" w:rsidRPr="00756F4C" w:rsidRDefault="00A863A8" w:rsidP="00766FC8">
            <w:pPr>
              <w:spacing w:before="120" w:after="120" w:line="360" w:lineRule="auto"/>
              <w:rPr>
                <w:rFonts w:cs="Times New Roman"/>
                <w:b/>
                <w:szCs w:val="24"/>
              </w:rPr>
            </w:pPr>
            <w:r w:rsidRPr="00756F4C">
              <w:rPr>
                <w:rFonts w:cs="Times New Roman"/>
                <w:b/>
                <w:szCs w:val="24"/>
              </w:rPr>
              <w:t>Word count (or equivalent):</w:t>
            </w:r>
          </w:p>
        </w:tc>
        <w:tc>
          <w:tcPr>
            <w:tcW w:w="2268" w:type="dxa"/>
          </w:tcPr>
          <w:p w14:paraId="15F64440" w14:textId="77777777" w:rsidR="00A863A8" w:rsidRPr="00756F4C" w:rsidRDefault="00A863A8" w:rsidP="00766FC8">
            <w:pPr>
              <w:spacing w:before="120" w:after="120" w:line="360" w:lineRule="auto"/>
              <w:rPr>
                <w:rFonts w:cs="Times New Roman"/>
                <w:b/>
                <w:szCs w:val="24"/>
              </w:rPr>
            </w:pPr>
            <w:r w:rsidRPr="00756F4C">
              <w:rPr>
                <w:rFonts w:cs="Times New Roman"/>
                <w:szCs w:val="24"/>
              </w:rPr>
              <w:t>5000 words</w:t>
            </w:r>
          </w:p>
        </w:tc>
      </w:tr>
      <w:tr w:rsidR="00A863A8" w:rsidRPr="00756F4C" w14:paraId="71345E44" w14:textId="77777777" w:rsidTr="00CC5CAD">
        <w:tc>
          <w:tcPr>
            <w:tcW w:w="2093" w:type="dxa"/>
          </w:tcPr>
          <w:p w14:paraId="0FC0C9B9" w14:textId="77777777" w:rsidR="00A863A8" w:rsidRPr="00756F4C" w:rsidRDefault="00A863A8" w:rsidP="00766FC8">
            <w:pPr>
              <w:spacing w:before="120" w:after="120" w:line="360" w:lineRule="auto"/>
              <w:rPr>
                <w:rFonts w:cs="Times New Roman"/>
                <w:b/>
                <w:szCs w:val="24"/>
              </w:rPr>
            </w:pPr>
            <w:r w:rsidRPr="00756F4C">
              <w:rPr>
                <w:rFonts w:cs="Times New Roman"/>
                <w:b/>
                <w:szCs w:val="24"/>
              </w:rPr>
              <w:t>Submission deadline:</w:t>
            </w:r>
          </w:p>
        </w:tc>
        <w:tc>
          <w:tcPr>
            <w:tcW w:w="3293" w:type="dxa"/>
          </w:tcPr>
          <w:p w14:paraId="7207786C" w14:textId="77777777" w:rsidR="00A863A8" w:rsidRPr="00756F4C" w:rsidRDefault="00A863A8" w:rsidP="00766FC8">
            <w:pPr>
              <w:spacing w:before="120" w:after="120" w:line="360" w:lineRule="auto"/>
              <w:rPr>
                <w:rFonts w:cs="Times New Roman"/>
                <w:szCs w:val="24"/>
              </w:rPr>
            </w:pPr>
            <w:r w:rsidRPr="00756F4C">
              <w:rPr>
                <w:rFonts w:cs="Times New Roman"/>
                <w:szCs w:val="24"/>
              </w:rPr>
              <w:t>12</w:t>
            </w:r>
            <w:r w:rsidRPr="00756F4C">
              <w:rPr>
                <w:rFonts w:cs="Times New Roman"/>
                <w:szCs w:val="24"/>
                <w:vertAlign w:val="superscript"/>
              </w:rPr>
              <w:t>th</w:t>
            </w:r>
            <w:r w:rsidRPr="00756F4C">
              <w:rPr>
                <w:rFonts w:cs="Times New Roman"/>
                <w:szCs w:val="24"/>
              </w:rPr>
              <w:t xml:space="preserve"> January 2026</w:t>
            </w:r>
          </w:p>
        </w:tc>
        <w:tc>
          <w:tcPr>
            <w:tcW w:w="2268" w:type="dxa"/>
          </w:tcPr>
          <w:p w14:paraId="23A3CC9C" w14:textId="77777777" w:rsidR="00A863A8" w:rsidRPr="00756F4C" w:rsidRDefault="00A863A8" w:rsidP="00766FC8">
            <w:pPr>
              <w:spacing w:before="120" w:after="120" w:line="360" w:lineRule="auto"/>
              <w:rPr>
                <w:rFonts w:cs="Times New Roman"/>
                <w:b/>
                <w:szCs w:val="24"/>
              </w:rPr>
            </w:pPr>
          </w:p>
        </w:tc>
        <w:tc>
          <w:tcPr>
            <w:tcW w:w="2268" w:type="dxa"/>
          </w:tcPr>
          <w:p w14:paraId="5DED3C6F" w14:textId="77777777" w:rsidR="00A863A8" w:rsidRPr="00756F4C" w:rsidRDefault="00A863A8" w:rsidP="00766FC8">
            <w:pPr>
              <w:spacing w:before="120" w:after="120" w:line="360" w:lineRule="auto"/>
              <w:rPr>
                <w:rFonts w:cs="Times New Roman"/>
                <w:szCs w:val="24"/>
              </w:rPr>
            </w:pPr>
          </w:p>
        </w:tc>
      </w:tr>
    </w:tbl>
    <w:p w14:paraId="01113EC8" w14:textId="77777777" w:rsidR="00A863A8" w:rsidRDefault="00A863A8" w:rsidP="00A863A8">
      <w:pPr>
        <w:spacing w:line="360" w:lineRule="auto"/>
        <w:rPr>
          <w:sz w:val="32"/>
          <w:szCs w:val="36"/>
          <w:lang w:val="en-US"/>
        </w:rPr>
      </w:pPr>
    </w:p>
    <w:p w14:paraId="589419DB" w14:textId="44B0B9CE" w:rsidR="00A863A8" w:rsidRDefault="00A863A8" w:rsidP="00582589">
      <w:pPr>
        <w:spacing w:line="360" w:lineRule="auto"/>
        <w:rPr>
          <w:sz w:val="32"/>
          <w:szCs w:val="36"/>
          <w:lang w:val="en-US"/>
        </w:rPr>
      </w:pPr>
    </w:p>
    <w:p w14:paraId="4AD4E61B" w14:textId="77777777" w:rsidR="00A863A8" w:rsidRDefault="00A863A8" w:rsidP="00582589">
      <w:pPr>
        <w:spacing w:line="360" w:lineRule="auto"/>
        <w:rPr>
          <w:sz w:val="32"/>
          <w:szCs w:val="36"/>
          <w:lang w:val="en-US"/>
        </w:rPr>
      </w:pPr>
    </w:p>
    <w:p w14:paraId="005A7A89" w14:textId="77777777" w:rsidR="00A90D5E" w:rsidRDefault="00A90D5E">
      <w:pPr>
        <w:spacing w:after="160"/>
        <w:jc w:val="left"/>
        <w:rPr>
          <w:sz w:val="32"/>
          <w:szCs w:val="36"/>
          <w:lang w:val="en-US"/>
        </w:rPr>
      </w:pPr>
      <w:r>
        <w:rPr>
          <w:sz w:val="32"/>
          <w:szCs w:val="36"/>
          <w:lang w:val="en-US"/>
        </w:rPr>
        <w:br w:type="page"/>
      </w:r>
    </w:p>
    <w:p w14:paraId="016E53E2" w14:textId="33B119CE" w:rsidR="00A90D5E" w:rsidRDefault="00A90D5E" w:rsidP="00A90D5E">
      <w:pPr>
        <w:pStyle w:val="Heading1"/>
        <w:spacing w:line="360" w:lineRule="auto"/>
        <w:rPr>
          <w:lang w:val="en-US"/>
        </w:rPr>
      </w:pPr>
      <w:bookmarkStart w:id="1" w:name="_Toc219050341"/>
      <w:r>
        <w:rPr>
          <w:lang w:val="en-US"/>
        </w:rPr>
        <w:lastRenderedPageBreak/>
        <w:t>Executive Summary</w:t>
      </w:r>
      <w:bookmarkEnd w:id="1"/>
    </w:p>
    <w:p w14:paraId="6656D25A" w14:textId="58D7516E" w:rsidR="00E13B4B" w:rsidRDefault="00A90D5E" w:rsidP="00A90D5E">
      <w:pPr>
        <w:spacing w:line="360" w:lineRule="auto"/>
        <w:rPr>
          <w:sz w:val="32"/>
          <w:szCs w:val="36"/>
          <w:lang w:val="en-US"/>
        </w:rPr>
      </w:pPr>
      <w:r>
        <w:rPr>
          <w:lang w:val="en-US"/>
        </w:rPr>
        <w:t xml:space="preserve">Banks tend to operate in a financially risky environment where it has to guard the assets taken as liability. As a result, evaluating the financial performance of a bank is equally important for all the involved stakeholders alike including investors, depositors, regulators and as such. In this report, a critical analysis of financial performance of Standard Bank PLC has been provided where the strongest and the weakest parts of the company have been identified by using ratios such as cash ratio, advance-to-deposit ratio and other ones in order to find out whether the company has a sound financial performance or not in order to remain operational in the future. By delving into the financial metrics of the company, the weak points of the company have been identified and necessary recommendations have been carved out to suggest the financial managers and the decision-makers of the company to ensure of strategic manoeuvres for its future endeavors. </w:t>
      </w:r>
      <w:r w:rsidR="00FC5731">
        <w:rPr>
          <w:lang w:val="en-US"/>
        </w:rPr>
        <w:t>Also, investment appraisal techniques including net present value and internal rate of return have been applied to the investment opportunities available to Westward PLC and based on the results calculated, the most feasible one has been recommended to the company.</w:t>
      </w:r>
    </w:p>
    <w:p w14:paraId="5AFE44EB" w14:textId="77777777" w:rsidR="00E13B4B" w:rsidRDefault="00E13B4B" w:rsidP="00582589">
      <w:pPr>
        <w:spacing w:after="160" w:line="360" w:lineRule="auto"/>
        <w:rPr>
          <w:sz w:val="32"/>
          <w:szCs w:val="36"/>
          <w:lang w:val="en-US"/>
        </w:rPr>
      </w:pPr>
      <w:r>
        <w:rPr>
          <w:sz w:val="32"/>
          <w:szCs w:val="36"/>
          <w:lang w:val="en-US"/>
        </w:rPr>
        <w:br w:type="page"/>
      </w:r>
    </w:p>
    <w:sdt>
      <w:sdtPr>
        <w:rPr>
          <w:rFonts w:ascii="Times New Roman" w:eastAsiaTheme="minorHAnsi" w:hAnsi="Times New Roman" w:cstheme="minorBidi"/>
          <w:color w:val="auto"/>
          <w:kern w:val="2"/>
          <w:sz w:val="24"/>
          <w:szCs w:val="30"/>
          <w:lang w:eastAsia="en-US"/>
          <w14:ligatures w14:val="standardContextual"/>
        </w:rPr>
        <w:id w:val="-567185679"/>
        <w:docPartObj>
          <w:docPartGallery w:val="Table of Contents"/>
          <w:docPartUnique/>
        </w:docPartObj>
      </w:sdtPr>
      <w:sdtEndPr>
        <w:rPr>
          <w:b/>
          <w:bCs/>
        </w:rPr>
      </w:sdtEndPr>
      <w:sdtContent>
        <w:p w14:paraId="3D4387E3" w14:textId="02F0D4AC" w:rsidR="00E13B4B" w:rsidRDefault="00E13B4B" w:rsidP="00582589">
          <w:pPr>
            <w:pStyle w:val="TOCHeading"/>
            <w:spacing w:line="360" w:lineRule="auto"/>
            <w:jc w:val="both"/>
          </w:pPr>
          <w:r>
            <w:t>Table of Contents</w:t>
          </w:r>
        </w:p>
        <w:p w14:paraId="0BD8B6EF" w14:textId="63956F1D" w:rsidR="00E512A2" w:rsidRDefault="00E13B4B">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9050341" w:history="1">
            <w:r w:rsidR="00E512A2" w:rsidRPr="00F307A8">
              <w:rPr>
                <w:rStyle w:val="Hyperlink"/>
                <w:noProof/>
                <w:lang w:val="en-US"/>
              </w:rPr>
              <w:t>Executive Summary</w:t>
            </w:r>
            <w:r w:rsidR="00E512A2">
              <w:rPr>
                <w:noProof/>
                <w:webHidden/>
              </w:rPr>
              <w:tab/>
            </w:r>
            <w:r w:rsidR="00E512A2">
              <w:rPr>
                <w:noProof/>
                <w:webHidden/>
              </w:rPr>
              <w:fldChar w:fldCharType="begin"/>
            </w:r>
            <w:r w:rsidR="00E512A2">
              <w:rPr>
                <w:noProof/>
                <w:webHidden/>
              </w:rPr>
              <w:instrText xml:space="preserve"> PAGEREF _Toc219050341 \h </w:instrText>
            </w:r>
            <w:r w:rsidR="00E512A2">
              <w:rPr>
                <w:noProof/>
                <w:webHidden/>
              </w:rPr>
            </w:r>
            <w:r w:rsidR="00E512A2">
              <w:rPr>
                <w:noProof/>
                <w:webHidden/>
              </w:rPr>
              <w:fldChar w:fldCharType="separate"/>
            </w:r>
            <w:r w:rsidR="00E512A2">
              <w:rPr>
                <w:noProof/>
                <w:webHidden/>
              </w:rPr>
              <w:t>2</w:t>
            </w:r>
            <w:r w:rsidR="00E512A2">
              <w:rPr>
                <w:noProof/>
                <w:webHidden/>
              </w:rPr>
              <w:fldChar w:fldCharType="end"/>
            </w:r>
          </w:hyperlink>
        </w:p>
        <w:p w14:paraId="13EEA7B3" w14:textId="55941CF0" w:rsidR="00E512A2" w:rsidRDefault="00D33FA8">
          <w:pPr>
            <w:pStyle w:val="TOC1"/>
            <w:tabs>
              <w:tab w:val="right" w:leader="dot" w:pos="9016"/>
            </w:tabs>
            <w:rPr>
              <w:rFonts w:asciiTheme="minorHAnsi" w:eastAsiaTheme="minorEastAsia" w:hAnsiTheme="minorHAnsi"/>
              <w:noProof/>
              <w:lang w:eastAsia="en-GB"/>
            </w:rPr>
          </w:pPr>
          <w:hyperlink w:anchor="_Toc219050342" w:history="1">
            <w:r w:rsidR="00E512A2" w:rsidRPr="00F307A8">
              <w:rPr>
                <w:rStyle w:val="Hyperlink"/>
                <w:noProof/>
                <w:lang w:val="en-US"/>
              </w:rPr>
              <w:t>Introduction</w:t>
            </w:r>
            <w:r w:rsidR="00E512A2">
              <w:rPr>
                <w:noProof/>
                <w:webHidden/>
              </w:rPr>
              <w:tab/>
            </w:r>
            <w:r w:rsidR="00E512A2">
              <w:rPr>
                <w:noProof/>
                <w:webHidden/>
              </w:rPr>
              <w:fldChar w:fldCharType="begin"/>
            </w:r>
            <w:r w:rsidR="00E512A2">
              <w:rPr>
                <w:noProof/>
                <w:webHidden/>
              </w:rPr>
              <w:instrText xml:space="preserve"> PAGEREF _Toc219050342 \h </w:instrText>
            </w:r>
            <w:r w:rsidR="00E512A2">
              <w:rPr>
                <w:noProof/>
                <w:webHidden/>
              </w:rPr>
            </w:r>
            <w:r w:rsidR="00E512A2">
              <w:rPr>
                <w:noProof/>
                <w:webHidden/>
              </w:rPr>
              <w:fldChar w:fldCharType="separate"/>
            </w:r>
            <w:r w:rsidR="00E512A2">
              <w:rPr>
                <w:noProof/>
                <w:webHidden/>
              </w:rPr>
              <w:t>4</w:t>
            </w:r>
            <w:r w:rsidR="00E512A2">
              <w:rPr>
                <w:noProof/>
                <w:webHidden/>
              </w:rPr>
              <w:fldChar w:fldCharType="end"/>
            </w:r>
          </w:hyperlink>
        </w:p>
        <w:p w14:paraId="45A42C55" w14:textId="2A413625" w:rsidR="00E512A2" w:rsidRDefault="00D33FA8">
          <w:pPr>
            <w:pStyle w:val="TOC1"/>
            <w:tabs>
              <w:tab w:val="right" w:leader="dot" w:pos="9016"/>
            </w:tabs>
            <w:rPr>
              <w:rFonts w:asciiTheme="minorHAnsi" w:eastAsiaTheme="minorEastAsia" w:hAnsiTheme="minorHAnsi"/>
              <w:noProof/>
              <w:lang w:eastAsia="en-GB"/>
            </w:rPr>
          </w:pPr>
          <w:hyperlink w:anchor="_Toc219050343" w:history="1">
            <w:r w:rsidR="00E512A2" w:rsidRPr="00F307A8">
              <w:rPr>
                <w:rStyle w:val="Hyperlink"/>
                <w:noProof/>
                <w:lang w:val="en-US"/>
              </w:rPr>
              <w:t>Part One: Financial Performance Analysis of Standard Chartered PLC</w:t>
            </w:r>
            <w:r w:rsidR="00E512A2">
              <w:rPr>
                <w:noProof/>
                <w:webHidden/>
              </w:rPr>
              <w:tab/>
            </w:r>
            <w:r w:rsidR="00E512A2">
              <w:rPr>
                <w:noProof/>
                <w:webHidden/>
              </w:rPr>
              <w:fldChar w:fldCharType="begin"/>
            </w:r>
            <w:r w:rsidR="00E512A2">
              <w:rPr>
                <w:noProof/>
                <w:webHidden/>
              </w:rPr>
              <w:instrText xml:space="preserve"> PAGEREF _Toc219050343 \h </w:instrText>
            </w:r>
            <w:r w:rsidR="00E512A2">
              <w:rPr>
                <w:noProof/>
                <w:webHidden/>
              </w:rPr>
            </w:r>
            <w:r w:rsidR="00E512A2">
              <w:rPr>
                <w:noProof/>
                <w:webHidden/>
              </w:rPr>
              <w:fldChar w:fldCharType="separate"/>
            </w:r>
            <w:r w:rsidR="00E512A2">
              <w:rPr>
                <w:noProof/>
                <w:webHidden/>
              </w:rPr>
              <w:t>5</w:t>
            </w:r>
            <w:r w:rsidR="00E512A2">
              <w:rPr>
                <w:noProof/>
                <w:webHidden/>
              </w:rPr>
              <w:fldChar w:fldCharType="end"/>
            </w:r>
          </w:hyperlink>
        </w:p>
        <w:p w14:paraId="46459C75" w14:textId="46BBFF80" w:rsidR="00E512A2" w:rsidRDefault="00D33FA8">
          <w:pPr>
            <w:pStyle w:val="TOC2"/>
            <w:tabs>
              <w:tab w:val="right" w:leader="dot" w:pos="9016"/>
            </w:tabs>
            <w:rPr>
              <w:rFonts w:asciiTheme="minorHAnsi" w:eastAsiaTheme="minorEastAsia" w:hAnsiTheme="minorHAnsi"/>
              <w:noProof/>
              <w:lang w:eastAsia="en-GB"/>
            </w:rPr>
          </w:pPr>
          <w:hyperlink w:anchor="_Toc219050344" w:history="1">
            <w:r w:rsidR="00E512A2" w:rsidRPr="00F307A8">
              <w:rPr>
                <w:rStyle w:val="Hyperlink"/>
                <w:noProof/>
                <w:lang w:val="en-US"/>
              </w:rPr>
              <w:t>Summary of Financial Position of Standard Chartered PLC</w:t>
            </w:r>
            <w:r w:rsidR="00E512A2">
              <w:rPr>
                <w:noProof/>
                <w:webHidden/>
              </w:rPr>
              <w:tab/>
            </w:r>
            <w:r w:rsidR="00E512A2">
              <w:rPr>
                <w:noProof/>
                <w:webHidden/>
              </w:rPr>
              <w:fldChar w:fldCharType="begin"/>
            </w:r>
            <w:r w:rsidR="00E512A2">
              <w:rPr>
                <w:noProof/>
                <w:webHidden/>
              </w:rPr>
              <w:instrText xml:space="preserve"> PAGEREF _Toc219050344 \h </w:instrText>
            </w:r>
            <w:r w:rsidR="00E512A2">
              <w:rPr>
                <w:noProof/>
                <w:webHidden/>
              </w:rPr>
            </w:r>
            <w:r w:rsidR="00E512A2">
              <w:rPr>
                <w:noProof/>
                <w:webHidden/>
              </w:rPr>
              <w:fldChar w:fldCharType="separate"/>
            </w:r>
            <w:r w:rsidR="00E512A2">
              <w:rPr>
                <w:noProof/>
                <w:webHidden/>
              </w:rPr>
              <w:t>5</w:t>
            </w:r>
            <w:r w:rsidR="00E512A2">
              <w:rPr>
                <w:noProof/>
                <w:webHidden/>
              </w:rPr>
              <w:fldChar w:fldCharType="end"/>
            </w:r>
          </w:hyperlink>
        </w:p>
        <w:p w14:paraId="77901DB3" w14:textId="4FC1D822" w:rsidR="00E512A2" w:rsidRDefault="00D33FA8">
          <w:pPr>
            <w:pStyle w:val="TOC2"/>
            <w:tabs>
              <w:tab w:val="right" w:leader="dot" w:pos="9016"/>
            </w:tabs>
            <w:rPr>
              <w:rFonts w:asciiTheme="minorHAnsi" w:eastAsiaTheme="minorEastAsia" w:hAnsiTheme="minorHAnsi"/>
              <w:noProof/>
              <w:lang w:eastAsia="en-GB"/>
            </w:rPr>
          </w:pPr>
          <w:hyperlink w:anchor="_Toc219050345" w:history="1">
            <w:r w:rsidR="00E512A2" w:rsidRPr="00F307A8">
              <w:rPr>
                <w:rStyle w:val="Hyperlink"/>
                <w:noProof/>
                <w:lang w:val="en-US"/>
              </w:rPr>
              <w:t>Discussion of Ratios &amp; Calculation</w:t>
            </w:r>
            <w:r w:rsidR="00E512A2">
              <w:rPr>
                <w:noProof/>
                <w:webHidden/>
              </w:rPr>
              <w:tab/>
            </w:r>
            <w:r w:rsidR="00E512A2">
              <w:rPr>
                <w:noProof/>
                <w:webHidden/>
              </w:rPr>
              <w:fldChar w:fldCharType="begin"/>
            </w:r>
            <w:r w:rsidR="00E512A2">
              <w:rPr>
                <w:noProof/>
                <w:webHidden/>
              </w:rPr>
              <w:instrText xml:space="preserve"> PAGEREF _Toc219050345 \h </w:instrText>
            </w:r>
            <w:r w:rsidR="00E512A2">
              <w:rPr>
                <w:noProof/>
                <w:webHidden/>
              </w:rPr>
            </w:r>
            <w:r w:rsidR="00E512A2">
              <w:rPr>
                <w:noProof/>
                <w:webHidden/>
              </w:rPr>
              <w:fldChar w:fldCharType="separate"/>
            </w:r>
            <w:r w:rsidR="00E512A2">
              <w:rPr>
                <w:noProof/>
                <w:webHidden/>
              </w:rPr>
              <w:t>5</w:t>
            </w:r>
            <w:r w:rsidR="00E512A2">
              <w:rPr>
                <w:noProof/>
                <w:webHidden/>
              </w:rPr>
              <w:fldChar w:fldCharType="end"/>
            </w:r>
          </w:hyperlink>
        </w:p>
        <w:p w14:paraId="6ED05D20" w14:textId="01CD41D5" w:rsidR="00E512A2" w:rsidRDefault="00D33FA8">
          <w:pPr>
            <w:pStyle w:val="TOC3"/>
            <w:tabs>
              <w:tab w:val="right" w:leader="dot" w:pos="9016"/>
            </w:tabs>
            <w:rPr>
              <w:rFonts w:asciiTheme="minorHAnsi" w:eastAsiaTheme="minorEastAsia" w:hAnsiTheme="minorHAnsi"/>
              <w:noProof/>
              <w:lang w:eastAsia="en-GB"/>
            </w:rPr>
          </w:pPr>
          <w:hyperlink w:anchor="_Toc219050346" w:history="1">
            <w:r w:rsidR="00E512A2" w:rsidRPr="00F307A8">
              <w:rPr>
                <w:rStyle w:val="Hyperlink"/>
                <w:rFonts w:cs="Times New Roman"/>
                <w:b/>
                <w:bCs/>
                <w:noProof/>
                <w:lang w:val="en-US"/>
              </w:rPr>
              <w:t>Profitability Ratio Analysis</w:t>
            </w:r>
            <w:r w:rsidR="00E512A2">
              <w:rPr>
                <w:noProof/>
                <w:webHidden/>
              </w:rPr>
              <w:tab/>
            </w:r>
            <w:r w:rsidR="00E512A2">
              <w:rPr>
                <w:noProof/>
                <w:webHidden/>
              </w:rPr>
              <w:fldChar w:fldCharType="begin"/>
            </w:r>
            <w:r w:rsidR="00E512A2">
              <w:rPr>
                <w:noProof/>
                <w:webHidden/>
              </w:rPr>
              <w:instrText xml:space="preserve"> PAGEREF _Toc219050346 \h </w:instrText>
            </w:r>
            <w:r w:rsidR="00E512A2">
              <w:rPr>
                <w:noProof/>
                <w:webHidden/>
              </w:rPr>
            </w:r>
            <w:r w:rsidR="00E512A2">
              <w:rPr>
                <w:noProof/>
                <w:webHidden/>
              </w:rPr>
              <w:fldChar w:fldCharType="separate"/>
            </w:r>
            <w:r w:rsidR="00E512A2">
              <w:rPr>
                <w:noProof/>
                <w:webHidden/>
              </w:rPr>
              <w:t>5</w:t>
            </w:r>
            <w:r w:rsidR="00E512A2">
              <w:rPr>
                <w:noProof/>
                <w:webHidden/>
              </w:rPr>
              <w:fldChar w:fldCharType="end"/>
            </w:r>
          </w:hyperlink>
        </w:p>
        <w:p w14:paraId="4A9193A1" w14:textId="0E4677DB" w:rsidR="00E512A2" w:rsidRDefault="00D33FA8">
          <w:pPr>
            <w:pStyle w:val="TOC3"/>
            <w:tabs>
              <w:tab w:val="right" w:leader="dot" w:pos="9016"/>
            </w:tabs>
            <w:rPr>
              <w:rFonts w:asciiTheme="minorHAnsi" w:eastAsiaTheme="minorEastAsia" w:hAnsiTheme="minorHAnsi"/>
              <w:noProof/>
              <w:lang w:eastAsia="en-GB"/>
            </w:rPr>
          </w:pPr>
          <w:hyperlink w:anchor="_Toc219050347" w:history="1">
            <w:r w:rsidR="00E512A2" w:rsidRPr="00F307A8">
              <w:rPr>
                <w:rStyle w:val="Hyperlink"/>
                <w:rFonts w:cs="Times New Roman"/>
                <w:b/>
                <w:bCs/>
                <w:noProof/>
                <w:lang w:val="en-US"/>
              </w:rPr>
              <w:t>Liquidity Ratio Analysis</w:t>
            </w:r>
            <w:r w:rsidR="00E512A2">
              <w:rPr>
                <w:noProof/>
                <w:webHidden/>
              </w:rPr>
              <w:tab/>
            </w:r>
            <w:r w:rsidR="00E512A2">
              <w:rPr>
                <w:noProof/>
                <w:webHidden/>
              </w:rPr>
              <w:fldChar w:fldCharType="begin"/>
            </w:r>
            <w:r w:rsidR="00E512A2">
              <w:rPr>
                <w:noProof/>
                <w:webHidden/>
              </w:rPr>
              <w:instrText xml:space="preserve"> PAGEREF _Toc219050347 \h </w:instrText>
            </w:r>
            <w:r w:rsidR="00E512A2">
              <w:rPr>
                <w:noProof/>
                <w:webHidden/>
              </w:rPr>
            </w:r>
            <w:r w:rsidR="00E512A2">
              <w:rPr>
                <w:noProof/>
                <w:webHidden/>
              </w:rPr>
              <w:fldChar w:fldCharType="separate"/>
            </w:r>
            <w:r w:rsidR="00E512A2">
              <w:rPr>
                <w:noProof/>
                <w:webHidden/>
              </w:rPr>
              <w:t>7</w:t>
            </w:r>
            <w:r w:rsidR="00E512A2">
              <w:rPr>
                <w:noProof/>
                <w:webHidden/>
              </w:rPr>
              <w:fldChar w:fldCharType="end"/>
            </w:r>
          </w:hyperlink>
        </w:p>
        <w:p w14:paraId="4DD95CD5" w14:textId="3EA3E08A" w:rsidR="00E512A2" w:rsidRDefault="00D33FA8">
          <w:pPr>
            <w:pStyle w:val="TOC3"/>
            <w:tabs>
              <w:tab w:val="right" w:leader="dot" w:pos="9016"/>
            </w:tabs>
            <w:rPr>
              <w:rFonts w:asciiTheme="minorHAnsi" w:eastAsiaTheme="minorEastAsia" w:hAnsiTheme="minorHAnsi"/>
              <w:noProof/>
              <w:lang w:eastAsia="en-GB"/>
            </w:rPr>
          </w:pPr>
          <w:hyperlink w:anchor="_Toc219050348" w:history="1">
            <w:r w:rsidR="00E512A2" w:rsidRPr="00F307A8">
              <w:rPr>
                <w:rStyle w:val="Hyperlink"/>
                <w:rFonts w:cs="Times New Roman"/>
                <w:b/>
                <w:bCs/>
                <w:noProof/>
                <w:lang w:val="en-US"/>
              </w:rPr>
              <w:t>Gearing Ratio Analysis</w:t>
            </w:r>
            <w:r w:rsidR="00E512A2">
              <w:rPr>
                <w:noProof/>
                <w:webHidden/>
              </w:rPr>
              <w:tab/>
            </w:r>
            <w:r w:rsidR="00E512A2">
              <w:rPr>
                <w:noProof/>
                <w:webHidden/>
              </w:rPr>
              <w:fldChar w:fldCharType="begin"/>
            </w:r>
            <w:r w:rsidR="00E512A2">
              <w:rPr>
                <w:noProof/>
                <w:webHidden/>
              </w:rPr>
              <w:instrText xml:space="preserve"> PAGEREF _Toc219050348 \h </w:instrText>
            </w:r>
            <w:r w:rsidR="00E512A2">
              <w:rPr>
                <w:noProof/>
                <w:webHidden/>
              </w:rPr>
            </w:r>
            <w:r w:rsidR="00E512A2">
              <w:rPr>
                <w:noProof/>
                <w:webHidden/>
              </w:rPr>
              <w:fldChar w:fldCharType="separate"/>
            </w:r>
            <w:r w:rsidR="00E512A2">
              <w:rPr>
                <w:noProof/>
                <w:webHidden/>
              </w:rPr>
              <w:t>8</w:t>
            </w:r>
            <w:r w:rsidR="00E512A2">
              <w:rPr>
                <w:noProof/>
                <w:webHidden/>
              </w:rPr>
              <w:fldChar w:fldCharType="end"/>
            </w:r>
          </w:hyperlink>
        </w:p>
        <w:p w14:paraId="26CB2CF3" w14:textId="3B0AB1EA" w:rsidR="00E512A2" w:rsidRDefault="00D33FA8">
          <w:pPr>
            <w:pStyle w:val="TOC3"/>
            <w:tabs>
              <w:tab w:val="right" w:leader="dot" w:pos="9016"/>
            </w:tabs>
            <w:rPr>
              <w:rFonts w:asciiTheme="minorHAnsi" w:eastAsiaTheme="minorEastAsia" w:hAnsiTheme="minorHAnsi"/>
              <w:noProof/>
              <w:lang w:eastAsia="en-GB"/>
            </w:rPr>
          </w:pPr>
          <w:hyperlink w:anchor="_Toc219050349" w:history="1">
            <w:r w:rsidR="00E512A2" w:rsidRPr="00F307A8">
              <w:rPr>
                <w:rStyle w:val="Hyperlink"/>
                <w:rFonts w:cs="Times New Roman"/>
                <w:b/>
                <w:bCs/>
                <w:noProof/>
                <w:lang w:val="en-US"/>
              </w:rPr>
              <w:t>Efficiency Ratio Analysis</w:t>
            </w:r>
            <w:r w:rsidR="00E512A2">
              <w:rPr>
                <w:noProof/>
                <w:webHidden/>
              </w:rPr>
              <w:tab/>
            </w:r>
            <w:r w:rsidR="00E512A2">
              <w:rPr>
                <w:noProof/>
                <w:webHidden/>
              </w:rPr>
              <w:fldChar w:fldCharType="begin"/>
            </w:r>
            <w:r w:rsidR="00E512A2">
              <w:rPr>
                <w:noProof/>
                <w:webHidden/>
              </w:rPr>
              <w:instrText xml:space="preserve"> PAGEREF _Toc219050349 \h </w:instrText>
            </w:r>
            <w:r w:rsidR="00E512A2">
              <w:rPr>
                <w:noProof/>
                <w:webHidden/>
              </w:rPr>
            </w:r>
            <w:r w:rsidR="00E512A2">
              <w:rPr>
                <w:noProof/>
                <w:webHidden/>
              </w:rPr>
              <w:fldChar w:fldCharType="separate"/>
            </w:r>
            <w:r w:rsidR="00E512A2">
              <w:rPr>
                <w:noProof/>
                <w:webHidden/>
              </w:rPr>
              <w:t>9</w:t>
            </w:r>
            <w:r w:rsidR="00E512A2">
              <w:rPr>
                <w:noProof/>
                <w:webHidden/>
              </w:rPr>
              <w:fldChar w:fldCharType="end"/>
            </w:r>
          </w:hyperlink>
        </w:p>
        <w:p w14:paraId="5B882A63" w14:textId="672CB3F6" w:rsidR="00E512A2" w:rsidRDefault="00D33FA8">
          <w:pPr>
            <w:pStyle w:val="TOC3"/>
            <w:tabs>
              <w:tab w:val="right" w:leader="dot" w:pos="9016"/>
            </w:tabs>
            <w:rPr>
              <w:rFonts w:asciiTheme="minorHAnsi" w:eastAsiaTheme="minorEastAsia" w:hAnsiTheme="minorHAnsi"/>
              <w:noProof/>
              <w:lang w:eastAsia="en-GB"/>
            </w:rPr>
          </w:pPr>
          <w:hyperlink w:anchor="_Toc219050350" w:history="1">
            <w:r w:rsidR="00E512A2" w:rsidRPr="00F307A8">
              <w:rPr>
                <w:rStyle w:val="Hyperlink"/>
                <w:rFonts w:cs="Times New Roman"/>
                <w:b/>
                <w:bCs/>
                <w:noProof/>
                <w:lang w:val="en-US"/>
              </w:rPr>
              <w:t>Investor Ratio Analysis</w:t>
            </w:r>
            <w:r w:rsidR="00E512A2">
              <w:rPr>
                <w:noProof/>
                <w:webHidden/>
              </w:rPr>
              <w:tab/>
            </w:r>
            <w:r w:rsidR="00E512A2">
              <w:rPr>
                <w:noProof/>
                <w:webHidden/>
              </w:rPr>
              <w:fldChar w:fldCharType="begin"/>
            </w:r>
            <w:r w:rsidR="00E512A2">
              <w:rPr>
                <w:noProof/>
                <w:webHidden/>
              </w:rPr>
              <w:instrText xml:space="preserve"> PAGEREF _Toc219050350 \h </w:instrText>
            </w:r>
            <w:r w:rsidR="00E512A2">
              <w:rPr>
                <w:noProof/>
                <w:webHidden/>
              </w:rPr>
            </w:r>
            <w:r w:rsidR="00E512A2">
              <w:rPr>
                <w:noProof/>
                <w:webHidden/>
              </w:rPr>
              <w:fldChar w:fldCharType="separate"/>
            </w:r>
            <w:r w:rsidR="00E512A2">
              <w:rPr>
                <w:noProof/>
                <w:webHidden/>
              </w:rPr>
              <w:t>10</w:t>
            </w:r>
            <w:r w:rsidR="00E512A2">
              <w:rPr>
                <w:noProof/>
                <w:webHidden/>
              </w:rPr>
              <w:fldChar w:fldCharType="end"/>
            </w:r>
          </w:hyperlink>
        </w:p>
        <w:p w14:paraId="11CEF614" w14:textId="6CB8E6FC" w:rsidR="00E512A2" w:rsidRDefault="00D33FA8">
          <w:pPr>
            <w:pStyle w:val="TOC2"/>
            <w:tabs>
              <w:tab w:val="right" w:leader="dot" w:pos="9016"/>
            </w:tabs>
            <w:rPr>
              <w:rFonts w:asciiTheme="minorHAnsi" w:eastAsiaTheme="minorEastAsia" w:hAnsiTheme="minorHAnsi"/>
              <w:noProof/>
              <w:lang w:eastAsia="en-GB"/>
            </w:rPr>
          </w:pPr>
          <w:hyperlink w:anchor="_Toc219050351" w:history="1">
            <w:r w:rsidR="00E512A2" w:rsidRPr="00F307A8">
              <w:rPr>
                <w:rStyle w:val="Hyperlink"/>
                <w:noProof/>
                <w:lang w:val="en-US"/>
              </w:rPr>
              <w:t>Critical Analysis of the Results of Ratio Analysis</w:t>
            </w:r>
            <w:r w:rsidR="00E512A2">
              <w:rPr>
                <w:noProof/>
                <w:webHidden/>
              </w:rPr>
              <w:tab/>
            </w:r>
            <w:r w:rsidR="00E512A2">
              <w:rPr>
                <w:noProof/>
                <w:webHidden/>
              </w:rPr>
              <w:fldChar w:fldCharType="begin"/>
            </w:r>
            <w:r w:rsidR="00E512A2">
              <w:rPr>
                <w:noProof/>
                <w:webHidden/>
              </w:rPr>
              <w:instrText xml:space="preserve"> PAGEREF _Toc219050351 \h </w:instrText>
            </w:r>
            <w:r w:rsidR="00E512A2">
              <w:rPr>
                <w:noProof/>
                <w:webHidden/>
              </w:rPr>
            </w:r>
            <w:r w:rsidR="00E512A2">
              <w:rPr>
                <w:noProof/>
                <w:webHidden/>
              </w:rPr>
              <w:fldChar w:fldCharType="separate"/>
            </w:r>
            <w:r w:rsidR="00E512A2">
              <w:rPr>
                <w:noProof/>
                <w:webHidden/>
              </w:rPr>
              <w:t>11</w:t>
            </w:r>
            <w:r w:rsidR="00E512A2">
              <w:rPr>
                <w:noProof/>
                <w:webHidden/>
              </w:rPr>
              <w:fldChar w:fldCharType="end"/>
            </w:r>
          </w:hyperlink>
        </w:p>
        <w:p w14:paraId="4BC31623" w14:textId="7AF20DAC" w:rsidR="00E512A2" w:rsidRDefault="00D33FA8">
          <w:pPr>
            <w:pStyle w:val="TOC3"/>
            <w:tabs>
              <w:tab w:val="right" w:leader="dot" w:pos="9016"/>
            </w:tabs>
            <w:rPr>
              <w:rFonts w:asciiTheme="minorHAnsi" w:eastAsiaTheme="minorEastAsia" w:hAnsiTheme="minorHAnsi"/>
              <w:noProof/>
              <w:lang w:eastAsia="en-GB"/>
            </w:rPr>
          </w:pPr>
          <w:hyperlink w:anchor="_Toc219050352" w:history="1">
            <w:r w:rsidR="00E512A2" w:rsidRPr="00F307A8">
              <w:rPr>
                <w:rStyle w:val="Hyperlink"/>
                <w:rFonts w:cs="Times New Roman"/>
                <w:b/>
                <w:bCs/>
                <w:noProof/>
                <w:lang w:val="en-US"/>
              </w:rPr>
              <w:t>Performance Drivers and Strategic Context</w:t>
            </w:r>
            <w:r w:rsidR="00E512A2">
              <w:rPr>
                <w:noProof/>
                <w:webHidden/>
              </w:rPr>
              <w:tab/>
            </w:r>
            <w:r w:rsidR="00E512A2">
              <w:rPr>
                <w:noProof/>
                <w:webHidden/>
              </w:rPr>
              <w:fldChar w:fldCharType="begin"/>
            </w:r>
            <w:r w:rsidR="00E512A2">
              <w:rPr>
                <w:noProof/>
                <w:webHidden/>
              </w:rPr>
              <w:instrText xml:space="preserve"> PAGEREF _Toc219050352 \h </w:instrText>
            </w:r>
            <w:r w:rsidR="00E512A2">
              <w:rPr>
                <w:noProof/>
                <w:webHidden/>
              </w:rPr>
            </w:r>
            <w:r w:rsidR="00E512A2">
              <w:rPr>
                <w:noProof/>
                <w:webHidden/>
              </w:rPr>
              <w:fldChar w:fldCharType="separate"/>
            </w:r>
            <w:r w:rsidR="00E512A2">
              <w:rPr>
                <w:noProof/>
                <w:webHidden/>
              </w:rPr>
              <w:t>12</w:t>
            </w:r>
            <w:r w:rsidR="00E512A2">
              <w:rPr>
                <w:noProof/>
                <w:webHidden/>
              </w:rPr>
              <w:fldChar w:fldCharType="end"/>
            </w:r>
          </w:hyperlink>
        </w:p>
        <w:p w14:paraId="16351163" w14:textId="29BEE3D2" w:rsidR="00E512A2" w:rsidRDefault="00D33FA8">
          <w:pPr>
            <w:pStyle w:val="TOC3"/>
            <w:tabs>
              <w:tab w:val="right" w:leader="dot" w:pos="9016"/>
            </w:tabs>
            <w:rPr>
              <w:rFonts w:asciiTheme="minorHAnsi" w:eastAsiaTheme="minorEastAsia" w:hAnsiTheme="minorHAnsi"/>
              <w:noProof/>
              <w:lang w:eastAsia="en-GB"/>
            </w:rPr>
          </w:pPr>
          <w:hyperlink w:anchor="_Toc219050353" w:history="1">
            <w:r w:rsidR="00E512A2" w:rsidRPr="00F307A8">
              <w:rPr>
                <w:rStyle w:val="Hyperlink"/>
                <w:rFonts w:cs="Times New Roman"/>
                <w:b/>
                <w:bCs/>
                <w:noProof/>
                <w:lang w:val="en-US"/>
              </w:rPr>
              <w:t>Limitations of Ratio Analysis</w:t>
            </w:r>
            <w:r w:rsidR="00E512A2">
              <w:rPr>
                <w:noProof/>
                <w:webHidden/>
              </w:rPr>
              <w:tab/>
            </w:r>
            <w:r w:rsidR="00E512A2">
              <w:rPr>
                <w:noProof/>
                <w:webHidden/>
              </w:rPr>
              <w:fldChar w:fldCharType="begin"/>
            </w:r>
            <w:r w:rsidR="00E512A2">
              <w:rPr>
                <w:noProof/>
                <w:webHidden/>
              </w:rPr>
              <w:instrText xml:space="preserve"> PAGEREF _Toc219050353 \h </w:instrText>
            </w:r>
            <w:r w:rsidR="00E512A2">
              <w:rPr>
                <w:noProof/>
                <w:webHidden/>
              </w:rPr>
            </w:r>
            <w:r w:rsidR="00E512A2">
              <w:rPr>
                <w:noProof/>
                <w:webHidden/>
              </w:rPr>
              <w:fldChar w:fldCharType="separate"/>
            </w:r>
            <w:r w:rsidR="00E512A2">
              <w:rPr>
                <w:noProof/>
                <w:webHidden/>
              </w:rPr>
              <w:t>12</w:t>
            </w:r>
            <w:r w:rsidR="00E512A2">
              <w:rPr>
                <w:noProof/>
                <w:webHidden/>
              </w:rPr>
              <w:fldChar w:fldCharType="end"/>
            </w:r>
          </w:hyperlink>
        </w:p>
        <w:p w14:paraId="0CE8C02F" w14:textId="1BAA1862" w:rsidR="00E512A2" w:rsidRDefault="00D33FA8">
          <w:pPr>
            <w:pStyle w:val="TOC3"/>
            <w:tabs>
              <w:tab w:val="right" w:leader="dot" w:pos="9016"/>
            </w:tabs>
            <w:rPr>
              <w:rFonts w:asciiTheme="minorHAnsi" w:eastAsiaTheme="minorEastAsia" w:hAnsiTheme="minorHAnsi"/>
              <w:noProof/>
              <w:lang w:eastAsia="en-GB"/>
            </w:rPr>
          </w:pPr>
          <w:hyperlink w:anchor="_Toc219050354" w:history="1">
            <w:r w:rsidR="00E512A2" w:rsidRPr="00F307A8">
              <w:rPr>
                <w:rStyle w:val="Hyperlink"/>
                <w:rFonts w:cs="Times New Roman"/>
                <w:b/>
                <w:bCs/>
                <w:noProof/>
                <w:lang w:val="en-US"/>
              </w:rPr>
              <w:t>Recommendations for Financial Management Enhancement</w:t>
            </w:r>
            <w:r w:rsidR="00E512A2">
              <w:rPr>
                <w:noProof/>
                <w:webHidden/>
              </w:rPr>
              <w:tab/>
            </w:r>
            <w:r w:rsidR="00E512A2">
              <w:rPr>
                <w:noProof/>
                <w:webHidden/>
              </w:rPr>
              <w:fldChar w:fldCharType="begin"/>
            </w:r>
            <w:r w:rsidR="00E512A2">
              <w:rPr>
                <w:noProof/>
                <w:webHidden/>
              </w:rPr>
              <w:instrText xml:space="preserve"> PAGEREF _Toc219050354 \h </w:instrText>
            </w:r>
            <w:r w:rsidR="00E512A2">
              <w:rPr>
                <w:noProof/>
                <w:webHidden/>
              </w:rPr>
            </w:r>
            <w:r w:rsidR="00E512A2">
              <w:rPr>
                <w:noProof/>
                <w:webHidden/>
              </w:rPr>
              <w:fldChar w:fldCharType="separate"/>
            </w:r>
            <w:r w:rsidR="00E512A2">
              <w:rPr>
                <w:noProof/>
                <w:webHidden/>
              </w:rPr>
              <w:t>13</w:t>
            </w:r>
            <w:r w:rsidR="00E512A2">
              <w:rPr>
                <w:noProof/>
                <w:webHidden/>
              </w:rPr>
              <w:fldChar w:fldCharType="end"/>
            </w:r>
          </w:hyperlink>
        </w:p>
        <w:p w14:paraId="58218DE9" w14:textId="3C94566D" w:rsidR="00E512A2" w:rsidRDefault="00D33FA8">
          <w:pPr>
            <w:pStyle w:val="TOC1"/>
            <w:tabs>
              <w:tab w:val="right" w:leader="dot" w:pos="9016"/>
            </w:tabs>
            <w:rPr>
              <w:rFonts w:asciiTheme="minorHAnsi" w:eastAsiaTheme="minorEastAsia" w:hAnsiTheme="minorHAnsi"/>
              <w:noProof/>
              <w:lang w:eastAsia="en-GB"/>
            </w:rPr>
          </w:pPr>
          <w:hyperlink w:anchor="_Toc219050355" w:history="1">
            <w:r w:rsidR="00E512A2" w:rsidRPr="00F307A8">
              <w:rPr>
                <w:rStyle w:val="Hyperlink"/>
                <w:noProof/>
                <w:lang w:val="en-US"/>
              </w:rPr>
              <w:t>Part Two: Investment Appraisal for Westward PLC</w:t>
            </w:r>
            <w:r w:rsidR="00E512A2">
              <w:rPr>
                <w:noProof/>
                <w:webHidden/>
              </w:rPr>
              <w:tab/>
            </w:r>
            <w:r w:rsidR="00E512A2">
              <w:rPr>
                <w:noProof/>
                <w:webHidden/>
              </w:rPr>
              <w:fldChar w:fldCharType="begin"/>
            </w:r>
            <w:r w:rsidR="00E512A2">
              <w:rPr>
                <w:noProof/>
                <w:webHidden/>
              </w:rPr>
              <w:instrText xml:space="preserve"> PAGEREF _Toc219050355 \h </w:instrText>
            </w:r>
            <w:r w:rsidR="00E512A2">
              <w:rPr>
                <w:noProof/>
                <w:webHidden/>
              </w:rPr>
            </w:r>
            <w:r w:rsidR="00E512A2">
              <w:rPr>
                <w:noProof/>
                <w:webHidden/>
              </w:rPr>
              <w:fldChar w:fldCharType="separate"/>
            </w:r>
            <w:r w:rsidR="00E512A2">
              <w:rPr>
                <w:noProof/>
                <w:webHidden/>
              </w:rPr>
              <w:t>14</w:t>
            </w:r>
            <w:r w:rsidR="00E512A2">
              <w:rPr>
                <w:noProof/>
                <w:webHidden/>
              </w:rPr>
              <w:fldChar w:fldCharType="end"/>
            </w:r>
          </w:hyperlink>
        </w:p>
        <w:p w14:paraId="1A4DFE63" w14:textId="04CFF415" w:rsidR="00E512A2" w:rsidRDefault="00D33FA8">
          <w:pPr>
            <w:pStyle w:val="TOC2"/>
            <w:tabs>
              <w:tab w:val="right" w:leader="dot" w:pos="9016"/>
            </w:tabs>
            <w:rPr>
              <w:rFonts w:asciiTheme="minorHAnsi" w:eastAsiaTheme="minorEastAsia" w:hAnsiTheme="minorHAnsi"/>
              <w:noProof/>
              <w:lang w:eastAsia="en-GB"/>
            </w:rPr>
          </w:pPr>
          <w:hyperlink w:anchor="_Toc219050356" w:history="1">
            <w:r w:rsidR="00E512A2" w:rsidRPr="00F307A8">
              <w:rPr>
                <w:rStyle w:val="Hyperlink"/>
                <w:noProof/>
                <w:lang w:val="en-US"/>
              </w:rPr>
              <w:t>Summary of Investment Opportunity for Westward PLC</w:t>
            </w:r>
            <w:r w:rsidR="00E512A2">
              <w:rPr>
                <w:noProof/>
                <w:webHidden/>
              </w:rPr>
              <w:tab/>
            </w:r>
            <w:r w:rsidR="00E512A2">
              <w:rPr>
                <w:noProof/>
                <w:webHidden/>
              </w:rPr>
              <w:fldChar w:fldCharType="begin"/>
            </w:r>
            <w:r w:rsidR="00E512A2">
              <w:rPr>
                <w:noProof/>
                <w:webHidden/>
              </w:rPr>
              <w:instrText xml:space="preserve"> PAGEREF _Toc219050356 \h </w:instrText>
            </w:r>
            <w:r w:rsidR="00E512A2">
              <w:rPr>
                <w:noProof/>
                <w:webHidden/>
              </w:rPr>
            </w:r>
            <w:r w:rsidR="00E512A2">
              <w:rPr>
                <w:noProof/>
                <w:webHidden/>
              </w:rPr>
              <w:fldChar w:fldCharType="separate"/>
            </w:r>
            <w:r w:rsidR="00E512A2">
              <w:rPr>
                <w:noProof/>
                <w:webHidden/>
              </w:rPr>
              <w:t>14</w:t>
            </w:r>
            <w:r w:rsidR="00E512A2">
              <w:rPr>
                <w:noProof/>
                <w:webHidden/>
              </w:rPr>
              <w:fldChar w:fldCharType="end"/>
            </w:r>
          </w:hyperlink>
        </w:p>
        <w:p w14:paraId="3D24CE2B" w14:textId="25679B7D" w:rsidR="00E512A2" w:rsidRDefault="00D33FA8">
          <w:pPr>
            <w:pStyle w:val="TOC2"/>
            <w:tabs>
              <w:tab w:val="right" w:leader="dot" w:pos="9016"/>
            </w:tabs>
            <w:rPr>
              <w:rFonts w:asciiTheme="minorHAnsi" w:eastAsiaTheme="minorEastAsia" w:hAnsiTheme="minorHAnsi"/>
              <w:noProof/>
              <w:lang w:eastAsia="en-GB"/>
            </w:rPr>
          </w:pPr>
          <w:hyperlink w:anchor="_Toc219050357" w:history="1">
            <w:r w:rsidR="00E512A2" w:rsidRPr="00F307A8">
              <w:rPr>
                <w:rStyle w:val="Hyperlink"/>
                <w:noProof/>
                <w:lang w:val="en-US"/>
              </w:rPr>
              <w:t>Discussion of NPV and IRR &amp; Calculation of Options Available</w:t>
            </w:r>
            <w:r w:rsidR="00E512A2">
              <w:rPr>
                <w:noProof/>
                <w:webHidden/>
              </w:rPr>
              <w:tab/>
            </w:r>
            <w:r w:rsidR="00E512A2">
              <w:rPr>
                <w:noProof/>
                <w:webHidden/>
              </w:rPr>
              <w:fldChar w:fldCharType="begin"/>
            </w:r>
            <w:r w:rsidR="00E512A2">
              <w:rPr>
                <w:noProof/>
                <w:webHidden/>
              </w:rPr>
              <w:instrText xml:space="preserve"> PAGEREF _Toc219050357 \h </w:instrText>
            </w:r>
            <w:r w:rsidR="00E512A2">
              <w:rPr>
                <w:noProof/>
                <w:webHidden/>
              </w:rPr>
            </w:r>
            <w:r w:rsidR="00E512A2">
              <w:rPr>
                <w:noProof/>
                <w:webHidden/>
              </w:rPr>
              <w:fldChar w:fldCharType="separate"/>
            </w:r>
            <w:r w:rsidR="00E512A2">
              <w:rPr>
                <w:noProof/>
                <w:webHidden/>
              </w:rPr>
              <w:t>14</w:t>
            </w:r>
            <w:r w:rsidR="00E512A2">
              <w:rPr>
                <w:noProof/>
                <w:webHidden/>
              </w:rPr>
              <w:fldChar w:fldCharType="end"/>
            </w:r>
          </w:hyperlink>
        </w:p>
        <w:p w14:paraId="480615EC" w14:textId="25A3665D" w:rsidR="00E512A2" w:rsidRDefault="00D33FA8">
          <w:pPr>
            <w:pStyle w:val="TOC3"/>
            <w:tabs>
              <w:tab w:val="right" w:leader="dot" w:pos="9016"/>
            </w:tabs>
            <w:rPr>
              <w:rFonts w:asciiTheme="minorHAnsi" w:eastAsiaTheme="minorEastAsia" w:hAnsiTheme="minorHAnsi"/>
              <w:noProof/>
              <w:lang w:eastAsia="en-GB"/>
            </w:rPr>
          </w:pPr>
          <w:hyperlink w:anchor="_Toc219050358" w:history="1">
            <w:r w:rsidR="00E512A2" w:rsidRPr="00F307A8">
              <w:rPr>
                <w:rStyle w:val="Hyperlink"/>
                <w:rFonts w:cs="Times New Roman"/>
                <w:b/>
                <w:bCs/>
                <w:noProof/>
                <w:lang w:val="en-US"/>
              </w:rPr>
              <w:t>Discussion of Net Present Value and Calculation</w:t>
            </w:r>
            <w:r w:rsidR="00E512A2">
              <w:rPr>
                <w:noProof/>
                <w:webHidden/>
              </w:rPr>
              <w:tab/>
            </w:r>
            <w:r w:rsidR="00E512A2">
              <w:rPr>
                <w:noProof/>
                <w:webHidden/>
              </w:rPr>
              <w:fldChar w:fldCharType="begin"/>
            </w:r>
            <w:r w:rsidR="00E512A2">
              <w:rPr>
                <w:noProof/>
                <w:webHidden/>
              </w:rPr>
              <w:instrText xml:space="preserve"> PAGEREF _Toc219050358 \h </w:instrText>
            </w:r>
            <w:r w:rsidR="00E512A2">
              <w:rPr>
                <w:noProof/>
                <w:webHidden/>
              </w:rPr>
            </w:r>
            <w:r w:rsidR="00E512A2">
              <w:rPr>
                <w:noProof/>
                <w:webHidden/>
              </w:rPr>
              <w:fldChar w:fldCharType="separate"/>
            </w:r>
            <w:r w:rsidR="00E512A2">
              <w:rPr>
                <w:noProof/>
                <w:webHidden/>
              </w:rPr>
              <w:t>14</w:t>
            </w:r>
            <w:r w:rsidR="00E512A2">
              <w:rPr>
                <w:noProof/>
                <w:webHidden/>
              </w:rPr>
              <w:fldChar w:fldCharType="end"/>
            </w:r>
          </w:hyperlink>
        </w:p>
        <w:p w14:paraId="2C83D175" w14:textId="3654D20D" w:rsidR="00E512A2" w:rsidRDefault="00D33FA8">
          <w:pPr>
            <w:pStyle w:val="TOC3"/>
            <w:tabs>
              <w:tab w:val="right" w:leader="dot" w:pos="9016"/>
            </w:tabs>
            <w:rPr>
              <w:rFonts w:asciiTheme="minorHAnsi" w:eastAsiaTheme="minorEastAsia" w:hAnsiTheme="minorHAnsi"/>
              <w:noProof/>
              <w:lang w:eastAsia="en-GB"/>
            </w:rPr>
          </w:pPr>
          <w:hyperlink w:anchor="_Toc219050359" w:history="1">
            <w:r w:rsidR="00E512A2" w:rsidRPr="00F307A8">
              <w:rPr>
                <w:rStyle w:val="Hyperlink"/>
                <w:rFonts w:cs="Times New Roman"/>
                <w:b/>
                <w:bCs/>
                <w:noProof/>
                <w:lang w:val="en-US"/>
              </w:rPr>
              <w:t>Discussion of Internal Rate of Return and Calculation</w:t>
            </w:r>
            <w:r w:rsidR="00E512A2">
              <w:rPr>
                <w:noProof/>
                <w:webHidden/>
              </w:rPr>
              <w:tab/>
            </w:r>
            <w:r w:rsidR="00E512A2">
              <w:rPr>
                <w:noProof/>
                <w:webHidden/>
              </w:rPr>
              <w:fldChar w:fldCharType="begin"/>
            </w:r>
            <w:r w:rsidR="00E512A2">
              <w:rPr>
                <w:noProof/>
                <w:webHidden/>
              </w:rPr>
              <w:instrText xml:space="preserve"> PAGEREF _Toc219050359 \h </w:instrText>
            </w:r>
            <w:r w:rsidR="00E512A2">
              <w:rPr>
                <w:noProof/>
                <w:webHidden/>
              </w:rPr>
            </w:r>
            <w:r w:rsidR="00E512A2">
              <w:rPr>
                <w:noProof/>
                <w:webHidden/>
              </w:rPr>
              <w:fldChar w:fldCharType="separate"/>
            </w:r>
            <w:r w:rsidR="00E512A2">
              <w:rPr>
                <w:noProof/>
                <w:webHidden/>
              </w:rPr>
              <w:t>16</w:t>
            </w:r>
            <w:r w:rsidR="00E512A2">
              <w:rPr>
                <w:noProof/>
                <w:webHidden/>
              </w:rPr>
              <w:fldChar w:fldCharType="end"/>
            </w:r>
          </w:hyperlink>
        </w:p>
        <w:p w14:paraId="58073D5C" w14:textId="13993016" w:rsidR="00E512A2" w:rsidRDefault="00D33FA8">
          <w:pPr>
            <w:pStyle w:val="TOC3"/>
            <w:tabs>
              <w:tab w:val="right" w:leader="dot" w:pos="9016"/>
            </w:tabs>
            <w:rPr>
              <w:rFonts w:asciiTheme="minorHAnsi" w:eastAsiaTheme="minorEastAsia" w:hAnsiTheme="minorHAnsi"/>
              <w:noProof/>
              <w:lang w:eastAsia="en-GB"/>
            </w:rPr>
          </w:pPr>
          <w:hyperlink w:anchor="_Toc219050360" w:history="1">
            <w:r w:rsidR="00E512A2" w:rsidRPr="00F307A8">
              <w:rPr>
                <w:rStyle w:val="Hyperlink"/>
                <w:rFonts w:cs="Times New Roman"/>
                <w:b/>
                <w:bCs/>
                <w:noProof/>
                <w:lang w:val="en-US"/>
              </w:rPr>
              <w:t>Theoretical Foundation of NPV as the Superior Investment Appraisal Method</w:t>
            </w:r>
            <w:r w:rsidR="00E512A2">
              <w:rPr>
                <w:noProof/>
                <w:webHidden/>
              </w:rPr>
              <w:tab/>
            </w:r>
            <w:r w:rsidR="00E512A2">
              <w:rPr>
                <w:noProof/>
                <w:webHidden/>
              </w:rPr>
              <w:fldChar w:fldCharType="begin"/>
            </w:r>
            <w:r w:rsidR="00E512A2">
              <w:rPr>
                <w:noProof/>
                <w:webHidden/>
              </w:rPr>
              <w:instrText xml:space="preserve"> PAGEREF _Toc219050360 \h </w:instrText>
            </w:r>
            <w:r w:rsidR="00E512A2">
              <w:rPr>
                <w:noProof/>
                <w:webHidden/>
              </w:rPr>
            </w:r>
            <w:r w:rsidR="00E512A2">
              <w:rPr>
                <w:noProof/>
                <w:webHidden/>
              </w:rPr>
              <w:fldChar w:fldCharType="separate"/>
            </w:r>
            <w:r w:rsidR="00E512A2">
              <w:rPr>
                <w:noProof/>
                <w:webHidden/>
              </w:rPr>
              <w:t>17</w:t>
            </w:r>
            <w:r w:rsidR="00E512A2">
              <w:rPr>
                <w:noProof/>
                <w:webHidden/>
              </w:rPr>
              <w:fldChar w:fldCharType="end"/>
            </w:r>
          </w:hyperlink>
        </w:p>
        <w:p w14:paraId="28C9D3AE" w14:textId="1F113724" w:rsidR="00E512A2" w:rsidRDefault="00D33FA8">
          <w:pPr>
            <w:pStyle w:val="TOC3"/>
            <w:tabs>
              <w:tab w:val="right" w:leader="dot" w:pos="9016"/>
            </w:tabs>
            <w:rPr>
              <w:rFonts w:asciiTheme="minorHAnsi" w:eastAsiaTheme="minorEastAsia" w:hAnsiTheme="minorHAnsi"/>
              <w:noProof/>
              <w:lang w:eastAsia="en-GB"/>
            </w:rPr>
          </w:pPr>
          <w:hyperlink w:anchor="_Toc219050361" w:history="1">
            <w:r w:rsidR="00E512A2" w:rsidRPr="00F307A8">
              <w:rPr>
                <w:rStyle w:val="Hyperlink"/>
                <w:rFonts w:cs="Times New Roman"/>
                <w:b/>
                <w:bCs/>
                <w:noProof/>
                <w:lang w:val="en-US"/>
              </w:rPr>
              <w:t>Popularity of Non-Discounting Methods</w:t>
            </w:r>
            <w:r w:rsidR="00E512A2">
              <w:rPr>
                <w:noProof/>
                <w:webHidden/>
              </w:rPr>
              <w:tab/>
            </w:r>
            <w:r w:rsidR="00E512A2">
              <w:rPr>
                <w:noProof/>
                <w:webHidden/>
              </w:rPr>
              <w:fldChar w:fldCharType="begin"/>
            </w:r>
            <w:r w:rsidR="00E512A2">
              <w:rPr>
                <w:noProof/>
                <w:webHidden/>
              </w:rPr>
              <w:instrText xml:space="preserve"> PAGEREF _Toc219050361 \h </w:instrText>
            </w:r>
            <w:r w:rsidR="00E512A2">
              <w:rPr>
                <w:noProof/>
                <w:webHidden/>
              </w:rPr>
            </w:r>
            <w:r w:rsidR="00E512A2">
              <w:rPr>
                <w:noProof/>
                <w:webHidden/>
              </w:rPr>
              <w:fldChar w:fldCharType="separate"/>
            </w:r>
            <w:r w:rsidR="00E512A2">
              <w:rPr>
                <w:noProof/>
                <w:webHidden/>
              </w:rPr>
              <w:t>17</w:t>
            </w:r>
            <w:r w:rsidR="00E512A2">
              <w:rPr>
                <w:noProof/>
                <w:webHidden/>
              </w:rPr>
              <w:fldChar w:fldCharType="end"/>
            </w:r>
          </w:hyperlink>
        </w:p>
        <w:p w14:paraId="61CA8B35" w14:textId="4826C96C" w:rsidR="00E512A2" w:rsidRDefault="00D33FA8">
          <w:pPr>
            <w:pStyle w:val="TOC3"/>
            <w:tabs>
              <w:tab w:val="right" w:leader="dot" w:pos="9016"/>
            </w:tabs>
            <w:rPr>
              <w:rFonts w:asciiTheme="minorHAnsi" w:eastAsiaTheme="minorEastAsia" w:hAnsiTheme="minorHAnsi"/>
              <w:noProof/>
              <w:lang w:eastAsia="en-GB"/>
            </w:rPr>
          </w:pPr>
          <w:hyperlink w:anchor="_Toc219050362" w:history="1">
            <w:r w:rsidR="00E512A2" w:rsidRPr="00F307A8">
              <w:rPr>
                <w:rStyle w:val="Hyperlink"/>
                <w:rFonts w:cs="Times New Roman"/>
                <w:b/>
                <w:bCs/>
                <w:noProof/>
                <w:lang w:val="en-US"/>
              </w:rPr>
              <w:t>Factors that Influence Investment Decisions</w:t>
            </w:r>
            <w:r w:rsidR="00E512A2">
              <w:rPr>
                <w:noProof/>
                <w:webHidden/>
              </w:rPr>
              <w:tab/>
            </w:r>
            <w:r w:rsidR="00E512A2">
              <w:rPr>
                <w:noProof/>
                <w:webHidden/>
              </w:rPr>
              <w:fldChar w:fldCharType="begin"/>
            </w:r>
            <w:r w:rsidR="00E512A2">
              <w:rPr>
                <w:noProof/>
                <w:webHidden/>
              </w:rPr>
              <w:instrText xml:space="preserve"> PAGEREF _Toc219050362 \h </w:instrText>
            </w:r>
            <w:r w:rsidR="00E512A2">
              <w:rPr>
                <w:noProof/>
                <w:webHidden/>
              </w:rPr>
            </w:r>
            <w:r w:rsidR="00E512A2">
              <w:rPr>
                <w:noProof/>
                <w:webHidden/>
              </w:rPr>
              <w:fldChar w:fldCharType="separate"/>
            </w:r>
            <w:r w:rsidR="00E512A2">
              <w:rPr>
                <w:noProof/>
                <w:webHidden/>
              </w:rPr>
              <w:t>18</w:t>
            </w:r>
            <w:r w:rsidR="00E512A2">
              <w:rPr>
                <w:noProof/>
                <w:webHidden/>
              </w:rPr>
              <w:fldChar w:fldCharType="end"/>
            </w:r>
          </w:hyperlink>
        </w:p>
        <w:p w14:paraId="324B57A8" w14:textId="065A2317" w:rsidR="00E512A2" w:rsidRDefault="00D33FA8">
          <w:pPr>
            <w:pStyle w:val="TOC3"/>
            <w:tabs>
              <w:tab w:val="right" w:leader="dot" w:pos="9016"/>
            </w:tabs>
            <w:rPr>
              <w:rFonts w:asciiTheme="minorHAnsi" w:eastAsiaTheme="minorEastAsia" w:hAnsiTheme="minorHAnsi"/>
              <w:noProof/>
              <w:lang w:eastAsia="en-GB"/>
            </w:rPr>
          </w:pPr>
          <w:hyperlink w:anchor="_Toc219050363" w:history="1">
            <w:r w:rsidR="00E512A2" w:rsidRPr="00F307A8">
              <w:rPr>
                <w:rStyle w:val="Hyperlink"/>
                <w:rFonts w:cs="Times New Roman"/>
                <w:b/>
                <w:bCs/>
                <w:noProof/>
                <w:lang w:val="en-US"/>
              </w:rPr>
              <w:t>Capital Rationing Analysis</w:t>
            </w:r>
            <w:r w:rsidR="00E512A2">
              <w:rPr>
                <w:noProof/>
                <w:webHidden/>
              </w:rPr>
              <w:tab/>
            </w:r>
            <w:r w:rsidR="00E512A2">
              <w:rPr>
                <w:noProof/>
                <w:webHidden/>
              </w:rPr>
              <w:fldChar w:fldCharType="begin"/>
            </w:r>
            <w:r w:rsidR="00E512A2">
              <w:rPr>
                <w:noProof/>
                <w:webHidden/>
              </w:rPr>
              <w:instrText xml:space="preserve"> PAGEREF _Toc219050363 \h </w:instrText>
            </w:r>
            <w:r w:rsidR="00E512A2">
              <w:rPr>
                <w:noProof/>
                <w:webHidden/>
              </w:rPr>
            </w:r>
            <w:r w:rsidR="00E512A2">
              <w:rPr>
                <w:noProof/>
                <w:webHidden/>
              </w:rPr>
              <w:fldChar w:fldCharType="separate"/>
            </w:r>
            <w:r w:rsidR="00E512A2">
              <w:rPr>
                <w:noProof/>
                <w:webHidden/>
              </w:rPr>
              <w:t>18</w:t>
            </w:r>
            <w:r w:rsidR="00E512A2">
              <w:rPr>
                <w:noProof/>
                <w:webHidden/>
              </w:rPr>
              <w:fldChar w:fldCharType="end"/>
            </w:r>
          </w:hyperlink>
        </w:p>
        <w:p w14:paraId="0F6E94FC" w14:textId="7DFEC833" w:rsidR="00E512A2" w:rsidRDefault="00D33FA8">
          <w:pPr>
            <w:pStyle w:val="TOC3"/>
            <w:tabs>
              <w:tab w:val="right" w:leader="dot" w:pos="9016"/>
            </w:tabs>
            <w:rPr>
              <w:rFonts w:asciiTheme="minorHAnsi" w:eastAsiaTheme="minorEastAsia" w:hAnsiTheme="minorHAnsi"/>
              <w:noProof/>
              <w:lang w:eastAsia="en-GB"/>
            </w:rPr>
          </w:pPr>
          <w:hyperlink w:anchor="_Toc219050364" w:history="1">
            <w:r w:rsidR="00E512A2" w:rsidRPr="00F307A8">
              <w:rPr>
                <w:rStyle w:val="Hyperlink"/>
                <w:rFonts w:cs="Times New Roman"/>
                <w:b/>
                <w:bCs/>
                <w:noProof/>
                <w:lang w:val="en-US"/>
              </w:rPr>
              <w:t>Financing Sources Analysis</w:t>
            </w:r>
            <w:r w:rsidR="00E512A2">
              <w:rPr>
                <w:noProof/>
                <w:webHidden/>
              </w:rPr>
              <w:tab/>
            </w:r>
            <w:r w:rsidR="00E512A2">
              <w:rPr>
                <w:noProof/>
                <w:webHidden/>
              </w:rPr>
              <w:fldChar w:fldCharType="begin"/>
            </w:r>
            <w:r w:rsidR="00E512A2">
              <w:rPr>
                <w:noProof/>
                <w:webHidden/>
              </w:rPr>
              <w:instrText xml:space="preserve"> PAGEREF _Toc219050364 \h </w:instrText>
            </w:r>
            <w:r w:rsidR="00E512A2">
              <w:rPr>
                <w:noProof/>
                <w:webHidden/>
              </w:rPr>
            </w:r>
            <w:r w:rsidR="00E512A2">
              <w:rPr>
                <w:noProof/>
                <w:webHidden/>
              </w:rPr>
              <w:fldChar w:fldCharType="separate"/>
            </w:r>
            <w:r w:rsidR="00E512A2">
              <w:rPr>
                <w:noProof/>
                <w:webHidden/>
              </w:rPr>
              <w:t>19</w:t>
            </w:r>
            <w:r w:rsidR="00E512A2">
              <w:rPr>
                <w:noProof/>
                <w:webHidden/>
              </w:rPr>
              <w:fldChar w:fldCharType="end"/>
            </w:r>
          </w:hyperlink>
        </w:p>
        <w:p w14:paraId="20564FEE" w14:textId="3EFE8757" w:rsidR="00E512A2" w:rsidRDefault="00D33FA8">
          <w:pPr>
            <w:pStyle w:val="TOC1"/>
            <w:tabs>
              <w:tab w:val="right" w:leader="dot" w:pos="9016"/>
            </w:tabs>
            <w:rPr>
              <w:rFonts w:asciiTheme="minorHAnsi" w:eastAsiaTheme="minorEastAsia" w:hAnsiTheme="minorHAnsi"/>
              <w:noProof/>
              <w:lang w:eastAsia="en-GB"/>
            </w:rPr>
          </w:pPr>
          <w:hyperlink w:anchor="_Toc219050365" w:history="1">
            <w:r w:rsidR="00E512A2" w:rsidRPr="00F307A8">
              <w:rPr>
                <w:rStyle w:val="Hyperlink"/>
                <w:noProof/>
                <w:lang w:val="en-US"/>
              </w:rPr>
              <w:t>Conclusion</w:t>
            </w:r>
            <w:r w:rsidR="00E512A2">
              <w:rPr>
                <w:noProof/>
                <w:webHidden/>
              </w:rPr>
              <w:tab/>
            </w:r>
            <w:r w:rsidR="00E512A2">
              <w:rPr>
                <w:noProof/>
                <w:webHidden/>
              </w:rPr>
              <w:fldChar w:fldCharType="begin"/>
            </w:r>
            <w:r w:rsidR="00E512A2">
              <w:rPr>
                <w:noProof/>
                <w:webHidden/>
              </w:rPr>
              <w:instrText xml:space="preserve"> PAGEREF _Toc219050365 \h </w:instrText>
            </w:r>
            <w:r w:rsidR="00E512A2">
              <w:rPr>
                <w:noProof/>
                <w:webHidden/>
              </w:rPr>
            </w:r>
            <w:r w:rsidR="00E512A2">
              <w:rPr>
                <w:noProof/>
                <w:webHidden/>
              </w:rPr>
              <w:fldChar w:fldCharType="separate"/>
            </w:r>
            <w:r w:rsidR="00E512A2">
              <w:rPr>
                <w:noProof/>
                <w:webHidden/>
              </w:rPr>
              <w:t>22</w:t>
            </w:r>
            <w:r w:rsidR="00E512A2">
              <w:rPr>
                <w:noProof/>
                <w:webHidden/>
              </w:rPr>
              <w:fldChar w:fldCharType="end"/>
            </w:r>
          </w:hyperlink>
        </w:p>
        <w:p w14:paraId="2A4522C5" w14:textId="60D79E52" w:rsidR="00E512A2" w:rsidRDefault="00D33FA8">
          <w:pPr>
            <w:pStyle w:val="TOC1"/>
            <w:tabs>
              <w:tab w:val="right" w:leader="dot" w:pos="9016"/>
            </w:tabs>
            <w:rPr>
              <w:rFonts w:asciiTheme="minorHAnsi" w:eastAsiaTheme="minorEastAsia" w:hAnsiTheme="minorHAnsi"/>
              <w:noProof/>
              <w:lang w:eastAsia="en-GB"/>
            </w:rPr>
          </w:pPr>
          <w:hyperlink w:anchor="_Toc219050366" w:history="1">
            <w:r w:rsidR="00E512A2" w:rsidRPr="00F307A8">
              <w:rPr>
                <w:rStyle w:val="Hyperlink"/>
                <w:noProof/>
                <w:lang w:val="en-US"/>
              </w:rPr>
              <w:t>References</w:t>
            </w:r>
            <w:r w:rsidR="00E512A2">
              <w:rPr>
                <w:noProof/>
                <w:webHidden/>
              </w:rPr>
              <w:tab/>
            </w:r>
            <w:r w:rsidR="00E512A2">
              <w:rPr>
                <w:noProof/>
                <w:webHidden/>
              </w:rPr>
              <w:fldChar w:fldCharType="begin"/>
            </w:r>
            <w:r w:rsidR="00E512A2">
              <w:rPr>
                <w:noProof/>
                <w:webHidden/>
              </w:rPr>
              <w:instrText xml:space="preserve"> PAGEREF _Toc219050366 \h </w:instrText>
            </w:r>
            <w:r w:rsidR="00E512A2">
              <w:rPr>
                <w:noProof/>
                <w:webHidden/>
              </w:rPr>
            </w:r>
            <w:r w:rsidR="00E512A2">
              <w:rPr>
                <w:noProof/>
                <w:webHidden/>
              </w:rPr>
              <w:fldChar w:fldCharType="separate"/>
            </w:r>
            <w:r w:rsidR="00E512A2">
              <w:rPr>
                <w:noProof/>
                <w:webHidden/>
              </w:rPr>
              <w:t>23</w:t>
            </w:r>
            <w:r w:rsidR="00E512A2">
              <w:rPr>
                <w:noProof/>
                <w:webHidden/>
              </w:rPr>
              <w:fldChar w:fldCharType="end"/>
            </w:r>
          </w:hyperlink>
        </w:p>
        <w:p w14:paraId="3953BA15" w14:textId="4CD66FB7" w:rsidR="00E512A2" w:rsidRDefault="00D33FA8">
          <w:pPr>
            <w:pStyle w:val="TOC1"/>
            <w:tabs>
              <w:tab w:val="right" w:leader="dot" w:pos="9016"/>
            </w:tabs>
            <w:rPr>
              <w:rFonts w:asciiTheme="minorHAnsi" w:eastAsiaTheme="minorEastAsia" w:hAnsiTheme="minorHAnsi"/>
              <w:noProof/>
              <w:lang w:eastAsia="en-GB"/>
            </w:rPr>
          </w:pPr>
          <w:hyperlink w:anchor="_Toc219050367" w:history="1">
            <w:r w:rsidR="00E512A2" w:rsidRPr="00F307A8">
              <w:rPr>
                <w:rStyle w:val="Hyperlink"/>
                <w:noProof/>
                <w:lang w:val="en-US"/>
              </w:rPr>
              <w:t>Appendix</w:t>
            </w:r>
            <w:r w:rsidR="00E512A2">
              <w:rPr>
                <w:noProof/>
                <w:webHidden/>
              </w:rPr>
              <w:tab/>
            </w:r>
            <w:r w:rsidR="00E512A2">
              <w:rPr>
                <w:noProof/>
                <w:webHidden/>
              </w:rPr>
              <w:fldChar w:fldCharType="begin"/>
            </w:r>
            <w:r w:rsidR="00E512A2">
              <w:rPr>
                <w:noProof/>
                <w:webHidden/>
              </w:rPr>
              <w:instrText xml:space="preserve"> PAGEREF _Toc219050367 \h </w:instrText>
            </w:r>
            <w:r w:rsidR="00E512A2">
              <w:rPr>
                <w:noProof/>
                <w:webHidden/>
              </w:rPr>
            </w:r>
            <w:r w:rsidR="00E512A2">
              <w:rPr>
                <w:noProof/>
                <w:webHidden/>
              </w:rPr>
              <w:fldChar w:fldCharType="separate"/>
            </w:r>
            <w:r w:rsidR="00E512A2">
              <w:rPr>
                <w:noProof/>
                <w:webHidden/>
              </w:rPr>
              <w:t>28</w:t>
            </w:r>
            <w:r w:rsidR="00E512A2">
              <w:rPr>
                <w:noProof/>
                <w:webHidden/>
              </w:rPr>
              <w:fldChar w:fldCharType="end"/>
            </w:r>
          </w:hyperlink>
        </w:p>
        <w:p w14:paraId="62C0E33C" w14:textId="5C167B4A" w:rsidR="00E13B4B" w:rsidRDefault="00E13B4B" w:rsidP="00582589">
          <w:pPr>
            <w:spacing w:line="360" w:lineRule="auto"/>
          </w:pPr>
          <w:r>
            <w:rPr>
              <w:b/>
              <w:bCs/>
            </w:rPr>
            <w:fldChar w:fldCharType="end"/>
          </w:r>
        </w:p>
      </w:sdtContent>
    </w:sdt>
    <w:p w14:paraId="64E2662F" w14:textId="3F27B514" w:rsidR="00E13B4B" w:rsidRDefault="00E13B4B" w:rsidP="00582589">
      <w:pPr>
        <w:spacing w:after="160" w:line="360" w:lineRule="auto"/>
        <w:rPr>
          <w:sz w:val="32"/>
          <w:szCs w:val="36"/>
          <w:lang w:val="en-US"/>
        </w:rPr>
      </w:pPr>
      <w:r>
        <w:rPr>
          <w:sz w:val="32"/>
          <w:szCs w:val="36"/>
          <w:lang w:val="en-US"/>
        </w:rPr>
        <w:br w:type="page"/>
      </w:r>
    </w:p>
    <w:p w14:paraId="715A8BF1" w14:textId="61E5BEC9" w:rsidR="00E13B4B" w:rsidRDefault="00E13B4B" w:rsidP="00582589">
      <w:pPr>
        <w:pStyle w:val="Heading1"/>
        <w:spacing w:line="360" w:lineRule="auto"/>
        <w:rPr>
          <w:lang w:val="en-US"/>
        </w:rPr>
      </w:pPr>
      <w:bookmarkStart w:id="2" w:name="_Toc219050342"/>
      <w:r>
        <w:rPr>
          <w:lang w:val="en-US"/>
        </w:rPr>
        <w:lastRenderedPageBreak/>
        <w:t>Introduction</w:t>
      </w:r>
      <w:bookmarkEnd w:id="2"/>
    </w:p>
    <w:p w14:paraId="3EED2E09" w14:textId="06C9ADB4" w:rsidR="00E13B4B" w:rsidRDefault="00374BDF" w:rsidP="00582589">
      <w:pPr>
        <w:spacing w:line="360" w:lineRule="auto"/>
        <w:rPr>
          <w:lang w:val="en-US"/>
        </w:rPr>
      </w:pPr>
      <w:r>
        <w:rPr>
          <w:lang w:val="en-US"/>
        </w:rPr>
        <w:t>The modern</w:t>
      </w:r>
      <w:r w:rsidR="00873C56">
        <w:rPr>
          <w:lang w:val="en-US"/>
        </w:rPr>
        <w:t xml:space="preserve"> business environment requires rigorous testing of investment opportunities to choose from various mutually exclusive options. </w:t>
      </w:r>
      <w:r w:rsidR="00FB0850">
        <w:rPr>
          <w:lang w:val="en-US"/>
        </w:rPr>
        <w:t xml:space="preserve">Moreover, financial analysis is one of the most important processes to evaluate the financial health and performance of a business. </w:t>
      </w:r>
      <w:r w:rsidR="00693E09">
        <w:rPr>
          <w:lang w:val="en-US"/>
        </w:rPr>
        <w:t xml:space="preserve">This is why being able to use quantitative tools and qualitative considerations effectively </w:t>
      </w:r>
      <w:r w:rsidR="000F1572">
        <w:rPr>
          <w:lang w:val="en-US"/>
        </w:rPr>
        <w:t xml:space="preserve">is of significance. </w:t>
      </w:r>
      <w:r w:rsidR="00251C8B">
        <w:rPr>
          <w:lang w:val="en-US"/>
        </w:rPr>
        <w:t xml:space="preserve">In this report, two parts will be incorporated. </w:t>
      </w:r>
      <w:r w:rsidR="005B36BA">
        <w:rPr>
          <w:lang w:val="en-US"/>
        </w:rPr>
        <w:t>In the first part, an in-depth financial analysis incorporating ratio analysis of Standard Chartered PLC will be provided</w:t>
      </w:r>
      <w:r>
        <w:rPr>
          <w:lang w:val="en-US"/>
        </w:rPr>
        <w:t>,</w:t>
      </w:r>
      <w:r w:rsidR="005B36BA">
        <w:rPr>
          <w:lang w:val="en-US"/>
        </w:rPr>
        <w:t xml:space="preserve"> and the second part of the report will contain a comprehensive report on the use of investment appraisal methods to evaluate the options available to Westward PLC. </w:t>
      </w:r>
      <w:r w:rsidR="003633D3">
        <w:rPr>
          <w:lang w:val="en-US"/>
        </w:rPr>
        <w:t>For the first part of the report, the focus will concentrate mostly on the dynamic nature of the banking sector by emphasizing on macroeconomic landscape</w:t>
      </w:r>
      <w:r>
        <w:rPr>
          <w:lang w:val="en-US"/>
        </w:rPr>
        <w:t>,</w:t>
      </w:r>
      <w:r w:rsidR="003633D3">
        <w:rPr>
          <w:lang w:val="en-US"/>
        </w:rPr>
        <w:t xml:space="preserve"> which includes volatile interest rate environments, regulatory capital requirements</w:t>
      </w:r>
      <w:r>
        <w:rPr>
          <w:lang w:val="en-US"/>
        </w:rPr>
        <w:t>,</w:t>
      </w:r>
      <w:r w:rsidR="003633D3">
        <w:rPr>
          <w:lang w:val="en-US"/>
        </w:rPr>
        <w:t xml:space="preserve"> etc. </w:t>
      </w:r>
      <w:r w:rsidR="000A3470">
        <w:rPr>
          <w:lang w:val="en-US"/>
        </w:rPr>
        <w:t>As Standard Chartered PLC has operations across the world</w:t>
      </w:r>
      <w:r>
        <w:rPr>
          <w:lang w:val="en-US"/>
        </w:rPr>
        <w:t>,</w:t>
      </w:r>
      <w:r w:rsidR="000A3470">
        <w:rPr>
          <w:lang w:val="en-US"/>
        </w:rPr>
        <w:t xml:space="preserve"> including Asia, Africa and </w:t>
      </w:r>
      <w:r>
        <w:rPr>
          <w:lang w:val="en-US"/>
        </w:rPr>
        <w:t xml:space="preserve">the </w:t>
      </w:r>
      <w:r w:rsidR="000A3470">
        <w:rPr>
          <w:lang w:val="en-US"/>
        </w:rPr>
        <w:t xml:space="preserve">Middle East, the analysis of the report will be very extensive to make sense of the company’s financial performance of 2023 and 2024. </w:t>
      </w:r>
      <w:r w:rsidR="005961F2">
        <w:rPr>
          <w:lang w:val="en-US"/>
        </w:rPr>
        <w:t xml:space="preserve">In the second part, </w:t>
      </w:r>
      <w:r w:rsidR="00375A54">
        <w:rPr>
          <w:lang w:val="en-US"/>
        </w:rPr>
        <w:t xml:space="preserve">the capital investment decision framework </w:t>
      </w:r>
      <w:r w:rsidR="005C0613">
        <w:rPr>
          <w:lang w:val="en-US"/>
        </w:rPr>
        <w:t xml:space="preserve">will be used by </w:t>
      </w:r>
      <w:r>
        <w:rPr>
          <w:lang w:val="en-US"/>
        </w:rPr>
        <w:t>utilising</w:t>
      </w:r>
      <w:r w:rsidR="005C0613">
        <w:rPr>
          <w:lang w:val="en-US"/>
        </w:rPr>
        <w:t xml:space="preserve"> net present value and internal rate of return to evaluate the most viable option out of the three </w:t>
      </w:r>
      <w:r w:rsidR="0046436D">
        <w:rPr>
          <w:lang w:val="en-US"/>
        </w:rPr>
        <w:t xml:space="preserve">given ones that will generate the highest value for the company. </w:t>
      </w:r>
      <w:r w:rsidR="00974C9A">
        <w:rPr>
          <w:lang w:val="en-US"/>
        </w:rPr>
        <w:t xml:space="preserve">The most important aspect of the report will be the integrated structure to ensure that the examination of the financial performance of Standard Chartered PLC </w:t>
      </w:r>
      <w:r w:rsidR="00F91AC9">
        <w:rPr>
          <w:lang w:val="en-US"/>
        </w:rPr>
        <w:t xml:space="preserve">remains solid and the investment recommendations to be provided to Westward PLC </w:t>
      </w:r>
      <w:r>
        <w:rPr>
          <w:lang w:val="en-US"/>
        </w:rPr>
        <w:t>remain</w:t>
      </w:r>
      <w:r w:rsidR="00F91AC9">
        <w:rPr>
          <w:lang w:val="en-US"/>
        </w:rPr>
        <w:t xml:space="preserve"> the most </w:t>
      </w:r>
      <w:r>
        <w:rPr>
          <w:lang w:val="en-US"/>
        </w:rPr>
        <w:t>resource-utilising</w:t>
      </w:r>
      <w:r w:rsidR="00F91AC9">
        <w:rPr>
          <w:lang w:val="en-US"/>
        </w:rPr>
        <w:t xml:space="preserve"> and value-adding. </w:t>
      </w:r>
      <w:r w:rsidR="00882C50">
        <w:rPr>
          <w:lang w:val="en-US"/>
        </w:rPr>
        <w:t>Through strict quantitative analysis</w:t>
      </w:r>
      <w:r>
        <w:rPr>
          <w:lang w:val="en-US"/>
        </w:rPr>
        <w:t>,</w:t>
      </w:r>
      <w:r w:rsidR="00882C50">
        <w:rPr>
          <w:lang w:val="en-US"/>
        </w:rPr>
        <w:t xml:space="preserve"> which is to be equipped with </w:t>
      </w:r>
      <w:r>
        <w:rPr>
          <w:lang w:val="en-US"/>
        </w:rPr>
        <w:t xml:space="preserve">a </w:t>
      </w:r>
      <w:r w:rsidR="00882C50">
        <w:rPr>
          <w:lang w:val="en-US"/>
        </w:rPr>
        <w:t xml:space="preserve">strong theoretical underpinning, </w:t>
      </w:r>
      <w:r w:rsidR="00B70760">
        <w:rPr>
          <w:lang w:val="en-US"/>
        </w:rPr>
        <w:t>the aim of the report is to deliver actionable insights for the financial stakeholders as well as the managerial teams of the companies to navigate the complex resource allocation problems found in the dynamic business environments.</w:t>
      </w:r>
    </w:p>
    <w:p w14:paraId="308A9658" w14:textId="77777777" w:rsidR="00E13B4B" w:rsidRDefault="00E13B4B" w:rsidP="00582589">
      <w:pPr>
        <w:spacing w:after="160" w:line="360" w:lineRule="auto"/>
        <w:rPr>
          <w:lang w:val="en-US"/>
        </w:rPr>
      </w:pPr>
      <w:r>
        <w:rPr>
          <w:lang w:val="en-US"/>
        </w:rPr>
        <w:br w:type="page"/>
      </w:r>
    </w:p>
    <w:p w14:paraId="4BA68AC6" w14:textId="68199E0D" w:rsidR="00E13B4B" w:rsidRDefault="00E13B4B" w:rsidP="00582589">
      <w:pPr>
        <w:pStyle w:val="Heading1"/>
        <w:spacing w:line="360" w:lineRule="auto"/>
        <w:rPr>
          <w:lang w:val="en-US"/>
        </w:rPr>
      </w:pPr>
      <w:bookmarkStart w:id="3" w:name="_Toc219050343"/>
      <w:r>
        <w:rPr>
          <w:lang w:val="en-US"/>
        </w:rPr>
        <w:lastRenderedPageBreak/>
        <w:t>Part One: Financial Performance Analysis of Standard Chartered PLC</w:t>
      </w:r>
      <w:bookmarkEnd w:id="3"/>
    </w:p>
    <w:p w14:paraId="52D4041E" w14:textId="6755D676" w:rsidR="00044905" w:rsidRDefault="00044905" w:rsidP="00582589">
      <w:pPr>
        <w:pStyle w:val="Heading2"/>
        <w:rPr>
          <w:lang w:val="en-US"/>
        </w:rPr>
      </w:pPr>
      <w:bookmarkStart w:id="4" w:name="_Toc219050344"/>
      <w:r>
        <w:rPr>
          <w:lang w:val="en-US"/>
        </w:rPr>
        <w:t>Summary of Financial Position of Standard Chartered PLC</w:t>
      </w:r>
      <w:bookmarkEnd w:id="4"/>
    </w:p>
    <w:p w14:paraId="1F66FF3F" w14:textId="2CF4FEB2" w:rsidR="00E13B4B" w:rsidRDefault="00AF6413" w:rsidP="00582589">
      <w:pPr>
        <w:spacing w:line="360" w:lineRule="auto"/>
        <w:rPr>
          <w:lang w:val="en-US"/>
        </w:rPr>
      </w:pPr>
      <w:r>
        <w:rPr>
          <w:lang w:val="en-US"/>
        </w:rPr>
        <w:t xml:space="preserve">Standard Chartered PLC has demonstrated very rigorous and improving financial performance from 2023 to 2024. </w:t>
      </w:r>
      <w:r w:rsidR="004C1CF4">
        <w:rPr>
          <w:lang w:val="en-US"/>
        </w:rPr>
        <w:t xml:space="preserve">The company closed its 2024 records with </w:t>
      </w:r>
      <w:r w:rsidR="00374BDF">
        <w:rPr>
          <w:lang w:val="en-US"/>
        </w:rPr>
        <w:t xml:space="preserve">an </w:t>
      </w:r>
      <w:r w:rsidR="009D447C">
        <w:rPr>
          <w:lang w:val="en-US"/>
        </w:rPr>
        <w:t xml:space="preserve">operating income of </w:t>
      </w:r>
      <w:r w:rsidR="004C1CF4">
        <w:rPr>
          <w:lang w:val="en-US"/>
        </w:rPr>
        <w:t>19,696 million USD</w:t>
      </w:r>
      <w:r w:rsidR="00374BDF">
        <w:rPr>
          <w:lang w:val="en-US"/>
        </w:rPr>
        <w:t>,</w:t>
      </w:r>
      <w:r w:rsidR="004C1CF4">
        <w:rPr>
          <w:lang w:val="en-US"/>
        </w:rPr>
        <w:t xml:space="preserve"> which is a 14% increase from 2023</w:t>
      </w:r>
      <w:r w:rsidR="007F5A95">
        <w:rPr>
          <w:lang w:val="en-US"/>
        </w:rPr>
        <w:t xml:space="preserve"> (</w:t>
      </w:r>
      <w:r w:rsidR="007F5A95" w:rsidRPr="00594B6C">
        <w:t>Asian Banking and Finance</w:t>
      </w:r>
      <w:r w:rsidR="007F5A95">
        <w:t>, 2025)</w:t>
      </w:r>
      <w:r w:rsidR="004C1CF4">
        <w:rPr>
          <w:lang w:val="en-US"/>
        </w:rPr>
        <w:t xml:space="preserve">. </w:t>
      </w:r>
      <w:r w:rsidR="00187259">
        <w:rPr>
          <w:lang w:val="en-US"/>
        </w:rPr>
        <w:t xml:space="preserve">Moreover, the strategic focus of cross-border corporate banking and affluent wealth management </w:t>
      </w:r>
      <w:r w:rsidR="00374BDF">
        <w:rPr>
          <w:lang w:val="en-US"/>
        </w:rPr>
        <w:t>has</w:t>
      </w:r>
      <w:r w:rsidR="00187259">
        <w:rPr>
          <w:lang w:val="en-US"/>
        </w:rPr>
        <w:t xml:space="preserve"> been noted as the most important </w:t>
      </w:r>
      <w:r w:rsidR="00374BDF">
        <w:rPr>
          <w:lang w:val="en-US"/>
        </w:rPr>
        <w:t>segment</w:t>
      </w:r>
      <w:r w:rsidR="00187259">
        <w:rPr>
          <w:lang w:val="en-US"/>
        </w:rPr>
        <w:t xml:space="preserve"> to drive such enhancements. </w:t>
      </w:r>
      <w:r w:rsidR="00200061">
        <w:rPr>
          <w:lang w:val="en-US"/>
        </w:rPr>
        <w:t>Again, the balance sheet of the company has remained exceptionally strong</w:t>
      </w:r>
      <w:r w:rsidR="00374BDF">
        <w:rPr>
          <w:lang w:val="en-US"/>
        </w:rPr>
        <w:t>,</w:t>
      </w:r>
      <w:r w:rsidR="00200061">
        <w:rPr>
          <w:lang w:val="en-US"/>
        </w:rPr>
        <w:t xml:space="preserve"> with the company’s total assets reaching almost 850,000 million USD in 2024</w:t>
      </w:r>
      <w:r w:rsidR="00374BDF">
        <w:rPr>
          <w:lang w:val="en-US"/>
        </w:rPr>
        <w:t>,</w:t>
      </w:r>
      <w:r w:rsidR="00200061">
        <w:rPr>
          <w:lang w:val="en-US"/>
        </w:rPr>
        <w:t xml:space="preserve"> which increased from 822,844 million USD in 2023</w:t>
      </w:r>
      <w:r w:rsidR="007F5A95">
        <w:rPr>
          <w:lang w:val="en-US"/>
        </w:rPr>
        <w:t xml:space="preserve"> (</w:t>
      </w:r>
      <w:r w:rsidR="007F5A95" w:rsidRPr="00594B6C">
        <w:t>Standard Chartered</w:t>
      </w:r>
      <w:r w:rsidR="007F5A95">
        <w:t>, 2025)</w:t>
      </w:r>
      <w:r w:rsidR="00200061">
        <w:rPr>
          <w:lang w:val="en-US"/>
        </w:rPr>
        <w:t xml:space="preserve">. </w:t>
      </w:r>
      <w:r w:rsidR="00F61911">
        <w:rPr>
          <w:lang w:val="en-US"/>
        </w:rPr>
        <w:t xml:space="preserve">The CET1 ratio of 14.2% also showcased the company’s ability to keep the ratio above the minimum regulatory thresholds. </w:t>
      </w:r>
      <w:r w:rsidR="0026492E">
        <w:rPr>
          <w:lang w:val="en-US"/>
        </w:rPr>
        <w:t>Again, in 2024, the company distributed 4.9 billion USD to its shareholders</w:t>
      </w:r>
      <w:r w:rsidR="00374BDF">
        <w:rPr>
          <w:lang w:val="en-US"/>
        </w:rPr>
        <w:t>,</w:t>
      </w:r>
      <w:r w:rsidR="0026492E">
        <w:rPr>
          <w:lang w:val="en-US"/>
        </w:rPr>
        <w:t xml:space="preserve"> which is yet another record for the company in the same fiscal year</w:t>
      </w:r>
      <w:r w:rsidR="007F5A95">
        <w:rPr>
          <w:lang w:val="en-US"/>
        </w:rPr>
        <w:t xml:space="preserve"> (</w:t>
      </w:r>
      <w:r w:rsidR="007F5A95" w:rsidRPr="00594B6C">
        <w:t>Investing.com</w:t>
      </w:r>
      <w:r w:rsidR="007F5A95">
        <w:t>, 2025)</w:t>
      </w:r>
      <w:r w:rsidR="0026492E">
        <w:rPr>
          <w:lang w:val="en-US"/>
        </w:rPr>
        <w:t xml:space="preserve">. </w:t>
      </w:r>
      <w:r w:rsidR="00E3611B">
        <w:rPr>
          <w:lang w:val="en-US"/>
        </w:rPr>
        <w:t xml:space="preserve">In the following segments, </w:t>
      </w:r>
      <w:r w:rsidR="00F00292">
        <w:rPr>
          <w:lang w:val="en-US"/>
        </w:rPr>
        <w:t xml:space="preserve">more in-depth analysis and calculation of various ratios will be provided to get a comprehensive view of the company achieving all of these financial performance milestones and the </w:t>
      </w:r>
      <w:r w:rsidR="00374BDF">
        <w:rPr>
          <w:lang w:val="en-US"/>
        </w:rPr>
        <w:t>reasons</w:t>
      </w:r>
      <w:r w:rsidR="00F00292">
        <w:rPr>
          <w:lang w:val="en-US"/>
        </w:rPr>
        <w:t xml:space="preserve"> behind the achievements.</w:t>
      </w:r>
    </w:p>
    <w:p w14:paraId="7F0BDC67" w14:textId="13D7F81F" w:rsidR="00771444" w:rsidRDefault="007E4D29" w:rsidP="00582589">
      <w:pPr>
        <w:pStyle w:val="Heading2"/>
        <w:rPr>
          <w:lang w:val="en-US"/>
        </w:rPr>
      </w:pPr>
      <w:bookmarkStart w:id="5" w:name="_Toc219050345"/>
      <w:r>
        <w:rPr>
          <w:lang w:val="en-US"/>
        </w:rPr>
        <w:t xml:space="preserve">Discussion of </w:t>
      </w:r>
      <w:r w:rsidR="00771444">
        <w:rPr>
          <w:lang w:val="en-US"/>
        </w:rPr>
        <w:t>Ratio</w:t>
      </w:r>
      <w:r>
        <w:rPr>
          <w:lang w:val="en-US"/>
        </w:rPr>
        <w:t>s &amp;</w:t>
      </w:r>
      <w:r w:rsidR="00771444">
        <w:rPr>
          <w:lang w:val="en-US"/>
        </w:rPr>
        <w:t xml:space="preserve"> Calculation</w:t>
      </w:r>
      <w:bookmarkEnd w:id="5"/>
    </w:p>
    <w:p w14:paraId="326E24B5" w14:textId="376ACD7C" w:rsidR="00044905" w:rsidRPr="00771444" w:rsidRDefault="00044905" w:rsidP="00582589">
      <w:pPr>
        <w:pStyle w:val="Heading3"/>
        <w:spacing w:line="360" w:lineRule="auto"/>
        <w:rPr>
          <w:rFonts w:ascii="Times New Roman" w:hAnsi="Times New Roman" w:cs="Times New Roman"/>
          <w:b/>
          <w:bCs/>
          <w:sz w:val="24"/>
          <w:szCs w:val="28"/>
          <w:lang w:val="en-US"/>
        </w:rPr>
      </w:pPr>
      <w:bookmarkStart w:id="6" w:name="_Toc219050346"/>
      <w:r w:rsidRPr="00771444">
        <w:rPr>
          <w:rFonts w:ascii="Times New Roman" w:hAnsi="Times New Roman" w:cs="Times New Roman"/>
          <w:b/>
          <w:bCs/>
          <w:sz w:val="24"/>
          <w:szCs w:val="28"/>
          <w:lang w:val="en-US"/>
        </w:rPr>
        <w:t>Profitability Ratio Analysis</w:t>
      </w:r>
      <w:bookmarkEnd w:id="6"/>
    </w:p>
    <w:p w14:paraId="6299696B" w14:textId="71BA8F6B" w:rsidR="00044905" w:rsidRDefault="00C56424" w:rsidP="00582589">
      <w:pPr>
        <w:spacing w:line="360" w:lineRule="auto"/>
        <w:rPr>
          <w:lang w:val="en-US"/>
        </w:rPr>
      </w:pPr>
      <w:r>
        <w:rPr>
          <w:lang w:val="en-US"/>
        </w:rPr>
        <w:t xml:space="preserve">These are ratios which showcase the effectiveness of a company’s management to </w:t>
      </w:r>
      <w:r w:rsidR="00374BDF">
        <w:rPr>
          <w:lang w:val="en-US"/>
        </w:rPr>
        <w:t>utilise</w:t>
      </w:r>
      <w:r>
        <w:rPr>
          <w:lang w:val="en-US"/>
        </w:rPr>
        <w:t xml:space="preserve"> all the resources available to generate profits in various stages</w:t>
      </w:r>
      <w:r w:rsidR="00374BDF">
        <w:rPr>
          <w:lang w:val="en-US"/>
        </w:rPr>
        <w:t>,</w:t>
      </w:r>
      <w:r>
        <w:rPr>
          <w:lang w:val="en-US"/>
        </w:rPr>
        <w:t xml:space="preserve"> including gross, operating, net and others</w:t>
      </w:r>
      <w:r w:rsidR="000B1CB2">
        <w:rPr>
          <w:lang w:val="en-US"/>
        </w:rPr>
        <w:t xml:space="preserve"> (</w:t>
      </w:r>
      <w:r w:rsidR="000B1CB2" w:rsidRPr="000B1CB2">
        <w:t>Rafid</w:t>
      </w:r>
      <w:r w:rsidR="000B1CB2">
        <w:t xml:space="preserve"> et al., 2024)</w:t>
      </w:r>
      <w:r>
        <w:rPr>
          <w:lang w:val="en-US"/>
        </w:rPr>
        <w:t xml:space="preserve">. </w:t>
      </w:r>
      <w:r w:rsidR="00E87A7B">
        <w:rPr>
          <w:lang w:val="en-US"/>
        </w:rPr>
        <w:t>Standard Chartered PLC’s profitability metrics in 2024 and 2023 are calculated and showcased below.</w:t>
      </w:r>
    </w:p>
    <w:p w14:paraId="7EDA25F8" w14:textId="4D714DBF" w:rsidR="009F156E" w:rsidRDefault="009F156E" w:rsidP="00582589">
      <w:pPr>
        <w:spacing w:line="360" w:lineRule="auto"/>
        <w:rPr>
          <w:b/>
          <w:bCs/>
          <w:lang w:val="en-US"/>
        </w:rPr>
      </w:pPr>
      <w:r>
        <w:rPr>
          <w:b/>
          <w:bCs/>
          <w:lang w:val="en-US"/>
        </w:rPr>
        <w:t>Operating Profit Margin</w:t>
      </w:r>
      <w:r w:rsidR="008848ED">
        <w:rPr>
          <w:b/>
          <w:bCs/>
          <w:lang w:val="en-US"/>
        </w:rPr>
        <w:t xml:space="preserve"> = (Profit Before Tax / Total Operating Income) * 100</w:t>
      </w:r>
    </w:p>
    <w:p w14:paraId="2661A1E9" w14:textId="4681299D" w:rsidR="009F156E" w:rsidRDefault="009F156E" w:rsidP="00582589">
      <w:pPr>
        <w:spacing w:line="360" w:lineRule="auto"/>
        <w:rPr>
          <w:b/>
          <w:bCs/>
          <w:lang w:val="en-US"/>
        </w:rPr>
      </w:pPr>
      <w:r>
        <w:rPr>
          <w:b/>
          <w:bCs/>
          <w:lang w:val="en-US"/>
        </w:rPr>
        <w:t>Calculation for 2024</w:t>
      </w:r>
    </w:p>
    <w:p w14:paraId="2AD7D99C" w14:textId="456140DA" w:rsidR="009F156E" w:rsidRPr="009F156E" w:rsidRDefault="009F156E" w:rsidP="00582589">
      <w:pPr>
        <w:pStyle w:val="ListParagraph"/>
        <w:numPr>
          <w:ilvl w:val="0"/>
          <w:numId w:val="1"/>
        </w:numPr>
        <w:spacing w:line="360" w:lineRule="auto"/>
        <w:rPr>
          <w:b/>
          <w:bCs/>
          <w:lang w:val="en-US"/>
        </w:rPr>
      </w:pPr>
      <w:r>
        <w:rPr>
          <w:lang w:val="en-US"/>
        </w:rPr>
        <w:t>Reported Profit Before Tax = $6,014 million</w:t>
      </w:r>
    </w:p>
    <w:p w14:paraId="431E8E5D" w14:textId="4C010A15" w:rsidR="009F156E" w:rsidRPr="009F156E" w:rsidRDefault="009F156E" w:rsidP="00582589">
      <w:pPr>
        <w:pStyle w:val="ListParagraph"/>
        <w:numPr>
          <w:ilvl w:val="0"/>
          <w:numId w:val="1"/>
        </w:numPr>
        <w:spacing w:line="360" w:lineRule="auto"/>
        <w:rPr>
          <w:b/>
          <w:bCs/>
          <w:lang w:val="en-US"/>
        </w:rPr>
      </w:pPr>
      <w:r>
        <w:rPr>
          <w:lang w:val="en-US"/>
        </w:rPr>
        <w:t>Reported Total Operating Income = $19,543 million</w:t>
      </w:r>
    </w:p>
    <w:p w14:paraId="34B6A464" w14:textId="507CA785" w:rsidR="009F156E" w:rsidRPr="009F156E" w:rsidRDefault="009F156E" w:rsidP="00582589">
      <w:pPr>
        <w:pStyle w:val="ListParagraph"/>
        <w:numPr>
          <w:ilvl w:val="0"/>
          <w:numId w:val="1"/>
        </w:numPr>
        <w:spacing w:line="360" w:lineRule="auto"/>
        <w:rPr>
          <w:b/>
          <w:bCs/>
          <w:lang w:val="en-US"/>
        </w:rPr>
      </w:pPr>
      <w:r>
        <w:rPr>
          <w:lang w:val="en-US"/>
        </w:rPr>
        <w:t>Operating Profit Margin = (6,014 / 19,543) * 100 = 30.78%</w:t>
      </w:r>
    </w:p>
    <w:p w14:paraId="488DEBBF" w14:textId="79BE57CF" w:rsidR="009F156E" w:rsidRDefault="009F156E" w:rsidP="00582589">
      <w:pPr>
        <w:spacing w:line="360" w:lineRule="auto"/>
        <w:rPr>
          <w:b/>
          <w:bCs/>
          <w:lang w:val="en-US"/>
        </w:rPr>
      </w:pPr>
      <w:r>
        <w:rPr>
          <w:b/>
          <w:bCs/>
          <w:lang w:val="en-US"/>
        </w:rPr>
        <w:t>Calculation for 202</w:t>
      </w:r>
      <w:r w:rsidR="00C32BB1">
        <w:rPr>
          <w:b/>
          <w:bCs/>
          <w:lang w:val="en-US"/>
        </w:rPr>
        <w:t>3</w:t>
      </w:r>
    </w:p>
    <w:p w14:paraId="0799D2E9" w14:textId="5725D340" w:rsidR="009F156E" w:rsidRPr="009F156E" w:rsidRDefault="009F156E" w:rsidP="00582589">
      <w:pPr>
        <w:pStyle w:val="ListParagraph"/>
        <w:numPr>
          <w:ilvl w:val="0"/>
          <w:numId w:val="1"/>
        </w:numPr>
        <w:spacing w:line="360" w:lineRule="auto"/>
        <w:rPr>
          <w:b/>
          <w:bCs/>
          <w:lang w:val="en-US"/>
        </w:rPr>
      </w:pPr>
      <w:r>
        <w:rPr>
          <w:lang w:val="en-US"/>
        </w:rPr>
        <w:t>Reported Profit Before Tax = $5,093 million</w:t>
      </w:r>
    </w:p>
    <w:p w14:paraId="333CE3ED" w14:textId="23C009E1" w:rsidR="009F156E" w:rsidRPr="009F156E" w:rsidRDefault="009F156E" w:rsidP="00582589">
      <w:pPr>
        <w:pStyle w:val="ListParagraph"/>
        <w:numPr>
          <w:ilvl w:val="0"/>
          <w:numId w:val="1"/>
        </w:numPr>
        <w:spacing w:line="360" w:lineRule="auto"/>
        <w:rPr>
          <w:b/>
          <w:bCs/>
          <w:lang w:val="en-US"/>
        </w:rPr>
      </w:pPr>
      <w:r>
        <w:rPr>
          <w:lang w:val="en-US"/>
        </w:rPr>
        <w:t>Reported Total Operating Income = $18,019 million</w:t>
      </w:r>
    </w:p>
    <w:p w14:paraId="15A143D3" w14:textId="4A11AA3D" w:rsidR="009F156E" w:rsidRPr="00F408A0" w:rsidRDefault="009F156E" w:rsidP="00582589">
      <w:pPr>
        <w:pStyle w:val="ListParagraph"/>
        <w:numPr>
          <w:ilvl w:val="0"/>
          <w:numId w:val="1"/>
        </w:numPr>
        <w:spacing w:line="360" w:lineRule="auto"/>
        <w:rPr>
          <w:b/>
          <w:bCs/>
          <w:lang w:val="en-US"/>
        </w:rPr>
      </w:pPr>
      <w:r>
        <w:rPr>
          <w:lang w:val="en-US"/>
        </w:rPr>
        <w:lastRenderedPageBreak/>
        <w:t>Operating Profit Margin = (5,093 / 18,019) * 100 = 28.26%</w:t>
      </w:r>
    </w:p>
    <w:p w14:paraId="33575712" w14:textId="3930072B" w:rsidR="00F408A0" w:rsidRDefault="00F408A0" w:rsidP="00582589">
      <w:pPr>
        <w:spacing w:line="360" w:lineRule="auto"/>
        <w:rPr>
          <w:lang w:val="en-US"/>
        </w:rPr>
      </w:pPr>
      <w:r>
        <w:rPr>
          <w:lang w:val="en-US"/>
        </w:rPr>
        <w:t xml:space="preserve">Operating profit margin of the company has moved up by 252 basis points or 2.52% from 2023 to 2024. </w:t>
      </w:r>
      <w:r w:rsidR="00B37F3A">
        <w:rPr>
          <w:lang w:val="en-US"/>
        </w:rPr>
        <w:t>This is because the underlying profit before tax has reached 6,811 million USD in 2024</w:t>
      </w:r>
      <w:r w:rsidR="00374BDF">
        <w:rPr>
          <w:lang w:val="en-US"/>
        </w:rPr>
        <w:t>,</w:t>
      </w:r>
      <w:r w:rsidR="00B37F3A">
        <w:rPr>
          <w:lang w:val="en-US"/>
        </w:rPr>
        <w:t xml:space="preserve"> against $5,678 million </w:t>
      </w:r>
      <w:r w:rsidR="00374BDF">
        <w:rPr>
          <w:lang w:val="en-US"/>
        </w:rPr>
        <w:t>in</w:t>
      </w:r>
      <w:r w:rsidR="00B37F3A">
        <w:rPr>
          <w:lang w:val="en-US"/>
        </w:rPr>
        <w:t xml:space="preserve"> 2023. </w:t>
      </w:r>
      <w:r w:rsidR="00CE5F6D">
        <w:rPr>
          <w:lang w:val="en-US"/>
        </w:rPr>
        <w:t>The enhancement has come due to the revenue diversification of the company</w:t>
      </w:r>
      <w:r w:rsidR="00374BDF">
        <w:rPr>
          <w:lang w:val="en-US"/>
        </w:rPr>
        <w:t>,</w:t>
      </w:r>
      <w:r w:rsidR="00CE5F6D">
        <w:rPr>
          <w:lang w:val="en-US"/>
        </w:rPr>
        <w:t xml:space="preserve"> with non-interest income contributing $13,177 million to the cause</w:t>
      </w:r>
      <w:r w:rsidR="006B0FC8">
        <w:rPr>
          <w:lang w:val="en-US"/>
        </w:rPr>
        <w:t>.</w:t>
      </w:r>
    </w:p>
    <w:p w14:paraId="47B246B9" w14:textId="5E268D39" w:rsidR="00C32BB1" w:rsidRDefault="00C32BB1" w:rsidP="00582589">
      <w:pPr>
        <w:spacing w:line="360" w:lineRule="auto"/>
        <w:rPr>
          <w:b/>
          <w:bCs/>
          <w:lang w:val="en-US"/>
        </w:rPr>
      </w:pPr>
      <w:r>
        <w:rPr>
          <w:b/>
          <w:bCs/>
          <w:lang w:val="en-US"/>
        </w:rPr>
        <w:t>Net Profit Margin = (Profit After Tax / Total Operating Income) * 100</w:t>
      </w:r>
    </w:p>
    <w:p w14:paraId="1D4FF2AA" w14:textId="77777777" w:rsidR="00C32BB1" w:rsidRDefault="00C32BB1" w:rsidP="00582589">
      <w:pPr>
        <w:spacing w:line="360" w:lineRule="auto"/>
        <w:rPr>
          <w:b/>
          <w:bCs/>
          <w:lang w:val="en-US"/>
        </w:rPr>
      </w:pPr>
      <w:r>
        <w:rPr>
          <w:b/>
          <w:bCs/>
          <w:lang w:val="en-US"/>
        </w:rPr>
        <w:t>Calculation for 2024</w:t>
      </w:r>
    </w:p>
    <w:p w14:paraId="1F1D13DD" w14:textId="3D033A7A" w:rsidR="00C32BB1" w:rsidRPr="009F156E" w:rsidRDefault="00C32BB1" w:rsidP="00582589">
      <w:pPr>
        <w:pStyle w:val="ListParagraph"/>
        <w:numPr>
          <w:ilvl w:val="0"/>
          <w:numId w:val="1"/>
        </w:numPr>
        <w:spacing w:line="360" w:lineRule="auto"/>
        <w:rPr>
          <w:b/>
          <w:bCs/>
          <w:lang w:val="en-US"/>
        </w:rPr>
      </w:pPr>
      <w:r>
        <w:rPr>
          <w:lang w:val="en-US"/>
        </w:rPr>
        <w:t>Reported Profit After Tax = $4,042 million</w:t>
      </w:r>
    </w:p>
    <w:p w14:paraId="398FD04A" w14:textId="77777777" w:rsidR="00C32BB1" w:rsidRPr="009F156E" w:rsidRDefault="00C32BB1" w:rsidP="00582589">
      <w:pPr>
        <w:pStyle w:val="ListParagraph"/>
        <w:numPr>
          <w:ilvl w:val="0"/>
          <w:numId w:val="1"/>
        </w:numPr>
        <w:spacing w:line="360" w:lineRule="auto"/>
        <w:rPr>
          <w:b/>
          <w:bCs/>
          <w:lang w:val="en-US"/>
        </w:rPr>
      </w:pPr>
      <w:r>
        <w:rPr>
          <w:lang w:val="en-US"/>
        </w:rPr>
        <w:t>Reported Total Operating Income = $19,543 million</w:t>
      </w:r>
    </w:p>
    <w:p w14:paraId="5D3679E7" w14:textId="14BD98B3" w:rsidR="00C32BB1" w:rsidRPr="009F156E" w:rsidRDefault="00C32BB1" w:rsidP="00582589">
      <w:pPr>
        <w:pStyle w:val="ListParagraph"/>
        <w:numPr>
          <w:ilvl w:val="0"/>
          <w:numId w:val="1"/>
        </w:numPr>
        <w:spacing w:line="360" w:lineRule="auto"/>
        <w:rPr>
          <w:b/>
          <w:bCs/>
          <w:lang w:val="en-US"/>
        </w:rPr>
      </w:pPr>
      <w:r>
        <w:rPr>
          <w:lang w:val="en-US"/>
        </w:rPr>
        <w:t>Net Profit Margin = (4,042 / 19,543) * 100 = 20.68%</w:t>
      </w:r>
    </w:p>
    <w:p w14:paraId="0DEF76A7" w14:textId="067478F7" w:rsidR="00C32BB1" w:rsidRDefault="00C32BB1" w:rsidP="00582589">
      <w:pPr>
        <w:spacing w:line="360" w:lineRule="auto"/>
        <w:rPr>
          <w:b/>
          <w:bCs/>
          <w:lang w:val="en-US"/>
        </w:rPr>
      </w:pPr>
      <w:r>
        <w:rPr>
          <w:b/>
          <w:bCs/>
          <w:lang w:val="en-US"/>
        </w:rPr>
        <w:t>Calculation for 2023</w:t>
      </w:r>
    </w:p>
    <w:p w14:paraId="36A78F14" w14:textId="72F99A31" w:rsidR="00C32BB1" w:rsidRPr="009F156E" w:rsidRDefault="00C32BB1" w:rsidP="00582589">
      <w:pPr>
        <w:pStyle w:val="ListParagraph"/>
        <w:numPr>
          <w:ilvl w:val="0"/>
          <w:numId w:val="1"/>
        </w:numPr>
        <w:spacing w:line="360" w:lineRule="auto"/>
        <w:rPr>
          <w:b/>
          <w:bCs/>
          <w:lang w:val="en-US"/>
        </w:rPr>
      </w:pPr>
      <w:r>
        <w:rPr>
          <w:lang w:val="en-US"/>
        </w:rPr>
        <w:t>Reported Profit After Tax = $3,462 million</w:t>
      </w:r>
    </w:p>
    <w:p w14:paraId="5528C4C3" w14:textId="77777777" w:rsidR="00C32BB1" w:rsidRPr="009F156E" w:rsidRDefault="00C32BB1" w:rsidP="00582589">
      <w:pPr>
        <w:pStyle w:val="ListParagraph"/>
        <w:numPr>
          <w:ilvl w:val="0"/>
          <w:numId w:val="1"/>
        </w:numPr>
        <w:spacing w:line="360" w:lineRule="auto"/>
        <w:rPr>
          <w:b/>
          <w:bCs/>
          <w:lang w:val="en-US"/>
        </w:rPr>
      </w:pPr>
      <w:r>
        <w:rPr>
          <w:lang w:val="en-US"/>
        </w:rPr>
        <w:t>Reported Total Operating Income = $18,019 million</w:t>
      </w:r>
    </w:p>
    <w:p w14:paraId="18114628" w14:textId="036B1D9E" w:rsidR="00C32BB1" w:rsidRPr="00F408A0" w:rsidRDefault="00C32BB1" w:rsidP="00582589">
      <w:pPr>
        <w:pStyle w:val="ListParagraph"/>
        <w:numPr>
          <w:ilvl w:val="0"/>
          <w:numId w:val="1"/>
        </w:numPr>
        <w:spacing w:line="360" w:lineRule="auto"/>
        <w:rPr>
          <w:b/>
          <w:bCs/>
          <w:lang w:val="en-US"/>
        </w:rPr>
      </w:pPr>
      <w:r>
        <w:rPr>
          <w:lang w:val="en-US"/>
        </w:rPr>
        <w:t>Net Profit Margin = (3,462 / 18,019) * 100 = 19.21%</w:t>
      </w:r>
    </w:p>
    <w:p w14:paraId="700D4238" w14:textId="2CEB5710" w:rsidR="00C32BB1" w:rsidRDefault="00C32BB1" w:rsidP="00582589">
      <w:pPr>
        <w:spacing w:line="360" w:lineRule="auto"/>
        <w:rPr>
          <w:lang w:val="en-US"/>
        </w:rPr>
      </w:pPr>
      <w:r>
        <w:rPr>
          <w:lang w:val="en-US"/>
        </w:rPr>
        <w:t>Net profit margin of the company has moved up by 147 basis points or 1.47% from 2023 to 2024. The underlying reason causing the net profit margin to increase is the Fit for Growth program undertaken by the bank in 2024</w:t>
      </w:r>
      <w:r w:rsidR="00374BDF">
        <w:rPr>
          <w:lang w:val="en-US"/>
        </w:rPr>
        <w:t>,</w:t>
      </w:r>
      <w:r>
        <w:rPr>
          <w:lang w:val="en-US"/>
        </w:rPr>
        <w:t xml:space="preserve"> with a target to achieve $1.5 billion in structural cost savings over the span of three years in </w:t>
      </w:r>
      <w:r w:rsidR="00374BDF">
        <w:rPr>
          <w:lang w:val="en-US"/>
        </w:rPr>
        <w:t>digitalisation</w:t>
      </w:r>
      <w:r>
        <w:rPr>
          <w:lang w:val="en-US"/>
        </w:rPr>
        <w:t xml:space="preserve"> and organisational simpli</w:t>
      </w:r>
      <w:r w:rsidR="0026493B">
        <w:rPr>
          <w:lang w:val="en-US"/>
        </w:rPr>
        <w:t>fi</w:t>
      </w:r>
      <w:r>
        <w:rPr>
          <w:lang w:val="en-US"/>
        </w:rPr>
        <w:t>cation.</w:t>
      </w:r>
    </w:p>
    <w:p w14:paraId="7B6CFBE3" w14:textId="45769AAA" w:rsidR="00F310D9" w:rsidRDefault="00F310D9" w:rsidP="00F310D9">
      <w:pPr>
        <w:spacing w:line="360" w:lineRule="auto"/>
        <w:jc w:val="center"/>
        <w:rPr>
          <w:lang w:val="en-US"/>
        </w:rPr>
      </w:pPr>
      <w:r>
        <w:rPr>
          <w:noProof/>
          <w:lang w:val="en-US"/>
        </w:rPr>
        <w:drawing>
          <wp:inline distT="0" distB="0" distL="0" distR="0" wp14:anchorId="72185435" wp14:editId="6E9E54F5">
            <wp:extent cx="5486400" cy="3200400"/>
            <wp:effectExtent l="0" t="0" r="0" b="0"/>
            <wp:docPr id="207241421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69370B" w14:textId="448A5FBF" w:rsidR="00F310D9" w:rsidRPr="00F310D9" w:rsidRDefault="00F310D9" w:rsidP="00F310D9">
      <w:pPr>
        <w:spacing w:line="360" w:lineRule="auto"/>
        <w:jc w:val="center"/>
        <w:rPr>
          <w:lang w:val="en-US"/>
        </w:rPr>
      </w:pPr>
      <w:r>
        <w:rPr>
          <w:b/>
          <w:bCs/>
          <w:lang w:val="en-US"/>
        </w:rPr>
        <w:t xml:space="preserve">Figure: </w:t>
      </w:r>
      <w:r>
        <w:rPr>
          <w:lang w:val="en-US"/>
        </w:rPr>
        <w:t>Profitability Ratios (Source: Own)</w:t>
      </w:r>
    </w:p>
    <w:p w14:paraId="27AC7CDB" w14:textId="5A22BD0B" w:rsidR="00044905" w:rsidRPr="00771444" w:rsidRDefault="00044905" w:rsidP="00582589">
      <w:pPr>
        <w:pStyle w:val="Heading3"/>
        <w:spacing w:line="360" w:lineRule="auto"/>
        <w:rPr>
          <w:rFonts w:ascii="Times New Roman" w:hAnsi="Times New Roman" w:cs="Times New Roman"/>
          <w:b/>
          <w:bCs/>
          <w:sz w:val="24"/>
          <w:szCs w:val="28"/>
          <w:lang w:val="en-US"/>
        </w:rPr>
      </w:pPr>
      <w:bookmarkStart w:id="7" w:name="_Toc219050347"/>
      <w:r w:rsidRPr="00771444">
        <w:rPr>
          <w:rFonts w:ascii="Times New Roman" w:hAnsi="Times New Roman" w:cs="Times New Roman"/>
          <w:b/>
          <w:bCs/>
          <w:sz w:val="24"/>
          <w:szCs w:val="28"/>
          <w:lang w:val="en-US"/>
        </w:rPr>
        <w:lastRenderedPageBreak/>
        <w:t>Liquidity Ratio Analysis</w:t>
      </w:r>
      <w:bookmarkEnd w:id="7"/>
    </w:p>
    <w:p w14:paraId="30EC14B6" w14:textId="1BFA97A1" w:rsidR="00044905" w:rsidRDefault="00835699" w:rsidP="00582589">
      <w:pPr>
        <w:spacing w:line="360" w:lineRule="auto"/>
        <w:rPr>
          <w:lang w:val="en-US"/>
        </w:rPr>
      </w:pPr>
      <w:r>
        <w:rPr>
          <w:lang w:val="en-US"/>
        </w:rPr>
        <w:t>These are the ratios which help to assess an organisation’s capacity to meet short-term obligations by using its short-term assets in order to ensure funding stability</w:t>
      </w:r>
      <w:r w:rsidR="006046BD">
        <w:rPr>
          <w:lang w:val="en-US"/>
        </w:rPr>
        <w:t xml:space="preserve"> (</w:t>
      </w:r>
      <w:r w:rsidR="006046BD" w:rsidRPr="006046BD">
        <w:t>Effendie</w:t>
      </w:r>
      <w:r w:rsidR="006046BD">
        <w:t xml:space="preserve"> et al., 2022)</w:t>
      </w:r>
      <w:r>
        <w:rPr>
          <w:lang w:val="en-US"/>
        </w:rPr>
        <w:t>. These ratios are particularly more important in the case of banking institutions</w:t>
      </w:r>
      <w:r w:rsidR="00374BDF">
        <w:rPr>
          <w:lang w:val="en-US"/>
        </w:rPr>
        <w:t>,</w:t>
      </w:r>
      <w:r>
        <w:rPr>
          <w:lang w:val="en-US"/>
        </w:rPr>
        <w:t xml:space="preserve"> as they need to comply with strict regulatory requirements imposed on them.</w:t>
      </w:r>
      <w:r w:rsidR="00D74FDC">
        <w:rPr>
          <w:lang w:val="en-US"/>
        </w:rPr>
        <w:t xml:space="preserve"> Now, the liquidity ratio analysis of Standard Chartered PLC is provided below.</w:t>
      </w:r>
    </w:p>
    <w:p w14:paraId="11AD7DE8" w14:textId="749483C1" w:rsidR="00D74FDC" w:rsidRDefault="00D74FDC" w:rsidP="00582589">
      <w:pPr>
        <w:spacing w:line="360" w:lineRule="auto"/>
        <w:rPr>
          <w:b/>
          <w:bCs/>
          <w:lang w:val="en-US"/>
        </w:rPr>
      </w:pPr>
      <w:r>
        <w:rPr>
          <w:b/>
          <w:bCs/>
          <w:lang w:val="en-US"/>
        </w:rPr>
        <w:t>Advances-to-Deposits Ratio = (Loans and Advances to Customers / Customer Deposits) * 100</w:t>
      </w:r>
    </w:p>
    <w:p w14:paraId="47C3F7C3" w14:textId="77777777" w:rsidR="00D74FDC" w:rsidRDefault="00D74FDC" w:rsidP="00582589">
      <w:pPr>
        <w:spacing w:line="360" w:lineRule="auto"/>
        <w:rPr>
          <w:b/>
          <w:bCs/>
          <w:lang w:val="en-US"/>
        </w:rPr>
      </w:pPr>
      <w:r>
        <w:rPr>
          <w:b/>
          <w:bCs/>
          <w:lang w:val="en-US"/>
        </w:rPr>
        <w:t>Calculation for 2024</w:t>
      </w:r>
    </w:p>
    <w:p w14:paraId="11025DA4" w14:textId="5B5C14C1" w:rsidR="00D74FDC" w:rsidRPr="00D74FDC" w:rsidRDefault="00D74FDC" w:rsidP="00582589">
      <w:pPr>
        <w:pStyle w:val="ListParagraph"/>
        <w:numPr>
          <w:ilvl w:val="0"/>
          <w:numId w:val="1"/>
        </w:numPr>
        <w:spacing w:line="360" w:lineRule="auto"/>
        <w:rPr>
          <w:b/>
          <w:bCs/>
          <w:lang w:val="en-US"/>
        </w:rPr>
      </w:pPr>
      <w:r>
        <w:rPr>
          <w:lang w:val="en-US"/>
        </w:rPr>
        <w:t>Loans and Advances to Customers = $281,032 million</w:t>
      </w:r>
    </w:p>
    <w:p w14:paraId="519425D1" w14:textId="1471DC90" w:rsidR="00D74FDC" w:rsidRPr="00D74FDC" w:rsidRDefault="00D74FDC" w:rsidP="00582589">
      <w:pPr>
        <w:pStyle w:val="ListParagraph"/>
        <w:numPr>
          <w:ilvl w:val="0"/>
          <w:numId w:val="1"/>
        </w:numPr>
        <w:spacing w:line="360" w:lineRule="auto"/>
        <w:rPr>
          <w:b/>
          <w:bCs/>
          <w:lang w:val="en-US"/>
        </w:rPr>
      </w:pPr>
      <w:r>
        <w:rPr>
          <w:lang w:val="en-US"/>
        </w:rPr>
        <w:t>Customer Accounts = $464,489 million</w:t>
      </w:r>
    </w:p>
    <w:p w14:paraId="5213CEDA" w14:textId="24FEDA51" w:rsidR="00D74FDC" w:rsidRPr="009F156E" w:rsidRDefault="00D74FDC" w:rsidP="00582589">
      <w:pPr>
        <w:pStyle w:val="ListParagraph"/>
        <w:numPr>
          <w:ilvl w:val="0"/>
          <w:numId w:val="1"/>
        </w:numPr>
        <w:spacing w:line="360" w:lineRule="auto"/>
        <w:rPr>
          <w:b/>
          <w:bCs/>
          <w:lang w:val="en-US"/>
        </w:rPr>
      </w:pPr>
      <w:r>
        <w:rPr>
          <w:lang w:val="en-US"/>
        </w:rPr>
        <w:t>Advances-to-Deposits Ratio = (281,032 / 464,489) * 100 = 60.51%</w:t>
      </w:r>
    </w:p>
    <w:p w14:paraId="22CF215D" w14:textId="7572BDA1" w:rsidR="00D74FDC" w:rsidRDefault="00D74FDC" w:rsidP="00582589">
      <w:pPr>
        <w:spacing w:line="360" w:lineRule="auto"/>
        <w:rPr>
          <w:b/>
          <w:bCs/>
          <w:lang w:val="en-US"/>
        </w:rPr>
      </w:pPr>
      <w:r>
        <w:rPr>
          <w:b/>
          <w:bCs/>
          <w:lang w:val="en-US"/>
        </w:rPr>
        <w:t>Calculation for 2023</w:t>
      </w:r>
    </w:p>
    <w:p w14:paraId="1453F08F" w14:textId="128692F9" w:rsidR="00D74FDC" w:rsidRPr="00D74FDC" w:rsidRDefault="00D74FDC" w:rsidP="00582589">
      <w:pPr>
        <w:pStyle w:val="ListParagraph"/>
        <w:numPr>
          <w:ilvl w:val="0"/>
          <w:numId w:val="1"/>
        </w:numPr>
        <w:spacing w:line="360" w:lineRule="auto"/>
        <w:rPr>
          <w:b/>
          <w:bCs/>
          <w:lang w:val="en-US"/>
        </w:rPr>
      </w:pPr>
      <w:r>
        <w:rPr>
          <w:lang w:val="en-US"/>
        </w:rPr>
        <w:t>Loans and Advances to Customers = $286,975 million</w:t>
      </w:r>
    </w:p>
    <w:p w14:paraId="7340570B" w14:textId="7A83A3B8" w:rsidR="00D74FDC" w:rsidRPr="00D74FDC" w:rsidRDefault="00D74FDC" w:rsidP="00582589">
      <w:pPr>
        <w:pStyle w:val="ListParagraph"/>
        <w:numPr>
          <w:ilvl w:val="0"/>
          <w:numId w:val="1"/>
        </w:numPr>
        <w:spacing w:line="360" w:lineRule="auto"/>
        <w:rPr>
          <w:b/>
          <w:bCs/>
          <w:lang w:val="en-US"/>
        </w:rPr>
      </w:pPr>
      <w:r>
        <w:rPr>
          <w:lang w:val="en-US"/>
        </w:rPr>
        <w:t>Customer Accounts = $469,418 million</w:t>
      </w:r>
    </w:p>
    <w:p w14:paraId="06583613" w14:textId="11A652C4" w:rsidR="00D74FDC" w:rsidRPr="009F156E" w:rsidRDefault="00D74FDC" w:rsidP="00582589">
      <w:pPr>
        <w:pStyle w:val="ListParagraph"/>
        <w:numPr>
          <w:ilvl w:val="0"/>
          <w:numId w:val="1"/>
        </w:numPr>
        <w:spacing w:line="360" w:lineRule="auto"/>
        <w:rPr>
          <w:b/>
          <w:bCs/>
          <w:lang w:val="en-US"/>
        </w:rPr>
      </w:pPr>
      <w:r>
        <w:rPr>
          <w:lang w:val="en-US"/>
        </w:rPr>
        <w:t>Advances-to-Deposits Ratio = (286,975 / 469,418) * 100 = 61.14%</w:t>
      </w:r>
    </w:p>
    <w:p w14:paraId="2EB8625E" w14:textId="7EE1F2FA" w:rsidR="00D74FDC" w:rsidRPr="00F408A0" w:rsidRDefault="00D74FDC" w:rsidP="00582589">
      <w:pPr>
        <w:spacing w:line="360" w:lineRule="auto"/>
        <w:rPr>
          <w:lang w:val="en-US"/>
        </w:rPr>
      </w:pPr>
      <w:r>
        <w:rPr>
          <w:lang w:val="en-US"/>
        </w:rPr>
        <w:t xml:space="preserve">When </w:t>
      </w:r>
      <w:r w:rsidR="00374BDF">
        <w:rPr>
          <w:lang w:val="en-US"/>
        </w:rPr>
        <w:t xml:space="preserve">the </w:t>
      </w:r>
      <w:r>
        <w:rPr>
          <w:lang w:val="en-US"/>
        </w:rPr>
        <w:t>bank’s reported advances-to-deposits ratio is considered, it remained stable at around 53.3%</w:t>
      </w:r>
      <w:r w:rsidR="00374BDF">
        <w:rPr>
          <w:lang w:val="en-US"/>
        </w:rPr>
        <w:t>;</w:t>
      </w:r>
      <w:r>
        <w:rPr>
          <w:lang w:val="en-US"/>
        </w:rPr>
        <w:t xml:space="preserve"> however, by using the gross balance sheet figures, the ratio declined to 60.51%. In this regard, having this ratio below 60-70% is typically considered conservative</w:t>
      </w:r>
      <w:r w:rsidR="00374BDF">
        <w:rPr>
          <w:lang w:val="en-US"/>
        </w:rPr>
        <w:t>,</w:t>
      </w:r>
      <w:r>
        <w:rPr>
          <w:lang w:val="en-US"/>
        </w:rPr>
        <w:t xml:space="preserve"> which is the approach being used by the company at this point.</w:t>
      </w:r>
      <w:r w:rsidR="00D750C2">
        <w:rPr>
          <w:lang w:val="en-US"/>
        </w:rPr>
        <w:t xml:space="preserve"> However, the current disposition </w:t>
      </w:r>
      <w:r w:rsidR="00591195">
        <w:rPr>
          <w:lang w:val="en-US"/>
        </w:rPr>
        <w:t>is due to the reduction of customer accounts in 2024 compared to 2023.</w:t>
      </w:r>
    </w:p>
    <w:p w14:paraId="29EB6713" w14:textId="4C1F48FD" w:rsidR="00D74FDC" w:rsidRDefault="009A37F9" w:rsidP="00582589">
      <w:pPr>
        <w:spacing w:line="360" w:lineRule="auto"/>
        <w:rPr>
          <w:b/>
          <w:bCs/>
          <w:lang w:val="en-US"/>
        </w:rPr>
      </w:pPr>
      <w:r>
        <w:rPr>
          <w:b/>
          <w:bCs/>
          <w:lang w:val="en-US"/>
        </w:rPr>
        <w:t>Cash Ratio</w:t>
      </w:r>
      <w:r w:rsidR="00D74FDC">
        <w:rPr>
          <w:b/>
          <w:bCs/>
          <w:lang w:val="en-US"/>
        </w:rPr>
        <w:t xml:space="preserve"> = (</w:t>
      </w:r>
      <w:r w:rsidR="00D44560">
        <w:rPr>
          <w:b/>
          <w:bCs/>
          <w:lang w:val="en-US"/>
        </w:rPr>
        <w:t xml:space="preserve">Cash and Cash Equivalents </w:t>
      </w:r>
      <w:r w:rsidR="00D74FDC">
        <w:rPr>
          <w:b/>
          <w:bCs/>
          <w:lang w:val="en-US"/>
        </w:rPr>
        <w:t xml:space="preserve">/ </w:t>
      </w:r>
      <w:r w:rsidR="00D44560">
        <w:rPr>
          <w:b/>
          <w:bCs/>
          <w:lang w:val="en-US"/>
        </w:rPr>
        <w:t>Current Liabilities</w:t>
      </w:r>
      <w:r w:rsidR="00D74FDC">
        <w:rPr>
          <w:b/>
          <w:bCs/>
          <w:lang w:val="en-US"/>
        </w:rPr>
        <w:t>) * 100</w:t>
      </w:r>
    </w:p>
    <w:p w14:paraId="46DE0F6E" w14:textId="77777777" w:rsidR="00D74FDC" w:rsidRDefault="00D74FDC" w:rsidP="00582589">
      <w:pPr>
        <w:spacing w:line="360" w:lineRule="auto"/>
        <w:rPr>
          <w:b/>
          <w:bCs/>
          <w:lang w:val="en-US"/>
        </w:rPr>
      </w:pPr>
      <w:r>
        <w:rPr>
          <w:b/>
          <w:bCs/>
          <w:lang w:val="en-US"/>
        </w:rPr>
        <w:t>Calculation for 2024</w:t>
      </w:r>
    </w:p>
    <w:p w14:paraId="5002CC65" w14:textId="11CFC67D" w:rsidR="00D74FDC" w:rsidRPr="009F156E" w:rsidRDefault="004D02A6" w:rsidP="00582589">
      <w:pPr>
        <w:pStyle w:val="ListParagraph"/>
        <w:numPr>
          <w:ilvl w:val="0"/>
          <w:numId w:val="1"/>
        </w:numPr>
        <w:spacing w:line="360" w:lineRule="auto"/>
        <w:rPr>
          <w:b/>
          <w:bCs/>
          <w:lang w:val="en-US"/>
        </w:rPr>
      </w:pPr>
      <w:r>
        <w:rPr>
          <w:lang w:val="en-US"/>
        </w:rPr>
        <w:t>Cash and Balances at Central Banks</w:t>
      </w:r>
      <w:r w:rsidR="00D74FDC">
        <w:rPr>
          <w:lang w:val="en-US"/>
        </w:rPr>
        <w:t xml:space="preserve"> = $</w:t>
      </w:r>
      <w:r>
        <w:rPr>
          <w:lang w:val="en-US"/>
        </w:rPr>
        <w:t xml:space="preserve">63,447 </w:t>
      </w:r>
      <w:r w:rsidR="00D74FDC">
        <w:rPr>
          <w:lang w:val="en-US"/>
        </w:rPr>
        <w:t>million</w:t>
      </w:r>
    </w:p>
    <w:p w14:paraId="16682BF1" w14:textId="7A88DA05" w:rsidR="00D74FDC" w:rsidRPr="009F156E" w:rsidRDefault="004D02A6" w:rsidP="00582589">
      <w:pPr>
        <w:pStyle w:val="ListParagraph"/>
        <w:numPr>
          <w:ilvl w:val="0"/>
          <w:numId w:val="1"/>
        </w:numPr>
        <w:spacing w:line="360" w:lineRule="auto"/>
        <w:rPr>
          <w:b/>
          <w:bCs/>
          <w:lang w:val="en-US"/>
        </w:rPr>
      </w:pPr>
      <w:r>
        <w:rPr>
          <w:lang w:val="en-US"/>
        </w:rPr>
        <w:t xml:space="preserve">Current Liabilities (Customer Deposits) </w:t>
      </w:r>
      <w:r w:rsidR="00D74FDC">
        <w:rPr>
          <w:lang w:val="en-US"/>
        </w:rPr>
        <w:t>= $</w:t>
      </w:r>
      <w:r>
        <w:rPr>
          <w:lang w:val="en-US"/>
        </w:rPr>
        <w:t xml:space="preserve">464,489 </w:t>
      </w:r>
      <w:r w:rsidR="00D74FDC">
        <w:rPr>
          <w:lang w:val="en-US"/>
        </w:rPr>
        <w:t>million</w:t>
      </w:r>
    </w:p>
    <w:p w14:paraId="356A6995" w14:textId="2A5D677D" w:rsidR="00D74FDC" w:rsidRPr="009F156E" w:rsidRDefault="004D02A6" w:rsidP="00582589">
      <w:pPr>
        <w:pStyle w:val="ListParagraph"/>
        <w:numPr>
          <w:ilvl w:val="0"/>
          <w:numId w:val="1"/>
        </w:numPr>
        <w:spacing w:line="360" w:lineRule="auto"/>
        <w:rPr>
          <w:b/>
          <w:bCs/>
          <w:lang w:val="en-US"/>
        </w:rPr>
      </w:pPr>
      <w:r>
        <w:rPr>
          <w:lang w:val="en-US"/>
        </w:rPr>
        <w:t>Cash Ratio</w:t>
      </w:r>
      <w:r w:rsidR="00D74FDC">
        <w:rPr>
          <w:lang w:val="en-US"/>
        </w:rPr>
        <w:t xml:space="preserve"> = (6</w:t>
      </w:r>
      <w:r>
        <w:rPr>
          <w:lang w:val="en-US"/>
        </w:rPr>
        <w:t xml:space="preserve">3,447 </w:t>
      </w:r>
      <w:r w:rsidR="00D74FDC">
        <w:rPr>
          <w:lang w:val="en-US"/>
        </w:rPr>
        <w:t xml:space="preserve">/ </w:t>
      </w:r>
      <w:r>
        <w:rPr>
          <w:lang w:val="en-US"/>
        </w:rPr>
        <w:t>464,489</w:t>
      </w:r>
      <w:r w:rsidR="00D74FDC">
        <w:rPr>
          <w:lang w:val="en-US"/>
        </w:rPr>
        <w:t xml:space="preserve">) </w:t>
      </w:r>
      <w:r>
        <w:rPr>
          <w:lang w:val="en-US"/>
        </w:rPr>
        <w:t xml:space="preserve">* 100 </w:t>
      </w:r>
      <w:r w:rsidR="00D74FDC">
        <w:rPr>
          <w:lang w:val="en-US"/>
        </w:rPr>
        <w:t xml:space="preserve">= </w:t>
      </w:r>
      <w:r>
        <w:rPr>
          <w:lang w:val="en-US"/>
        </w:rPr>
        <w:t>13.7%</w:t>
      </w:r>
    </w:p>
    <w:p w14:paraId="4E615956" w14:textId="7FE522FF" w:rsidR="00D74FDC" w:rsidRDefault="00D74FDC" w:rsidP="00582589">
      <w:pPr>
        <w:spacing w:line="360" w:lineRule="auto"/>
        <w:rPr>
          <w:b/>
          <w:bCs/>
          <w:lang w:val="en-US"/>
        </w:rPr>
      </w:pPr>
      <w:r>
        <w:rPr>
          <w:b/>
          <w:bCs/>
          <w:lang w:val="en-US"/>
        </w:rPr>
        <w:t>Calculation for 202</w:t>
      </w:r>
      <w:r w:rsidR="004D02A6">
        <w:rPr>
          <w:b/>
          <w:bCs/>
          <w:lang w:val="en-US"/>
        </w:rPr>
        <w:t>3</w:t>
      </w:r>
    </w:p>
    <w:p w14:paraId="0E5401E0" w14:textId="09A10AB5" w:rsidR="004D02A6" w:rsidRPr="009F156E" w:rsidRDefault="004D02A6" w:rsidP="00582589">
      <w:pPr>
        <w:pStyle w:val="ListParagraph"/>
        <w:numPr>
          <w:ilvl w:val="0"/>
          <w:numId w:val="1"/>
        </w:numPr>
        <w:spacing w:line="360" w:lineRule="auto"/>
        <w:rPr>
          <w:b/>
          <w:bCs/>
          <w:lang w:val="en-US"/>
        </w:rPr>
      </w:pPr>
      <w:r>
        <w:rPr>
          <w:lang w:val="en-US"/>
        </w:rPr>
        <w:t>Cash and Balances at Central Banks = $69,500 million</w:t>
      </w:r>
    </w:p>
    <w:p w14:paraId="47D8AFDD" w14:textId="258F9315" w:rsidR="004D02A6" w:rsidRPr="009F156E" w:rsidRDefault="004D02A6" w:rsidP="00582589">
      <w:pPr>
        <w:pStyle w:val="ListParagraph"/>
        <w:numPr>
          <w:ilvl w:val="0"/>
          <w:numId w:val="1"/>
        </w:numPr>
        <w:spacing w:line="360" w:lineRule="auto"/>
        <w:rPr>
          <w:b/>
          <w:bCs/>
          <w:lang w:val="en-US"/>
        </w:rPr>
      </w:pPr>
      <w:r>
        <w:rPr>
          <w:lang w:val="en-US"/>
        </w:rPr>
        <w:t>Current Liabilities (Customer Deposits) = $469,418 million</w:t>
      </w:r>
    </w:p>
    <w:p w14:paraId="5EDF81AF" w14:textId="1311F23D" w:rsidR="004D02A6" w:rsidRPr="009F156E" w:rsidRDefault="004D02A6" w:rsidP="00582589">
      <w:pPr>
        <w:pStyle w:val="ListParagraph"/>
        <w:numPr>
          <w:ilvl w:val="0"/>
          <w:numId w:val="1"/>
        </w:numPr>
        <w:spacing w:line="360" w:lineRule="auto"/>
        <w:rPr>
          <w:b/>
          <w:bCs/>
          <w:lang w:val="en-US"/>
        </w:rPr>
      </w:pPr>
      <w:r>
        <w:rPr>
          <w:lang w:val="en-US"/>
        </w:rPr>
        <w:t>Cash Ratio = (</w:t>
      </w:r>
      <w:r w:rsidR="007B2355">
        <w:rPr>
          <w:lang w:val="en-US"/>
        </w:rPr>
        <w:t xml:space="preserve">69,500 </w:t>
      </w:r>
      <w:r>
        <w:rPr>
          <w:lang w:val="en-US"/>
        </w:rPr>
        <w:t xml:space="preserve">/ </w:t>
      </w:r>
      <w:r w:rsidR="007B2355">
        <w:rPr>
          <w:lang w:val="en-US"/>
        </w:rPr>
        <w:t>469,418</w:t>
      </w:r>
      <w:r>
        <w:rPr>
          <w:lang w:val="en-US"/>
        </w:rPr>
        <w:t>) * 100 = 14.8%</w:t>
      </w:r>
    </w:p>
    <w:p w14:paraId="3B9657A7" w14:textId="47DD02D5" w:rsidR="00D74FDC" w:rsidRDefault="00D4550E" w:rsidP="00582589">
      <w:pPr>
        <w:spacing w:line="360" w:lineRule="auto"/>
        <w:rPr>
          <w:lang w:val="en-US"/>
        </w:rPr>
      </w:pPr>
      <w:r>
        <w:rPr>
          <w:lang w:val="en-US"/>
        </w:rPr>
        <w:t>The cash ratio has declined quite modestly</w:t>
      </w:r>
      <w:r w:rsidR="00374BDF">
        <w:rPr>
          <w:lang w:val="en-US"/>
        </w:rPr>
        <w:t>,</w:t>
      </w:r>
      <w:r>
        <w:rPr>
          <w:lang w:val="en-US"/>
        </w:rPr>
        <w:t xml:space="preserve"> which showcases the </w:t>
      </w:r>
      <w:r w:rsidR="00374BDF">
        <w:rPr>
          <w:lang w:val="en-US"/>
        </w:rPr>
        <w:t>optimised</w:t>
      </w:r>
      <w:r>
        <w:rPr>
          <w:lang w:val="en-US"/>
        </w:rPr>
        <w:t xml:space="preserve"> deployment of </w:t>
      </w:r>
      <w:r w:rsidR="00CC0224">
        <w:rPr>
          <w:lang w:val="en-US"/>
        </w:rPr>
        <w:t>its liquid assets into higher-yielding instruments</w:t>
      </w:r>
      <w:r w:rsidR="00374BDF">
        <w:rPr>
          <w:lang w:val="en-US"/>
        </w:rPr>
        <w:t>,</w:t>
      </w:r>
      <w:r w:rsidR="00CC0224">
        <w:rPr>
          <w:lang w:val="en-US"/>
        </w:rPr>
        <w:t xml:space="preserve"> which is also present in its revenue structure. </w:t>
      </w:r>
      <w:r w:rsidR="008A5082">
        <w:rPr>
          <w:lang w:val="en-US"/>
        </w:rPr>
        <w:lastRenderedPageBreak/>
        <w:t xml:space="preserve">Banking institutions typically maintain </w:t>
      </w:r>
      <w:r w:rsidR="007F7256">
        <w:rPr>
          <w:lang w:val="en-US"/>
        </w:rPr>
        <w:t>a lower cash ratio than non-financial corporates due to the regulatory frameworks.</w:t>
      </w:r>
    </w:p>
    <w:p w14:paraId="347AE1EF" w14:textId="77777777" w:rsidR="002634BD" w:rsidRDefault="002634BD" w:rsidP="002634BD">
      <w:pPr>
        <w:spacing w:line="360" w:lineRule="auto"/>
        <w:jc w:val="center"/>
        <w:rPr>
          <w:lang w:val="en-US"/>
        </w:rPr>
      </w:pPr>
      <w:r>
        <w:rPr>
          <w:noProof/>
          <w:lang w:val="en-US"/>
        </w:rPr>
        <w:drawing>
          <wp:inline distT="0" distB="0" distL="0" distR="0" wp14:anchorId="01C449A1" wp14:editId="08D39826">
            <wp:extent cx="5486400" cy="3200400"/>
            <wp:effectExtent l="0" t="0" r="0" b="0"/>
            <wp:docPr id="110477954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AE5115" w14:textId="76214953" w:rsidR="002634BD" w:rsidRDefault="002634BD" w:rsidP="002634BD">
      <w:pPr>
        <w:spacing w:line="360" w:lineRule="auto"/>
        <w:jc w:val="center"/>
        <w:rPr>
          <w:lang w:val="en-US"/>
        </w:rPr>
      </w:pPr>
      <w:r>
        <w:rPr>
          <w:b/>
          <w:bCs/>
          <w:lang w:val="en-US"/>
        </w:rPr>
        <w:t xml:space="preserve">Figure: </w:t>
      </w:r>
      <w:r>
        <w:rPr>
          <w:lang w:val="en-US"/>
        </w:rPr>
        <w:t>Liquidity Ratios (Source: Own)</w:t>
      </w:r>
    </w:p>
    <w:p w14:paraId="485967E2" w14:textId="75658C3E" w:rsidR="00044905" w:rsidRPr="00771444" w:rsidRDefault="00044905" w:rsidP="00582589">
      <w:pPr>
        <w:pStyle w:val="Heading3"/>
        <w:spacing w:line="360" w:lineRule="auto"/>
        <w:rPr>
          <w:rFonts w:ascii="Times New Roman" w:hAnsi="Times New Roman" w:cs="Times New Roman"/>
          <w:b/>
          <w:bCs/>
          <w:sz w:val="24"/>
          <w:szCs w:val="28"/>
          <w:lang w:val="en-US"/>
        </w:rPr>
      </w:pPr>
      <w:bookmarkStart w:id="8" w:name="_Toc219050348"/>
      <w:r w:rsidRPr="00771444">
        <w:rPr>
          <w:rFonts w:ascii="Times New Roman" w:hAnsi="Times New Roman" w:cs="Times New Roman"/>
          <w:b/>
          <w:bCs/>
          <w:sz w:val="24"/>
          <w:szCs w:val="28"/>
          <w:lang w:val="en-US"/>
        </w:rPr>
        <w:t>Gearing Ratio Analysis</w:t>
      </w:r>
      <w:bookmarkEnd w:id="8"/>
    </w:p>
    <w:p w14:paraId="1B5DA1A3" w14:textId="361D3A32" w:rsidR="00044905" w:rsidRDefault="00296B05" w:rsidP="00582589">
      <w:pPr>
        <w:spacing w:after="160" w:line="360" w:lineRule="auto"/>
        <w:rPr>
          <w:lang w:val="en-US"/>
        </w:rPr>
      </w:pPr>
      <w:r>
        <w:rPr>
          <w:lang w:val="en-US"/>
        </w:rPr>
        <w:t xml:space="preserve">These are the ratios which measure </w:t>
      </w:r>
      <w:r w:rsidR="00374BDF">
        <w:rPr>
          <w:lang w:val="en-US"/>
        </w:rPr>
        <w:t xml:space="preserve">the </w:t>
      </w:r>
      <w:r>
        <w:rPr>
          <w:lang w:val="en-US"/>
        </w:rPr>
        <w:t xml:space="preserve">financial leverage and capital structure of an institution effectively. </w:t>
      </w:r>
      <w:r w:rsidR="005419AD">
        <w:rPr>
          <w:lang w:val="en-US"/>
        </w:rPr>
        <w:t xml:space="preserve">These ratios are of much importance for </w:t>
      </w:r>
      <w:r w:rsidR="00707702">
        <w:rPr>
          <w:lang w:val="en-US"/>
        </w:rPr>
        <w:t>banking institutions because they help to measure compliance with banking regulations</w:t>
      </w:r>
      <w:r w:rsidR="006046BD">
        <w:rPr>
          <w:lang w:val="en-US"/>
        </w:rPr>
        <w:t xml:space="preserve"> (</w:t>
      </w:r>
      <w:r w:rsidR="006046BD" w:rsidRPr="006046BD">
        <w:t>Tulung</w:t>
      </w:r>
      <w:r w:rsidR="006046BD">
        <w:t xml:space="preserve"> et al., 2024)</w:t>
      </w:r>
      <w:r w:rsidR="00707702">
        <w:rPr>
          <w:lang w:val="en-US"/>
        </w:rPr>
        <w:t>.</w:t>
      </w:r>
      <w:r w:rsidR="00582589">
        <w:rPr>
          <w:lang w:val="en-US"/>
        </w:rPr>
        <w:t xml:space="preserve"> The gearing ratio analysis of Standard Chartered PLC is provided below.</w:t>
      </w:r>
    </w:p>
    <w:p w14:paraId="14B4BD43" w14:textId="2577F01A" w:rsidR="001E7E56" w:rsidRDefault="001E7E56" w:rsidP="001E7E56">
      <w:pPr>
        <w:spacing w:line="360" w:lineRule="auto"/>
        <w:rPr>
          <w:b/>
          <w:bCs/>
          <w:lang w:val="en-US"/>
        </w:rPr>
      </w:pPr>
      <w:r>
        <w:rPr>
          <w:b/>
          <w:bCs/>
          <w:lang w:val="en-US"/>
        </w:rPr>
        <w:t>Equity Ratio = (</w:t>
      </w:r>
      <w:r w:rsidR="00DE0D9B">
        <w:rPr>
          <w:b/>
          <w:bCs/>
          <w:lang w:val="en-US"/>
        </w:rPr>
        <w:t>Total Equity</w:t>
      </w:r>
      <w:r>
        <w:rPr>
          <w:b/>
          <w:bCs/>
          <w:lang w:val="en-US"/>
        </w:rPr>
        <w:t xml:space="preserve"> / </w:t>
      </w:r>
      <w:r w:rsidR="00DE0D9B">
        <w:rPr>
          <w:b/>
          <w:bCs/>
          <w:lang w:val="en-US"/>
        </w:rPr>
        <w:t>Total Assets</w:t>
      </w:r>
      <w:r>
        <w:rPr>
          <w:b/>
          <w:bCs/>
          <w:lang w:val="en-US"/>
        </w:rPr>
        <w:t>)</w:t>
      </w:r>
    </w:p>
    <w:p w14:paraId="74CD7559" w14:textId="77777777" w:rsidR="001E7E56" w:rsidRDefault="001E7E56" w:rsidP="001E7E56">
      <w:pPr>
        <w:spacing w:line="360" w:lineRule="auto"/>
        <w:rPr>
          <w:b/>
          <w:bCs/>
          <w:lang w:val="en-US"/>
        </w:rPr>
      </w:pPr>
      <w:r>
        <w:rPr>
          <w:b/>
          <w:bCs/>
          <w:lang w:val="en-US"/>
        </w:rPr>
        <w:t>Calculation for 2024</w:t>
      </w:r>
    </w:p>
    <w:p w14:paraId="091BD883" w14:textId="01FF89F3" w:rsidR="001E7E56" w:rsidRPr="009F156E" w:rsidRDefault="009B0E8A" w:rsidP="001E7E56">
      <w:pPr>
        <w:pStyle w:val="ListParagraph"/>
        <w:numPr>
          <w:ilvl w:val="0"/>
          <w:numId w:val="1"/>
        </w:numPr>
        <w:spacing w:line="360" w:lineRule="auto"/>
        <w:rPr>
          <w:b/>
          <w:bCs/>
          <w:lang w:val="en-US"/>
        </w:rPr>
      </w:pPr>
      <w:r>
        <w:rPr>
          <w:lang w:val="en-US"/>
        </w:rPr>
        <w:t>Total Equity</w:t>
      </w:r>
      <w:r w:rsidR="001E7E56">
        <w:rPr>
          <w:lang w:val="en-US"/>
        </w:rPr>
        <w:t xml:space="preserve"> = $</w:t>
      </w:r>
      <w:r>
        <w:rPr>
          <w:lang w:val="en-US"/>
        </w:rPr>
        <w:t>51,284</w:t>
      </w:r>
      <w:r w:rsidR="001E7E56">
        <w:rPr>
          <w:lang w:val="en-US"/>
        </w:rPr>
        <w:t xml:space="preserve"> million</w:t>
      </w:r>
    </w:p>
    <w:p w14:paraId="0C4DD2C3" w14:textId="1A4CA221" w:rsidR="001E7E56" w:rsidRPr="009F156E" w:rsidRDefault="009B0E8A" w:rsidP="001E7E56">
      <w:pPr>
        <w:pStyle w:val="ListParagraph"/>
        <w:numPr>
          <w:ilvl w:val="0"/>
          <w:numId w:val="1"/>
        </w:numPr>
        <w:spacing w:line="360" w:lineRule="auto"/>
        <w:rPr>
          <w:b/>
          <w:bCs/>
          <w:lang w:val="en-US"/>
        </w:rPr>
      </w:pPr>
      <w:r>
        <w:rPr>
          <w:lang w:val="en-US"/>
        </w:rPr>
        <w:t>Total Assets</w:t>
      </w:r>
      <w:r w:rsidR="001E7E56">
        <w:rPr>
          <w:lang w:val="en-US"/>
        </w:rPr>
        <w:t xml:space="preserve"> = $</w:t>
      </w:r>
      <w:r>
        <w:rPr>
          <w:lang w:val="en-US"/>
        </w:rPr>
        <w:t>849,688</w:t>
      </w:r>
      <w:r w:rsidR="001E7E56">
        <w:rPr>
          <w:lang w:val="en-US"/>
        </w:rPr>
        <w:t xml:space="preserve"> million</w:t>
      </w:r>
    </w:p>
    <w:p w14:paraId="209B4D05" w14:textId="380A4F8E" w:rsidR="001E7E56" w:rsidRPr="009F156E" w:rsidRDefault="009B0E8A" w:rsidP="001E7E56">
      <w:pPr>
        <w:pStyle w:val="ListParagraph"/>
        <w:numPr>
          <w:ilvl w:val="0"/>
          <w:numId w:val="1"/>
        </w:numPr>
        <w:spacing w:line="360" w:lineRule="auto"/>
        <w:rPr>
          <w:b/>
          <w:bCs/>
          <w:lang w:val="en-US"/>
        </w:rPr>
      </w:pPr>
      <w:r>
        <w:rPr>
          <w:lang w:val="en-US"/>
        </w:rPr>
        <w:t xml:space="preserve">Equity </w:t>
      </w:r>
      <w:r w:rsidR="001E7E56">
        <w:rPr>
          <w:lang w:val="en-US"/>
        </w:rPr>
        <w:t>Ratio = (</w:t>
      </w:r>
      <w:r>
        <w:rPr>
          <w:lang w:val="en-US"/>
        </w:rPr>
        <w:t xml:space="preserve">51,284 </w:t>
      </w:r>
      <w:r w:rsidR="001E7E56">
        <w:rPr>
          <w:lang w:val="en-US"/>
        </w:rPr>
        <w:t xml:space="preserve">/ </w:t>
      </w:r>
      <w:r>
        <w:rPr>
          <w:lang w:val="en-US"/>
        </w:rPr>
        <w:t>849,688</w:t>
      </w:r>
      <w:r w:rsidR="001E7E56">
        <w:rPr>
          <w:lang w:val="en-US"/>
        </w:rPr>
        <w:t xml:space="preserve">) * 100 = </w:t>
      </w:r>
      <w:r>
        <w:rPr>
          <w:lang w:val="en-US"/>
        </w:rPr>
        <w:t>6.04</w:t>
      </w:r>
      <w:r w:rsidR="001E7E56">
        <w:rPr>
          <w:lang w:val="en-US"/>
        </w:rPr>
        <w:t>%</w:t>
      </w:r>
    </w:p>
    <w:p w14:paraId="00E68BEB" w14:textId="77777777" w:rsidR="001E7E56" w:rsidRDefault="001E7E56" w:rsidP="001E7E56">
      <w:pPr>
        <w:spacing w:line="360" w:lineRule="auto"/>
        <w:rPr>
          <w:b/>
          <w:bCs/>
          <w:lang w:val="en-US"/>
        </w:rPr>
      </w:pPr>
      <w:r>
        <w:rPr>
          <w:b/>
          <w:bCs/>
          <w:lang w:val="en-US"/>
        </w:rPr>
        <w:t>Calculation for 2023</w:t>
      </w:r>
    </w:p>
    <w:p w14:paraId="1A402861" w14:textId="7463D5C6" w:rsidR="009B0E8A" w:rsidRPr="009F156E" w:rsidRDefault="009B0E8A" w:rsidP="009B0E8A">
      <w:pPr>
        <w:pStyle w:val="ListParagraph"/>
        <w:numPr>
          <w:ilvl w:val="0"/>
          <w:numId w:val="1"/>
        </w:numPr>
        <w:spacing w:line="360" w:lineRule="auto"/>
        <w:rPr>
          <w:b/>
          <w:bCs/>
          <w:lang w:val="en-US"/>
        </w:rPr>
      </w:pPr>
      <w:r>
        <w:rPr>
          <w:lang w:val="en-US"/>
        </w:rPr>
        <w:t>Total Equity = $50,353 million</w:t>
      </w:r>
    </w:p>
    <w:p w14:paraId="2A59DECA" w14:textId="19143741" w:rsidR="009B0E8A" w:rsidRPr="009F156E" w:rsidRDefault="009B0E8A" w:rsidP="009B0E8A">
      <w:pPr>
        <w:pStyle w:val="ListParagraph"/>
        <w:numPr>
          <w:ilvl w:val="0"/>
          <w:numId w:val="1"/>
        </w:numPr>
        <w:spacing w:line="360" w:lineRule="auto"/>
        <w:rPr>
          <w:b/>
          <w:bCs/>
          <w:lang w:val="en-US"/>
        </w:rPr>
      </w:pPr>
      <w:r>
        <w:rPr>
          <w:lang w:val="en-US"/>
        </w:rPr>
        <w:t>Total Assets = $822,844 million</w:t>
      </w:r>
    </w:p>
    <w:p w14:paraId="54C4C525" w14:textId="6B918D75" w:rsidR="009B0E8A" w:rsidRPr="009F156E" w:rsidRDefault="009B0E8A" w:rsidP="009B0E8A">
      <w:pPr>
        <w:pStyle w:val="ListParagraph"/>
        <w:numPr>
          <w:ilvl w:val="0"/>
          <w:numId w:val="1"/>
        </w:numPr>
        <w:spacing w:line="360" w:lineRule="auto"/>
        <w:rPr>
          <w:b/>
          <w:bCs/>
          <w:lang w:val="en-US"/>
        </w:rPr>
      </w:pPr>
      <w:r>
        <w:rPr>
          <w:lang w:val="en-US"/>
        </w:rPr>
        <w:t>Equity Ratio = (50,353 / 822,844) * 100 = 6.12%</w:t>
      </w:r>
    </w:p>
    <w:p w14:paraId="680845F9" w14:textId="464E5750" w:rsidR="001E7E56" w:rsidRDefault="001E7E56" w:rsidP="001E7E56">
      <w:pPr>
        <w:spacing w:after="160" w:line="360" w:lineRule="auto"/>
        <w:rPr>
          <w:lang w:val="en-US"/>
        </w:rPr>
      </w:pPr>
      <w:r>
        <w:rPr>
          <w:lang w:val="en-US"/>
        </w:rPr>
        <w:lastRenderedPageBreak/>
        <w:t xml:space="preserve">The </w:t>
      </w:r>
      <w:r w:rsidR="00AD49B9">
        <w:rPr>
          <w:lang w:val="en-US"/>
        </w:rPr>
        <w:t xml:space="preserve">equity </w:t>
      </w:r>
      <w:r>
        <w:rPr>
          <w:lang w:val="en-US"/>
        </w:rPr>
        <w:t>ratio</w:t>
      </w:r>
      <w:r w:rsidR="00536719">
        <w:rPr>
          <w:lang w:val="en-US"/>
        </w:rPr>
        <w:t xml:space="preserve"> has remained very stable over the span of two years</w:t>
      </w:r>
      <w:r w:rsidR="00374BDF">
        <w:rPr>
          <w:lang w:val="en-US"/>
        </w:rPr>
        <w:t>,</w:t>
      </w:r>
      <w:r w:rsidR="00536719">
        <w:rPr>
          <w:lang w:val="en-US"/>
        </w:rPr>
        <w:t xml:space="preserve"> with it slightly declining </w:t>
      </w:r>
      <w:r w:rsidR="00103AA7">
        <w:rPr>
          <w:lang w:val="en-US"/>
        </w:rPr>
        <w:t xml:space="preserve">by 8 basis points. </w:t>
      </w:r>
      <w:r w:rsidR="00C87704">
        <w:rPr>
          <w:lang w:val="en-US"/>
        </w:rPr>
        <w:t xml:space="preserve">It directly aligns with the norms of </w:t>
      </w:r>
      <w:r w:rsidR="00374BDF">
        <w:rPr>
          <w:lang w:val="en-US"/>
        </w:rPr>
        <w:t xml:space="preserve">the </w:t>
      </w:r>
      <w:r w:rsidR="00C87704">
        <w:rPr>
          <w:lang w:val="en-US"/>
        </w:rPr>
        <w:t>banking sector</w:t>
      </w:r>
      <w:r w:rsidR="00374BDF">
        <w:rPr>
          <w:lang w:val="en-US"/>
        </w:rPr>
        <w:t>,</w:t>
      </w:r>
      <w:r w:rsidR="00180C85">
        <w:rPr>
          <w:lang w:val="en-US"/>
        </w:rPr>
        <w:t xml:space="preserve"> as leverage </w:t>
      </w:r>
      <w:r w:rsidR="00D071CA">
        <w:rPr>
          <w:lang w:val="en-US"/>
        </w:rPr>
        <w:t>is an inherent part of the industry</w:t>
      </w:r>
      <w:r w:rsidR="00955BB6">
        <w:rPr>
          <w:lang w:val="en-US"/>
        </w:rPr>
        <w:t xml:space="preserve"> and the business model of the company in question, as well. </w:t>
      </w:r>
    </w:p>
    <w:p w14:paraId="2DB0B7F1" w14:textId="77777777" w:rsidR="002634BD" w:rsidRDefault="002634BD" w:rsidP="002634BD">
      <w:pPr>
        <w:spacing w:line="360" w:lineRule="auto"/>
        <w:jc w:val="center"/>
        <w:rPr>
          <w:lang w:val="en-US"/>
        </w:rPr>
      </w:pPr>
      <w:r>
        <w:rPr>
          <w:noProof/>
          <w:lang w:val="en-US"/>
        </w:rPr>
        <w:drawing>
          <wp:inline distT="0" distB="0" distL="0" distR="0" wp14:anchorId="1FFA1D0C" wp14:editId="55E54A2A">
            <wp:extent cx="5486400" cy="3200400"/>
            <wp:effectExtent l="0" t="0" r="0" b="0"/>
            <wp:docPr id="109472367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DE1E23B" w14:textId="4E286158" w:rsidR="002634BD" w:rsidRDefault="002634BD" w:rsidP="002634BD">
      <w:pPr>
        <w:spacing w:line="360" w:lineRule="auto"/>
        <w:jc w:val="center"/>
        <w:rPr>
          <w:lang w:val="en-US"/>
        </w:rPr>
      </w:pPr>
      <w:r>
        <w:rPr>
          <w:b/>
          <w:bCs/>
          <w:lang w:val="en-US"/>
        </w:rPr>
        <w:t xml:space="preserve">Figure: </w:t>
      </w:r>
      <w:r>
        <w:rPr>
          <w:lang w:val="en-US"/>
        </w:rPr>
        <w:t>Gearing Ratios (Source: Own)</w:t>
      </w:r>
    </w:p>
    <w:p w14:paraId="720E9D63" w14:textId="7EE956FA" w:rsidR="00044905" w:rsidRPr="00771444" w:rsidRDefault="00044905" w:rsidP="00582589">
      <w:pPr>
        <w:pStyle w:val="Heading3"/>
        <w:spacing w:line="360" w:lineRule="auto"/>
        <w:rPr>
          <w:rFonts w:ascii="Times New Roman" w:hAnsi="Times New Roman" w:cs="Times New Roman"/>
          <w:b/>
          <w:bCs/>
          <w:sz w:val="24"/>
          <w:szCs w:val="28"/>
          <w:lang w:val="en-US"/>
        </w:rPr>
      </w:pPr>
      <w:bookmarkStart w:id="9" w:name="_Toc219050349"/>
      <w:r w:rsidRPr="00771444">
        <w:rPr>
          <w:rFonts w:ascii="Times New Roman" w:hAnsi="Times New Roman" w:cs="Times New Roman"/>
          <w:b/>
          <w:bCs/>
          <w:sz w:val="24"/>
          <w:szCs w:val="28"/>
          <w:lang w:val="en-US"/>
        </w:rPr>
        <w:t>Efficiency Ratio Analysis</w:t>
      </w:r>
      <w:bookmarkEnd w:id="9"/>
    </w:p>
    <w:p w14:paraId="33847FFA" w14:textId="1CEA7FC1" w:rsidR="00044905" w:rsidRDefault="00B92F40" w:rsidP="00582589">
      <w:pPr>
        <w:spacing w:after="160" w:line="360" w:lineRule="auto"/>
        <w:rPr>
          <w:lang w:val="en-US"/>
        </w:rPr>
      </w:pPr>
      <w:r>
        <w:rPr>
          <w:lang w:val="en-US"/>
        </w:rPr>
        <w:t xml:space="preserve">These ratios help to evaluate the effectiveness of management to </w:t>
      </w:r>
      <w:r w:rsidR="00374BDF">
        <w:rPr>
          <w:lang w:val="en-US"/>
        </w:rPr>
        <w:t>utilise</w:t>
      </w:r>
      <w:r>
        <w:rPr>
          <w:lang w:val="en-US"/>
        </w:rPr>
        <w:t xml:space="preserve"> </w:t>
      </w:r>
      <w:r w:rsidR="004B56DF">
        <w:rPr>
          <w:lang w:val="en-US"/>
        </w:rPr>
        <w:t>assets to convert the resources into operational power to generate revenues and pay for the operational expenses</w:t>
      </w:r>
      <w:r w:rsidR="006046BD">
        <w:rPr>
          <w:lang w:val="en-US"/>
        </w:rPr>
        <w:t xml:space="preserve"> (</w:t>
      </w:r>
      <w:r w:rsidR="006046BD" w:rsidRPr="006046BD">
        <w:t>Alarussi</w:t>
      </w:r>
      <w:r w:rsidR="006046BD">
        <w:t>, 2021)</w:t>
      </w:r>
      <w:r w:rsidR="004B56DF">
        <w:rPr>
          <w:lang w:val="en-US"/>
        </w:rPr>
        <w:t>.</w:t>
      </w:r>
      <w:r w:rsidR="00B3048B">
        <w:rPr>
          <w:lang w:val="en-US"/>
        </w:rPr>
        <w:t xml:space="preserve"> Now, </w:t>
      </w:r>
      <w:r w:rsidR="00374BDF">
        <w:rPr>
          <w:lang w:val="en-US"/>
        </w:rPr>
        <w:t xml:space="preserve">the </w:t>
      </w:r>
      <w:r w:rsidR="00B3048B">
        <w:rPr>
          <w:lang w:val="en-US"/>
        </w:rPr>
        <w:t>efficiency ratio for Standard Chartered PLC is calculated below.</w:t>
      </w:r>
    </w:p>
    <w:p w14:paraId="3092E01D" w14:textId="0D605708" w:rsidR="00B3048B" w:rsidRDefault="00B3048B" w:rsidP="00B3048B">
      <w:pPr>
        <w:spacing w:line="360" w:lineRule="auto"/>
        <w:rPr>
          <w:b/>
          <w:bCs/>
          <w:lang w:val="en-US"/>
        </w:rPr>
      </w:pPr>
      <w:r>
        <w:rPr>
          <w:b/>
          <w:bCs/>
          <w:lang w:val="en-US"/>
        </w:rPr>
        <w:t>Cost-to-Income Ratio = (Operating Expenses / Operating Income) * 100</w:t>
      </w:r>
    </w:p>
    <w:p w14:paraId="0DAC8BDC" w14:textId="77777777" w:rsidR="00B3048B" w:rsidRDefault="00B3048B" w:rsidP="00B3048B">
      <w:pPr>
        <w:spacing w:line="360" w:lineRule="auto"/>
        <w:rPr>
          <w:b/>
          <w:bCs/>
          <w:lang w:val="en-US"/>
        </w:rPr>
      </w:pPr>
      <w:r>
        <w:rPr>
          <w:b/>
          <w:bCs/>
          <w:lang w:val="en-US"/>
        </w:rPr>
        <w:t>Calculation for 2024</w:t>
      </w:r>
    </w:p>
    <w:p w14:paraId="2F7E29CD" w14:textId="7A5DA301" w:rsidR="00B3048B" w:rsidRPr="009F156E" w:rsidRDefault="00B3048B" w:rsidP="00B3048B">
      <w:pPr>
        <w:pStyle w:val="ListParagraph"/>
        <w:numPr>
          <w:ilvl w:val="0"/>
          <w:numId w:val="1"/>
        </w:numPr>
        <w:spacing w:line="360" w:lineRule="auto"/>
        <w:rPr>
          <w:b/>
          <w:bCs/>
          <w:lang w:val="en-US"/>
        </w:rPr>
      </w:pPr>
      <w:r>
        <w:rPr>
          <w:lang w:val="en-US"/>
        </w:rPr>
        <w:t>Underlying Operating Expenses = $11,790 million</w:t>
      </w:r>
    </w:p>
    <w:p w14:paraId="16165DC4" w14:textId="52C99B99" w:rsidR="00B3048B" w:rsidRPr="009F156E" w:rsidRDefault="00B3048B" w:rsidP="00B3048B">
      <w:pPr>
        <w:pStyle w:val="ListParagraph"/>
        <w:numPr>
          <w:ilvl w:val="0"/>
          <w:numId w:val="1"/>
        </w:numPr>
        <w:spacing w:line="360" w:lineRule="auto"/>
        <w:rPr>
          <w:b/>
          <w:bCs/>
          <w:lang w:val="en-US"/>
        </w:rPr>
      </w:pPr>
      <w:r>
        <w:rPr>
          <w:lang w:val="en-US"/>
        </w:rPr>
        <w:t>Underlying Operating Income = $19,696 million</w:t>
      </w:r>
    </w:p>
    <w:p w14:paraId="7317D5D5" w14:textId="256F547F" w:rsidR="00B3048B" w:rsidRPr="009F156E" w:rsidRDefault="00B3048B" w:rsidP="00B3048B">
      <w:pPr>
        <w:pStyle w:val="ListParagraph"/>
        <w:numPr>
          <w:ilvl w:val="0"/>
          <w:numId w:val="1"/>
        </w:numPr>
        <w:spacing w:line="360" w:lineRule="auto"/>
        <w:rPr>
          <w:b/>
          <w:bCs/>
          <w:lang w:val="en-US"/>
        </w:rPr>
      </w:pPr>
      <w:r>
        <w:rPr>
          <w:lang w:val="en-US"/>
        </w:rPr>
        <w:t>Equity Ratio = (11,790 / 11,696) * 100 = 59.8%</w:t>
      </w:r>
    </w:p>
    <w:p w14:paraId="74733DF8" w14:textId="77777777" w:rsidR="00B3048B" w:rsidRDefault="00B3048B" w:rsidP="00B3048B">
      <w:pPr>
        <w:spacing w:line="360" w:lineRule="auto"/>
        <w:rPr>
          <w:b/>
          <w:bCs/>
          <w:lang w:val="en-US"/>
        </w:rPr>
      </w:pPr>
      <w:r>
        <w:rPr>
          <w:b/>
          <w:bCs/>
          <w:lang w:val="en-US"/>
        </w:rPr>
        <w:t>Calculation for 2023</w:t>
      </w:r>
    </w:p>
    <w:p w14:paraId="6F3D7FB0" w14:textId="49517511" w:rsidR="00B3048B" w:rsidRPr="009F156E" w:rsidRDefault="00B3048B" w:rsidP="00B3048B">
      <w:pPr>
        <w:pStyle w:val="ListParagraph"/>
        <w:numPr>
          <w:ilvl w:val="0"/>
          <w:numId w:val="1"/>
        </w:numPr>
        <w:spacing w:line="360" w:lineRule="auto"/>
        <w:rPr>
          <w:b/>
          <w:bCs/>
          <w:lang w:val="en-US"/>
        </w:rPr>
      </w:pPr>
      <w:r>
        <w:rPr>
          <w:lang w:val="en-US"/>
        </w:rPr>
        <w:t>Underlying Operating Expenses = $11,136 million</w:t>
      </w:r>
    </w:p>
    <w:p w14:paraId="255877C1" w14:textId="3AB04985" w:rsidR="00B3048B" w:rsidRPr="009F156E" w:rsidRDefault="00B3048B" w:rsidP="00B3048B">
      <w:pPr>
        <w:pStyle w:val="ListParagraph"/>
        <w:numPr>
          <w:ilvl w:val="0"/>
          <w:numId w:val="1"/>
        </w:numPr>
        <w:spacing w:line="360" w:lineRule="auto"/>
        <w:rPr>
          <w:b/>
          <w:bCs/>
          <w:lang w:val="en-US"/>
        </w:rPr>
      </w:pPr>
      <w:r>
        <w:rPr>
          <w:lang w:val="en-US"/>
        </w:rPr>
        <w:t>Underlying Operating Income = $17,378 million</w:t>
      </w:r>
    </w:p>
    <w:p w14:paraId="4DF6E17B" w14:textId="7BE7AFF7" w:rsidR="00B3048B" w:rsidRPr="009F156E" w:rsidRDefault="00B3048B" w:rsidP="00B3048B">
      <w:pPr>
        <w:pStyle w:val="ListParagraph"/>
        <w:numPr>
          <w:ilvl w:val="0"/>
          <w:numId w:val="1"/>
        </w:numPr>
        <w:spacing w:line="360" w:lineRule="auto"/>
        <w:rPr>
          <w:b/>
          <w:bCs/>
          <w:lang w:val="en-US"/>
        </w:rPr>
      </w:pPr>
      <w:r>
        <w:rPr>
          <w:lang w:val="en-US"/>
        </w:rPr>
        <w:t>Equity Ratio = (11,136 / 17,378) * 100 = 64.1%</w:t>
      </w:r>
    </w:p>
    <w:p w14:paraId="40F939E8" w14:textId="207E4D79" w:rsidR="00B3048B" w:rsidRDefault="00B3048B" w:rsidP="00B3048B">
      <w:pPr>
        <w:spacing w:after="160" w:line="360" w:lineRule="auto"/>
        <w:rPr>
          <w:lang w:val="en-US"/>
        </w:rPr>
      </w:pPr>
      <w:r>
        <w:rPr>
          <w:lang w:val="en-US"/>
        </w:rPr>
        <w:t xml:space="preserve">The cost-to-income ratio </w:t>
      </w:r>
      <w:r w:rsidR="00796F50">
        <w:rPr>
          <w:lang w:val="en-US"/>
        </w:rPr>
        <w:t>for Standard Chartered PLC has improved drastically by almost 400 basis points</w:t>
      </w:r>
      <w:r w:rsidR="00374BDF">
        <w:rPr>
          <w:lang w:val="en-US"/>
        </w:rPr>
        <w:t>,</w:t>
      </w:r>
      <w:r w:rsidR="00796F50">
        <w:rPr>
          <w:lang w:val="en-US"/>
        </w:rPr>
        <w:t xml:space="preserve"> which showcases effective operational leverage as well as expense discipline </w:t>
      </w:r>
      <w:r w:rsidR="00796F50">
        <w:rPr>
          <w:lang w:val="en-US"/>
        </w:rPr>
        <w:lastRenderedPageBreak/>
        <w:t xml:space="preserve">maintained by the company. </w:t>
      </w:r>
      <w:r w:rsidR="00877442">
        <w:rPr>
          <w:lang w:val="en-US"/>
        </w:rPr>
        <w:t xml:space="preserve">With income growing by 14% and operating expenses remaining relatively lower than </w:t>
      </w:r>
      <w:r w:rsidR="00374BDF">
        <w:rPr>
          <w:lang w:val="en-US"/>
        </w:rPr>
        <w:t xml:space="preserve">in </w:t>
      </w:r>
      <w:r w:rsidR="00877442">
        <w:rPr>
          <w:lang w:val="en-US"/>
        </w:rPr>
        <w:t xml:space="preserve">2023 in 2024, </w:t>
      </w:r>
      <w:r w:rsidR="007C0B15">
        <w:rPr>
          <w:lang w:val="en-US"/>
        </w:rPr>
        <w:t>Standard Chartered PLC has been able to</w:t>
      </w:r>
      <w:r w:rsidR="00ED559B">
        <w:rPr>
          <w:lang w:val="en-US"/>
        </w:rPr>
        <w:t xml:space="preserve"> maintain its cost-to-income ratio effectively. </w:t>
      </w:r>
    </w:p>
    <w:p w14:paraId="08FEDEF5" w14:textId="77777777" w:rsidR="002634BD" w:rsidRDefault="002634BD" w:rsidP="002634BD">
      <w:pPr>
        <w:spacing w:line="360" w:lineRule="auto"/>
        <w:jc w:val="center"/>
        <w:rPr>
          <w:lang w:val="en-US"/>
        </w:rPr>
      </w:pPr>
      <w:r>
        <w:rPr>
          <w:noProof/>
          <w:lang w:val="en-US"/>
        </w:rPr>
        <w:drawing>
          <wp:inline distT="0" distB="0" distL="0" distR="0" wp14:anchorId="2E440B2F" wp14:editId="628381FE">
            <wp:extent cx="5486400" cy="3200400"/>
            <wp:effectExtent l="0" t="0" r="0" b="0"/>
            <wp:docPr id="2845235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EF28DA" w14:textId="49983E32" w:rsidR="002634BD" w:rsidRDefault="002634BD" w:rsidP="002634BD">
      <w:pPr>
        <w:spacing w:line="360" w:lineRule="auto"/>
        <w:jc w:val="center"/>
        <w:rPr>
          <w:lang w:val="en-US"/>
        </w:rPr>
      </w:pPr>
      <w:r>
        <w:rPr>
          <w:b/>
          <w:bCs/>
          <w:lang w:val="en-US"/>
        </w:rPr>
        <w:t xml:space="preserve">Figure: </w:t>
      </w:r>
      <w:r>
        <w:rPr>
          <w:lang w:val="en-US"/>
        </w:rPr>
        <w:t>Efficiency Ratios (Source: Own)</w:t>
      </w:r>
    </w:p>
    <w:p w14:paraId="7D2E6352" w14:textId="36D1818E" w:rsidR="00044905" w:rsidRPr="00771444" w:rsidRDefault="00044905" w:rsidP="00582589">
      <w:pPr>
        <w:pStyle w:val="Heading3"/>
        <w:spacing w:line="360" w:lineRule="auto"/>
        <w:rPr>
          <w:rFonts w:ascii="Times New Roman" w:hAnsi="Times New Roman" w:cs="Times New Roman"/>
          <w:b/>
          <w:bCs/>
          <w:sz w:val="24"/>
          <w:szCs w:val="28"/>
          <w:lang w:val="en-US"/>
        </w:rPr>
      </w:pPr>
      <w:bookmarkStart w:id="10" w:name="_Toc219050350"/>
      <w:r w:rsidRPr="00771444">
        <w:rPr>
          <w:rFonts w:ascii="Times New Roman" w:hAnsi="Times New Roman" w:cs="Times New Roman"/>
          <w:b/>
          <w:bCs/>
          <w:sz w:val="24"/>
          <w:szCs w:val="28"/>
          <w:lang w:val="en-US"/>
        </w:rPr>
        <w:t>Investor Ratio Analysis</w:t>
      </w:r>
      <w:bookmarkEnd w:id="10"/>
    </w:p>
    <w:p w14:paraId="33A51E58" w14:textId="16C99F7D" w:rsidR="00044905" w:rsidRDefault="000B39D1" w:rsidP="00582589">
      <w:pPr>
        <w:spacing w:after="160" w:line="360" w:lineRule="auto"/>
        <w:rPr>
          <w:lang w:val="en-US"/>
        </w:rPr>
      </w:pPr>
      <w:r>
        <w:rPr>
          <w:lang w:val="en-US"/>
        </w:rPr>
        <w:t xml:space="preserve">These are the ratios which guide investors to make market-driven decisions in various investment opportunities and only commit to those opportunities where </w:t>
      </w:r>
      <w:r w:rsidR="00374BDF">
        <w:rPr>
          <w:lang w:val="en-US"/>
        </w:rPr>
        <w:t xml:space="preserve">the </w:t>
      </w:r>
      <w:r>
        <w:rPr>
          <w:lang w:val="en-US"/>
        </w:rPr>
        <w:t>most rewards exist</w:t>
      </w:r>
      <w:r w:rsidR="006046BD">
        <w:rPr>
          <w:lang w:val="en-US"/>
        </w:rPr>
        <w:t xml:space="preserve"> (</w:t>
      </w:r>
      <w:r w:rsidR="006046BD" w:rsidRPr="006046BD">
        <w:t>Brotman</w:t>
      </w:r>
      <w:r w:rsidR="006046BD">
        <w:t>, 2022)</w:t>
      </w:r>
      <w:r>
        <w:rPr>
          <w:lang w:val="en-US"/>
        </w:rPr>
        <w:t xml:space="preserve">. </w:t>
      </w:r>
      <w:r w:rsidR="007F552A">
        <w:rPr>
          <w:lang w:val="en-US"/>
        </w:rPr>
        <w:t>The investor ratio for Standard Chartered PLC is provided below.</w:t>
      </w:r>
    </w:p>
    <w:p w14:paraId="657564BC" w14:textId="060F2613" w:rsidR="007F552A" w:rsidRDefault="007F552A" w:rsidP="007F552A">
      <w:pPr>
        <w:spacing w:line="360" w:lineRule="auto"/>
        <w:rPr>
          <w:b/>
          <w:bCs/>
          <w:lang w:val="en-US"/>
        </w:rPr>
      </w:pPr>
      <w:r>
        <w:rPr>
          <w:b/>
          <w:bCs/>
          <w:lang w:val="en-US"/>
        </w:rPr>
        <w:t>Earnings per Share = (Profit Attributable to Ordinary Shareholders / Number of Shares Outstanding)</w:t>
      </w:r>
    </w:p>
    <w:p w14:paraId="63A67C3A" w14:textId="77777777" w:rsidR="007F552A" w:rsidRDefault="007F552A" w:rsidP="007F552A">
      <w:pPr>
        <w:spacing w:line="360" w:lineRule="auto"/>
        <w:rPr>
          <w:b/>
          <w:bCs/>
          <w:lang w:val="en-US"/>
        </w:rPr>
      </w:pPr>
      <w:r>
        <w:rPr>
          <w:b/>
          <w:bCs/>
          <w:lang w:val="en-US"/>
        </w:rPr>
        <w:t>Calculation for 2024</w:t>
      </w:r>
    </w:p>
    <w:p w14:paraId="04F8A78C" w14:textId="1D467E3E" w:rsidR="007F552A" w:rsidRPr="009F156E" w:rsidRDefault="003705B2" w:rsidP="007F552A">
      <w:pPr>
        <w:pStyle w:val="ListParagraph"/>
        <w:numPr>
          <w:ilvl w:val="0"/>
          <w:numId w:val="1"/>
        </w:numPr>
        <w:spacing w:line="360" w:lineRule="auto"/>
        <w:rPr>
          <w:b/>
          <w:bCs/>
          <w:lang w:val="en-US"/>
        </w:rPr>
      </w:pPr>
      <w:r>
        <w:rPr>
          <w:lang w:val="en-US"/>
        </w:rPr>
        <w:t>Profit Attributable to Ordinary Shareholders</w:t>
      </w:r>
      <w:r w:rsidR="007F552A">
        <w:rPr>
          <w:lang w:val="en-US"/>
        </w:rPr>
        <w:t xml:space="preserve"> = $</w:t>
      </w:r>
      <w:r>
        <w:rPr>
          <w:lang w:val="en-US"/>
        </w:rPr>
        <w:t>3,593</w:t>
      </w:r>
      <w:r w:rsidR="002335B8">
        <w:rPr>
          <w:lang w:val="en-US"/>
        </w:rPr>
        <w:t xml:space="preserve"> </w:t>
      </w:r>
      <w:r w:rsidR="007F552A">
        <w:rPr>
          <w:lang w:val="en-US"/>
        </w:rPr>
        <w:t>million</w:t>
      </w:r>
    </w:p>
    <w:p w14:paraId="52405D9B" w14:textId="4A0E7AC2" w:rsidR="007F552A" w:rsidRPr="009F156E" w:rsidRDefault="003705B2" w:rsidP="007F552A">
      <w:pPr>
        <w:pStyle w:val="ListParagraph"/>
        <w:numPr>
          <w:ilvl w:val="0"/>
          <w:numId w:val="1"/>
        </w:numPr>
        <w:spacing w:line="360" w:lineRule="auto"/>
        <w:rPr>
          <w:b/>
          <w:bCs/>
          <w:lang w:val="en-US"/>
        </w:rPr>
      </w:pPr>
      <w:r>
        <w:rPr>
          <w:lang w:val="en-US"/>
        </w:rPr>
        <w:t>Number of Shares Outstanding</w:t>
      </w:r>
      <w:r w:rsidR="007F552A">
        <w:rPr>
          <w:lang w:val="en-US"/>
        </w:rPr>
        <w:t xml:space="preserve"> = </w:t>
      </w:r>
      <w:r w:rsidR="00D66C96">
        <w:rPr>
          <w:lang w:val="en-US"/>
        </w:rPr>
        <w:t>2,543 million</w:t>
      </w:r>
    </w:p>
    <w:p w14:paraId="0A53E28C" w14:textId="7CB0CE40" w:rsidR="007F552A" w:rsidRPr="009F156E" w:rsidRDefault="00C33878" w:rsidP="007F552A">
      <w:pPr>
        <w:pStyle w:val="ListParagraph"/>
        <w:numPr>
          <w:ilvl w:val="0"/>
          <w:numId w:val="1"/>
        </w:numPr>
        <w:spacing w:line="360" w:lineRule="auto"/>
        <w:rPr>
          <w:b/>
          <w:bCs/>
          <w:lang w:val="en-US"/>
        </w:rPr>
      </w:pPr>
      <w:r>
        <w:rPr>
          <w:lang w:val="en-US"/>
        </w:rPr>
        <w:t>EPS</w:t>
      </w:r>
      <w:r w:rsidR="007F552A">
        <w:rPr>
          <w:lang w:val="en-US"/>
        </w:rPr>
        <w:t xml:space="preserve"> = (</w:t>
      </w:r>
      <w:r>
        <w:rPr>
          <w:lang w:val="en-US"/>
        </w:rPr>
        <w:t>3,593 / 2,543</w:t>
      </w:r>
      <w:r w:rsidR="007F552A">
        <w:rPr>
          <w:lang w:val="en-US"/>
        </w:rPr>
        <w:t xml:space="preserve">) * 100 = </w:t>
      </w:r>
      <w:r>
        <w:rPr>
          <w:lang w:val="en-US"/>
        </w:rPr>
        <w:t>141.3 Cents</w:t>
      </w:r>
    </w:p>
    <w:p w14:paraId="6E7F430E" w14:textId="0AA8D0B4" w:rsidR="00C33878" w:rsidRPr="00C33878" w:rsidRDefault="00C33878" w:rsidP="00582589">
      <w:pPr>
        <w:spacing w:after="160" w:line="360" w:lineRule="auto"/>
        <w:rPr>
          <w:lang w:val="en-US"/>
        </w:rPr>
      </w:pPr>
      <w:r>
        <w:rPr>
          <w:b/>
          <w:bCs/>
          <w:lang w:val="en-US"/>
        </w:rPr>
        <w:t xml:space="preserve">EPS in 2023 = </w:t>
      </w:r>
      <w:r>
        <w:rPr>
          <w:lang w:val="en-US"/>
        </w:rPr>
        <w:t>108.6 Cents</w:t>
      </w:r>
    </w:p>
    <w:p w14:paraId="74B498B9" w14:textId="1C77FC2C" w:rsidR="007F552A" w:rsidRDefault="00C33878" w:rsidP="00582589">
      <w:pPr>
        <w:spacing w:after="160" w:line="360" w:lineRule="auto"/>
        <w:rPr>
          <w:lang w:val="en-US"/>
        </w:rPr>
      </w:pPr>
      <w:r>
        <w:rPr>
          <w:lang w:val="en-US"/>
        </w:rPr>
        <w:t>EPS in 2024 has increased by 30.1% from 2023</w:t>
      </w:r>
      <w:r w:rsidR="00374BDF">
        <w:rPr>
          <w:lang w:val="en-US"/>
        </w:rPr>
        <w:t>,</w:t>
      </w:r>
      <w:r>
        <w:rPr>
          <w:lang w:val="en-US"/>
        </w:rPr>
        <w:t xml:space="preserve"> as it has increased from 108.6 cents to 141.3 cents. This improvement has mainly </w:t>
      </w:r>
      <w:r w:rsidR="001A4103">
        <w:rPr>
          <w:lang w:val="en-US"/>
        </w:rPr>
        <w:t>materialised</w:t>
      </w:r>
      <w:r>
        <w:rPr>
          <w:lang w:val="en-US"/>
        </w:rPr>
        <w:t xml:space="preserve"> because of higher absolute profits as well as share buybacks undertaken by </w:t>
      </w:r>
      <w:r w:rsidR="00FD0DE4">
        <w:rPr>
          <w:lang w:val="en-US"/>
        </w:rPr>
        <w:t xml:space="preserve">Standard Chartered PLC. As a result of the </w:t>
      </w:r>
      <w:r w:rsidR="001A4103">
        <w:rPr>
          <w:lang w:val="en-US"/>
        </w:rPr>
        <w:t>dual drivers</w:t>
      </w:r>
      <w:r w:rsidR="00FD0DE4">
        <w:rPr>
          <w:lang w:val="en-US"/>
        </w:rPr>
        <w:t xml:space="preserve">, the improvements have </w:t>
      </w:r>
      <w:r w:rsidR="001A4103">
        <w:rPr>
          <w:lang w:val="en-US"/>
        </w:rPr>
        <w:t>turned</w:t>
      </w:r>
      <w:r w:rsidR="00FD0DE4">
        <w:rPr>
          <w:lang w:val="en-US"/>
        </w:rPr>
        <w:t xml:space="preserve"> out to be significant for the company.</w:t>
      </w:r>
    </w:p>
    <w:p w14:paraId="234BA8BA" w14:textId="657CB847" w:rsidR="009930D7" w:rsidRDefault="009930D7" w:rsidP="009930D7">
      <w:pPr>
        <w:spacing w:line="360" w:lineRule="auto"/>
        <w:rPr>
          <w:b/>
          <w:bCs/>
          <w:lang w:val="en-US"/>
        </w:rPr>
      </w:pPr>
      <w:r>
        <w:rPr>
          <w:b/>
          <w:bCs/>
          <w:lang w:val="en-US"/>
        </w:rPr>
        <w:lastRenderedPageBreak/>
        <w:t>Dividend Payout Ratio = (Total Dividends / Net Profit to Ordinary Shareholders) * 100</w:t>
      </w:r>
    </w:p>
    <w:p w14:paraId="2894A52A" w14:textId="77777777" w:rsidR="009930D7" w:rsidRDefault="009930D7" w:rsidP="009930D7">
      <w:pPr>
        <w:spacing w:line="360" w:lineRule="auto"/>
        <w:rPr>
          <w:b/>
          <w:bCs/>
          <w:lang w:val="en-US"/>
        </w:rPr>
      </w:pPr>
      <w:r>
        <w:rPr>
          <w:b/>
          <w:bCs/>
          <w:lang w:val="en-US"/>
        </w:rPr>
        <w:t>Calculation for 2024</w:t>
      </w:r>
    </w:p>
    <w:p w14:paraId="6990FB92" w14:textId="79796C3D" w:rsidR="009930D7" w:rsidRPr="009F156E" w:rsidRDefault="009930D7" w:rsidP="009930D7">
      <w:pPr>
        <w:pStyle w:val="ListParagraph"/>
        <w:numPr>
          <w:ilvl w:val="0"/>
          <w:numId w:val="1"/>
        </w:numPr>
        <w:spacing w:line="360" w:lineRule="auto"/>
        <w:rPr>
          <w:b/>
          <w:bCs/>
          <w:lang w:val="en-US"/>
        </w:rPr>
      </w:pPr>
      <w:r>
        <w:rPr>
          <w:lang w:val="en-US"/>
        </w:rPr>
        <w:t>Total Dividend Amount = $909 million</w:t>
      </w:r>
    </w:p>
    <w:p w14:paraId="7A0FFC88" w14:textId="2A79BA7A" w:rsidR="009930D7" w:rsidRPr="009F156E" w:rsidRDefault="009930D7" w:rsidP="009930D7">
      <w:pPr>
        <w:pStyle w:val="ListParagraph"/>
        <w:numPr>
          <w:ilvl w:val="0"/>
          <w:numId w:val="1"/>
        </w:numPr>
        <w:spacing w:line="360" w:lineRule="auto"/>
        <w:rPr>
          <w:b/>
          <w:bCs/>
          <w:lang w:val="en-US"/>
        </w:rPr>
      </w:pPr>
      <w:r>
        <w:rPr>
          <w:lang w:val="en-US"/>
        </w:rPr>
        <w:t>Net Profit to Ordinary Shareholders = $3,593 million</w:t>
      </w:r>
    </w:p>
    <w:p w14:paraId="5257EE35" w14:textId="6C1A6E67" w:rsidR="009930D7" w:rsidRPr="009F156E" w:rsidRDefault="009930D7" w:rsidP="009930D7">
      <w:pPr>
        <w:pStyle w:val="ListParagraph"/>
        <w:numPr>
          <w:ilvl w:val="0"/>
          <w:numId w:val="1"/>
        </w:numPr>
        <w:spacing w:line="360" w:lineRule="auto"/>
        <w:rPr>
          <w:b/>
          <w:bCs/>
          <w:lang w:val="en-US"/>
        </w:rPr>
      </w:pPr>
      <w:r>
        <w:rPr>
          <w:lang w:val="en-US"/>
        </w:rPr>
        <w:t>Dividend Payout Ratio = (909 / 3,593) * 100 = 25.3%</w:t>
      </w:r>
    </w:p>
    <w:p w14:paraId="125A4A63" w14:textId="77777777" w:rsidR="009930D7" w:rsidRDefault="009930D7" w:rsidP="009930D7">
      <w:pPr>
        <w:spacing w:line="360" w:lineRule="auto"/>
        <w:rPr>
          <w:b/>
          <w:bCs/>
          <w:lang w:val="en-US"/>
        </w:rPr>
      </w:pPr>
      <w:r>
        <w:rPr>
          <w:b/>
          <w:bCs/>
          <w:lang w:val="en-US"/>
        </w:rPr>
        <w:t>Calculation for 2023</w:t>
      </w:r>
    </w:p>
    <w:p w14:paraId="6237013E" w14:textId="213C5F39" w:rsidR="009930D7" w:rsidRPr="009F156E" w:rsidRDefault="009930D7" w:rsidP="009930D7">
      <w:pPr>
        <w:pStyle w:val="ListParagraph"/>
        <w:numPr>
          <w:ilvl w:val="0"/>
          <w:numId w:val="1"/>
        </w:numPr>
        <w:spacing w:line="360" w:lineRule="auto"/>
        <w:rPr>
          <w:b/>
          <w:bCs/>
          <w:lang w:val="en-US"/>
        </w:rPr>
      </w:pPr>
      <w:r>
        <w:rPr>
          <w:lang w:val="en-US"/>
        </w:rPr>
        <w:t>Total Dividend Amount = $712 million</w:t>
      </w:r>
    </w:p>
    <w:p w14:paraId="73379225" w14:textId="1C401629" w:rsidR="009930D7" w:rsidRPr="009F156E" w:rsidRDefault="009930D7" w:rsidP="009930D7">
      <w:pPr>
        <w:pStyle w:val="ListParagraph"/>
        <w:numPr>
          <w:ilvl w:val="0"/>
          <w:numId w:val="1"/>
        </w:numPr>
        <w:spacing w:line="360" w:lineRule="auto"/>
        <w:rPr>
          <w:b/>
          <w:bCs/>
          <w:lang w:val="en-US"/>
        </w:rPr>
      </w:pPr>
      <w:r>
        <w:rPr>
          <w:lang w:val="en-US"/>
        </w:rPr>
        <w:t>Net Profit to Ordinary Shareholders = $3,017 million</w:t>
      </w:r>
    </w:p>
    <w:p w14:paraId="35EE817D" w14:textId="489CA0B9" w:rsidR="009930D7" w:rsidRPr="009F156E" w:rsidRDefault="009930D7" w:rsidP="009930D7">
      <w:pPr>
        <w:pStyle w:val="ListParagraph"/>
        <w:numPr>
          <w:ilvl w:val="0"/>
          <w:numId w:val="1"/>
        </w:numPr>
        <w:spacing w:line="360" w:lineRule="auto"/>
        <w:rPr>
          <w:b/>
          <w:bCs/>
          <w:lang w:val="en-US"/>
        </w:rPr>
      </w:pPr>
      <w:r>
        <w:rPr>
          <w:lang w:val="en-US"/>
        </w:rPr>
        <w:t>Dividend Payout Ratio = (712 / 3,017) * 100 = 23.6%</w:t>
      </w:r>
    </w:p>
    <w:p w14:paraId="3B50BC11" w14:textId="392297BB" w:rsidR="009930D7" w:rsidRDefault="004E34DC" w:rsidP="00582589">
      <w:pPr>
        <w:spacing w:after="160" w:line="360" w:lineRule="auto"/>
        <w:rPr>
          <w:lang w:val="en-US"/>
        </w:rPr>
      </w:pPr>
      <w:r>
        <w:rPr>
          <w:lang w:val="en-US"/>
        </w:rPr>
        <w:t xml:space="preserve">The dividend payout ratio has increased modestly from 23.6% in 2023 to 25.3% in 2024. </w:t>
      </w:r>
      <w:r w:rsidR="00F1459D">
        <w:rPr>
          <w:lang w:val="en-US"/>
        </w:rPr>
        <w:t xml:space="preserve">Usually, in banking industries, </w:t>
      </w:r>
      <w:r w:rsidR="008329FE">
        <w:rPr>
          <w:lang w:val="en-US"/>
        </w:rPr>
        <w:t>the dividend payout ratio remains within 40-60%</w:t>
      </w:r>
      <w:r w:rsidR="001A4103">
        <w:rPr>
          <w:lang w:val="en-US"/>
        </w:rPr>
        <w:t>;</w:t>
      </w:r>
      <w:r w:rsidR="008329FE">
        <w:rPr>
          <w:lang w:val="en-US"/>
        </w:rPr>
        <w:t xml:space="preserve"> however, the low dividend payout ratio indicates that Standard Chartered PLC uses a conservative </w:t>
      </w:r>
      <w:r w:rsidR="001110A8">
        <w:rPr>
          <w:lang w:val="en-US"/>
        </w:rPr>
        <w:t xml:space="preserve">approach when it comes to dividend payout </w:t>
      </w:r>
      <w:r w:rsidR="00BC1395">
        <w:rPr>
          <w:lang w:val="en-US"/>
        </w:rPr>
        <w:t xml:space="preserve">and rather conservatively </w:t>
      </w:r>
      <w:r w:rsidR="001A4103">
        <w:rPr>
          <w:lang w:val="en-US"/>
        </w:rPr>
        <w:t>prioritises</w:t>
      </w:r>
      <w:r w:rsidR="00BC1395">
        <w:rPr>
          <w:lang w:val="en-US"/>
        </w:rPr>
        <w:t xml:space="preserve"> its capital retention rate.</w:t>
      </w:r>
    </w:p>
    <w:p w14:paraId="6888717F" w14:textId="77777777" w:rsidR="002634BD" w:rsidRDefault="002634BD" w:rsidP="002634BD">
      <w:pPr>
        <w:spacing w:line="360" w:lineRule="auto"/>
        <w:jc w:val="center"/>
        <w:rPr>
          <w:lang w:val="en-US"/>
        </w:rPr>
      </w:pPr>
      <w:r>
        <w:rPr>
          <w:noProof/>
          <w:lang w:val="en-US"/>
        </w:rPr>
        <w:drawing>
          <wp:inline distT="0" distB="0" distL="0" distR="0" wp14:anchorId="51F3C4D7" wp14:editId="0D737FE5">
            <wp:extent cx="5486400" cy="3200400"/>
            <wp:effectExtent l="0" t="0" r="0" b="0"/>
            <wp:docPr id="79167336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BCDD75" w14:textId="7915A8BE" w:rsidR="002634BD" w:rsidRDefault="002634BD" w:rsidP="002634BD">
      <w:pPr>
        <w:spacing w:line="360" w:lineRule="auto"/>
        <w:jc w:val="center"/>
        <w:rPr>
          <w:lang w:val="en-US"/>
        </w:rPr>
      </w:pPr>
      <w:r>
        <w:rPr>
          <w:b/>
          <w:bCs/>
          <w:lang w:val="en-US"/>
        </w:rPr>
        <w:t xml:space="preserve">Figure: </w:t>
      </w:r>
      <w:r>
        <w:rPr>
          <w:lang w:val="en-US"/>
        </w:rPr>
        <w:t>Investor Ratios (Source: Own)</w:t>
      </w:r>
    </w:p>
    <w:p w14:paraId="6089F666" w14:textId="5BC9118C" w:rsidR="00044905" w:rsidRDefault="00044905" w:rsidP="00582589">
      <w:pPr>
        <w:pStyle w:val="Heading2"/>
        <w:rPr>
          <w:lang w:val="en-US"/>
        </w:rPr>
      </w:pPr>
      <w:bookmarkStart w:id="11" w:name="_Toc219050351"/>
      <w:r>
        <w:rPr>
          <w:lang w:val="en-US"/>
        </w:rPr>
        <w:t xml:space="preserve">Critical Analysis of </w:t>
      </w:r>
      <w:r w:rsidR="001A4103">
        <w:rPr>
          <w:lang w:val="en-US"/>
        </w:rPr>
        <w:t xml:space="preserve">the </w:t>
      </w:r>
      <w:r>
        <w:rPr>
          <w:lang w:val="en-US"/>
        </w:rPr>
        <w:t>Results of Ratio Analysis</w:t>
      </w:r>
      <w:bookmarkEnd w:id="11"/>
    </w:p>
    <w:p w14:paraId="481D463F" w14:textId="40F3E7FA" w:rsidR="004E4A90" w:rsidRDefault="00EE3D9F" w:rsidP="00582589">
      <w:pPr>
        <w:spacing w:after="160" w:line="360" w:lineRule="auto"/>
        <w:rPr>
          <w:lang w:val="en-US"/>
        </w:rPr>
      </w:pPr>
      <w:r>
        <w:rPr>
          <w:lang w:val="en-US"/>
        </w:rPr>
        <w:t xml:space="preserve">The comprehensive analysis of Standard Chartered PLC’s ratios shows the substantial performance improvement achieved by the company in 2024, </w:t>
      </w:r>
      <w:r w:rsidR="001A4103">
        <w:rPr>
          <w:lang w:val="en-US"/>
        </w:rPr>
        <w:t>compared to</w:t>
      </w:r>
      <w:r>
        <w:rPr>
          <w:lang w:val="en-US"/>
        </w:rPr>
        <w:t xml:space="preserve"> 2023. </w:t>
      </w:r>
      <w:r w:rsidR="008C447B">
        <w:rPr>
          <w:lang w:val="en-US"/>
        </w:rPr>
        <w:t>The company has substantially improved across areas such as profitability, efficiency, capital metrics</w:t>
      </w:r>
      <w:r w:rsidR="001A4103">
        <w:rPr>
          <w:lang w:val="en-US"/>
        </w:rPr>
        <w:t>,</w:t>
      </w:r>
      <w:r w:rsidR="008C447B">
        <w:rPr>
          <w:lang w:val="en-US"/>
        </w:rPr>
        <w:t xml:space="preserve"> etc. </w:t>
      </w:r>
      <w:r w:rsidR="00F67218">
        <w:rPr>
          <w:lang w:val="en-US"/>
        </w:rPr>
        <w:t xml:space="preserve">Now, the initial interpretation of the ratios is not enough to paint the entire picture of the </w:t>
      </w:r>
      <w:r w:rsidR="00F67218">
        <w:rPr>
          <w:lang w:val="en-US"/>
        </w:rPr>
        <w:lastRenderedPageBreak/>
        <w:t xml:space="preserve">company. This is why the critical analysis of </w:t>
      </w:r>
      <w:r w:rsidR="001A4103">
        <w:rPr>
          <w:lang w:val="en-US"/>
        </w:rPr>
        <w:t xml:space="preserve">the </w:t>
      </w:r>
      <w:r w:rsidR="00F67218">
        <w:rPr>
          <w:lang w:val="en-US"/>
        </w:rPr>
        <w:t xml:space="preserve">results of </w:t>
      </w:r>
      <w:r w:rsidR="001A4103">
        <w:rPr>
          <w:lang w:val="en-US"/>
        </w:rPr>
        <w:t xml:space="preserve">the </w:t>
      </w:r>
      <w:r w:rsidR="00F67218">
        <w:rPr>
          <w:lang w:val="en-US"/>
        </w:rPr>
        <w:t xml:space="preserve">ratio analysis </w:t>
      </w:r>
      <w:r w:rsidR="004E4A90">
        <w:rPr>
          <w:lang w:val="en-US"/>
        </w:rPr>
        <w:t>of Standard Chartered PLC is provided below.</w:t>
      </w:r>
    </w:p>
    <w:p w14:paraId="4AEEEC5C" w14:textId="30750F45" w:rsidR="00724AE6" w:rsidRPr="00724AE6" w:rsidRDefault="00724AE6" w:rsidP="00582589">
      <w:pPr>
        <w:pStyle w:val="Heading3"/>
        <w:spacing w:line="360" w:lineRule="auto"/>
        <w:rPr>
          <w:rFonts w:ascii="Times New Roman" w:hAnsi="Times New Roman" w:cs="Times New Roman"/>
          <w:b/>
          <w:bCs/>
          <w:sz w:val="24"/>
          <w:szCs w:val="28"/>
          <w:lang w:val="en-US"/>
        </w:rPr>
      </w:pPr>
      <w:bookmarkStart w:id="12" w:name="_Toc219050352"/>
      <w:r>
        <w:rPr>
          <w:rFonts w:ascii="Times New Roman" w:hAnsi="Times New Roman" w:cs="Times New Roman"/>
          <w:b/>
          <w:bCs/>
          <w:sz w:val="24"/>
          <w:szCs w:val="28"/>
          <w:lang w:val="en-US"/>
        </w:rPr>
        <w:t>Performance Drivers and Strategic Context</w:t>
      </w:r>
      <w:bookmarkEnd w:id="12"/>
    </w:p>
    <w:p w14:paraId="1F906FC4" w14:textId="31B30DC4" w:rsidR="00724AE6" w:rsidRDefault="004E4A90" w:rsidP="00582589">
      <w:pPr>
        <w:spacing w:after="160" w:line="360" w:lineRule="auto"/>
        <w:rPr>
          <w:lang w:val="en-US"/>
        </w:rPr>
      </w:pPr>
      <w:r>
        <w:rPr>
          <w:lang w:val="en-US"/>
        </w:rPr>
        <w:t>The performance increment witnessed for Standard Chartered PLC showcases</w:t>
      </w:r>
      <w:r w:rsidR="00374BDF">
        <w:rPr>
          <w:lang w:val="en-US"/>
        </w:rPr>
        <w:t xml:space="preserve">an </w:t>
      </w:r>
      <w:r>
        <w:rPr>
          <w:lang w:val="en-US"/>
        </w:rPr>
        <w:t xml:space="preserve">illustration of three principal factors. First of all, </w:t>
      </w:r>
      <w:r w:rsidR="00374BDF">
        <w:rPr>
          <w:lang w:val="en-US"/>
        </w:rPr>
        <w:t xml:space="preserve">the </w:t>
      </w:r>
      <w:r>
        <w:rPr>
          <w:lang w:val="en-US"/>
        </w:rPr>
        <w:t xml:space="preserve">macroeconomic environment has improved in 2024 </w:t>
      </w:r>
      <w:r w:rsidR="00374BDF">
        <w:rPr>
          <w:lang w:val="en-US"/>
        </w:rPr>
        <w:t>compared to</w:t>
      </w:r>
      <w:r>
        <w:rPr>
          <w:lang w:val="en-US"/>
        </w:rPr>
        <w:t xml:space="preserve"> 2023</w:t>
      </w:r>
      <w:r w:rsidR="00374BDF">
        <w:rPr>
          <w:lang w:val="en-US"/>
        </w:rPr>
        <w:t>,</w:t>
      </w:r>
      <w:r>
        <w:rPr>
          <w:lang w:val="en-US"/>
        </w:rPr>
        <w:t xml:space="preserve"> which provided the necessary tailwind for the company to post such substantial achievements</w:t>
      </w:r>
      <w:r w:rsidR="00352110">
        <w:rPr>
          <w:lang w:val="en-US"/>
        </w:rPr>
        <w:t xml:space="preserve"> (</w:t>
      </w:r>
      <w:r w:rsidR="00352110" w:rsidRPr="00594B6C">
        <w:t>Asian Banking and Finance</w:t>
      </w:r>
      <w:r w:rsidR="00352110">
        <w:t>, 2025)</w:t>
      </w:r>
      <w:r>
        <w:rPr>
          <w:lang w:val="en-US"/>
        </w:rPr>
        <w:t>. Net interest income declined from $7,769 million in 2023 to $6,366 million in 2024</w:t>
      </w:r>
      <w:r w:rsidR="00374BDF">
        <w:rPr>
          <w:lang w:val="en-US"/>
        </w:rPr>
        <w:t>,</w:t>
      </w:r>
      <w:r>
        <w:rPr>
          <w:lang w:val="en-US"/>
        </w:rPr>
        <w:t xml:space="preserve"> whereas non-interest incomes have increased by 68%, noting the changes in macroeconomic conditions. </w:t>
      </w:r>
      <w:r w:rsidR="00374BDF">
        <w:rPr>
          <w:lang w:val="en-US"/>
        </w:rPr>
        <w:t>Secondly</w:t>
      </w:r>
      <w:r>
        <w:rPr>
          <w:lang w:val="en-US"/>
        </w:rPr>
        <w:t xml:space="preserve">, </w:t>
      </w:r>
      <w:r w:rsidR="00CE13B8">
        <w:rPr>
          <w:lang w:val="en-US"/>
        </w:rPr>
        <w:t>the company has strategically realigned its operations with higher-returning business segments</w:t>
      </w:r>
      <w:r w:rsidR="00374BDF">
        <w:rPr>
          <w:lang w:val="en-US"/>
        </w:rPr>
        <w:t>,</w:t>
      </w:r>
      <w:r w:rsidR="00CE13B8">
        <w:rPr>
          <w:lang w:val="en-US"/>
        </w:rPr>
        <w:t xml:space="preserve"> which </w:t>
      </w:r>
      <w:r w:rsidR="00374BDF">
        <w:rPr>
          <w:lang w:val="en-US"/>
        </w:rPr>
        <w:t>have</w:t>
      </w:r>
      <w:r w:rsidR="00CE13B8">
        <w:rPr>
          <w:lang w:val="en-US"/>
        </w:rPr>
        <w:t xml:space="preserve"> contributed drastically to the company’s performance improvements. </w:t>
      </w:r>
      <w:r w:rsidR="00065331">
        <w:rPr>
          <w:lang w:val="en-US"/>
        </w:rPr>
        <w:t xml:space="preserve">For instance, the company’s wealth solutions income has increased by 29% from 2023 to 2024. </w:t>
      </w:r>
      <w:r w:rsidR="003F110B">
        <w:rPr>
          <w:lang w:val="en-US"/>
        </w:rPr>
        <w:t xml:space="preserve">As a result, Standard Chartered PLC is now </w:t>
      </w:r>
      <w:r w:rsidR="00374BDF">
        <w:rPr>
          <w:lang w:val="en-US"/>
        </w:rPr>
        <w:t xml:space="preserve">the </w:t>
      </w:r>
      <w:r w:rsidR="003F110B">
        <w:rPr>
          <w:lang w:val="en-US"/>
        </w:rPr>
        <w:t>bearer of strategic clarity, enabling the company to achieve historic results.</w:t>
      </w:r>
      <w:r w:rsidR="00B3106A">
        <w:rPr>
          <w:lang w:val="en-US"/>
        </w:rPr>
        <w:t xml:space="preserve"> Lastly, the company has been maintaining operational discipline through its Fits for Growth program</w:t>
      </w:r>
      <w:r w:rsidR="00374BDF">
        <w:rPr>
          <w:lang w:val="en-US"/>
        </w:rPr>
        <w:t>,</w:t>
      </w:r>
      <w:r w:rsidR="00B3106A">
        <w:rPr>
          <w:lang w:val="en-US"/>
        </w:rPr>
        <w:t xml:space="preserve"> through which it has brought improvements across multiple areas</w:t>
      </w:r>
      <w:r w:rsidR="00374BDF">
        <w:rPr>
          <w:lang w:val="en-US"/>
        </w:rPr>
        <w:t>,</w:t>
      </w:r>
      <w:r w:rsidR="00B3106A">
        <w:rPr>
          <w:lang w:val="en-US"/>
        </w:rPr>
        <w:t xml:space="preserve"> including structural cost efficiencies, positive growth in its investments and as </w:t>
      </w:r>
      <w:r w:rsidR="004E3488">
        <w:rPr>
          <w:lang w:val="en-US"/>
        </w:rPr>
        <w:t xml:space="preserve">such. </w:t>
      </w:r>
      <w:r w:rsidR="00C309C9">
        <w:rPr>
          <w:lang w:val="en-US"/>
        </w:rPr>
        <w:t xml:space="preserve">Again, with extensive focus on </w:t>
      </w:r>
      <w:r w:rsidR="00374BDF">
        <w:rPr>
          <w:lang w:val="en-US"/>
        </w:rPr>
        <w:t>digitisation, standardisation</w:t>
      </w:r>
      <w:r w:rsidR="00C309C9">
        <w:rPr>
          <w:lang w:val="en-US"/>
        </w:rPr>
        <w:t>, standardization and organisational simplification</w:t>
      </w:r>
      <w:r w:rsidR="00374BDF">
        <w:rPr>
          <w:lang w:val="en-US"/>
        </w:rPr>
        <w:t>,</w:t>
      </w:r>
      <w:r w:rsidR="00C309C9">
        <w:rPr>
          <w:lang w:val="en-US"/>
        </w:rPr>
        <w:t xml:space="preserve"> the company </w:t>
      </w:r>
      <w:r w:rsidR="00374BDF">
        <w:rPr>
          <w:lang w:val="en-US"/>
        </w:rPr>
        <w:t xml:space="preserve">has </w:t>
      </w:r>
      <w:r w:rsidR="00C309C9">
        <w:rPr>
          <w:lang w:val="en-US"/>
        </w:rPr>
        <w:t>fundamentally closed the gaps to its peers effectively.</w:t>
      </w:r>
      <w:r w:rsidR="0061423D">
        <w:rPr>
          <w:lang w:val="en-US"/>
        </w:rPr>
        <w:t xml:space="preserve"> Now, as the Fits for Growth program is expected to run for three years, more improvements are expected in 2026 and onwards</w:t>
      </w:r>
      <w:r w:rsidR="00374BDF">
        <w:rPr>
          <w:lang w:val="en-US"/>
        </w:rPr>
        <w:t>,</w:t>
      </w:r>
      <w:r w:rsidR="0061423D">
        <w:rPr>
          <w:lang w:val="en-US"/>
        </w:rPr>
        <w:t xml:space="preserve"> with an aim to outpace the competitors significantly.</w:t>
      </w:r>
    </w:p>
    <w:p w14:paraId="031C69CE" w14:textId="257A2C18" w:rsidR="00724AE6" w:rsidRPr="00724AE6" w:rsidRDefault="00724AE6" w:rsidP="00582589">
      <w:pPr>
        <w:pStyle w:val="Heading3"/>
        <w:spacing w:line="360" w:lineRule="auto"/>
        <w:rPr>
          <w:rFonts w:ascii="Times New Roman" w:hAnsi="Times New Roman" w:cs="Times New Roman"/>
          <w:b/>
          <w:bCs/>
          <w:sz w:val="24"/>
          <w:szCs w:val="28"/>
          <w:lang w:val="en-US"/>
        </w:rPr>
      </w:pPr>
      <w:bookmarkStart w:id="13" w:name="_Toc219050353"/>
      <w:r>
        <w:rPr>
          <w:rFonts w:ascii="Times New Roman" w:hAnsi="Times New Roman" w:cs="Times New Roman"/>
          <w:b/>
          <w:bCs/>
          <w:sz w:val="24"/>
          <w:szCs w:val="28"/>
          <w:lang w:val="en-US"/>
        </w:rPr>
        <w:t>Limitations of Ratio Analysis</w:t>
      </w:r>
      <w:bookmarkEnd w:id="13"/>
    </w:p>
    <w:p w14:paraId="520BFA5D" w14:textId="5384A2B6" w:rsidR="00724AE6" w:rsidRDefault="00B70E77" w:rsidP="00582589">
      <w:pPr>
        <w:spacing w:after="160" w:line="360" w:lineRule="auto"/>
        <w:rPr>
          <w:lang w:val="en-US"/>
        </w:rPr>
      </w:pPr>
      <w:r>
        <w:rPr>
          <w:lang w:val="en-US"/>
        </w:rPr>
        <w:t xml:space="preserve">The insights provided on the financial performance of the company have remained quite substantial to dictate that the company is enroute to achieving greater results even in the near future. </w:t>
      </w:r>
      <w:r w:rsidR="00AE552E">
        <w:rPr>
          <w:lang w:val="en-US"/>
        </w:rPr>
        <w:t>However, ratio analysis has its inherent limitations</w:t>
      </w:r>
      <w:r w:rsidR="00374BDF">
        <w:rPr>
          <w:lang w:val="en-US"/>
        </w:rPr>
        <w:t>,</w:t>
      </w:r>
      <w:r w:rsidR="00AE552E">
        <w:rPr>
          <w:lang w:val="en-US"/>
        </w:rPr>
        <w:t xml:space="preserve"> which are well-documented</w:t>
      </w:r>
      <w:r w:rsidR="00374BDF">
        <w:rPr>
          <w:lang w:val="en-US"/>
        </w:rPr>
        <w:t>,</w:t>
      </w:r>
      <w:r w:rsidR="00AE552E">
        <w:rPr>
          <w:lang w:val="en-US"/>
        </w:rPr>
        <w:t xml:space="preserve"> for which there remains no interpretive certainty. </w:t>
      </w:r>
      <w:r w:rsidR="00745A66">
        <w:rPr>
          <w:lang w:val="en-US"/>
        </w:rPr>
        <w:t>Now, the major limitations of ratio analysis are outlined below.</w:t>
      </w:r>
    </w:p>
    <w:p w14:paraId="054CA23F" w14:textId="29C2FCAE" w:rsidR="00745A66" w:rsidRDefault="00745A66" w:rsidP="00745A66">
      <w:pPr>
        <w:pStyle w:val="ListParagraph"/>
        <w:numPr>
          <w:ilvl w:val="0"/>
          <w:numId w:val="1"/>
        </w:numPr>
        <w:spacing w:after="160" w:line="360" w:lineRule="auto"/>
        <w:rPr>
          <w:lang w:val="en-US"/>
        </w:rPr>
      </w:pPr>
      <w:r>
        <w:rPr>
          <w:lang w:val="en-US"/>
        </w:rPr>
        <w:t xml:space="preserve">Firstly, </w:t>
      </w:r>
      <w:r w:rsidR="00763781">
        <w:rPr>
          <w:lang w:val="en-US"/>
        </w:rPr>
        <w:t>because ratio analysis focuses extensively on historical data, ratios are meant to showcase how a company has performed in the past and not in the future. Now, in 2024, Standard Chartered PLC has posted greater results compared to 2023</w:t>
      </w:r>
      <w:r w:rsidR="00374BDF">
        <w:rPr>
          <w:lang w:val="en-US"/>
        </w:rPr>
        <w:t>;</w:t>
      </w:r>
      <w:r w:rsidR="00763781">
        <w:rPr>
          <w:lang w:val="en-US"/>
        </w:rPr>
        <w:t xml:space="preserve"> however, it is not </w:t>
      </w:r>
      <w:r w:rsidR="00374BDF">
        <w:rPr>
          <w:lang w:val="en-US"/>
        </w:rPr>
        <w:t>certain</w:t>
      </w:r>
      <w:r w:rsidR="00763781">
        <w:rPr>
          <w:lang w:val="en-US"/>
        </w:rPr>
        <w:t xml:space="preserve"> that the company will maintain such exemplary results in the future, as well, and rather</w:t>
      </w:r>
      <w:r w:rsidR="00374BDF">
        <w:rPr>
          <w:lang w:val="en-US"/>
        </w:rPr>
        <w:t>,</w:t>
      </w:r>
      <w:r w:rsidR="00763781">
        <w:rPr>
          <w:lang w:val="en-US"/>
        </w:rPr>
        <w:t xml:space="preserve"> it can only be expected that the company continues its run.</w:t>
      </w:r>
    </w:p>
    <w:p w14:paraId="0DEC383C" w14:textId="7C9C91E8" w:rsidR="0004704E" w:rsidRDefault="0004704E" w:rsidP="00745A66">
      <w:pPr>
        <w:pStyle w:val="ListParagraph"/>
        <w:numPr>
          <w:ilvl w:val="0"/>
          <w:numId w:val="1"/>
        </w:numPr>
        <w:spacing w:after="160" w:line="360" w:lineRule="auto"/>
        <w:rPr>
          <w:lang w:val="en-US"/>
        </w:rPr>
      </w:pPr>
      <w:r>
        <w:rPr>
          <w:lang w:val="en-US"/>
        </w:rPr>
        <w:lastRenderedPageBreak/>
        <w:t xml:space="preserve">Secondly, </w:t>
      </w:r>
      <w:r w:rsidR="006175F2">
        <w:rPr>
          <w:lang w:val="en-US"/>
        </w:rPr>
        <w:t xml:space="preserve">the choice of accounting policies can significantly alter what a company posts on its financial statements. Because there are leniencies in choosing specific accounting policies, organisations choosing different policies to state and record different transactions can make it difficult </w:t>
      </w:r>
      <w:r w:rsidR="00374BDF">
        <w:rPr>
          <w:lang w:val="en-US"/>
        </w:rPr>
        <w:t>to compare</w:t>
      </w:r>
      <w:r w:rsidR="006175F2">
        <w:rPr>
          <w:lang w:val="en-US"/>
        </w:rPr>
        <w:t xml:space="preserve"> between companies.</w:t>
      </w:r>
    </w:p>
    <w:p w14:paraId="370845AF" w14:textId="2DD77584" w:rsidR="00413672" w:rsidRPr="00745A66" w:rsidRDefault="00413672" w:rsidP="00745A66">
      <w:pPr>
        <w:pStyle w:val="ListParagraph"/>
        <w:numPr>
          <w:ilvl w:val="0"/>
          <w:numId w:val="1"/>
        </w:numPr>
        <w:spacing w:after="160" w:line="360" w:lineRule="auto"/>
        <w:rPr>
          <w:lang w:val="en-US"/>
        </w:rPr>
      </w:pPr>
      <w:r>
        <w:rPr>
          <w:lang w:val="en-US"/>
        </w:rPr>
        <w:t>One of the major problems with using ratio analysis is that it cannot integrate non-financial performance dimensions or qualitative factors</w:t>
      </w:r>
      <w:r w:rsidR="00374BDF">
        <w:rPr>
          <w:lang w:val="en-US"/>
        </w:rPr>
        <w:t>,</w:t>
      </w:r>
      <w:r>
        <w:rPr>
          <w:lang w:val="en-US"/>
        </w:rPr>
        <w:t xml:space="preserve"> which also have significant sway over the financial performance of a company. </w:t>
      </w:r>
      <w:r w:rsidR="00780AC7">
        <w:rPr>
          <w:lang w:val="en-US"/>
        </w:rPr>
        <w:t xml:space="preserve">There are cybersecurity resilience, climate risk management dimensions, regulatory compliance and </w:t>
      </w:r>
      <w:r w:rsidR="00374BDF">
        <w:rPr>
          <w:lang w:val="en-US"/>
        </w:rPr>
        <w:t>other</w:t>
      </w:r>
      <w:r w:rsidR="00780AC7">
        <w:rPr>
          <w:lang w:val="en-US"/>
        </w:rPr>
        <w:t xml:space="preserve"> aspects. </w:t>
      </w:r>
      <w:r w:rsidR="00D27A94">
        <w:rPr>
          <w:lang w:val="en-US"/>
        </w:rPr>
        <w:t>These are not reflected in the ratio analysis undertaken</w:t>
      </w:r>
      <w:r w:rsidR="00374BDF">
        <w:rPr>
          <w:lang w:val="en-US"/>
        </w:rPr>
        <w:t>,</w:t>
      </w:r>
      <w:r w:rsidR="00D27A94">
        <w:rPr>
          <w:lang w:val="en-US"/>
        </w:rPr>
        <w:t xml:space="preserve"> for which many aspects of a company’s financial performance remain hidden if a decision is to be taken solely based on ratio analysis.</w:t>
      </w:r>
    </w:p>
    <w:p w14:paraId="309097A7" w14:textId="54174382" w:rsidR="00724AE6" w:rsidRPr="00724AE6" w:rsidRDefault="00724AE6" w:rsidP="00582589">
      <w:pPr>
        <w:pStyle w:val="Heading3"/>
        <w:spacing w:line="360" w:lineRule="auto"/>
        <w:rPr>
          <w:rFonts w:ascii="Times New Roman" w:hAnsi="Times New Roman" w:cs="Times New Roman"/>
          <w:b/>
          <w:bCs/>
          <w:sz w:val="24"/>
          <w:szCs w:val="28"/>
          <w:lang w:val="en-US"/>
        </w:rPr>
      </w:pPr>
      <w:bookmarkStart w:id="14" w:name="_Toc219050354"/>
      <w:r>
        <w:rPr>
          <w:rFonts w:ascii="Times New Roman" w:hAnsi="Times New Roman" w:cs="Times New Roman"/>
          <w:b/>
          <w:bCs/>
          <w:sz w:val="24"/>
          <w:szCs w:val="28"/>
          <w:lang w:val="en-US"/>
        </w:rPr>
        <w:t>Recommendations for Financial Management Enhancement</w:t>
      </w:r>
      <w:bookmarkEnd w:id="14"/>
    </w:p>
    <w:p w14:paraId="66062DEC" w14:textId="09B70CEE" w:rsidR="008C5BE9" w:rsidRDefault="00B11F26" w:rsidP="00582589">
      <w:pPr>
        <w:spacing w:after="160" w:line="360" w:lineRule="auto"/>
        <w:rPr>
          <w:lang w:val="en-US"/>
        </w:rPr>
      </w:pPr>
      <w:r>
        <w:rPr>
          <w:lang w:val="en-US"/>
        </w:rPr>
        <w:t xml:space="preserve">Based on the ratio analysis undertaken, the following recommendations can significantly enhance </w:t>
      </w:r>
      <w:r w:rsidR="00374BDF">
        <w:rPr>
          <w:lang w:val="en-US"/>
        </w:rPr>
        <w:t xml:space="preserve">the </w:t>
      </w:r>
      <w:r>
        <w:rPr>
          <w:lang w:val="en-US"/>
        </w:rPr>
        <w:t xml:space="preserve">financial performance of Standard Chartered PLC. </w:t>
      </w:r>
    </w:p>
    <w:p w14:paraId="4E84ABF9" w14:textId="2E15A637" w:rsidR="007E5564" w:rsidRDefault="008C5BE9" w:rsidP="008C5BE9">
      <w:pPr>
        <w:pStyle w:val="ListParagraph"/>
        <w:numPr>
          <w:ilvl w:val="0"/>
          <w:numId w:val="1"/>
        </w:numPr>
        <w:spacing w:after="160" w:line="360" w:lineRule="auto"/>
        <w:rPr>
          <w:lang w:val="en-US"/>
        </w:rPr>
      </w:pPr>
      <w:r>
        <w:rPr>
          <w:lang w:val="en-US"/>
        </w:rPr>
        <w:t xml:space="preserve">The cost-to-income ratio has improved to 59.4% from over a 60% rate in 2023. </w:t>
      </w:r>
      <w:r w:rsidR="00AC2373">
        <w:rPr>
          <w:lang w:val="en-US"/>
        </w:rPr>
        <w:t>Now, as this is the result of its Fits for Growth program</w:t>
      </w:r>
      <w:r w:rsidR="00683543">
        <w:rPr>
          <w:lang w:val="en-US"/>
        </w:rPr>
        <w:t>, the company should further consolidate its investments in terms of digital transformation</w:t>
      </w:r>
      <w:r w:rsidR="00374BDF">
        <w:rPr>
          <w:lang w:val="en-US"/>
        </w:rPr>
        <w:t>,</w:t>
      </w:r>
      <w:r w:rsidR="00683543">
        <w:rPr>
          <w:lang w:val="en-US"/>
        </w:rPr>
        <w:t xml:space="preserve"> such as AI, automation</w:t>
      </w:r>
      <w:r w:rsidR="00374BDF">
        <w:rPr>
          <w:lang w:val="en-US"/>
        </w:rPr>
        <w:t>,</w:t>
      </w:r>
      <w:r w:rsidR="00683543">
        <w:rPr>
          <w:lang w:val="en-US"/>
        </w:rPr>
        <w:t xml:space="preserve"> etc. </w:t>
      </w:r>
      <w:r w:rsidR="006E403D">
        <w:rPr>
          <w:lang w:val="en-US"/>
        </w:rPr>
        <w:t>It can further enhance the cost-to-income ratio and bring it down to the 55% target range.</w:t>
      </w:r>
    </w:p>
    <w:p w14:paraId="332CCEB2" w14:textId="72EBD82B" w:rsidR="004E44C1" w:rsidRDefault="007E5564" w:rsidP="008C5BE9">
      <w:pPr>
        <w:pStyle w:val="ListParagraph"/>
        <w:numPr>
          <w:ilvl w:val="0"/>
          <w:numId w:val="1"/>
        </w:numPr>
        <w:spacing w:after="160" w:line="360" w:lineRule="auto"/>
        <w:rPr>
          <w:lang w:val="en-US"/>
        </w:rPr>
      </w:pPr>
      <w:r>
        <w:rPr>
          <w:lang w:val="en-US"/>
        </w:rPr>
        <w:t xml:space="preserve">The company has faced improvements in its CET1 ratio, </w:t>
      </w:r>
      <w:r w:rsidR="00F7116A">
        <w:rPr>
          <w:lang w:val="en-US"/>
        </w:rPr>
        <w:t xml:space="preserve">but the portfolio has still not exceeded </w:t>
      </w:r>
      <w:r w:rsidR="00B959A6">
        <w:rPr>
          <w:lang w:val="en-US"/>
        </w:rPr>
        <w:t>industry bests at 10-11%</w:t>
      </w:r>
      <w:r w:rsidR="007F5A95">
        <w:rPr>
          <w:lang w:val="en-US"/>
        </w:rPr>
        <w:t xml:space="preserve"> (</w:t>
      </w:r>
      <w:r w:rsidR="007F5A95" w:rsidRPr="00594B6C">
        <w:t>KPMG</w:t>
      </w:r>
      <w:r w:rsidR="007F5A95">
        <w:t>, 2024)</w:t>
      </w:r>
      <w:r w:rsidR="00B959A6">
        <w:rPr>
          <w:lang w:val="en-US"/>
        </w:rPr>
        <w:t xml:space="preserve">. </w:t>
      </w:r>
      <w:r w:rsidR="00F27B64">
        <w:rPr>
          <w:lang w:val="en-US"/>
        </w:rPr>
        <w:t xml:space="preserve">With continued </w:t>
      </w:r>
      <w:r w:rsidR="00374BDF">
        <w:rPr>
          <w:lang w:val="en-US"/>
        </w:rPr>
        <w:t>optimisation</w:t>
      </w:r>
      <w:r w:rsidR="00F27B64">
        <w:rPr>
          <w:lang w:val="en-US"/>
        </w:rPr>
        <w:t xml:space="preserve"> of the bank’s portfolio, </w:t>
      </w:r>
      <w:r w:rsidR="00941D92">
        <w:rPr>
          <w:lang w:val="en-US"/>
        </w:rPr>
        <w:t>the company can further increase its returns on equity, assets and the overall profitability of the bank.</w:t>
      </w:r>
      <w:r w:rsidR="004E44C1">
        <w:rPr>
          <w:lang w:val="en-US"/>
        </w:rPr>
        <w:t xml:space="preserve"> </w:t>
      </w:r>
    </w:p>
    <w:p w14:paraId="20E421B8" w14:textId="1326A073" w:rsidR="00E13B4B" w:rsidRPr="008C5BE9" w:rsidRDefault="004E44C1" w:rsidP="008C5BE9">
      <w:pPr>
        <w:pStyle w:val="ListParagraph"/>
        <w:numPr>
          <w:ilvl w:val="0"/>
          <w:numId w:val="1"/>
        </w:numPr>
        <w:spacing w:after="160" w:line="360" w:lineRule="auto"/>
        <w:rPr>
          <w:lang w:val="en-US"/>
        </w:rPr>
      </w:pPr>
      <w:r>
        <w:rPr>
          <w:lang w:val="en-US"/>
        </w:rPr>
        <w:t>The net interest margin has increased from 1.67% in 2023 to 1.94% in 2024</w:t>
      </w:r>
      <w:r w:rsidR="00374BDF">
        <w:rPr>
          <w:lang w:val="en-US"/>
        </w:rPr>
        <w:t>,</w:t>
      </w:r>
      <w:r w:rsidR="00626E58">
        <w:rPr>
          <w:lang w:val="en-US"/>
        </w:rPr>
        <w:t xml:space="preserve"> which showcases the company’s effective asset-liability management</w:t>
      </w:r>
      <w:r w:rsidR="00BE6133">
        <w:rPr>
          <w:lang w:val="en-US"/>
        </w:rPr>
        <w:t xml:space="preserve">. Yet, there exist more opportunities for the company </w:t>
      </w:r>
      <w:r w:rsidR="00E116B5">
        <w:rPr>
          <w:lang w:val="en-US"/>
        </w:rPr>
        <w:t>in the ratio enhancement through its current account and savings account</w:t>
      </w:r>
      <w:r w:rsidR="00352110">
        <w:rPr>
          <w:lang w:val="en-US"/>
        </w:rPr>
        <w:t xml:space="preserve"> (</w:t>
      </w:r>
      <w:r w:rsidR="00352110" w:rsidRPr="00594B6C">
        <w:t>Asian Banking and Finance</w:t>
      </w:r>
      <w:r w:rsidR="00352110">
        <w:t>, 2025)</w:t>
      </w:r>
      <w:r w:rsidR="00E116B5">
        <w:rPr>
          <w:lang w:val="en-US"/>
        </w:rPr>
        <w:t xml:space="preserve">. </w:t>
      </w:r>
      <w:r w:rsidR="005A5387">
        <w:rPr>
          <w:lang w:val="en-US"/>
        </w:rPr>
        <w:t>The company can further enhance its wealth management through cross-selling</w:t>
      </w:r>
      <w:r w:rsidR="00374BDF">
        <w:rPr>
          <w:lang w:val="en-US"/>
        </w:rPr>
        <w:t>,</w:t>
      </w:r>
      <w:r w:rsidR="005A5387">
        <w:rPr>
          <w:lang w:val="en-US"/>
        </w:rPr>
        <w:t xml:space="preserve"> which can increase its zero-cost and low-cost deposit proportions, as well</w:t>
      </w:r>
      <w:r w:rsidR="007A3C61">
        <w:rPr>
          <w:lang w:val="en-US"/>
        </w:rPr>
        <w:t>.</w:t>
      </w:r>
      <w:r w:rsidR="00E13B4B" w:rsidRPr="008C5BE9">
        <w:rPr>
          <w:lang w:val="en-US"/>
        </w:rPr>
        <w:br w:type="page"/>
      </w:r>
    </w:p>
    <w:p w14:paraId="6AEE58E6" w14:textId="17157A5C" w:rsidR="00E13B4B" w:rsidRDefault="00E13B4B" w:rsidP="00582589">
      <w:pPr>
        <w:pStyle w:val="Heading1"/>
        <w:spacing w:line="360" w:lineRule="auto"/>
        <w:rPr>
          <w:lang w:val="en-US"/>
        </w:rPr>
      </w:pPr>
      <w:bookmarkStart w:id="15" w:name="_Toc219050355"/>
      <w:r>
        <w:rPr>
          <w:lang w:val="en-US"/>
        </w:rPr>
        <w:lastRenderedPageBreak/>
        <w:t>Part Two: Investment Appraisal for Westward PLC</w:t>
      </w:r>
      <w:bookmarkEnd w:id="15"/>
    </w:p>
    <w:p w14:paraId="770A865D" w14:textId="616B86EC" w:rsidR="00E92B95" w:rsidRDefault="00E92B95" w:rsidP="00582589">
      <w:pPr>
        <w:pStyle w:val="Heading2"/>
        <w:rPr>
          <w:lang w:val="en-US"/>
        </w:rPr>
      </w:pPr>
      <w:bookmarkStart w:id="16" w:name="_Toc219050356"/>
      <w:r>
        <w:rPr>
          <w:lang w:val="en-US"/>
        </w:rPr>
        <w:t>Summary of Investment Opportunity for Westward PLC</w:t>
      </w:r>
      <w:bookmarkEnd w:id="16"/>
    </w:p>
    <w:p w14:paraId="19E83E4E" w14:textId="4B3A9BD0" w:rsidR="00E13B4B" w:rsidRDefault="007F31CB" w:rsidP="00582589">
      <w:pPr>
        <w:spacing w:line="360" w:lineRule="auto"/>
        <w:rPr>
          <w:lang w:val="en-US"/>
        </w:rPr>
      </w:pPr>
      <w:r>
        <w:rPr>
          <w:lang w:val="en-US"/>
        </w:rPr>
        <w:t>Westward PLC</w:t>
      </w:r>
      <w:r w:rsidR="00374BDF">
        <w:rPr>
          <w:lang w:val="en-US"/>
        </w:rPr>
        <w:t>,</w:t>
      </w:r>
      <w:r>
        <w:rPr>
          <w:lang w:val="en-US"/>
        </w:rPr>
        <w:t xml:space="preserve"> which is a manufacturing company producing high-quality curtains</w:t>
      </w:r>
      <w:r w:rsidR="00374BDF">
        <w:rPr>
          <w:lang w:val="en-US"/>
        </w:rPr>
        <w:t>,</w:t>
      </w:r>
      <w:r>
        <w:rPr>
          <w:lang w:val="en-US"/>
        </w:rPr>
        <w:t xml:space="preserve"> is now facing a strategic dilemma with opportunities ranging </w:t>
      </w:r>
      <w:r w:rsidR="00374BDF">
        <w:rPr>
          <w:lang w:val="en-US"/>
        </w:rPr>
        <w:t xml:space="preserve">from </w:t>
      </w:r>
      <w:r>
        <w:rPr>
          <w:lang w:val="en-US"/>
        </w:rPr>
        <w:t xml:space="preserve">three options. </w:t>
      </w:r>
      <w:r w:rsidR="000A4816">
        <w:rPr>
          <w:lang w:val="en-US"/>
        </w:rPr>
        <w:t>The company can expand its retail outlet by investing 600,000 Pounds initially, it can develop its internet sales platform by investing 1,000,000 Pounds initially</w:t>
      </w:r>
      <w:r w:rsidR="00374BDF">
        <w:rPr>
          <w:lang w:val="en-US"/>
        </w:rPr>
        <w:t>,</w:t>
      </w:r>
      <w:r w:rsidR="000A4816">
        <w:rPr>
          <w:lang w:val="en-US"/>
        </w:rPr>
        <w:t xml:space="preserve"> or it can produce wooden and Roman blinds by investing 1,600,000 Pounds </w:t>
      </w:r>
      <w:r w:rsidR="001D6986">
        <w:rPr>
          <w:lang w:val="en-US"/>
        </w:rPr>
        <w:t xml:space="preserve">initially. Each option has </w:t>
      </w:r>
      <w:r w:rsidR="00374BDF">
        <w:rPr>
          <w:lang w:val="en-US"/>
        </w:rPr>
        <w:t xml:space="preserve">a </w:t>
      </w:r>
      <w:r w:rsidR="001D6986">
        <w:rPr>
          <w:lang w:val="en-US"/>
        </w:rPr>
        <w:t xml:space="preserve">distinct risk-return </w:t>
      </w:r>
      <w:r w:rsidR="00374BDF">
        <w:rPr>
          <w:lang w:val="en-US"/>
        </w:rPr>
        <w:t>profile</w:t>
      </w:r>
      <w:r w:rsidR="001D6986">
        <w:rPr>
          <w:lang w:val="en-US"/>
        </w:rPr>
        <w:t xml:space="preserve"> and different capital requirements. Now, </w:t>
      </w:r>
      <w:r w:rsidR="00374BDF">
        <w:rPr>
          <w:lang w:val="en-US"/>
        </w:rPr>
        <w:t>to</w:t>
      </w:r>
      <w:r w:rsidR="001D6986">
        <w:rPr>
          <w:lang w:val="en-US"/>
        </w:rPr>
        <w:t xml:space="preserve"> evaluate the feasibility of each of the options, firstly, net present value will be used to identify which option yields the highest value-creation for the company</w:t>
      </w:r>
      <w:r w:rsidR="00374BDF">
        <w:rPr>
          <w:lang w:val="en-US"/>
        </w:rPr>
        <w:t>,</w:t>
      </w:r>
      <w:r w:rsidR="001D6986">
        <w:rPr>
          <w:lang w:val="en-US"/>
        </w:rPr>
        <w:t xml:space="preserve"> and based on the NPV results, the option with the highest NPV will be evaluated using IRR to reestablish whether the evaluated option is the most viable one for Westward PLC.</w:t>
      </w:r>
    </w:p>
    <w:p w14:paraId="23F954F8" w14:textId="75E784EC" w:rsidR="00E92B95" w:rsidRDefault="00E92B95" w:rsidP="00582589">
      <w:pPr>
        <w:pStyle w:val="Heading2"/>
        <w:rPr>
          <w:lang w:val="en-US"/>
        </w:rPr>
      </w:pPr>
      <w:bookmarkStart w:id="17" w:name="_Toc219050357"/>
      <w:r>
        <w:rPr>
          <w:lang w:val="en-US"/>
        </w:rPr>
        <w:t>Discussion of NPV and IRR &amp; Calculation of Options Available</w:t>
      </w:r>
      <w:bookmarkEnd w:id="17"/>
    </w:p>
    <w:p w14:paraId="2F3D7DAB" w14:textId="4DF6B33D" w:rsidR="00E92B95" w:rsidRPr="00771444" w:rsidRDefault="00F916A4" w:rsidP="00582589">
      <w:pPr>
        <w:pStyle w:val="Heading3"/>
        <w:spacing w:line="360" w:lineRule="auto"/>
        <w:rPr>
          <w:rFonts w:ascii="Times New Roman" w:hAnsi="Times New Roman" w:cs="Times New Roman"/>
          <w:b/>
          <w:bCs/>
          <w:sz w:val="24"/>
          <w:szCs w:val="28"/>
          <w:lang w:val="en-US"/>
        </w:rPr>
      </w:pPr>
      <w:bookmarkStart w:id="18" w:name="_Toc219050358"/>
      <w:r>
        <w:rPr>
          <w:rFonts w:ascii="Times New Roman" w:hAnsi="Times New Roman" w:cs="Times New Roman"/>
          <w:b/>
          <w:bCs/>
          <w:sz w:val="24"/>
          <w:szCs w:val="28"/>
          <w:lang w:val="en-US"/>
        </w:rPr>
        <w:t>Discussion of Net Present Value and Calculation</w:t>
      </w:r>
      <w:bookmarkEnd w:id="18"/>
    </w:p>
    <w:p w14:paraId="650ADF36" w14:textId="76169205" w:rsidR="00E92B95" w:rsidRDefault="007A5367" w:rsidP="00582589">
      <w:pPr>
        <w:spacing w:line="360" w:lineRule="auto"/>
        <w:rPr>
          <w:lang w:val="en-US"/>
        </w:rPr>
      </w:pPr>
      <w:r>
        <w:rPr>
          <w:lang w:val="en-US"/>
        </w:rPr>
        <w:t xml:space="preserve">The net present value analysis refers to the measurement </w:t>
      </w:r>
      <w:r w:rsidR="00221DF3">
        <w:rPr>
          <w:lang w:val="en-US"/>
        </w:rPr>
        <w:t xml:space="preserve">of absolute wealth change in a company by undertaking a project opportunity </w:t>
      </w:r>
      <w:r w:rsidR="00B05029">
        <w:rPr>
          <w:lang w:val="en-US"/>
        </w:rPr>
        <w:t>resulting in the net change to the total wealth of the company</w:t>
      </w:r>
      <w:r w:rsidR="00352110">
        <w:rPr>
          <w:lang w:val="en-US"/>
        </w:rPr>
        <w:t xml:space="preserve"> (</w:t>
      </w:r>
      <w:r w:rsidR="00352110" w:rsidRPr="00594B6C">
        <w:t>ACCA</w:t>
      </w:r>
      <w:r w:rsidR="00352110">
        <w:t>, 2024)</w:t>
      </w:r>
      <w:r w:rsidR="00B05029">
        <w:rPr>
          <w:lang w:val="en-US"/>
        </w:rPr>
        <w:t xml:space="preserve">. </w:t>
      </w:r>
      <w:r w:rsidR="00854655">
        <w:rPr>
          <w:lang w:val="en-US"/>
        </w:rPr>
        <w:t xml:space="preserve">It requires all the cash flows available to a company arising out of a project, </w:t>
      </w:r>
      <w:r w:rsidR="00374BDF">
        <w:rPr>
          <w:lang w:val="en-US"/>
        </w:rPr>
        <w:t xml:space="preserve">a </w:t>
      </w:r>
      <w:r w:rsidR="00854655">
        <w:rPr>
          <w:lang w:val="en-US"/>
        </w:rPr>
        <w:t xml:space="preserve">discount rate to calculate the present value of all the cash flows and </w:t>
      </w:r>
      <w:r w:rsidR="00374BDF">
        <w:rPr>
          <w:lang w:val="en-US"/>
        </w:rPr>
        <w:t xml:space="preserve">the </w:t>
      </w:r>
      <w:r w:rsidR="00854655">
        <w:rPr>
          <w:lang w:val="en-US"/>
        </w:rPr>
        <w:t>initial investment required. Now, using the firm’s cost of capital, the NPV for all three of the options is calculated below.</w:t>
      </w:r>
    </w:p>
    <w:p w14:paraId="6CA2F5F9" w14:textId="6392D32A" w:rsidR="00CF1CA6" w:rsidRDefault="00CF1CA6" w:rsidP="00582589">
      <w:pPr>
        <w:spacing w:line="360" w:lineRule="auto"/>
        <w:rPr>
          <w:b/>
          <w:bCs/>
          <w:lang w:val="en-US"/>
        </w:rPr>
      </w:pPr>
      <w:r>
        <w:rPr>
          <w:b/>
          <w:bCs/>
          <w:lang w:val="en-US"/>
        </w:rPr>
        <w:t>Rules for After-Tax Cash Flow Calculation</w:t>
      </w:r>
    </w:p>
    <w:p w14:paraId="427CC1B3" w14:textId="6B72F10B" w:rsidR="00CF1CA6" w:rsidRDefault="00CF1CA6" w:rsidP="00582589">
      <w:pPr>
        <w:spacing w:line="360" w:lineRule="auto"/>
        <w:rPr>
          <w:lang w:val="en-US"/>
        </w:rPr>
      </w:pPr>
      <w:r>
        <w:rPr>
          <w:lang w:val="en-US"/>
        </w:rPr>
        <w:t xml:space="preserve">In order to use the cash flows, adjustments for corporation tax and capital allowances need to be made. In the UK, the tax regulations permit capital allowances at 20% per annum on </w:t>
      </w:r>
      <w:r w:rsidR="00374BDF">
        <w:rPr>
          <w:lang w:val="en-US"/>
        </w:rPr>
        <w:t>a</w:t>
      </w:r>
      <w:r>
        <w:rPr>
          <w:lang w:val="en-US"/>
        </w:rPr>
        <w:t xml:space="preserve"> straight-line basis</w:t>
      </w:r>
      <w:r w:rsidR="00374BDF">
        <w:rPr>
          <w:lang w:val="en-US"/>
        </w:rPr>
        <w:t>,</w:t>
      </w:r>
      <w:r>
        <w:rPr>
          <w:lang w:val="en-US"/>
        </w:rPr>
        <w:t xml:space="preserve"> which generates tax shields to increase the amount of after-tax cash flows.</w:t>
      </w:r>
    </w:p>
    <w:p w14:paraId="56D4EC0E" w14:textId="4D64C6B2" w:rsidR="00CF1CA6" w:rsidRDefault="00CF1CA6" w:rsidP="00582589">
      <w:pPr>
        <w:spacing w:line="360" w:lineRule="auto"/>
        <w:rPr>
          <w:b/>
          <w:bCs/>
          <w:lang w:val="en-US"/>
        </w:rPr>
      </w:pPr>
      <w:r>
        <w:rPr>
          <w:b/>
          <w:bCs/>
          <w:lang w:val="en-US"/>
        </w:rPr>
        <w:t>NPV of Option – A: Retail Outlet Expansion</w:t>
      </w:r>
    </w:p>
    <w:p w14:paraId="169F9AD0" w14:textId="512B16C6" w:rsidR="00970D24" w:rsidRDefault="002C50CA" w:rsidP="00582589">
      <w:pPr>
        <w:spacing w:line="360" w:lineRule="auto"/>
        <w:rPr>
          <w:lang w:val="en-US"/>
        </w:rPr>
      </w:pPr>
      <w:r>
        <w:rPr>
          <w:lang w:val="en-US"/>
        </w:rPr>
        <w:t>Investment Required: 600,000 Pounds</w:t>
      </w:r>
    </w:p>
    <w:p w14:paraId="3C253CFB" w14:textId="45FBA6C9" w:rsidR="002C50CA" w:rsidRDefault="002C50CA" w:rsidP="00582589">
      <w:pPr>
        <w:spacing w:line="360" w:lineRule="auto"/>
        <w:rPr>
          <w:lang w:val="en-US"/>
        </w:rPr>
      </w:pPr>
      <w:r>
        <w:rPr>
          <w:lang w:val="en-US"/>
        </w:rPr>
        <w:t>Capital Allowance per Annum = 120,000 Pounds [600,000 * 20%]</w:t>
      </w:r>
    </w:p>
    <w:p w14:paraId="6F8105D1" w14:textId="30BFFE64" w:rsidR="002C50CA" w:rsidRDefault="002C50CA" w:rsidP="00582589">
      <w:pPr>
        <w:spacing w:line="360" w:lineRule="auto"/>
        <w:rPr>
          <w:lang w:val="en-US"/>
        </w:rPr>
      </w:pPr>
      <w:r>
        <w:rPr>
          <w:lang w:val="en-US"/>
        </w:rPr>
        <w:t>Tax Shield from Capital Allowance = 30,000 Pounds [120,000 * 25%]</w:t>
      </w:r>
    </w:p>
    <w:tbl>
      <w:tblPr>
        <w:tblStyle w:val="TableGrid"/>
        <w:tblW w:w="0" w:type="auto"/>
        <w:tblLook w:val="04A0" w:firstRow="1" w:lastRow="0" w:firstColumn="1" w:lastColumn="0" w:noHBand="0" w:noVBand="1"/>
      </w:tblPr>
      <w:tblGrid>
        <w:gridCol w:w="1163"/>
        <w:gridCol w:w="1429"/>
        <w:gridCol w:w="1429"/>
        <w:gridCol w:w="1267"/>
        <w:gridCol w:w="1430"/>
        <w:gridCol w:w="1142"/>
        <w:gridCol w:w="1156"/>
      </w:tblGrid>
      <w:tr w:rsidR="00CA385F" w14:paraId="21D8DD17" w14:textId="746318C7" w:rsidTr="00CA385F">
        <w:tc>
          <w:tcPr>
            <w:tcW w:w="1163" w:type="dxa"/>
          </w:tcPr>
          <w:p w14:paraId="0B1079D5" w14:textId="4229CF18" w:rsidR="00CA385F" w:rsidRPr="002C50CA" w:rsidRDefault="00CA385F" w:rsidP="002C50CA">
            <w:pPr>
              <w:spacing w:line="360" w:lineRule="auto"/>
              <w:jc w:val="center"/>
              <w:rPr>
                <w:b/>
                <w:bCs/>
                <w:lang w:val="en-US"/>
              </w:rPr>
            </w:pPr>
            <w:r>
              <w:rPr>
                <w:b/>
                <w:bCs/>
                <w:lang w:val="en-US"/>
              </w:rPr>
              <w:t>Year</w:t>
            </w:r>
          </w:p>
        </w:tc>
        <w:tc>
          <w:tcPr>
            <w:tcW w:w="1429" w:type="dxa"/>
          </w:tcPr>
          <w:p w14:paraId="121E9DE6" w14:textId="717CC7FB" w:rsidR="00CA385F" w:rsidRPr="002C50CA" w:rsidRDefault="00CA385F" w:rsidP="002C50CA">
            <w:pPr>
              <w:spacing w:line="360" w:lineRule="auto"/>
              <w:jc w:val="center"/>
              <w:rPr>
                <w:b/>
                <w:bCs/>
                <w:lang w:val="en-US"/>
              </w:rPr>
            </w:pPr>
            <w:r>
              <w:rPr>
                <w:b/>
                <w:bCs/>
                <w:lang w:val="en-US"/>
              </w:rPr>
              <w:t>Pre-Tax Cash Flow (</w:t>
            </w:r>
            <w:r w:rsidRPr="004D27A6">
              <w:rPr>
                <w:b/>
                <w:bCs/>
              </w:rPr>
              <w:t>£</w:t>
            </w:r>
            <w:r>
              <w:rPr>
                <w:b/>
                <w:bCs/>
              </w:rPr>
              <w:t>)</w:t>
            </w:r>
          </w:p>
        </w:tc>
        <w:tc>
          <w:tcPr>
            <w:tcW w:w="1429" w:type="dxa"/>
          </w:tcPr>
          <w:p w14:paraId="3B9C38E7" w14:textId="6B84C10E" w:rsidR="00CA385F" w:rsidRPr="002C50CA" w:rsidRDefault="00CA385F" w:rsidP="002C50CA">
            <w:pPr>
              <w:spacing w:line="360" w:lineRule="auto"/>
              <w:jc w:val="center"/>
              <w:rPr>
                <w:b/>
                <w:bCs/>
                <w:lang w:val="en-US"/>
              </w:rPr>
            </w:pPr>
            <w:r>
              <w:rPr>
                <w:b/>
                <w:bCs/>
                <w:lang w:val="en-US"/>
              </w:rPr>
              <w:t>Less: Tax (25%) (</w:t>
            </w:r>
            <w:r w:rsidRPr="004D27A6">
              <w:rPr>
                <w:b/>
                <w:bCs/>
              </w:rPr>
              <w:t>£</w:t>
            </w:r>
            <w:r>
              <w:rPr>
                <w:b/>
                <w:bCs/>
              </w:rPr>
              <w:t>)</w:t>
            </w:r>
          </w:p>
        </w:tc>
        <w:tc>
          <w:tcPr>
            <w:tcW w:w="1267" w:type="dxa"/>
          </w:tcPr>
          <w:p w14:paraId="733FC02B" w14:textId="3B53F9DD" w:rsidR="00CA385F" w:rsidRPr="002C50CA" w:rsidRDefault="00CA385F" w:rsidP="002C50CA">
            <w:pPr>
              <w:spacing w:line="360" w:lineRule="auto"/>
              <w:jc w:val="center"/>
              <w:rPr>
                <w:b/>
                <w:bCs/>
                <w:lang w:val="en-US"/>
              </w:rPr>
            </w:pPr>
            <w:r>
              <w:rPr>
                <w:b/>
                <w:bCs/>
                <w:lang w:val="en-US"/>
              </w:rPr>
              <w:t>Add: Tax Shield (</w:t>
            </w:r>
            <w:r w:rsidRPr="004D27A6">
              <w:rPr>
                <w:b/>
                <w:bCs/>
              </w:rPr>
              <w:t>£</w:t>
            </w:r>
            <w:r>
              <w:rPr>
                <w:b/>
                <w:bCs/>
              </w:rPr>
              <w:t>)</w:t>
            </w:r>
          </w:p>
        </w:tc>
        <w:tc>
          <w:tcPr>
            <w:tcW w:w="1430" w:type="dxa"/>
          </w:tcPr>
          <w:p w14:paraId="6FBC320C" w14:textId="3E27E9DC" w:rsidR="00CA385F" w:rsidRPr="002C50CA" w:rsidRDefault="00CA385F" w:rsidP="002C50CA">
            <w:pPr>
              <w:spacing w:line="360" w:lineRule="auto"/>
              <w:jc w:val="center"/>
              <w:rPr>
                <w:b/>
                <w:bCs/>
                <w:lang w:val="en-US"/>
              </w:rPr>
            </w:pPr>
            <w:r>
              <w:rPr>
                <w:b/>
                <w:bCs/>
                <w:lang w:val="en-US"/>
              </w:rPr>
              <w:t>After-Tax Cash Flow (</w:t>
            </w:r>
            <w:r w:rsidRPr="004D27A6">
              <w:rPr>
                <w:b/>
                <w:bCs/>
              </w:rPr>
              <w:t>£</w:t>
            </w:r>
            <w:r>
              <w:rPr>
                <w:b/>
                <w:bCs/>
              </w:rPr>
              <w:t>)</w:t>
            </w:r>
          </w:p>
        </w:tc>
        <w:tc>
          <w:tcPr>
            <w:tcW w:w="1142" w:type="dxa"/>
          </w:tcPr>
          <w:p w14:paraId="18CFCBE3" w14:textId="5782DECE" w:rsidR="00CA385F" w:rsidRDefault="00CA385F" w:rsidP="002C50CA">
            <w:pPr>
              <w:spacing w:line="360" w:lineRule="auto"/>
              <w:jc w:val="center"/>
              <w:rPr>
                <w:b/>
                <w:bCs/>
                <w:lang w:val="en-US"/>
              </w:rPr>
            </w:pPr>
            <w:r>
              <w:rPr>
                <w:b/>
                <w:bCs/>
                <w:lang w:val="en-US"/>
              </w:rPr>
              <w:t>PV Factor at 6%</w:t>
            </w:r>
          </w:p>
        </w:tc>
        <w:tc>
          <w:tcPr>
            <w:tcW w:w="1156" w:type="dxa"/>
          </w:tcPr>
          <w:p w14:paraId="18BA78BD" w14:textId="2EFEE5EE" w:rsidR="00CA385F" w:rsidRDefault="00CA385F" w:rsidP="002C50CA">
            <w:pPr>
              <w:spacing w:line="360" w:lineRule="auto"/>
              <w:jc w:val="center"/>
              <w:rPr>
                <w:b/>
                <w:bCs/>
                <w:lang w:val="en-US"/>
              </w:rPr>
            </w:pPr>
            <w:r>
              <w:rPr>
                <w:b/>
                <w:bCs/>
                <w:lang w:val="en-US"/>
              </w:rPr>
              <w:t>PV of CF (</w:t>
            </w:r>
            <w:r w:rsidRPr="004D27A6">
              <w:rPr>
                <w:b/>
                <w:bCs/>
              </w:rPr>
              <w:t>£</w:t>
            </w:r>
            <w:r>
              <w:rPr>
                <w:b/>
                <w:bCs/>
              </w:rPr>
              <w:t>)</w:t>
            </w:r>
          </w:p>
        </w:tc>
      </w:tr>
      <w:tr w:rsidR="00CA385F" w14:paraId="6BFF2AB2" w14:textId="44B6BA9C" w:rsidTr="00CA385F">
        <w:tc>
          <w:tcPr>
            <w:tcW w:w="1163" w:type="dxa"/>
          </w:tcPr>
          <w:p w14:paraId="17A67008" w14:textId="0BE21EC8" w:rsidR="00CA385F" w:rsidRDefault="00CA385F" w:rsidP="002C50CA">
            <w:pPr>
              <w:spacing w:line="360" w:lineRule="auto"/>
              <w:jc w:val="center"/>
              <w:rPr>
                <w:lang w:val="en-US"/>
              </w:rPr>
            </w:pPr>
            <w:r>
              <w:rPr>
                <w:lang w:val="en-US"/>
              </w:rPr>
              <w:t>0</w:t>
            </w:r>
          </w:p>
        </w:tc>
        <w:tc>
          <w:tcPr>
            <w:tcW w:w="1429" w:type="dxa"/>
          </w:tcPr>
          <w:p w14:paraId="6724B0FB" w14:textId="51920C68" w:rsidR="00CA385F" w:rsidRDefault="00CA385F" w:rsidP="002C50CA">
            <w:pPr>
              <w:spacing w:line="360" w:lineRule="auto"/>
              <w:jc w:val="center"/>
              <w:rPr>
                <w:lang w:val="en-US"/>
              </w:rPr>
            </w:pPr>
            <w:r>
              <w:rPr>
                <w:lang w:val="en-US"/>
              </w:rPr>
              <w:t>(600,000)</w:t>
            </w:r>
          </w:p>
        </w:tc>
        <w:tc>
          <w:tcPr>
            <w:tcW w:w="1429" w:type="dxa"/>
          </w:tcPr>
          <w:p w14:paraId="05A6715E" w14:textId="294D50EB" w:rsidR="00CA385F" w:rsidRDefault="00CA385F" w:rsidP="002C50CA">
            <w:pPr>
              <w:spacing w:line="360" w:lineRule="auto"/>
              <w:jc w:val="center"/>
              <w:rPr>
                <w:lang w:val="en-US"/>
              </w:rPr>
            </w:pPr>
            <w:r>
              <w:rPr>
                <w:lang w:val="en-US"/>
              </w:rPr>
              <w:t>-</w:t>
            </w:r>
          </w:p>
        </w:tc>
        <w:tc>
          <w:tcPr>
            <w:tcW w:w="1267" w:type="dxa"/>
          </w:tcPr>
          <w:p w14:paraId="5D57D101" w14:textId="16260EDB" w:rsidR="00CA385F" w:rsidRDefault="00CA385F" w:rsidP="002C50CA">
            <w:pPr>
              <w:spacing w:line="360" w:lineRule="auto"/>
              <w:jc w:val="center"/>
              <w:rPr>
                <w:lang w:val="en-US"/>
              </w:rPr>
            </w:pPr>
            <w:r>
              <w:rPr>
                <w:lang w:val="en-US"/>
              </w:rPr>
              <w:t>-</w:t>
            </w:r>
          </w:p>
        </w:tc>
        <w:tc>
          <w:tcPr>
            <w:tcW w:w="1430" w:type="dxa"/>
          </w:tcPr>
          <w:p w14:paraId="0CF9F380" w14:textId="4D14A5F9" w:rsidR="00CA385F" w:rsidRDefault="00CA385F" w:rsidP="002C50CA">
            <w:pPr>
              <w:spacing w:line="360" w:lineRule="auto"/>
              <w:jc w:val="center"/>
              <w:rPr>
                <w:lang w:val="en-US"/>
              </w:rPr>
            </w:pPr>
            <w:r>
              <w:rPr>
                <w:lang w:val="en-US"/>
              </w:rPr>
              <w:t>(600,000)</w:t>
            </w:r>
          </w:p>
        </w:tc>
        <w:tc>
          <w:tcPr>
            <w:tcW w:w="1142" w:type="dxa"/>
          </w:tcPr>
          <w:p w14:paraId="45A052F8" w14:textId="4CEFE354" w:rsidR="00CA385F" w:rsidRDefault="00CA385F" w:rsidP="002C50CA">
            <w:pPr>
              <w:spacing w:line="360" w:lineRule="auto"/>
              <w:jc w:val="center"/>
              <w:rPr>
                <w:lang w:val="en-US"/>
              </w:rPr>
            </w:pPr>
            <w:r>
              <w:rPr>
                <w:lang w:val="en-US"/>
              </w:rPr>
              <w:t>-</w:t>
            </w:r>
          </w:p>
        </w:tc>
        <w:tc>
          <w:tcPr>
            <w:tcW w:w="1156" w:type="dxa"/>
          </w:tcPr>
          <w:p w14:paraId="3121C53E" w14:textId="58E47B62" w:rsidR="00CA385F" w:rsidRDefault="00CA385F" w:rsidP="002C50CA">
            <w:pPr>
              <w:spacing w:line="360" w:lineRule="auto"/>
              <w:jc w:val="center"/>
              <w:rPr>
                <w:lang w:val="en-US"/>
              </w:rPr>
            </w:pPr>
            <w:r>
              <w:rPr>
                <w:lang w:val="en-US"/>
              </w:rPr>
              <w:t>(600,000)</w:t>
            </w:r>
          </w:p>
        </w:tc>
      </w:tr>
      <w:tr w:rsidR="00CA385F" w14:paraId="20694395" w14:textId="7798BBCE" w:rsidTr="00CA385F">
        <w:tc>
          <w:tcPr>
            <w:tcW w:w="1163" w:type="dxa"/>
          </w:tcPr>
          <w:p w14:paraId="3715ED85" w14:textId="7CC39487" w:rsidR="00CA385F" w:rsidRDefault="00CA385F" w:rsidP="00F91370">
            <w:pPr>
              <w:spacing w:line="360" w:lineRule="auto"/>
              <w:jc w:val="center"/>
              <w:rPr>
                <w:lang w:val="en-US"/>
              </w:rPr>
            </w:pPr>
            <w:r>
              <w:rPr>
                <w:lang w:val="en-US"/>
              </w:rPr>
              <w:lastRenderedPageBreak/>
              <w:t>1</w:t>
            </w:r>
          </w:p>
        </w:tc>
        <w:tc>
          <w:tcPr>
            <w:tcW w:w="1429" w:type="dxa"/>
          </w:tcPr>
          <w:p w14:paraId="5F45CEB9" w14:textId="38BABC0C" w:rsidR="00CA385F" w:rsidRDefault="00CA385F" w:rsidP="00F91370">
            <w:pPr>
              <w:spacing w:line="360" w:lineRule="auto"/>
              <w:jc w:val="center"/>
              <w:rPr>
                <w:lang w:val="en-US"/>
              </w:rPr>
            </w:pPr>
            <w:r>
              <w:rPr>
                <w:lang w:val="en-US"/>
              </w:rPr>
              <w:t>200,000</w:t>
            </w:r>
          </w:p>
        </w:tc>
        <w:tc>
          <w:tcPr>
            <w:tcW w:w="1429" w:type="dxa"/>
          </w:tcPr>
          <w:p w14:paraId="14186D05" w14:textId="576B9272" w:rsidR="00CA385F" w:rsidRDefault="00CA385F" w:rsidP="00F91370">
            <w:pPr>
              <w:spacing w:line="360" w:lineRule="auto"/>
              <w:jc w:val="center"/>
              <w:rPr>
                <w:lang w:val="en-US"/>
              </w:rPr>
            </w:pPr>
            <w:r>
              <w:rPr>
                <w:lang w:val="en-US"/>
              </w:rPr>
              <w:t>(50,000)</w:t>
            </w:r>
          </w:p>
        </w:tc>
        <w:tc>
          <w:tcPr>
            <w:tcW w:w="1267" w:type="dxa"/>
          </w:tcPr>
          <w:p w14:paraId="081B1C2E" w14:textId="387B172B" w:rsidR="00CA385F" w:rsidRDefault="00CA385F" w:rsidP="00F91370">
            <w:pPr>
              <w:spacing w:line="360" w:lineRule="auto"/>
              <w:jc w:val="center"/>
              <w:rPr>
                <w:lang w:val="en-US"/>
              </w:rPr>
            </w:pPr>
            <w:r>
              <w:rPr>
                <w:lang w:val="en-US"/>
              </w:rPr>
              <w:t>30,000</w:t>
            </w:r>
          </w:p>
        </w:tc>
        <w:tc>
          <w:tcPr>
            <w:tcW w:w="1430" w:type="dxa"/>
          </w:tcPr>
          <w:p w14:paraId="1314CF81" w14:textId="036CB9FB" w:rsidR="00CA385F" w:rsidRDefault="00CA385F" w:rsidP="00F91370">
            <w:pPr>
              <w:spacing w:line="360" w:lineRule="auto"/>
              <w:jc w:val="center"/>
              <w:rPr>
                <w:lang w:val="en-US"/>
              </w:rPr>
            </w:pPr>
            <w:r>
              <w:rPr>
                <w:lang w:val="en-US"/>
              </w:rPr>
              <w:t>180,000</w:t>
            </w:r>
          </w:p>
        </w:tc>
        <w:tc>
          <w:tcPr>
            <w:tcW w:w="1142" w:type="dxa"/>
          </w:tcPr>
          <w:p w14:paraId="1F464F57" w14:textId="26D47556" w:rsidR="00CA385F" w:rsidRDefault="00CA385F" w:rsidP="00F91370">
            <w:pPr>
              <w:spacing w:line="360" w:lineRule="auto"/>
              <w:jc w:val="center"/>
              <w:rPr>
                <w:lang w:val="en-US"/>
              </w:rPr>
            </w:pPr>
            <w:r>
              <w:rPr>
                <w:lang w:val="en-US"/>
              </w:rPr>
              <w:t>0.9434</w:t>
            </w:r>
          </w:p>
        </w:tc>
        <w:tc>
          <w:tcPr>
            <w:tcW w:w="1156" w:type="dxa"/>
          </w:tcPr>
          <w:p w14:paraId="3969B756" w14:textId="2BDF1C09" w:rsidR="00CA385F" w:rsidRDefault="00CA385F" w:rsidP="00F91370">
            <w:pPr>
              <w:spacing w:line="360" w:lineRule="auto"/>
              <w:jc w:val="center"/>
              <w:rPr>
                <w:lang w:val="en-US"/>
              </w:rPr>
            </w:pPr>
            <w:r>
              <w:rPr>
                <w:lang w:val="en-US"/>
              </w:rPr>
              <w:t>169,812</w:t>
            </w:r>
          </w:p>
        </w:tc>
      </w:tr>
      <w:tr w:rsidR="00CA385F" w14:paraId="49835E01" w14:textId="27AB2E7E" w:rsidTr="00CA385F">
        <w:tc>
          <w:tcPr>
            <w:tcW w:w="1163" w:type="dxa"/>
          </w:tcPr>
          <w:p w14:paraId="01527C0E" w14:textId="7625EFE2" w:rsidR="00CA385F" w:rsidRDefault="00CA385F" w:rsidP="00F91370">
            <w:pPr>
              <w:spacing w:line="360" w:lineRule="auto"/>
              <w:jc w:val="center"/>
              <w:rPr>
                <w:lang w:val="en-US"/>
              </w:rPr>
            </w:pPr>
            <w:r>
              <w:rPr>
                <w:lang w:val="en-US"/>
              </w:rPr>
              <w:t>2</w:t>
            </w:r>
          </w:p>
        </w:tc>
        <w:tc>
          <w:tcPr>
            <w:tcW w:w="1429" w:type="dxa"/>
          </w:tcPr>
          <w:p w14:paraId="546DDF28" w14:textId="425A2C8E" w:rsidR="00CA385F" w:rsidRDefault="00CA385F" w:rsidP="00F91370">
            <w:pPr>
              <w:spacing w:line="360" w:lineRule="auto"/>
              <w:jc w:val="center"/>
              <w:rPr>
                <w:lang w:val="en-US"/>
              </w:rPr>
            </w:pPr>
            <w:r>
              <w:rPr>
                <w:lang w:val="en-US"/>
              </w:rPr>
              <w:t>400,000</w:t>
            </w:r>
          </w:p>
        </w:tc>
        <w:tc>
          <w:tcPr>
            <w:tcW w:w="1429" w:type="dxa"/>
          </w:tcPr>
          <w:p w14:paraId="1616D29C" w14:textId="3C290771" w:rsidR="00CA385F" w:rsidRDefault="00CA385F" w:rsidP="00F91370">
            <w:pPr>
              <w:spacing w:line="360" w:lineRule="auto"/>
              <w:jc w:val="center"/>
              <w:rPr>
                <w:lang w:val="en-US"/>
              </w:rPr>
            </w:pPr>
            <w:r>
              <w:rPr>
                <w:lang w:val="en-US"/>
              </w:rPr>
              <w:t>(100,000)</w:t>
            </w:r>
          </w:p>
        </w:tc>
        <w:tc>
          <w:tcPr>
            <w:tcW w:w="1267" w:type="dxa"/>
          </w:tcPr>
          <w:p w14:paraId="049A57C8" w14:textId="77EAFA06" w:rsidR="00CA385F" w:rsidRDefault="00CA385F" w:rsidP="00F91370">
            <w:pPr>
              <w:spacing w:line="360" w:lineRule="auto"/>
              <w:jc w:val="center"/>
              <w:rPr>
                <w:lang w:val="en-US"/>
              </w:rPr>
            </w:pPr>
            <w:r>
              <w:rPr>
                <w:lang w:val="en-US"/>
              </w:rPr>
              <w:t>30,000</w:t>
            </w:r>
          </w:p>
        </w:tc>
        <w:tc>
          <w:tcPr>
            <w:tcW w:w="1430" w:type="dxa"/>
          </w:tcPr>
          <w:p w14:paraId="30265478" w14:textId="695EA081" w:rsidR="00CA385F" w:rsidRDefault="00CA385F" w:rsidP="00F91370">
            <w:pPr>
              <w:spacing w:line="360" w:lineRule="auto"/>
              <w:jc w:val="center"/>
              <w:rPr>
                <w:lang w:val="en-US"/>
              </w:rPr>
            </w:pPr>
            <w:r>
              <w:rPr>
                <w:lang w:val="en-US"/>
              </w:rPr>
              <w:t>330,000</w:t>
            </w:r>
          </w:p>
        </w:tc>
        <w:tc>
          <w:tcPr>
            <w:tcW w:w="1142" w:type="dxa"/>
          </w:tcPr>
          <w:p w14:paraId="321D6C54" w14:textId="3FA622CF" w:rsidR="00CA385F" w:rsidRDefault="00CA385F" w:rsidP="00F91370">
            <w:pPr>
              <w:spacing w:line="360" w:lineRule="auto"/>
              <w:jc w:val="center"/>
              <w:rPr>
                <w:lang w:val="en-US"/>
              </w:rPr>
            </w:pPr>
            <w:r>
              <w:rPr>
                <w:lang w:val="en-US"/>
              </w:rPr>
              <w:t>0.8900</w:t>
            </w:r>
          </w:p>
        </w:tc>
        <w:tc>
          <w:tcPr>
            <w:tcW w:w="1156" w:type="dxa"/>
          </w:tcPr>
          <w:p w14:paraId="6D235FDA" w14:textId="591AA011" w:rsidR="00CA385F" w:rsidRDefault="00CA385F" w:rsidP="00F91370">
            <w:pPr>
              <w:spacing w:line="360" w:lineRule="auto"/>
              <w:jc w:val="center"/>
              <w:rPr>
                <w:lang w:val="en-US"/>
              </w:rPr>
            </w:pPr>
            <w:r>
              <w:rPr>
                <w:lang w:val="en-US"/>
              </w:rPr>
              <w:t>293,700</w:t>
            </w:r>
          </w:p>
        </w:tc>
      </w:tr>
      <w:tr w:rsidR="00CA385F" w14:paraId="50EDBD82" w14:textId="0121245D" w:rsidTr="00CA385F">
        <w:tc>
          <w:tcPr>
            <w:tcW w:w="1163" w:type="dxa"/>
          </w:tcPr>
          <w:p w14:paraId="4FBA211B" w14:textId="2870A039" w:rsidR="00CA385F" w:rsidRDefault="00CA385F" w:rsidP="00F91370">
            <w:pPr>
              <w:spacing w:line="360" w:lineRule="auto"/>
              <w:jc w:val="center"/>
              <w:rPr>
                <w:lang w:val="en-US"/>
              </w:rPr>
            </w:pPr>
            <w:r>
              <w:rPr>
                <w:lang w:val="en-US"/>
              </w:rPr>
              <w:t>3</w:t>
            </w:r>
          </w:p>
        </w:tc>
        <w:tc>
          <w:tcPr>
            <w:tcW w:w="1429" w:type="dxa"/>
          </w:tcPr>
          <w:p w14:paraId="3294F35C" w14:textId="1EBC5726" w:rsidR="00CA385F" w:rsidRDefault="00CA385F" w:rsidP="00F91370">
            <w:pPr>
              <w:spacing w:line="360" w:lineRule="auto"/>
              <w:jc w:val="center"/>
              <w:rPr>
                <w:lang w:val="en-US"/>
              </w:rPr>
            </w:pPr>
            <w:r>
              <w:rPr>
                <w:lang w:val="en-US"/>
              </w:rPr>
              <w:t>500,000</w:t>
            </w:r>
          </w:p>
        </w:tc>
        <w:tc>
          <w:tcPr>
            <w:tcW w:w="1429" w:type="dxa"/>
          </w:tcPr>
          <w:p w14:paraId="1748CF24" w14:textId="49D0CC27" w:rsidR="00CA385F" w:rsidRDefault="00CA385F" w:rsidP="00F91370">
            <w:pPr>
              <w:spacing w:line="360" w:lineRule="auto"/>
              <w:jc w:val="center"/>
              <w:rPr>
                <w:lang w:val="en-US"/>
              </w:rPr>
            </w:pPr>
            <w:r>
              <w:rPr>
                <w:lang w:val="en-US"/>
              </w:rPr>
              <w:t>(125,000)</w:t>
            </w:r>
          </w:p>
        </w:tc>
        <w:tc>
          <w:tcPr>
            <w:tcW w:w="1267" w:type="dxa"/>
          </w:tcPr>
          <w:p w14:paraId="5F3F4CD3" w14:textId="14DA4D5E" w:rsidR="00CA385F" w:rsidRDefault="00CA385F" w:rsidP="00F91370">
            <w:pPr>
              <w:spacing w:line="360" w:lineRule="auto"/>
              <w:jc w:val="center"/>
              <w:rPr>
                <w:lang w:val="en-US"/>
              </w:rPr>
            </w:pPr>
            <w:r>
              <w:rPr>
                <w:lang w:val="en-US"/>
              </w:rPr>
              <w:t>30,000</w:t>
            </w:r>
          </w:p>
        </w:tc>
        <w:tc>
          <w:tcPr>
            <w:tcW w:w="1430" w:type="dxa"/>
          </w:tcPr>
          <w:p w14:paraId="1A733610" w14:textId="7FBB9DEA" w:rsidR="00CA385F" w:rsidRDefault="00CA385F" w:rsidP="00F91370">
            <w:pPr>
              <w:spacing w:line="360" w:lineRule="auto"/>
              <w:jc w:val="center"/>
              <w:rPr>
                <w:lang w:val="en-US"/>
              </w:rPr>
            </w:pPr>
            <w:r>
              <w:rPr>
                <w:lang w:val="en-US"/>
              </w:rPr>
              <w:t>405,000</w:t>
            </w:r>
          </w:p>
        </w:tc>
        <w:tc>
          <w:tcPr>
            <w:tcW w:w="1142" w:type="dxa"/>
          </w:tcPr>
          <w:p w14:paraId="5FD3B078" w14:textId="63922C60" w:rsidR="00CA385F" w:rsidRDefault="00CA385F" w:rsidP="00F91370">
            <w:pPr>
              <w:spacing w:line="360" w:lineRule="auto"/>
              <w:jc w:val="center"/>
              <w:rPr>
                <w:lang w:val="en-US"/>
              </w:rPr>
            </w:pPr>
            <w:r>
              <w:rPr>
                <w:lang w:val="en-US"/>
              </w:rPr>
              <w:t>0.8396</w:t>
            </w:r>
          </w:p>
        </w:tc>
        <w:tc>
          <w:tcPr>
            <w:tcW w:w="1156" w:type="dxa"/>
          </w:tcPr>
          <w:p w14:paraId="6F7CA221" w14:textId="5D5F3F6B" w:rsidR="00CA385F" w:rsidRDefault="00CA385F" w:rsidP="00F91370">
            <w:pPr>
              <w:spacing w:line="360" w:lineRule="auto"/>
              <w:jc w:val="center"/>
              <w:rPr>
                <w:lang w:val="en-US"/>
              </w:rPr>
            </w:pPr>
            <w:r>
              <w:rPr>
                <w:lang w:val="en-US"/>
              </w:rPr>
              <w:t>340,038</w:t>
            </w:r>
          </w:p>
        </w:tc>
      </w:tr>
      <w:tr w:rsidR="00CA385F" w14:paraId="22828E62" w14:textId="1B64BB7C" w:rsidTr="00CA385F">
        <w:tc>
          <w:tcPr>
            <w:tcW w:w="1163" w:type="dxa"/>
          </w:tcPr>
          <w:p w14:paraId="3F7B515A" w14:textId="03BF6C93" w:rsidR="00CA385F" w:rsidRDefault="00CA385F" w:rsidP="00F91370">
            <w:pPr>
              <w:spacing w:line="360" w:lineRule="auto"/>
              <w:jc w:val="center"/>
              <w:rPr>
                <w:lang w:val="en-US"/>
              </w:rPr>
            </w:pPr>
            <w:r>
              <w:rPr>
                <w:lang w:val="en-US"/>
              </w:rPr>
              <w:t>4</w:t>
            </w:r>
          </w:p>
        </w:tc>
        <w:tc>
          <w:tcPr>
            <w:tcW w:w="1429" w:type="dxa"/>
          </w:tcPr>
          <w:p w14:paraId="78ECBC6A" w14:textId="43815C68" w:rsidR="00CA385F" w:rsidRDefault="00CA385F" w:rsidP="00F91370">
            <w:pPr>
              <w:spacing w:line="360" w:lineRule="auto"/>
              <w:jc w:val="center"/>
              <w:rPr>
                <w:lang w:val="en-US"/>
              </w:rPr>
            </w:pPr>
            <w:r>
              <w:rPr>
                <w:lang w:val="en-US"/>
              </w:rPr>
              <w:t>700,000</w:t>
            </w:r>
          </w:p>
        </w:tc>
        <w:tc>
          <w:tcPr>
            <w:tcW w:w="1429" w:type="dxa"/>
          </w:tcPr>
          <w:p w14:paraId="2D051CBB" w14:textId="35355B69" w:rsidR="00CA385F" w:rsidRDefault="00CA385F" w:rsidP="00F91370">
            <w:pPr>
              <w:spacing w:line="360" w:lineRule="auto"/>
              <w:jc w:val="center"/>
              <w:rPr>
                <w:lang w:val="en-US"/>
              </w:rPr>
            </w:pPr>
            <w:r>
              <w:rPr>
                <w:lang w:val="en-US"/>
              </w:rPr>
              <w:t>(175,000)</w:t>
            </w:r>
          </w:p>
        </w:tc>
        <w:tc>
          <w:tcPr>
            <w:tcW w:w="1267" w:type="dxa"/>
          </w:tcPr>
          <w:p w14:paraId="382BECE7" w14:textId="644E10E6" w:rsidR="00CA385F" w:rsidRDefault="00CA385F" w:rsidP="00F91370">
            <w:pPr>
              <w:spacing w:line="360" w:lineRule="auto"/>
              <w:jc w:val="center"/>
              <w:rPr>
                <w:lang w:val="en-US"/>
              </w:rPr>
            </w:pPr>
            <w:r>
              <w:rPr>
                <w:lang w:val="en-US"/>
              </w:rPr>
              <w:t>30,000</w:t>
            </w:r>
          </w:p>
        </w:tc>
        <w:tc>
          <w:tcPr>
            <w:tcW w:w="1430" w:type="dxa"/>
          </w:tcPr>
          <w:p w14:paraId="082C31E3" w14:textId="0CBDBE23" w:rsidR="00CA385F" w:rsidRDefault="00CA385F" w:rsidP="00F91370">
            <w:pPr>
              <w:spacing w:line="360" w:lineRule="auto"/>
              <w:jc w:val="center"/>
              <w:rPr>
                <w:lang w:val="en-US"/>
              </w:rPr>
            </w:pPr>
            <w:r>
              <w:rPr>
                <w:lang w:val="en-US"/>
              </w:rPr>
              <w:t>555,000</w:t>
            </w:r>
          </w:p>
        </w:tc>
        <w:tc>
          <w:tcPr>
            <w:tcW w:w="1142" w:type="dxa"/>
          </w:tcPr>
          <w:p w14:paraId="638651C8" w14:textId="79BD3C28" w:rsidR="00CA385F" w:rsidRDefault="00CA385F" w:rsidP="00F91370">
            <w:pPr>
              <w:spacing w:line="360" w:lineRule="auto"/>
              <w:jc w:val="center"/>
              <w:rPr>
                <w:lang w:val="en-US"/>
              </w:rPr>
            </w:pPr>
            <w:r>
              <w:rPr>
                <w:lang w:val="en-US"/>
              </w:rPr>
              <w:t>0.7921</w:t>
            </w:r>
          </w:p>
        </w:tc>
        <w:tc>
          <w:tcPr>
            <w:tcW w:w="1156" w:type="dxa"/>
          </w:tcPr>
          <w:p w14:paraId="02794DDB" w14:textId="67D17D0A" w:rsidR="00CA385F" w:rsidRDefault="00CA385F" w:rsidP="00F91370">
            <w:pPr>
              <w:spacing w:line="360" w:lineRule="auto"/>
              <w:jc w:val="center"/>
              <w:rPr>
                <w:lang w:val="en-US"/>
              </w:rPr>
            </w:pPr>
            <w:r>
              <w:rPr>
                <w:lang w:val="en-US"/>
              </w:rPr>
              <w:t>439,616</w:t>
            </w:r>
          </w:p>
        </w:tc>
      </w:tr>
      <w:tr w:rsidR="00CA385F" w14:paraId="750D1B19" w14:textId="77777777" w:rsidTr="0065008C">
        <w:tc>
          <w:tcPr>
            <w:tcW w:w="7860" w:type="dxa"/>
            <w:gridSpan w:val="6"/>
          </w:tcPr>
          <w:p w14:paraId="06751479" w14:textId="76D713ED" w:rsidR="00CA385F" w:rsidRPr="00CA385F" w:rsidRDefault="00CA385F" w:rsidP="00F91370">
            <w:pPr>
              <w:spacing w:line="360" w:lineRule="auto"/>
              <w:jc w:val="center"/>
              <w:rPr>
                <w:b/>
                <w:bCs/>
                <w:lang w:val="en-US"/>
              </w:rPr>
            </w:pPr>
            <w:r>
              <w:rPr>
                <w:b/>
                <w:bCs/>
                <w:lang w:val="en-US"/>
              </w:rPr>
              <w:t>NPV</w:t>
            </w:r>
          </w:p>
        </w:tc>
        <w:tc>
          <w:tcPr>
            <w:tcW w:w="1156" w:type="dxa"/>
          </w:tcPr>
          <w:p w14:paraId="549F0EF1" w14:textId="4BE1F02C" w:rsidR="00CA385F" w:rsidRPr="00FD384B" w:rsidRDefault="00CA385F" w:rsidP="00F91370">
            <w:pPr>
              <w:spacing w:line="360" w:lineRule="auto"/>
              <w:jc w:val="center"/>
              <w:rPr>
                <w:b/>
                <w:bCs/>
                <w:lang w:val="en-US"/>
              </w:rPr>
            </w:pPr>
            <w:r w:rsidRPr="00FD384B">
              <w:rPr>
                <w:b/>
                <w:bCs/>
                <w:lang w:val="en-US"/>
              </w:rPr>
              <w:t>643,166</w:t>
            </w:r>
          </w:p>
        </w:tc>
      </w:tr>
    </w:tbl>
    <w:p w14:paraId="1A3611F4" w14:textId="77777777" w:rsidR="002C50CA" w:rsidRDefault="002C50CA" w:rsidP="00582589">
      <w:pPr>
        <w:spacing w:line="360" w:lineRule="auto"/>
        <w:rPr>
          <w:lang w:val="en-US"/>
        </w:rPr>
      </w:pPr>
    </w:p>
    <w:p w14:paraId="72E9EEAD" w14:textId="6D55EEEF" w:rsidR="00F82463" w:rsidRDefault="00F82463" w:rsidP="00F82463">
      <w:pPr>
        <w:spacing w:line="360" w:lineRule="auto"/>
        <w:rPr>
          <w:b/>
          <w:bCs/>
          <w:lang w:val="en-US"/>
        </w:rPr>
      </w:pPr>
      <w:r>
        <w:rPr>
          <w:b/>
          <w:bCs/>
          <w:lang w:val="en-US"/>
        </w:rPr>
        <w:t>NPV of Option – B: Internet Sales Development</w:t>
      </w:r>
    </w:p>
    <w:p w14:paraId="137644DB" w14:textId="2EF4856A" w:rsidR="00F82463" w:rsidRDefault="00F82463" w:rsidP="00F82463">
      <w:pPr>
        <w:spacing w:line="360" w:lineRule="auto"/>
        <w:rPr>
          <w:lang w:val="en-US"/>
        </w:rPr>
      </w:pPr>
      <w:r>
        <w:rPr>
          <w:lang w:val="en-US"/>
        </w:rPr>
        <w:t>Investment Required: 1,000,000 Pounds</w:t>
      </w:r>
    </w:p>
    <w:p w14:paraId="3B3C4F83" w14:textId="33B8D97B" w:rsidR="00F82463" w:rsidRDefault="00F82463" w:rsidP="00F82463">
      <w:pPr>
        <w:spacing w:line="360" w:lineRule="auto"/>
        <w:rPr>
          <w:lang w:val="en-US"/>
        </w:rPr>
      </w:pPr>
      <w:r>
        <w:rPr>
          <w:lang w:val="en-US"/>
        </w:rPr>
        <w:t>Capital Allowance per Annum = 200,000 Pounds [1,000,000 * 20%]</w:t>
      </w:r>
    </w:p>
    <w:p w14:paraId="13C33926" w14:textId="28A5F09F" w:rsidR="00F82463" w:rsidRDefault="00F82463" w:rsidP="00F82463">
      <w:pPr>
        <w:spacing w:line="360" w:lineRule="auto"/>
        <w:rPr>
          <w:lang w:val="en-US"/>
        </w:rPr>
      </w:pPr>
      <w:r>
        <w:rPr>
          <w:lang w:val="en-US"/>
        </w:rPr>
        <w:t>Tax Shield from Capital Allowance = 50,000 Pounds [200,000 * 25%]</w:t>
      </w:r>
    </w:p>
    <w:tbl>
      <w:tblPr>
        <w:tblStyle w:val="TableGrid"/>
        <w:tblW w:w="0" w:type="auto"/>
        <w:tblLook w:val="04A0" w:firstRow="1" w:lastRow="0" w:firstColumn="1" w:lastColumn="0" w:noHBand="0" w:noVBand="1"/>
      </w:tblPr>
      <w:tblGrid>
        <w:gridCol w:w="1110"/>
        <w:gridCol w:w="1418"/>
        <w:gridCol w:w="1398"/>
        <w:gridCol w:w="1222"/>
        <w:gridCol w:w="1419"/>
        <w:gridCol w:w="1113"/>
        <w:gridCol w:w="1336"/>
      </w:tblGrid>
      <w:tr w:rsidR="00F82463" w14:paraId="23B884D8" w14:textId="77777777" w:rsidTr="00F4524F">
        <w:tc>
          <w:tcPr>
            <w:tcW w:w="1163" w:type="dxa"/>
          </w:tcPr>
          <w:p w14:paraId="43741124" w14:textId="77777777" w:rsidR="00F82463" w:rsidRPr="002C50CA" w:rsidRDefault="00F82463" w:rsidP="00F4524F">
            <w:pPr>
              <w:spacing w:line="360" w:lineRule="auto"/>
              <w:jc w:val="center"/>
              <w:rPr>
                <w:b/>
                <w:bCs/>
                <w:lang w:val="en-US"/>
              </w:rPr>
            </w:pPr>
            <w:r>
              <w:rPr>
                <w:b/>
                <w:bCs/>
                <w:lang w:val="en-US"/>
              </w:rPr>
              <w:t>Year</w:t>
            </w:r>
          </w:p>
        </w:tc>
        <w:tc>
          <w:tcPr>
            <w:tcW w:w="1429" w:type="dxa"/>
          </w:tcPr>
          <w:p w14:paraId="56C25D9B" w14:textId="77777777" w:rsidR="00F82463" w:rsidRPr="002C50CA" w:rsidRDefault="00F82463" w:rsidP="00F4524F">
            <w:pPr>
              <w:spacing w:line="360" w:lineRule="auto"/>
              <w:jc w:val="center"/>
              <w:rPr>
                <w:b/>
                <w:bCs/>
                <w:lang w:val="en-US"/>
              </w:rPr>
            </w:pPr>
            <w:r>
              <w:rPr>
                <w:b/>
                <w:bCs/>
                <w:lang w:val="en-US"/>
              </w:rPr>
              <w:t>Pre-Tax Cash Flow (</w:t>
            </w:r>
            <w:r w:rsidRPr="004D27A6">
              <w:rPr>
                <w:b/>
                <w:bCs/>
              </w:rPr>
              <w:t>£</w:t>
            </w:r>
            <w:r>
              <w:rPr>
                <w:b/>
                <w:bCs/>
              </w:rPr>
              <w:t>)</w:t>
            </w:r>
          </w:p>
        </w:tc>
        <w:tc>
          <w:tcPr>
            <w:tcW w:w="1429" w:type="dxa"/>
          </w:tcPr>
          <w:p w14:paraId="798DE0BE" w14:textId="77777777" w:rsidR="00F82463" w:rsidRPr="002C50CA" w:rsidRDefault="00F82463" w:rsidP="00F4524F">
            <w:pPr>
              <w:spacing w:line="360" w:lineRule="auto"/>
              <w:jc w:val="center"/>
              <w:rPr>
                <w:b/>
                <w:bCs/>
                <w:lang w:val="en-US"/>
              </w:rPr>
            </w:pPr>
            <w:r>
              <w:rPr>
                <w:b/>
                <w:bCs/>
                <w:lang w:val="en-US"/>
              </w:rPr>
              <w:t>Less: Tax (25%) (</w:t>
            </w:r>
            <w:r w:rsidRPr="004D27A6">
              <w:rPr>
                <w:b/>
                <w:bCs/>
              </w:rPr>
              <w:t>£</w:t>
            </w:r>
            <w:r>
              <w:rPr>
                <w:b/>
                <w:bCs/>
              </w:rPr>
              <w:t>)</w:t>
            </w:r>
          </w:p>
        </w:tc>
        <w:tc>
          <w:tcPr>
            <w:tcW w:w="1267" w:type="dxa"/>
          </w:tcPr>
          <w:p w14:paraId="52F3C645" w14:textId="77777777" w:rsidR="00F82463" w:rsidRPr="002C50CA" w:rsidRDefault="00F82463" w:rsidP="00F4524F">
            <w:pPr>
              <w:spacing w:line="360" w:lineRule="auto"/>
              <w:jc w:val="center"/>
              <w:rPr>
                <w:b/>
                <w:bCs/>
                <w:lang w:val="en-US"/>
              </w:rPr>
            </w:pPr>
            <w:r>
              <w:rPr>
                <w:b/>
                <w:bCs/>
                <w:lang w:val="en-US"/>
              </w:rPr>
              <w:t>Add: Tax Shield (</w:t>
            </w:r>
            <w:r w:rsidRPr="004D27A6">
              <w:rPr>
                <w:b/>
                <w:bCs/>
              </w:rPr>
              <w:t>£</w:t>
            </w:r>
            <w:r>
              <w:rPr>
                <w:b/>
                <w:bCs/>
              </w:rPr>
              <w:t>)</w:t>
            </w:r>
          </w:p>
        </w:tc>
        <w:tc>
          <w:tcPr>
            <w:tcW w:w="1430" w:type="dxa"/>
          </w:tcPr>
          <w:p w14:paraId="6D0A189C" w14:textId="77777777" w:rsidR="00F82463" w:rsidRPr="002C50CA" w:rsidRDefault="00F82463" w:rsidP="00F4524F">
            <w:pPr>
              <w:spacing w:line="360" w:lineRule="auto"/>
              <w:jc w:val="center"/>
              <w:rPr>
                <w:b/>
                <w:bCs/>
                <w:lang w:val="en-US"/>
              </w:rPr>
            </w:pPr>
            <w:r>
              <w:rPr>
                <w:b/>
                <w:bCs/>
                <w:lang w:val="en-US"/>
              </w:rPr>
              <w:t>After-Tax Cash Flow (</w:t>
            </w:r>
            <w:r w:rsidRPr="004D27A6">
              <w:rPr>
                <w:b/>
                <w:bCs/>
              </w:rPr>
              <w:t>£</w:t>
            </w:r>
            <w:r>
              <w:rPr>
                <w:b/>
                <w:bCs/>
              </w:rPr>
              <w:t>)</w:t>
            </w:r>
          </w:p>
        </w:tc>
        <w:tc>
          <w:tcPr>
            <w:tcW w:w="1142" w:type="dxa"/>
          </w:tcPr>
          <w:p w14:paraId="375F06D1" w14:textId="77777777" w:rsidR="00F82463" w:rsidRDefault="00F82463" w:rsidP="00F4524F">
            <w:pPr>
              <w:spacing w:line="360" w:lineRule="auto"/>
              <w:jc w:val="center"/>
              <w:rPr>
                <w:b/>
                <w:bCs/>
                <w:lang w:val="en-US"/>
              </w:rPr>
            </w:pPr>
            <w:r>
              <w:rPr>
                <w:b/>
                <w:bCs/>
                <w:lang w:val="en-US"/>
              </w:rPr>
              <w:t>PV Factor at 6%</w:t>
            </w:r>
          </w:p>
        </w:tc>
        <w:tc>
          <w:tcPr>
            <w:tcW w:w="1156" w:type="dxa"/>
          </w:tcPr>
          <w:p w14:paraId="53955A5D" w14:textId="77777777" w:rsidR="00F82463" w:rsidRDefault="00F82463" w:rsidP="00F4524F">
            <w:pPr>
              <w:spacing w:line="360" w:lineRule="auto"/>
              <w:jc w:val="center"/>
              <w:rPr>
                <w:b/>
                <w:bCs/>
                <w:lang w:val="en-US"/>
              </w:rPr>
            </w:pPr>
            <w:r>
              <w:rPr>
                <w:b/>
                <w:bCs/>
                <w:lang w:val="en-US"/>
              </w:rPr>
              <w:t>PV of CF (</w:t>
            </w:r>
            <w:r w:rsidRPr="004D27A6">
              <w:rPr>
                <w:b/>
                <w:bCs/>
              </w:rPr>
              <w:t>£</w:t>
            </w:r>
            <w:r>
              <w:rPr>
                <w:b/>
                <w:bCs/>
              </w:rPr>
              <w:t>)</w:t>
            </w:r>
          </w:p>
        </w:tc>
      </w:tr>
      <w:tr w:rsidR="00F82463" w14:paraId="7FCF9854" w14:textId="77777777" w:rsidTr="00F4524F">
        <w:tc>
          <w:tcPr>
            <w:tcW w:w="1163" w:type="dxa"/>
          </w:tcPr>
          <w:p w14:paraId="78CD0AE3" w14:textId="77777777" w:rsidR="00F82463" w:rsidRDefault="00F82463" w:rsidP="00F4524F">
            <w:pPr>
              <w:spacing w:line="360" w:lineRule="auto"/>
              <w:jc w:val="center"/>
              <w:rPr>
                <w:lang w:val="en-US"/>
              </w:rPr>
            </w:pPr>
            <w:r>
              <w:rPr>
                <w:lang w:val="en-US"/>
              </w:rPr>
              <w:t>0</w:t>
            </w:r>
          </w:p>
        </w:tc>
        <w:tc>
          <w:tcPr>
            <w:tcW w:w="1429" w:type="dxa"/>
          </w:tcPr>
          <w:p w14:paraId="6D279E0C" w14:textId="46D25C66" w:rsidR="00F82463" w:rsidRDefault="00F82463" w:rsidP="00F4524F">
            <w:pPr>
              <w:spacing w:line="360" w:lineRule="auto"/>
              <w:jc w:val="center"/>
              <w:rPr>
                <w:lang w:val="en-US"/>
              </w:rPr>
            </w:pPr>
            <w:r>
              <w:rPr>
                <w:lang w:val="en-US"/>
              </w:rPr>
              <w:t>(1,000,000)</w:t>
            </w:r>
          </w:p>
        </w:tc>
        <w:tc>
          <w:tcPr>
            <w:tcW w:w="1429" w:type="dxa"/>
          </w:tcPr>
          <w:p w14:paraId="23E72EAB" w14:textId="77777777" w:rsidR="00F82463" w:rsidRDefault="00F82463" w:rsidP="00F4524F">
            <w:pPr>
              <w:spacing w:line="360" w:lineRule="auto"/>
              <w:jc w:val="center"/>
              <w:rPr>
                <w:lang w:val="en-US"/>
              </w:rPr>
            </w:pPr>
            <w:r>
              <w:rPr>
                <w:lang w:val="en-US"/>
              </w:rPr>
              <w:t>-</w:t>
            </w:r>
          </w:p>
        </w:tc>
        <w:tc>
          <w:tcPr>
            <w:tcW w:w="1267" w:type="dxa"/>
          </w:tcPr>
          <w:p w14:paraId="76F616C8" w14:textId="77777777" w:rsidR="00F82463" w:rsidRDefault="00F82463" w:rsidP="00F4524F">
            <w:pPr>
              <w:spacing w:line="360" w:lineRule="auto"/>
              <w:jc w:val="center"/>
              <w:rPr>
                <w:lang w:val="en-US"/>
              </w:rPr>
            </w:pPr>
            <w:r>
              <w:rPr>
                <w:lang w:val="en-US"/>
              </w:rPr>
              <w:t>-</w:t>
            </w:r>
          </w:p>
        </w:tc>
        <w:tc>
          <w:tcPr>
            <w:tcW w:w="1430" w:type="dxa"/>
          </w:tcPr>
          <w:p w14:paraId="59D4ED7E" w14:textId="11BF8256" w:rsidR="00F82463" w:rsidRDefault="00F82463" w:rsidP="00F4524F">
            <w:pPr>
              <w:spacing w:line="360" w:lineRule="auto"/>
              <w:jc w:val="center"/>
              <w:rPr>
                <w:lang w:val="en-US"/>
              </w:rPr>
            </w:pPr>
            <w:r>
              <w:rPr>
                <w:lang w:val="en-US"/>
              </w:rPr>
              <w:t>(1,000,000)</w:t>
            </w:r>
          </w:p>
        </w:tc>
        <w:tc>
          <w:tcPr>
            <w:tcW w:w="1142" w:type="dxa"/>
          </w:tcPr>
          <w:p w14:paraId="58A7D7E8" w14:textId="77777777" w:rsidR="00F82463" w:rsidRDefault="00F82463" w:rsidP="00F4524F">
            <w:pPr>
              <w:spacing w:line="360" w:lineRule="auto"/>
              <w:jc w:val="center"/>
              <w:rPr>
                <w:lang w:val="en-US"/>
              </w:rPr>
            </w:pPr>
            <w:r>
              <w:rPr>
                <w:lang w:val="en-US"/>
              </w:rPr>
              <w:t>-</w:t>
            </w:r>
          </w:p>
        </w:tc>
        <w:tc>
          <w:tcPr>
            <w:tcW w:w="1156" w:type="dxa"/>
          </w:tcPr>
          <w:p w14:paraId="3A12D704" w14:textId="26F74915" w:rsidR="00F82463" w:rsidRDefault="00F82463" w:rsidP="00F4524F">
            <w:pPr>
              <w:spacing w:line="360" w:lineRule="auto"/>
              <w:jc w:val="center"/>
              <w:rPr>
                <w:lang w:val="en-US"/>
              </w:rPr>
            </w:pPr>
            <w:r>
              <w:rPr>
                <w:lang w:val="en-US"/>
              </w:rPr>
              <w:t>(1,000,000)</w:t>
            </w:r>
          </w:p>
        </w:tc>
      </w:tr>
      <w:tr w:rsidR="00F82463" w14:paraId="7BC6CEEE" w14:textId="77777777" w:rsidTr="00F4524F">
        <w:tc>
          <w:tcPr>
            <w:tcW w:w="1163" w:type="dxa"/>
          </w:tcPr>
          <w:p w14:paraId="5A13D396" w14:textId="77777777" w:rsidR="00F82463" w:rsidRDefault="00F82463" w:rsidP="00F4524F">
            <w:pPr>
              <w:spacing w:line="360" w:lineRule="auto"/>
              <w:jc w:val="center"/>
              <w:rPr>
                <w:lang w:val="en-US"/>
              </w:rPr>
            </w:pPr>
            <w:r>
              <w:rPr>
                <w:lang w:val="en-US"/>
              </w:rPr>
              <w:t>1</w:t>
            </w:r>
          </w:p>
        </w:tc>
        <w:tc>
          <w:tcPr>
            <w:tcW w:w="1429" w:type="dxa"/>
          </w:tcPr>
          <w:p w14:paraId="45A9121C" w14:textId="6928386A" w:rsidR="00F82463" w:rsidRDefault="00F82463" w:rsidP="00F4524F">
            <w:pPr>
              <w:spacing w:line="360" w:lineRule="auto"/>
              <w:jc w:val="center"/>
              <w:rPr>
                <w:lang w:val="en-US"/>
              </w:rPr>
            </w:pPr>
            <w:r>
              <w:rPr>
                <w:lang w:val="en-US"/>
              </w:rPr>
              <w:t>400,000</w:t>
            </w:r>
          </w:p>
        </w:tc>
        <w:tc>
          <w:tcPr>
            <w:tcW w:w="1429" w:type="dxa"/>
          </w:tcPr>
          <w:p w14:paraId="0228963D" w14:textId="0E00E58C" w:rsidR="00F82463" w:rsidRDefault="00F82463" w:rsidP="00F4524F">
            <w:pPr>
              <w:spacing w:line="360" w:lineRule="auto"/>
              <w:jc w:val="center"/>
              <w:rPr>
                <w:lang w:val="en-US"/>
              </w:rPr>
            </w:pPr>
            <w:r>
              <w:rPr>
                <w:lang w:val="en-US"/>
              </w:rPr>
              <w:t>(100,000)</w:t>
            </w:r>
          </w:p>
        </w:tc>
        <w:tc>
          <w:tcPr>
            <w:tcW w:w="1267" w:type="dxa"/>
          </w:tcPr>
          <w:p w14:paraId="6A18625F" w14:textId="6A9A3D87" w:rsidR="00F82463" w:rsidRDefault="00F82463" w:rsidP="00F4524F">
            <w:pPr>
              <w:spacing w:line="360" w:lineRule="auto"/>
              <w:jc w:val="center"/>
              <w:rPr>
                <w:lang w:val="en-US"/>
              </w:rPr>
            </w:pPr>
            <w:r>
              <w:rPr>
                <w:lang w:val="en-US"/>
              </w:rPr>
              <w:t>50,000</w:t>
            </w:r>
          </w:p>
        </w:tc>
        <w:tc>
          <w:tcPr>
            <w:tcW w:w="1430" w:type="dxa"/>
          </w:tcPr>
          <w:p w14:paraId="4482C9E7" w14:textId="1F7511E7" w:rsidR="00F82463" w:rsidRDefault="00F82463" w:rsidP="00F4524F">
            <w:pPr>
              <w:spacing w:line="360" w:lineRule="auto"/>
              <w:jc w:val="center"/>
              <w:rPr>
                <w:lang w:val="en-US"/>
              </w:rPr>
            </w:pPr>
            <w:r>
              <w:rPr>
                <w:lang w:val="en-US"/>
              </w:rPr>
              <w:t>350,000</w:t>
            </w:r>
          </w:p>
        </w:tc>
        <w:tc>
          <w:tcPr>
            <w:tcW w:w="1142" w:type="dxa"/>
          </w:tcPr>
          <w:p w14:paraId="68888945" w14:textId="77777777" w:rsidR="00F82463" w:rsidRDefault="00F82463" w:rsidP="00F4524F">
            <w:pPr>
              <w:spacing w:line="360" w:lineRule="auto"/>
              <w:jc w:val="center"/>
              <w:rPr>
                <w:lang w:val="en-US"/>
              </w:rPr>
            </w:pPr>
            <w:r>
              <w:rPr>
                <w:lang w:val="en-US"/>
              </w:rPr>
              <w:t>0.9434</w:t>
            </w:r>
          </w:p>
        </w:tc>
        <w:tc>
          <w:tcPr>
            <w:tcW w:w="1156" w:type="dxa"/>
          </w:tcPr>
          <w:p w14:paraId="5906FA8D" w14:textId="5A05A76F" w:rsidR="00F82463" w:rsidRDefault="00F82463" w:rsidP="00F4524F">
            <w:pPr>
              <w:spacing w:line="360" w:lineRule="auto"/>
              <w:jc w:val="center"/>
              <w:rPr>
                <w:lang w:val="en-US"/>
              </w:rPr>
            </w:pPr>
            <w:r>
              <w:rPr>
                <w:lang w:val="en-US"/>
              </w:rPr>
              <w:t>333,190</w:t>
            </w:r>
          </w:p>
        </w:tc>
      </w:tr>
      <w:tr w:rsidR="00F82463" w14:paraId="19D14C76" w14:textId="77777777" w:rsidTr="00F4524F">
        <w:tc>
          <w:tcPr>
            <w:tcW w:w="1163" w:type="dxa"/>
          </w:tcPr>
          <w:p w14:paraId="14FD8D41" w14:textId="77777777" w:rsidR="00F82463" w:rsidRDefault="00F82463" w:rsidP="00F4524F">
            <w:pPr>
              <w:spacing w:line="360" w:lineRule="auto"/>
              <w:jc w:val="center"/>
              <w:rPr>
                <w:lang w:val="en-US"/>
              </w:rPr>
            </w:pPr>
            <w:r>
              <w:rPr>
                <w:lang w:val="en-US"/>
              </w:rPr>
              <w:t>2</w:t>
            </w:r>
          </w:p>
        </w:tc>
        <w:tc>
          <w:tcPr>
            <w:tcW w:w="1429" w:type="dxa"/>
          </w:tcPr>
          <w:p w14:paraId="5E20B5C7" w14:textId="09BE6553" w:rsidR="00F82463" w:rsidRDefault="00F82463" w:rsidP="00F4524F">
            <w:pPr>
              <w:spacing w:line="360" w:lineRule="auto"/>
              <w:jc w:val="center"/>
              <w:rPr>
                <w:lang w:val="en-US"/>
              </w:rPr>
            </w:pPr>
            <w:r>
              <w:rPr>
                <w:lang w:val="en-US"/>
              </w:rPr>
              <w:t>450,000</w:t>
            </w:r>
          </w:p>
        </w:tc>
        <w:tc>
          <w:tcPr>
            <w:tcW w:w="1429" w:type="dxa"/>
          </w:tcPr>
          <w:p w14:paraId="27EA71DB" w14:textId="06F530D3" w:rsidR="00F82463" w:rsidRDefault="00F82463" w:rsidP="00F4524F">
            <w:pPr>
              <w:spacing w:line="360" w:lineRule="auto"/>
              <w:jc w:val="center"/>
              <w:rPr>
                <w:lang w:val="en-US"/>
              </w:rPr>
            </w:pPr>
            <w:r>
              <w:rPr>
                <w:lang w:val="en-US"/>
              </w:rPr>
              <w:t>(112,500)</w:t>
            </w:r>
          </w:p>
        </w:tc>
        <w:tc>
          <w:tcPr>
            <w:tcW w:w="1267" w:type="dxa"/>
          </w:tcPr>
          <w:p w14:paraId="681E9AE0" w14:textId="7A529374" w:rsidR="00F82463" w:rsidRDefault="00F82463" w:rsidP="00F4524F">
            <w:pPr>
              <w:spacing w:line="360" w:lineRule="auto"/>
              <w:jc w:val="center"/>
              <w:rPr>
                <w:lang w:val="en-US"/>
              </w:rPr>
            </w:pPr>
            <w:r>
              <w:rPr>
                <w:lang w:val="en-US"/>
              </w:rPr>
              <w:t>50,000</w:t>
            </w:r>
          </w:p>
        </w:tc>
        <w:tc>
          <w:tcPr>
            <w:tcW w:w="1430" w:type="dxa"/>
          </w:tcPr>
          <w:p w14:paraId="792865AE" w14:textId="2A2D9CEF" w:rsidR="00F82463" w:rsidRDefault="00F82463" w:rsidP="00F4524F">
            <w:pPr>
              <w:spacing w:line="360" w:lineRule="auto"/>
              <w:jc w:val="center"/>
              <w:rPr>
                <w:lang w:val="en-US"/>
              </w:rPr>
            </w:pPr>
            <w:r>
              <w:rPr>
                <w:lang w:val="en-US"/>
              </w:rPr>
              <w:t>387,500</w:t>
            </w:r>
          </w:p>
        </w:tc>
        <w:tc>
          <w:tcPr>
            <w:tcW w:w="1142" w:type="dxa"/>
          </w:tcPr>
          <w:p w14:paraId="1DD1AA0A" w14:textId="77777777" w:rsidR="00F82463" w:rsidRDefault="00F82463" w:rsidP="00F4524F">
            <w:pPr>
              <w:spacing w:line="360" w:lineRule="auto"/>
              <w:jc w:val="center"/>
              <w:rPr>
                <w:lang w:val="en-US"/>
              </w:rPr>
            </w:pPr>
            <w:r>
              <w:rPr>
                <w:lang w:val="en-US"/>
              </w:rPr>
              <w:t>0.8900</w:t>
            </w:r>
          </w:p>
        </w:tc>
        <w:tc>
          <w:tcPr>
            <w:tcW w:w="1156" w:type="dxa"/>
          </w:tcPr>
          <w:p w14:paraId="0F7515C8" w14:textId="30F81901" w:rsidR="00F82463" w:rsidRDefault="00F82463" w:rsidP="00F4524F">
            <w:pPr>
              <w:spacing w:line="360" w:lineRule="auto"/>
              <w:jc w:val="center"/>
              <w:rPr>
                <w:lang w:val="en-US"/>
              </w:rPr>
            </w:pPr>
            <w:r>
              <w:rPr>
                <w:lang w:val="en-US"/>
              </w:rPr>
              <w:t>344,875</w:t>
            </w:r>
          </w:p>
        </w:tc>
      </w:tr>
      <w:tr w:rsidR="00F82463" w14:paraId="5DF299DD" w14:textId="77777777" w:rsidTr="00F4524F">
        <w:tc>
          <w:tcPr>
            <w:tcW w:w="1163" w:type="dxa"/>
          </w:tcPr>
          <w:p w14:paraId="0D6F0431" w14:textId="77777777" w:rsidR="00F82463" w:rsidRDefault="00F82463" w:rsidP="00F4524F">
            <w:pPr>
              <w:spacing w:line="360" w:lineRule="auto"/>
              <w:jc w:val="center"/>
              <w:rPr>
                <w:lang w:val="en-US"/>
              </w:rPr>
            </w:pPr>
            <w:r>
              <w:rPr>
                <w:lang w:val="en-US"/>
              </w:rPr>
              <w:t>3</w:t>
            </w:r>
          </w:p>
        </w:tc>
        <w:tc>
          <w:tcPr>
            <w:tcW w:w="1429" w:type="dxa"/>
          </w:tcPr>
          <w:p w14:paraId="77007D8D" w14:textId="5EE98718" w:rsidR="00F82463" w:rsidRDefault="00F82463" w:rsidP="00F4524F">
            <w:pPr>
              <w:spacing w:line="360" w:lineRule="auto"/>
              <w:jc w:val="center"/>
              <w:rPr>
                <w:lang w:val="en-US"/>
              </w:rPr>
            </w:pPr>
            <w:r>
              <w:rPr>
                <w:lang w:val="en-US"/>
              </w:rPr>
              <w:t>720,000</w:t>
            </w:r>
          </w:p>
        </w:tc>
        <w:tc>
          <w:tcPr>
            <w:tcW w:w="1429" w:type="dxa"/>
          </w:tcPr>
          <w:p w14:paraId="68DD7B70" w14:textId="01E71CDE" w:rsidR="00F82463" w:rsidRDefault="00F82463" w:rsidP="00F4524F">
            <w:pPr>
              <w:spacing w:line="360" w:lineRule="auto"/>
              <w:jc w:val="center"/>
              <w:rPr>
                <w:lang w:val="en-US"/>
              </w:rPr>
            </w:pPr>
            <w:r>
              <w:rPr>
                <w:lang w:val="en-US"/>
              </w:rPr>
              <w:t>(180,000)</w:t>
            </w:r>
          </w:p>
        </w:tc>
        <w:tc>
          <w:tcPr>
            <w:tcW w:w="1267" w:type="dxa"/>
          </w:tcPr>
          <w:p w14:paraId="13D56336" w14:textId="22A7EDC6" w:rsidR="00F82463" w:rsidRDefault="00F82463" w:rsidP="00F4524F">
            <w:pPr>
              <w:spacing w:line="360" w:lineRule="auto"/>
              <w:jc w:val="center"/>
              <w:rPr>
                <w:lang w:val="en-US"/>
              </w:rPr>
            </w:pPr>
            <w:r>
              <w:rPr>
                <w:lang w:val="en-US"/>
              </w:rPr>
              <w:t>50,000</w:t>
            </w:r>
          </w:p>
        </w:tc>
        <w:tc>
          <w:tcPr>
            <w:tcW w:w="1430" w:type="dxa"/>
          </w:tcPr>
          <w:p w14:paraId="7C4BDB31" w14:textId="52273472" w:rsidR="00F82463" w:rsidRDefault="00F82463" w:rsidP="00F4524F">
            <w:pPr>
              <w:spacing w:line="360" w:lineRule="auto"/>
              <w:jc w:val="center"/>
              <w:rPr>
                <w:lang w:val="en-US"/>
              </w:rPr>
            </w:pPr>
            <w:r>
              <w:rPr>
                <w:lang w:val="en-US"/>
              </w:rPr>
              <w:t>590,000</w:t>
            </w:r>
          </w:p>
        </w:tc>
        <w:tc>
          <w:tcPr>
            <w:tcW w:w="1142" w:type="dxa"/>
          </w:tcPr>
          <w:p w14:paraId="0524D912" w14:textId="77777777" w:rsidR="00F82463" w:rsidRDefault="00F82463" w:rsidP="00F4524F">
            <w:pPr>
              <w:spacing w:line="360" w:lineRule="auto"/>
              <w:jc w:val="center"/>
              <w:rPr>
                <w:lang w:val="en-US"/>
              </w:rPr>
            </w:pPr>
            <w:r>
              <w:rPr>
                <w:lang w:val="en-US"/>
              </w:rPr>
              <w:t>0.8396</w:t>
            </w:r>
          </w:p>
        </w:tc>
        <w:tc>
          <w:tcPr>
            <w:tcW w:w="1156" w:type="dxa"/>
          </w:tcPr>
          <w:p w14:paraId="71A83B29" w14:textId="1766058D" w:rsidR="00F82463" w:rsidRDefault="00F82463" w:rsidP="00F4524F">
            <w:pPr>
              <w:spacing w:line="360" w:lineRule="auto"/>
              <w:jc w:val="center"/>
              <w:rPr>
                <w:lang w:val="en-US"/>
              </w:rPr>
            </w:pPr>
            <w:r>
              <w:rPr>
                <w:lang w:val="en-US"/>
              </w:rPr>
              <w:t>495,364</w:t>
            </w:r>
          </w:p>
        </w:tc>
      </w:tr>
      <w:tr w:rsidR="00F82463" w14:paraId="08311E95" w14:textId="77777777" w:rsidTr="00F4524F">
        <w:tc>
          <w:tcPr>
            <w:tcW w:w="1163" w:type="dxa"/>
          </w:tcPr>
          <w:p w14:paraId="3F05AACC" w14:textId="77777777" w:rsidR="00F82463" w:rsidRDefault="00F82463" w:rsidP="00F4524F">
            <w:pPr>
              <w:spacing w:line="360" w:lineRule="auto"/>
              <w:jc w:val="center"/>
              <w:rPr>
                <w:lang w:val="en-US"/>
              </w:rPr>
            </w:pPr>
            <w:r>
              <w:rPr>
                <w:lang w:val="en-US"/>
              </w:rPr>
              <w:t>4</w:t>
            </w:r>
          </w:p>
        </w:tc>
        <w:tc>
          <w:tcPr>
            <w:tcW w:w="1429" w:type="dxa"/>
          </w:tcPr>
          <w:p w14:paraId="57762315" w14:textId="0A5A2500" w:rsidR="00F82463" w:rsidRDefault="00F82463" w:rsidP="00F4524F">
            <w:pPr>
              <w:spacing w:line="360" w:lineRule="auto"/>
              <w:jc w:val="center"/>
              <w:rPr>
                <w:lang w:val="en-US"/>
              </w:rPr>
            </w:pPr>
            <w:r>
              <w:rPr>
                <w:lang w:val="en-US"/>
              </w:rPr>
              <w:t>980,000</w:t>
            </w:r>
          </w:p>
        </w:tc>
        <w:tc>
          <w:tcPr>
            <w:tcW w:w="1429" w:type="dxa"/>
          </w:tcPr>
          <w:p w14:paraId="6A2CC7B3" w14:textId="6EFB80D3" w:rsidR="00F82463" w:rsidRDefault="00F82463" w:rsidP="00F4524F">
            <w:pPr>
              <w:spacing w:line="360" w:lineRule="auto"/>
              <w:jc w:val="center"/>
              <w:rPr>
                <w:lang w:val="en-US"/>
              </w:rPr>
            </w:pPr>
            <w:r>
              <w:rPr>
                <w:lang w:val="en-US"/>
              </w:rPr>
              <w:t>(245,000)</w:t>
            </w:r>
          </w:p>
        </w:tc>
        <w:tc>
          <w:tcPr>
            <w:tcW w:w="1267" w:type="dxa"/>
          </w:tcPr>
          <w:p w14:paraId="52F60D85" w14:textId="49F0B6F9" w:rsidR="00F82463" w:rsidRDefault="00F82463" w:rsidP="00F4524F">
            <w:pPr>
              <w:spacing w:line="360" w:lineRule="auto"/>
              <w:jc w:val="center"/>
              <w:rPr>
                <w:lang w:val="en-US"/>
              </w:rPr>
            </w:pPr>
            <w:r>
              <w:rPr>
                <w:lang w:val="en-US"/>
              </w:rPr>
              <w:t>50,000</w:t>
            </w:r>
          </w:p>
        </w:tc>
        <w:tc>
          <w:tcPr>
            <w:tcW w:w="1430" w:type="dxa"/>
          </w:tcPr>
          <w:p w14:paraId="44718BF2" w14:textId="7B1DCE71" w:rsidR="00F82463" w:rsidRDefault="00F82463" w:rsidP="00F4524F">
            <w:pPr>
              <w:spacing w:line="360" w:lineRule="auto"/>
              <w:jc w:val="center"/>
              <w:rPr>
                <w:lang w:val="en-US"/>
              </w:rPr>
            </w:pPr>
            <w:r>
              <w:rPr>
                <w:lang w:val="en-US"/>
              </w:rPr>
              <w:t>785,000</w:t>
            </w:r>
          </w:p>
        </w:tc>
        <w:tc>
          <w:tcPr>
            <w:tcW w:w="1142" w:type="dxa"/>
          </w:tcPr>
          <w:p w14:paraId="53129A94" w14:textId="77777777" w:rsidR="00F82463" w:rsidRDefault="00F82463" w:rsidP="00F4524F">
            <w:pPr>
              <w:spacing w:line="360" w:lineRule="auto"/>
              <w:jc w:val="center"/>
              <w:rPr>
                <w:lang w:val="en-US"/>
              </w:rPr>
            </w:pPr>
            <w:r>
              <w:rPr>
                <w:lang w:val="en-US"/>
              </w:rPr>
              <w:t>0.7921</w:t>
            </w:r>
          </w:p>
        </w:tc>
        <w:tc>
          <w:tcPr>
            <w:tcW w:w="1156" w:type="dxa"/>
          </w:tcPr>
          <w:p w14:paraId="0BC10D8A" w14:textId="472DA758" w:rsidR="00F82463" w:rsidRDefault="00F82463" w:rsidP="00F4524F">
            <w:pPr>
              <w:spacing w:line="360" w:lineRule="auto"/>
              <w:jc w:val="center"/>
              <w:rPr>
                <w:lang w:val="en-US"/>
              </w:rPr>
            </w:pPr>
            <w:r>
              <w:rPr>
                <w:lang w:val="en-US"/>
              </w:rPr>
              <w:t>621,800</w:t>
            </w:r>
          </w:p>
        </w:tc>
      </w:tr>
      <w:tr w:rsidR="00F82463" w14:paraId="494D3B65" w14:textId="77777777" w:rsidTr="00F4524F">
        <w:tc>
          <w:tcPr>
            <w:tcW w:w="7860" w:type="dxa"/>
            <w:gridSpan w:val="6"/>
          </w:tcPr>
          <w:p w14:paraId="5F6EFD7D" w14:textId="77777777" w:rsidR="00F82463" w:rsidRPr="00CA385F" w:rsidRDefault="00F82463" w:rsidP="00F4524F">
            <w:pPr>
              <w:spacing w:line="360" w:lineRule="auto"/>
              <w:jc w:val="center"/>
              <w:rPr>
                <w:b/>
                <w:bCs/>
                <w:lang w:val="en-US"/>
              </w:rPr>
            </w:pPr>
            <w:r>
              <w:rPr>
                <w:b/>
                <w:bCs/>
                <w:lang w:val="en-US"/>
              </w:rPr>
              <w:t>NPV</w:t>
            </w:r>
          </w:p>
        </w:tc>
        <w:tc>
          <w:tcPr>
            <w:tcW w:w="1156" w:type="dxa"/>
          </w:tcPr>
          <w:p w14:paraId="3FFF8990" w14:textId="7535342C" w:rsidR="00F82463" w:rsidRPr="00FD384B" w:rsidRDefault="00F82463" w:rsidP="00F4524F">
            <w:pPr>
              <w:spacing w:line="360" w:lineRule="auto"/>
              <w:jc w:val="center"/>
              <w:rPr>
                <w:b/>
                <w:bCs/>
                <w:lang w:val="en-US"/>
              </w:rPr>
            </w:pPr>
            <w:r>
              <w:rPr>
                <w:b/>
                <w:bCs/>
                <w:lang w:val="en-US"/>
              </w:rPr>
              <w:t>792,229</w:t>
            </w:r>
          </w:p>
        </w:tc>
      </w:tr>
    </w:tbl>
    <w:p w14:paraId="155EDA50" w14:textId="77777777" w:rsidR="00F82463" w:rsidRDefault="00F82463" w:rsidP="00582589">
      <w:pPr>
        <w:spacing w:line="360" w:lineRule="auto"/>
        <w:rPr>
          <w:lang w:val="en-US"/>
        </w:rPr>
      </w:pPr>
    </w:p>
    <w:p w14:paraId="06C03350" w14:textId="74752B1C" w:rsidR="00F82463" w:rsidRDefault="00F82463" w:rsidP="00F82463">
      <w:pPr>
        <w:spacing w:line="360" w:lineRule="auto"/>
        <w:rPr>
          <w:b/>
          <w:bCs/>
          <w:lang w:val="en-US"/>
        </w:rPr>
      </w:pPr>
      <w:r>
        <w:rPr>
          <w:b/>
          <w:bCs/>
          <w:lang w:val="en-US"/>
        </w:rPr>
        <w:t xml:space="preserve">NPV of Option – </w:t>
      </w:r>
      <w:r w:rsidR="00D61D03">
        <w:rPr>
          <w:b/>
          <w:bCs/>
          <w:lang w:val="en-US"/>
        </w:rPr>
        <w:t>C</w:t>
      </w:r>
      <w:r>
        <w:rPr>
          <w:b/>
          <w:bCs/>
          <w:lang w:val="en-US"/>
        </w:rPr>
        <w:t xml:space="preserve">: </w:t>
      </w:r>
      <w:r w:rsidR="00D61D03">
        <w:rPr>
          <w:b/>
          <w:bCs/>
          <w:lang w:val="en-US"/>
        </w:rPr>
        <w:t>Product Diversification</w:t>
      </w:r>
    </w:p>
    <w:p w14:paraId="167D41F5" w14:textId="6ADD4BB4" w:rsidR="00F82463" w:rsidRDefault="00F82463" w:rsidP="00F82463">
      <w:pPr>
        <w:spacing w:line="360" w:lineRule="auto"/>
        <w:rPr>
          <w:lang w:val="en-US"/>
        </w:rPr>
      </w:pPr>
      <w:r>
        <w:rPr>
          <w:lang w:val="en-US"/>
        </w:rPr>
        <w:t xml:space="preserve">Investment Required: </w:t>
      </w:r>
      <w:r w:rsidR="003A4EB0">
        <w:rPr>
          <w:lang w:val="en-US"/>
        </w:rPr>
        <w:t>1,</w:t>
      </w:r>
      <w:r>
        <w:rPr>
          <w:lang w:val="en-US"/>
        </w:rPr>
        <w:t>600,000 Pounds</w:t>
      </w:r>
    </w:p>
    <w:p w14:paraId="5E581FD2" w14:textId="05337CE1" w:rsidR="00F82463" w:rsidRDefault="00F82463" w:rsidP="00F82463">
      <w:pPr>
        <w:spacing w:line="360" w:lineRule="auto"/>
        <w:rPr>
          <w:lang w:val="en-US"/>
        </w:rPr>
      </w:pPr>
      <w:r>
        <w:rPr>
          <w:lang w:val="en-US"/>
        </w:rPr>
        <w:t xml:space="preserve">Capital Allowance per Annum = </w:t>
      </w:r>
      <w:r w:rsidR="003A4EB0">
        <w:rPr>
          <w:lang w:val="en-US"/>
        </w:rPr>
        <w:t>3</w:t>
      </w:r>
      <w:r>
        <w:rPr>
          <w:lang w:val="en-US"/>
        </w:rPr>
        <w:t>20,000 Pounds [</w:t>
      </w:r>
      <w:r w:rsidR="003A4EB0">
        <w:rPr>
          <w:lang w:val="en-US"/>
        </w:rPr>
        <w:t>1,</w:t>
      </w:r>
      <w:r>
        <w:rPr>
          <w:lang w:val="en-US"/>
        </w:rPr>
        <w:t>600,000 * 20%]</w:t>
      </w:r>
    </w:p>
    <w:p w14:paraId="75C9A559" w14:textId="691C8826" w:rsidR="00F82463" w:rsidRDefault="00F82463" w:rsidP="00F82463">
      <w:pPr>
        <w:spacing w:line="360" w:lineRule="auto"/>
        <w:rPr>
          <w:lang w:val="en-US"/>
        </w:rPr>
      </w:pPr>
      <w:r>
        <w:rPr>
          <w:lang w:val="en-US"/>
        </w:rPr>
        <w:t xml:space="preserve">Tax Shield from Capital Allowance = </w:t>
      </w:r>
      <w:r w:rsidR="003A4EB0">
        <w:rPr>
          <w:lang w:val="en-US"/>
        </w:rPr>
        <w:t>8</w:t>
      </w:r>
      <w:r>
        <w:rPr>
          <w:lang w:val="en-US"/>
        </w:rPr>
        <w:t>0,000 Pounds [</w:t>
      </w:r>
      <w:r w:rsidR="003A4EB0">
        <w:rPr>
          <w:lang w:val="en-US"/>
        </w:rPr>
        <w:t>3</w:t>
      </w:r>
      <w:r>
        <w:rPr>
          <w:lang w:val="en-US"/>
        </w:rPr>
        <w:t>20,000 * 25%]</w:t>
      </w:r>
    </w:p>
    <w:tbl>
      <w:tblPr>
        <w:tblStyle w:val="TableGrid"/>
        <w:tblW w:w="0" w:type="auto"/>
        <w:tblLook w:val="04A0" w:firstRow="1" w:lastRow="0" w:firstColumn="1" w:lastColumn="0" w:noHBand="0" w:noVBand="1"/>
      </w:tblPr>
      <w:tblGrid>
        <w:gridCol w:w="1110"/>
        <w:gridCol w:w="1418"/>
        <w:gridCol w:w="1398"/>
        <w:gridCol w:w="1222"/>
        <w:gridCol w:w="1419"/>
        <w:gridCol w:w="1113"/>
        <w:gridCol w:w="1336"/>
      </w:tblGrid>
      <w:tr w:rsidR="003A4EB0" w14:paraId="2426E6F3" w14:textId="77777777" w:rsidTr="00F4524F">
        <w:tc>
          <w:tcPr>
            <w:tcW w:w="1163" w:type="dxa"/>
          </w:tcPr>
          <w:p w14:paraId="53D9389F" w14:textId="77777777" w:rsidR="00F82463" w:rsidRPr="002C50CA" w:rsidRDefault="00F82463" w:rsidP="00F4524F">
            <w:pPr>
              <w:spacing w:line="360" w:lineRule="auto"/>
              <w:jc w:val="center"/>
              <w:rPr>
                <w:b/>
                <w:bCs/>
                <w:lang w:val="en-US"/>
              </w:rPr>
            </w:pPr>
            <w:r>
              <w:rPr>
                <w:b/>
                <w:bCs/>
                <w:lang w:val="en-US"/>
              </w:rPr>
              <w:t>Year</w:t>
            </w:r>
          </w:p>
        </w:tc>
        <w:tc>
          <w:tcPr>
            <w:tcW w:w="1429" w:type="dxa"/>
          </w:tcPr>
          <w:p w14:paraId="4F5E1E2D" w14:textId="77777777" w:rsidR="00F82463" w:rsidRPr="002C50CA" w:rsidRDefault="00F82463" w:rsidP="00F4524F">
            <w:pPr>
              <w:spacing w:line="360" w:lineRule="auto"/>
              <w:jc w:val="center"/>
              <w:rPr>
                <w:b/>
                <w:bCs/>
                <w:lang w:val="en-US"/>
              </w:rPr>
            </w:pPr>
            <w:r>
              <w:rPr>
                <w:b/>
                <w:bCs/>
                <w:lang w:val="en-US"/>
              </w:rPr>
              <w:t>Pre-Tax Cash Flow (</w:t>
            </w:r>
            <w:r w:rsidRPr="004D27A6">
              <w:rPr>
                <w:b/>
                <w:bCs/>
              </w:rPr>
              <w:t>£</w:t>
            </w:r>
            <w:r>
              <w:rPr>
                <w:b/>
                <w:bCs/>
              </w:rPr>
              <w:t>)</w:t>
            </w:r>
          </w:p>
        </w:tc>
        <w:tc>
          <w:tcPr>
            <w:tcW w:w="1429" w:type="dxa"/>
          </w:tcPr>
          <w:p w14:paraId="68B88C32" w14:textId="77777777" w:rsidR="00F82463" w:rsidRPr="002C50CA" w:rsidRDefault="00F82463" w:rsidP="00F4524F">
            <w:pPr>
              <w:spacing w:line="360" w:lineRule="auto"/>
              <w:jc w:val="center"/>
              <w:rPr>
                <w:b/>
                <w:bCs/>
                <w:lang w:val="en-US"/>
              </w:rPr>
            </w:pPr>
            <w:r>
              <w:rPr>
                <w:b/>
                <w:bCs/>
                <w:lang w:val="en-US"/>
              </w:rPr>
              <w:t>Less: Tax (25%) (</w:t>
            </w:r>
            <w:r w:rsidRPr="004D27A6">
              <w:rPr>
                <w:b/>
                <w:bCs/>
              </w:rPr>
              <w:t>£</w:t>
            </w:r>
            <w:r>
              <w:rPr>
                <w:b/>
                <w:bCs/>
              </w:rPr>
              <w:t>)</w:t>
            </w:r>
          </w:p>
        </w:tc>
        <w:tc>
          <w:tcPr>
            <w:tcW w:w="1267" w:type="dxa"/>
          </w:tcPr>
          <w:p w14:paraId="0AE750EE" w14:textId="77777777" w:rsidR="00F82463" w:rsidRPr="002C50CA" w:rsidRDefault="00F82463" w:rsidP="00F4524F">
            <w:pPr>
              <w:spacing w:line="360" w:lineRule="auto"/>
              <w:jc w:val="center"/>
              <w:rPr>
                <w:b/>
                <w:bCs/>
                <w:lang w:val="en-US"/>
              </w:rPr>
            </w:pPr>
            <w:r>
              <w:rPr>
                <w:b/>
                <w:bCs/>
                <w:lang w:val="en-US"/>
              </w:rPr>
              <w:t>Add: Tax Shield (</w:t>
            </w:r>
            <w:r w:rsidRPr="004D27A6">
              <w:rPr>
                <w:b/>
                <w:bCs/>
              </w:rPr>
              <w:t>£</w:t>
            </w:r>
            <w:r>
              <w:rPr>
                <w:b/>
                <w:bCs/>
              </w:rPr>
              <w:t>)</w:t>
            </w:r>
          </w:p>
        </w:tc>
        <w:tc>
          <w:tcPr>
            <w:tcW w:w="1430" w:type="dxa"/>
          </w:tcPr>
          <w:p w14:paraId="67186A1D" w14:textId="77777777" w:rsidR="00F82463" w:rsidRPr="002C50CA" w:rsidRDefault="00F82463" w:rsidP="00F4524F">
            <w:pPr>
              <w:spacing w:line="360" w:lineRule="auto"/>
              <w:jc w:val="center"/>
              <w:rPr>
                <w:b/>
                <w:bCs/>
                <w:lang w:val="en-US"/>
              </w:rPr>
            </w:pPr>
            <w:r>
              <w:rPr>
                <w:b/>
                <w:bCs/>
                <w:lang w:val="en-US"/>
              </w:rPr>
              <w:t>After-Tax Cash Flow (</w:t>
            </w:r>
            <w:r w:rsidRPr="004D27A6">
              <w:rPr>
                <w:b/>
                <w:bCs/>
              </w:rPr>
              <w:t>£</w:t>
            </w:r>
            <w:r>
              <w:rPr>
                <w:b/>
                <w:bCs/>
              </w:rPr>
              <w:t>)</w:t>
            </w:r>
          </w:p>
        </w:tc>
        <w:tc>
          <w:tcPr>
            <w:tcW w:w="1142" w:type="dxa"/>
          </w:tcPr>
          <w:p w14:paraId="2EABC875" w14:textId="77777777" w:rsidR="00F82463" w:rsidRDefault="00F82463" w:rsidP="00F4524F">
            <w:pPr>
              <w:spacing w:line="360" w:lineRule="auto"/>
              <w:jc w:val="center"/>
              <w:rPr>
                <w:b/>
                <w:bCs/>
                <w:lang w:val="en-US"/>
              </w:rPr>
            </w:pPr>
            <w:r>
              <w:rPr>
                <w:b/>
                <w:bCs/>
                <w:lang w:val="en-US"/>
              </w:rPr>
              <w:t>PV Factor at 6%</w:t>
            </w:r>
          </w:p>
        </w:tc>
        <w:tc>
          <w:tcPr>
            <w:tcW w:w="1156" w:type="dxa"/>
          </w:tcPr>
          <w:p w14:paraId="0F35F5E4" w14:textId="77777777" w:rsidR="00F82463" w:rsidRDefault="00F82463" w:rsidP="00F4524F">
            <w:pPr>
              <w:spacing w:line="360" w:lineRule="auto"/>
              <w:jc w:val="center"/>
              <w:rPr>
                <w:b/>
                <w:bCs/>
                <w:lang w:val="en-US"/>
              </w:rPr>
            </w:pPr>
            <w:r>
              <w:rPr>
                <w:b/>
                <w:bCs/>
                <w:lang w:val="en-US"/>
              </w:rPr>
              <w:t>PV of CF (</w:t>
            </w:r>
            <w:r w:rsidRPr="004D27A6">
              <w:rPr>
                <w:b/>
                <w:bCs/>
              </w:rPr>
              <w:t>£</w:t>
            </w:r>
            <w:r>
              <w:rPr>
                <w:b/>
                <w:bCs/>
              </w:rPr>
              <w:t>)</w:t>
            </w:r>
          </w:p>
        </w:tc>
      </w:tr>
      <w:tr w:rsidR="003A4EB0" w14:paraId="509692CC" w14:textId="77777777" w:rsidTr="00F4524F">
        <w:tc>
          <w:tcPr>
            <w:tcW w:w="1163" w:type="dxa"/>
          </w:tcPr>
          <w:p w14:paraId="0376B7D2" w14:textId="77777777" w:rsidR="00F82463" w:rsidRDefault="00F82463" w:rsidP="00F4524F">
            <w:pPr>
              <w:spacing w:line="360" w:lineRule="auto"/>
              <w:jc w:val="center"/>
              <w:rPr>
                <w:lang w:val="en-US"/>
              </w:rPr>
            </w:pPr>
            <w:r>
              <w:rPr>
                <w:lang w:val="en-US"/>
              </w:rPr>
              <w:t>0</w:t>
            </w:r>
          </w:p>
        </w:tc>
        <w:tc>
          <w:tcPr>
            <w:tcW w:w="1429" w:type="dxa"/>
          </w:tcPr>
          <w:p w14:paraId="7C76A7F6" w14:textId="427245AE" w:rsidR="00F82463" w:rsidRDefault="00F82463" w:rsidP="00F4524F">
            <w:pPr>
              <w:spacing w:line="360" w:lineRule="auto"/>
              <w:jc w:val="center"/>
              <w:rPr>
                <w:lang w:val="en-US"/>
              </w:rPr>
            </w:pPr>
            <w:r>
              <w:rPr>
                <w:lang w:val="en-US"/>
              </w:rPr>
              <w:t>(</w:t>
            </w:r>
            <w:r w:rsidR="003A4EB0">
              <w:rPr>
                <w:lang w:val="en-US"/>
              </w:rPr>
              <w:t>1,</w:t>
            </w:r>
            <w:r>
              <w:rPr>
                <w:lang w:val="en-US"/>
              </w:rPr>
              <w:t>600,000)</w:t>
            </w:r>
          </w:p>
        </w:tc>
        <w:tc>
          <w:tcPr>
            <w:tcW w:w="1429" w:type="dxa"/>
          </w:tcPr>
          <w:p w14:paraId="6F167CCE" w14:textId="77777777" w:rsidR="00F82463" w:rsidRDefault="00F82463" w:rsidP="00F4524F">
            <w:pPr>
              <w:spacing w:line="360" w:lineRule="auto"/>
              <w:jc w:val="center"/>
              <w:rPr>
                <w:lang w:val="en-US"/>
              </w:rPr>
            </w:pPr>
            <w:r>
              <w:rPr>
                <w:lang w:val="en-US"/>
              </w:rPr>
              <w:t>-</w:t>
            </w:r>
          </w:p>
        </w:tc>
        <w:tc>
          <w:tcPr>
            <w:tcW w:w="1267" w:type="dxa"/>
          </w:tcPr>
          <w:p w14:paraId="4CBECF2A" w14:textId="77777777" w:rsidR="00F82463" w:rsidRDefault="00F82463" w:rsidP="00F4524F">
            <w:pPr>
              <w:spacing w:line="360" w:lineRule="auto"/>
              <w:jc w:val="center"/>
              <w:rPr>
                <w:lang w:val="en-US"/>
              </w:rPr>
            </w:pPr>
            <w:r>
              <w:rPr>
                <w:lang w:val="en-US"/>
              </w:rPr>
              <w:t>-</w:t>
            </w:r>
          </w:p>
        </w:tc>
        <w:tc>
          <w:tcPr>
            <w:tcW w:w="1430" w:type="dxa"/>
          </w:tcPr>
          <w:p w14:paraId="4F1E607D" w14:textId="44743A19" w:rsidR="00F82463" w:rsidRDefault="00F82463" w:rsidP="00F4524F">
            <w:pPr>
              <w:spacing w:line="360" w:lineRule="auto"/>
              <w:jc w:val="center"/>
              <w:rPr>
                <w:lang w:val="en-US"/>
              </w:rPr>
            </w:pPr>
            <w:r>
              <w:rPr>
                <w:lang w:val="en-US"/>
              </w:rPr>
              <w:t>(</w:t>
            </w:r>
            <w:r w:rsidR="003A4EB0">
              <w:rPr>
                <w:lang w:val="en-US"/>
              </w:rPr>
              <w:t>1,</w:t>
            </w:r>
            <w:r>
              <w:rPr>
                <w:lang w:val="en-US"/>
              </w:rPr>
              <w:t>600,000)</w:t>
            </w:r>
          </w:p>
        </w:tc>
        <w:tc>
          <w:tcPr>
            <w:tcW w:w="1142" w:type="dxa"/>
          </w:tcPr>
          <w:p w14:paraId="5B687A45" w14:textId="77777777" w:rsidR="00F82463" w:rsidRDefault="00F82463" w:rsidP="00F4524F">
            <w:pPr>
              <w:spacing w:line="360" w:lineRule="auto"/>
              <w:jc w:val="center"/>
              <w:rPr>
                <w:lang w:val="en-US"/>
              </w:rPr>
            </w:pPr>
            <w:r>
              <w:rPr>
                <w:lang w:val="en-US"/>
              </w:rPr>
              <w:t>-</w:t>
            </w:r>
          </w:p>
        </w:tc>
        <w:tc>
          <w:tcPr>
            <w:tcW w:w="1156" w:type="dxa"/>
          </w:tcPr>
          <w:p w14:paraId="52278142" w14:textId="3D75D367" w:rsidR="00F82463" w:rsidRDefault="00F82463" w:rsidP="00F4524F">
            <w:pPr>
              <w:spacing w:line="360" w:lineRule="auto"/>
              <w:jc w:val="center"/>
              <w:rPr>
                <w:lang w:val="en-US"/>
              </w:rPr>
            </w:pPr>
            <w:r>
              <w:rPr>
                <w:lang w:val="en-US"/>
              </w:rPr>
              <w:t>(</w:t>
            </w:r>
            <w:r w:rsidR="003A4EB0">
              <w:rPr>
                <w:lang w:val="en-US"/>
              </w:rPr>
              <w:t>1,</w:t>
            </w:r>
            <w:r>
              <w:rPr>
                <w:lang w:val="en-US"/>
              </w:rPr>
              <w:t>600,000)</w:t>
            </w:r>
          </w:p>
        </w:tc>
      </w:tr>
      <w:tr w:rsidR="003A4EB0" w14:paraId="22376D93" w14:textId="77777777" w:rsidTr="00F4524F">
        <w:tc>
          <w:tcPr>
            <w:tcW w:w="1163" w:type="dxa"/>
          </w:tcPr>
          <w:p w14:paraId="3B8A8370" w14:textId="77777777" w:rsidR="00F82463" w:rsidRDefault="00F82463" w:rsidP="00F4524F">
            <w:pPr>
              <w:spacing w:line="360" w:lineRule="auto"/>
              <w:jc w:val="center"/>
              <w:rPr>
                <w:lang w:val="en-US"/>
              </w:rPr>
            </w:pPr>
            <w:r>
              <w:rPr>
                <w:lang w:val="en-US"/>
              </w:rPr>
              <w:t>1</w:t>
            </w:r>
          </w:p>
        </w:tc>
        <w:tc>
          <w:tcPr>
            <w:tcW w:w="1429" w:type="dxa"/>
          </w:tcPr>
          <w:p w14:paraId="4BE125AC" w14:textId="65DA7489" w:rsidR="00F82463" w:rsidRDefault="00A2425A" w:rsidP="00F4524F">
            <w:pPr>
              <w:spacing w:line="360" w:lineRule="auto"/>
              <w:jc w:val="center"/>
              <w:rPr>
                <w:lang w:val="en-US"/>
              </w:rPr>
            </w:pPr>
            <w:r>
              <w:rPr>
                <w:lang w:val="en-US"/>
              </w:rPr>
              <w:t>450,000</w:t>
            </w:r>
          </w:p>
        </w:tc>
        <w:tc>
          <w:tcPr>
            <w:tcW w:w="1429" w:type="dxa"/>
          </w:tcPr>
          <w:p w14:paraId="176F03FD" w14:textId="4B25508B" w:rsidR="00F82463" w:rsidRDefault="00A2425A" w:rsidP="00F4524F">
            <w:pPr>
              <w:spacing w:line="360" w:lineRule="auto"/>
              <w:jc w:val="center"/>
              <w:rPr>
                <w:lang w:val="en-US"/>
              </w:rPr>
            </w:pPr>
            <w:r>
              <w:rPr>
                <w:lang w:val="en-US"/>
              </w:rPr>
              <w:t>(112,500)</w:t>
            </w:r>
          </w:p>
        </w:tc>
        <w:tc>
          <w:tcPr>
            <w:tcW w:w="1267" w:type="dxa"/>
          </w:tcPr>
          <w:p w14:paraId="18F8C5D9" w14:textId="52DEA140" w:rsidR="00F82463" w:rsidRDefault="003A4EB0" w:rsidP="00F4524F">
            <w:pPr>
              <w:spacing w:line="360" w:lineRule="auto"/>
              <w:jc w:val="center"/>
              <w:rPr>
                <w:lang w:val="en-US"/>
              </w:rPr>
            </w:pPr>
            <w:r>
              <w:rPr>
                <w:lang w:val="en-US"/>
              </w:rPr>
              <w:t>8</w:t>
            </w:r>
            <w:r w:rsidR="00F82463">
              <w:rPr>
                <w:lang w:val="en-US"/>
              </w:rPr>
              <w:t>0,000</w:t>
            </w:r>
          </w:p>
        </w:tc>
        <w:tc>
          <w:tcPr>
            <w:tcW w:w="1430" w:type="dxa"/>
          </w:tcPr>
          <w:p w14:paraId="1ACACD82" w14:textId="5366E44C" w:rsidR="00F82463" w:rsidRDefault="003A4EB0" w:rsidP="00F4524F">
            <w:pPr>
              <w:spacing w:line="360" w:lineRule="auto"/>
              <w:jc w:val="center"/>
              <w:rPr>
                <w:lang w:val="en-US"/>
              </w:rPr>
            </w:pPr>
            <w:r>
              <w:rPr>
                <w:lang w:val="en-US"/>
              </w:rPr>
              <w:t>417,500</w:t>
            </w:r>
          </w:p>
        </w:tc>
        <w:tc>
          <w:tcPr>
            <w:tcW w:w="1142" w:type="dxa"/>
          </w:tcPr>
          <w:p w14:paraId="713AA620" w14:textId="77777777" w:rsidR="00F82463" w:rsidRDefault="00F82463" w:rsidP="00F4524F">
            <w:pPr>
              <w:spacing w:line="360" w:lineRule="auto"/>
              <w:jc w:val="center"/>
              <w:rPr>
                <w:lang w:val="en-US"/>
              </w:rPr>
            </w:pPr>
            <w:r>
              <w:rPr>
                <w:lang w:val="en-US"/>
              </w:rPr>
              <w:t>0.9434</w:t>
            </w:r>
          </w:p>
        </w:tc>
        <w:tc>
          <w:tcPr>
            <w:tcW w:w="1156" w:type="dxa"/>
          </w:tcPr>
          <w:p w14:paraId="720418C7" w14:textId="7C555B39" w:rsidR="00F82463" w:rsidRDefault="00D61D03" w:rsidP="00F4524F">
            <w:pPr>
              <w:spacing w:line="360" w:lineRule="auto"/>
              <w:jc w:val="center"/>
              <w:rPr>
                <w:lang w:val="en-US"/>
              </w:rPr>
            </w:pPr>
            <w:r>
              <w:rPr>
                <w:lang w:val="en-US"/>
              </w:rPr>
              <w:t>393,869</w:t>
            </w:r>
          </w:p>
        </w:tc>
      </w:tr>
      <w:tr w:rsidR="003A4EB0" w14:paraId="6C90D5BC" w14:textId="77777777" w:rsidTr="00F4524F">
        <w:tc>
          <w:tcPr>
            <w:tcW w:w="1163" w:type="dxa"/>
          </w:tcPr>
          <w:p w14:paraId="43736DCE" w14:textId="77777777" w:rsidR="00F82463" w:rsidRDefault="00F82463" w:rsidP="00F4524F">
            <w:pPr>
              <w:spacing w:line="360" w:lineRule="auto"/>
              <w:jc w:val="center"/>
              <w:rPr>
                <w:lang w:val="en-US"/>
              </w:rPr>
            </w:pPr>
            <w:r>
              <w:rPr>
                <w:lang w:val="en-US"/>
              </w:rPr>
              <w:t>2</w:t>
            </w:r>
          </w:p>
        </w:tc>
        <w:tc>
          <w:tcPr>
            <w:tcW w:w="1429" w:type="dxa"/>
          </w:tcPr>
          <w:p w14:paraId="3E4843AA" w14:textId="38276F9F" w:rsidR="00F82463" w:rsidRDefault="00A2425A" w:rsidP="00F4524F">
            <w:pPr>
              <w:spacing w:line="360" w:lineRule="auto"/>
              <w:jc w:val="center"/>
              <w:rPr>
                <w:lang w:val="en-US"/>
              </w:rPr>
            </w:pPr>
            <w:r>
              <w:rPr>
                <w:lang w:val="en-US"/>
              </w:rPr>
              <w:t>700,000</w:t>
            </w:r>
          </w:p>
        </w:tc>
        <w:tc>
          <w:tcPr>
            <w:tcW w:w="1429" w:type="dxa"/>
          </w:tcPr>
          <w:p w14:paraId="7558A3B3" w14:textId="30DEB3C5" w:rsidR="00F82463" w:rsidRDefault="00A2425A" w:rsidP="00F4524F">
            <w:pPr>
              <w:spacing w:line="360" w:lineRule="auto"/>
              <w:jc w:val="center"/>
              <w:rPr>
                <w:lang w:val="en-US"/>
              </w:rPr>
            </w:pPr>
            <w:r>
              <w:rPr>
                <w:lang w:val="en-US"/>
              </w:rPr>
              <w:t>(175,000)</w:t>
            </w:r>
          </w:p>
        </w:tc>
        <w:tc>
          <w:tcPr>
            <w:tcW w:w="1267" w:type="dxa"/>
          </w:tcPr>
          <w:p w14:paraId="648D0D26" w14:textId="559523C8" w:rsidR="00F82463" w:rsidRDefault="003A4EB0" w:rsidP="00F4524F">
            <w:pPr>
              <w:spacing w:line="360" w:lineRule="auto"/>
              <w:jc w:val="center"/>
              <w:rPr>
                <w:lang w:val="en-US"/>
              </w:rPr>
            </w:pPr>
            <w:r>
              <w:rPr>
                <w:lang w:val="en-US"/>
              </w:rPr>
              <w:t>8</w:t>
            </w:r>
            <w:r w:rsidR="00F82463">
              <w:rPr>
                <w:lang w:val="en-US"/>
              </w:rPr>
              <w:t>0,000</w:t>
            </w:r>
          </w:p>
        </w:tc>
        <w:tc>
          <w:tcPr>
            <w:tcW w:w="1430" w:type="dxa"/>
          </w:tcPr>
          <w:p w14:paraId="123E6637" w14:textId="7F8071E1" w:rsidR="00F82463" w:rsidRDefault="003A4EB0" w:rsidP="00F4524F">
            <w:pPr>
              <w:spacing w:line="360" w:lineRule="auto"/>
              <w:jc w:val="center"/>
              <w:rPr>
                <w:lang w:val="en-US"/>
              </w:rPr>
            </w:pPr>
            <w:r>
              <w:rPr>
                <w:lang w:val="en-US"/>
              </w:rPr>
              <w:t>605,000</w:t>
            </w:r>
          </w:p>
        </w:tc>
        <w:tc>
          <w:tcPr>
            <w:tcW w:w="1142" w:type="dxa"/>
          </w:tcPr>
          <w:p w14:paraId="7EE405AC" w14:textId="77777777" w:rsidR="00F82463" w:rsidRDefault="00F82463" w:rsidP="00F4524F">
            <w:pPr>
              <w:spacing w:line="360" w:lineRule="auto"/>
              <w:jc w:val="center"/>
              <w:rPr>
                <w:lang w:val="en-US"/>
              </w:rPr>
            </w:pPr>
            <w:r>
              <w:rPr>
                <w:lang w:val="en-US"/>
              </w:rPr>
              <w:t>0.8900</w:t>
            </w:r>
          </w:p>
        </w:tc>
        <w:tc>
          <w:tcPr>
            <w:tcW w:w="1156" w:type="dxa"/>
          </w:tcPr>
          <w:p w14:paraId="0CBA9272" w14:textId="7482CB85" w:rsidR="00F82463" w:rsidRDefault="00D61D03" w:rsidP="00F4524F">
            <w:pPr>
              <w:spacing w:line="360" w:lineRule="auto"/>
              <w:jc w:val="center"/>
              <w:rPr>
                <w:lang w:val="en-US"/>
              </w:rPr>
            </w:pPr>
            <w:r>
              <w:rPr>
                <w:lang w:val="en-US"/>
              </w:rPr>
              <w:t>538,450</w:t>
            </w:r>
          </w:p>
        </w:tc>
      </w:tr>
      <w:tr w:rsidR="003A4EB0" w14:paraId="721DE248" w14:textId="77777777" w:rsidTr="00F4524F">
        <w:tc>
          <w:tcPr>
            <w:tcW w:w="1163" w:type="dxa"/>
          </w:tcPr>
          <w:p w14:paraId="0B648197" w14:textId="77777777" w:rsidR="00F82463" w:rsidRDefault="00F82463" w:rsidP="00F4524F">
            <w:pPr>
              <w:spacing w:line="360" w:lineRule="auto"/>
              <w:jc w:val="center"/>
              <w:rPr>
                <w:lang w:val="en-US"/>
              </w:rPr>
            </w:pPr>
            <w:r>
              <w:rPr>
                <w:lang w:val="en-US"/>
              </w:rPr>
              <w:lastRenderedPageBreak/>
              <w:t>3</w:t>
            </w:r>
          </w:p>
        </w:tc>
        <w:tc>
          <w:tcPr>
            <w:tcW w:w="1429" w:type="dxa"/>
          </w:tcPr>
          <w:p w14:paraId="29CC2DBD" w14:textId="017F8A42" w:rsidR="00F82463" w:rsidRDefault="00A2425A" w:rsidP="00F4524F">
            <w:pPr>
              <w:spacing w:line="360" w:lineRule="auto"/>
              <w:jc w:val="center"/>
              <w:rPr>
                <w:lang w:val="en-US"/>
              </w:rPr>
            </w:pPr>
            <w:r>
              <w:rPr>
                <w:lang w:val="en-US"/>
              </w:rPr>
              <w:t>900,000</w:t>
            </w:r>
          </w:p>
        </w:tc>
        <w:tc>
          <w:tcPr>
            <w:tcW w:w="1429" w:type="dxa"/>
          </w:tcPr>
          <w:p w14:paraId="190361C3" w14:textId="2903913B" w:rsidR="00F82463" w:rsidRDefault="00A2425A" w:rsidP="00F4524F">
            <w:pPr>
              <w:spacing w:line="360" w:lineRule="auto"/>
              <w:jc w:val="center"/>
              <w:rPr>
                <w:lang w:val="en-US"/>
              </w:rPr>
            </w:pPr>
            <w:r>
              <w:rPr>
                <w:lang w:val="en-US"/>
              </w:rPr>
              <w:t>(225,000)</w:t>
            </w:r>
          </w:p>
        </w:tc>
        <w:tc>
          <w:tcPr>
            <w:tcW w:w="1267" w:type="dxa"/>
          </w:tcPr>
          <w:p w14:paraId="31CA2EDD" w14:textId="41BABCED" w:rsidR="00F82463" w:rsidRDefault="003A4EB0" w:rsidP="00F4524F">
            <w:pPr>
              <w:spacing w:line="360" w:lineRule="auto"/>
              <w:jc w:val="center"/>
              <w:rPr>
                <w:lang w:val="en-US"/>
              </w:rPr>
            </w:pPr>
            <w:r>
              <w:rPr>
                <w:lang w:val="en-US"/>
              </w:rPr>
              <w:t>8</w:t>
            </w:r>
            <w:r w:rsidR="00F82463">
              <w:rPr>
                <w:lang w:val="en-US"/>
              </w:rPr>
              <w:t>0,000</w:t>
            </w:r>
          </w:p>
        </w:tc>
        <w:tc>
          <w:tcPr>
            <w:tcW w:w="1430" w:type="dxa"/>
          </w:tcPr>
          <w:p w14:paraId="34749087" w14:textId="4C0D1DFE" w:rsidR="00F82463" w:rsidRDefault="003A4EB0" w:rsidP="00F4524F">
            <w:pPr>
              <w:spacing w:line="360" w:lineRule="auto"/>
              <w:jc w:val="center"/>
              <w:rPr>
                <w:lang w:val="en-US"/>
              </w:rPr>
            </w:pPr>
            <w:r>
              <w:rPr>
                <w:lang w:val="en-US"/>
              </w:rPr>
              <w:t>755,000</w:t>
            </w:r>
          </w:p>
        </w:tc>
        <w:tc>
          <w:tcPr>
            <w:tcW w:w="1142" w:type="dxa"/>
          </w:tcPr>
          <w:p w14:paraId="76D96661" w14:textId="77777777" w:rsidR="00F82463" w:rsidRDefault="00F82463" w:rsidP="00F4524F">
            <w:pPr>
              <w:spacing w:line="360" w:lineRule="auto"/>
              <w:jc w:val="center"/>
              <w:rPr>
                <w:lang w:val="en-US"/>
              </w:rPr>
            </w:pPr>
            <w:r>
              <w:rPr>
                <w:lang w:val="en-US"/>
              </w:rPr>
              <w:t>0.8396</w:t>
            </w:r>
          </w:p>
        </w:tc>
        <w:tc>
          <w:tcPr>
            <w:tcW w:w="1156" w:type="dxa"/>
          </w:tcPr>
          <w:p w14:paraId="0D398131" w14:textId="441EADC3" w:rsidR="00F82463" w:rsidRDefault="00D61D03" w:rsidP="00F4524F">
            <w:pPr>
              <w:spacing w:line="360" w:lineRule="auto"/>
              <w:jc w:val="center"/>
              <w:rPr>
                <w:lang w:val="en-US"/>
              </w:rPr>
            </w:pPr>
            <w:r>
              <w:rPr>
                <w:lang w:val="en-US"/>
              </w:rPr>
              <w:t>633,898</w:t>
            </w:r>
          </w:p>
        </w:tc>
      </w:tr>
      <w:tr w:rsidR="003A4EB0" w14:paraId="58531E5B" w14:textId="77777777" w:rsidTr="00F4524F">
        <w:tc>
          <w:tcPr>
            <w:tcW w:w="1163" w:type="dxa"/>
          </w:tcPr>
          <w:p w14:paraId="7F7EC7CF" w14:textId="77777777" w:rsidR="00F82463" w:rsidRDefault="00F82463" w:rsidP="00F4524F">
            <w:pPr>
              <w:spacing w:line="360" w:lineRule="auto"/>
              <w:jc w:val="center"/>
              <w:rPr>
                <w:lang w:val="en-US"/>
              </w:rPr>
            </w:pPr>
            <w:r>
              <w:rPr>
                <w:lang w:val="en-US"/>
              </w:rPr>
              <w:t>4</w:t>
            </w:r>
          </w:p>
        </w:tc>
        <w:tc>
          <w:tcPr>
            <w:tcW w:w="1429" w:type="dxa"/>
          </w:tcPr>
          <w:p w14:paraId="3DC44084" w14:textId="1370F5D9" w:rsidR="00F82463" w:rsidRDefault="00A2425A" w:rsidP="00F4524F">
            <w:pPr>
              <w:spacing w:line="360" w:lineRule="auto"/>
              <w:jc w:val="center"/>
              <w:rPr>
                <w:lang w:val="en-US"/>
              </w:rPr>
            </w:pPr>
            <w:r>
              <w:rPr>
                <w:lang w:val="en-US"/>
              </w:rPr>
              <w:t>1,200,000</w:t>
            </w:r>
          </w:p>
        </w:tc>
        <w:tc>
          <w:tcPr>
            <w:tcW w:w="1429" w:type="dxa"/>
          </w:tcPr>
          <w:p w14:paraId="2CEBEC95" w14:textId="7C47CD79" w:rsidR="00F82463" w:rsidRDefault="00A2425A" w:rsidP="00F4524F">
            <w:pPr>
              <w:spacing w:line="360" w:lineRule="auto"/>
              <w:jc w:val="center"/>
              <w:rPr>
                <w:lang w:val="en-US"/>
              </w:rPr>
            </w:pPr>
            <w:r>
              <w:rPr>
                <w:lang w:val="en-US"/>
              </w:rPr>
              <w:t>(300,000)</w:t>
            </w:r>
          </w:p>
        </w:tc>
        <w:tc>
          <w:tcPr>
            <w:tcW w:w="1267" w:type="dxa"/>
          </w:tcPr>
          <w:p w14:paraId="71DFE7CB" w14:textId="65143834" w:rsidR="00F82463" w:rsidRDefault="003A4EB0" w:rsidP="00F4524F">
            <w:pPr>
              <w:spacing w:line="360" w:lineRule="auto"/>
              <w:jc w:val="center"/>
              <w:rPr>
                <w:lang w:val="en-US"/>
              </w:rPr>
            </w:pPr>
            <w:r>
              <w:rPr>
                <w:lang w:val="en-US"/>
              </w:rPr>
              <w:t>8</w:t>
            </w:r>
            <w:r w:rsidR="00F82463">
              <w:rPr>
                <w:lang w:val="en-US"/>
              </w:rPr>
              <w:t>0,000</w:t>
            </w:r>
          </w:p>
        </w:tc>
        <w:tc>
          <w:tcPr>
            <w:tcW w:w="1430" w:type="dxa"/>
          </w:tcPr>
          <w:p w14:paraId="35CC4484" w14:textId="29901E93" w:rsidR="00F82463" w:rsidRDefault="003A4EB0" w:rsidP="00F4524F">
            <w:pPr>
              <w:spacing w:line="360" w:lineRule="auto"/>
              <w:jc w:val="center"/>
              <w:rPr>
                <w:lang w:val="en-US"/>
              </w:rPr>
            </w:pPr>
            <w:r>
              <w:rPr>
                <w:lang w:val="en-US"/>
              </w:rPr>
              <w:t>980,000</w:t>
            </w:r>
          </w:p>
        </w:tc>
        <w:tc>
          <w:tcPr>
            <w:tcW w:w="1142" w:type="dxa"/>
          </w:tcPr>
          <w:p w14:paraId="786D59D6" w14:textId="77777777" w:rsidR="00F82463" w:rsidRDefault="00F82463" w:rsidP="00F4524F">
            <w:pPr>
              <w:spacing w:line="360" w:lineRule="auto"/>
              <w:jc w:val="center"/>
              <w:rPr>
                <w:lang w:val="en-US"/>
              </w:rPr>
            </w:pPr>
            <w:r>
              <w:rPr>
                <w:lang w:val="en-US"/>
              </w:rPr>
              <w:t>0.7921</w:t>
            </w:r>
          </w:p>
        </w:tc>
        <w:tc>
          <w:tcPr>
            <w:tcW w:w="1156" w:type="dxa"/>
          </w:tcPr>
          <w:p w14:paraId="161C5770" w14:textId="6875D09C" w:rsidR="00F82463" w:rsidRDefault="00D61D03" w:rsidP="00F4524F">
            <w:pPr>
              <w:spacing w:line="360" w:lineRule="auto"/>
              <w:jc w:val="center"/>
              <w:rPr>
                <w:lang w:val="en-US"/>
              </w:rPr>
            </w:pPr>
            <w:r>
              <w:rPr>
                <w:lang w:val="en-US"/>
              </w:rPr>
              <w:t>776,258</w:t>
            </w:r>
          </w:p>
        </w:tc>
      </w:tr>
      <w:tr w:rsidR="00F82463" w14:paraId="462192E3" w14:textId="77777777" w:rsidTr="00F4524F">
        <w:tc>
          <w:tcPr>
            <w:tcW w:w="7860" w:type="dxa"/>
            <w:gridSpan w:val="6"/>
          </w:tcPr>
          <w:p w14:paraId="07C06B85" w14:textId="77777777" w:rsidR="00F82463" w:rsidRPr="00CA385F" w:rsidRDefault="00F82463" w:rsidP="00F4524F">
            <w:pPr>
              <w:spacing w:line="360" w:lineRule="auto"/>
              <w:jc w:val="center"/>
              <w:rPr>
                <w:b/>
                <w:bCs/>
                <w:lang w:val="en-US"/>
              </w:rPr>
            </w:pPr>
            <w:r>
              <w:rPr>
                <w:b/>
                <w:bCs/>
                <w:lang w:val="en-US"/>
              </w:rPr>
              <w:t>NPV</w:t>
            </w:r>
          </w:p>
        </w:tc>
        <w:tc>
          <w:tcPr>
            <w:tcW w:w="1156" w:type="dxa"/>
          </w:tcPr>
          <w:p w14:paraId="7BE9745A" w14:textId="1CF00924" w:rsidR="00F82463" w:rsidRPr="00FD384B" w:rsidRDefault="00D61D03" w:rsidP="00F4524F">
            <w:pPr>
              <w:spacing w:line="360" w:lineRule="auto"/>
              <w:jc w:val="center"/>
              <w:rPr>
                <w:b/>
                <w:bCs/>
                <w:lang w:val="en-US"/>
              </w:rPr>
            </w:pPr>
            <w:r>
              <w:rPr>
                <w:b/>
                <w:bCs/>
                <w:lang w:val="en-US"/>
              </w:rPr>
              <w:t>742,475</w:t>
            </w:r>
          </w:p>
        </w:tc>
      </w:tr>
    </w:tbl>
    <w:p w14:paraId="01FA9F5C" w14:textId="77777777" w:rsidR="00F82463" w:rsidRDefault="00F82463" w:rsidP="00582589">
      <w:pPr>
        <w:spacing w:line="360" w:lineRule="auto"/>
        <w:rPr>
          <w:lang w:val="en-US"/>
        </w:rPr>
      </w:pPr>
    </w:p>
    <w:p w14:paraId="1CF190C9" w14:textId="2E03E753" w:rsidR="007B675E" w:rsidRPr="00970D24" w:rsidRDefault="007B675E" w:rsidP="00582589">
      <w:pPr>
        <w:spacing w:line="360" w:lineRule="auto"/>
        <w:rPr>
          <w:lang w:val="en-US"/>
        </w:rPr>
      </w:pPr>
      <w:r>
        <w:rPr>
          <w:lang w:val="en-US"/>
        </w:rPr>
        <w:t xml:space="preserve">Based on the above results, </w:t>
      </w:r>
      <w:r w:rsidR="00AF4AB7">
        <w:rPr>
          <w:lang w:val="en-US"/>
        </w:rPr>
        <w:t xml:space="preserve">if a decision is to be made solely based on NPV alone, </w:t>
      </w:r>
      <w:r w:rsidR="008451F6">
        <w:rPr>
          <w:lang w:val="en-US"/>
        </w:rPr>
        <w:t xml:space="preserve">the only feasible option available to Westward PLC is Option B because it is the one with the greatest NPV out of the three options, adding the most value to the company. At the same time, Option B sits in the middle of </w:t>
      </w:r>
      <w:r w:rsidR="001A4103">
        <w:rPr>
          <w:lang w:val="en-US"/>
        </w:rPr>
        <w:t xml:space="preserve">the </w:t>
      </w:r>
      <w:r w:rsidR="008451F6">
        <w:rPr>
          <w:lang w:val="en-US"/>
        </w:rPr>
        <w:t>investment requirement for Westward PLC</w:t>
      </w:r>
      <w:r w:rsidR="00DB2EDF">
        <w:rPr>
          <w:lang w:val="en-US"/>
        </w:rPr>
        <w:t>, creating further value for the company.</w:t>
      </w:r>
    </w:p>
    <w:p w14:paraId="6D220F81" w14:textId="7C57148A" w:rsidR="00E92B95" w:rsidRPr="00771444" w:rsidRDefault="00F916A4" w:rsidP="002212AA">
      <w:pPr>
        <w:pStyle w:val="Heading3"/>
        <w:tabs>
          <w:tab w:val="left" w:pos="6867"/>
        </w:tabs>
        <w:spacing w:line="360" w:lineRule="auto"/>
        <w:rPr>
          <w:rFonts w:ascii="Times New Roman" w:hAnsi="Times New Roman" w:cs="Times New Roman"/>
          <w:b/>
          <w:bCs/>
          <w:sz w:val="24"/>
          <w:szCs w:val="28"/>
          <w:lang w:val="en-US"/>
        </w:rPr>
      </w:pPr>
      <w:bookmarkStart w:id="19" w:name="_Toc219050359"/>
      <w:r>
        <w:rPr>
          <w:rFonts w:ascii="Times New Roman" w:hAnsi="Times New Roman" w:cs="Times New Roman"/>
          <w:b/>
          <w:bCs/>
          <w:sz w:val="24"/>
          <w:szCs w:val="28"/>
          <w:lang w:val="en-US"/>
        </w:rPr>
        <w:t>Discussion of Internal Rate of Return and Calculation</w:t>
      </w:r>
      <w:bookmarkEnd w:id="19"/>
    </w:p>
    <w:p w14:paraId="5F49BFB5" w14:textId="5E1B1410" w:rsidR="00400CDC" w:rsidRDefault="00B82C56" w:rsidP="00582589">
      <w:pPr>
        <w:spacing w:after="160" w:line="360" w:lineRule="auto"/>
        <w:rPr>
          <w:lang w:val="en-US"/>
        </w:rPr>
      </w:pPr>
      <w:r>
        <w:rPr>
          <w:lang w:val="en-US"/>
        </w:rPr>
        <w:t>Internal rate of return is the rate at which the net present value equals zero</w:t>
      </w:r>
      <w:r w:rsidR="001A4103">
        <w:rPr>
          <w:lang w:val="en-US"/>
        </w:rPr>
        <w:t>,</w:t>
      </w:r>
      <w:r>
        <w:rPr>
          <w:lang w:val="en-US"/>
        </w:rPr>
        <w:t xml:space="preserve"> which shows the inherent rate of return of a project</w:t>
      </w:r>
      <w:r w:rsidR="00352110">
        <w:rPr>
          <w:lang w:val="en-US"/>
        </w:rPr>
        <w:t xml:space="preserve"> (</w:t>
      </w:r>
      <w:r w:rsidR="00352110" w:rsidRPr="00594B6C">
        <w:t>Project Management Academy</w:t>
      </w:r>
      <w:r w:rsidR="00352110">
        <w:t>, 2025)</w:t>
      </w:r>
      <w:r>
        <w:rPr>
          <w:lang w:val="en-US"/>
        </w:rPr>
        <w:t xml:space="preserve">. </w:t>
      </w:r>
      <w:r w:rsidR="004533D4">
        <w:rPr>
          <w:lang w:val="en-US"/>
        </w:rPr>
        <w:t>IRR works as an intuitive communication tool as it can be used by even non-financial managers to ensure comparisons can be made against the cost of capital rate.</w:t>
      </w:r>
      <w:r w:rsidR="00C8021C">
        <w:rPr>
          <w:lang w:val="en-US"/>
        </w:rPr>
        <w:t xml:space="preserve"> Now, the chosen option from NPV is the second one or the one with a plan to develop the internet sales platform. </w:t>
      </w:r>
      <w:r w:rsidR="00986C40">
        <w:rPr>
          <w:lang w:val="en-US"/>
        </w:rPr>
        <w:t>The IRR for Option B is calculated below.</w:t>
      </w:r>
    </w:p>
    <w:p w14:paraId="6EAFA720" w14:textId="58E88DD6" w:rsidR="00F40FDD" w:rsidRDefault="00F40FDD" w:rsidP="00582589">
      <w:pPr>
        <w:spacing w:after="160" w:line="360" w:lineRule="auto"/>
        <w:rPr>
          <w:lang w:val="en-US"/>
        </w:rPr>
      </w:pPr>
      <w:r>
        <w:rPr>
          <w:lang w:val="en-US"/>
        </w:rPr>
        <w:t>At 6% discount rate, the NPV is 792,229 Pounds which is a positive figure.</w:t>
      </w:r>
    </w:p>
    <w:p w14:paraId="578793FB" w14:textId="0E2929BF" w:rsidR="00F40FDD" w:rsidRDefault="00F40FDD" w:rsidP="00582589">
      <w:pPr>
        <w:spacing w:after="160" w:line="360" w:lineRule="auto"/>
        <w:rPr>
          <w:lang w:val="en-US"/>
        </w:rPr>
      </w:pPr>
      <w:r>
        <w:rPr>
          <w:lang w:val="en-US"/>
        </w:rPr>
        <w:t>At 37% discount rate, the NPV is:</w:t>
      </w:r>
    </w:p>
    <w:tbl>
      <w:tblPr>
        <w:tblStyle w:val="TableGrid"/>
        <w:tblW w:w="0" w:type="auto"/>
        <w:tblLook w:val="04A0" w:firstRow="1" w:lastRow="0" w:firstColumn="1" w:lastColumn="0" w:noHBand="0" w:noVBand="1"/>
      </w:tblPr>
      <w:tblGrid>
        <w:gridCol w:w="1110"/>
        <w:gridCol w:w="1418"/>
        <w:gridCol w:w="1398"/>
        <w:gridCol w:w="1222"/>
        <w:gridCol w:w="1419"/>
        <w:gridCol w:w="1113"/>
        <w:gridCol w:w="1336"/>
      </w:tblGrid>
      <w:tr w:rsidR="00F40FDD" w14:paraId="693EA256" w14:textId="77777777" w:rsidTr="00F4524F">
        <w:tc>
          <w:tcPr>
            <w:tcW w:w="1163" w:type="dxa"/>
          </w:tcPr>
          <w:p w14:paraId="3E9C7CD8" w14:textId="77777777" w:rsidR="00F40FDD" w:rsidRPr="002C50CA" w:rsidRDefault="00F40FDD" w:rsidP="00F4524F">
            <w:pPr>
              <w:spacing w:line="360" w:lineRule="auto"/>
              <w:jc w:val="center"/>
              <w:rPr>
                <w:b/>
                <w:bCs/>
                <w:lang w:val="en-US"/>
              </w:rPr>
            </w:pPr>
            <w:r>
              <w:rPr>
                <w:b/>
                <w:bCs/>
                <w:lang w:val="en-US"/>
              </w:rPr>
              <w:t>Year</w:t>
            </w:r>
          </w:p>
        </w:tc>
        <w:tc>
          <w:tcPr>
            <w:tcW w:w="1429" w:type="dxa"/>
          </w:tcPr>
          <w:p w14:paraId="146E437D" w14:textId="77777777" w:rsidR="00F40FDD" w:rsidRPr="002C50CA" w:rsidRDefault="00F40FDD" w:rsidP="00F4524F">
            <w:pPr>
              <w:spacing w:line="360" w:lineRule="auto"/>
              <w:jc w:val="center"/>
              <w:rPr>
                <w:b/>
                <w:bCs/>
                <w:lang w:val="en-US"/>
              </w:rPr>
            </w:pPr>
            <w:r>
              <w:rPr>
                <w:b/>
                <w:bCs/>
                <w:lang w:val="en-US"/>
              </w:rPr>
              <w:t>Pre-Tax Cash Flow (</w:t>
            </w:r>
            <w:r w:rsidRPr="004D27A6">
              <w:rPr>
                <w:b/>
                <w:bCs/>
              </w:rPr>
              <w:t>£</w:t>
            </w:r>
            <w:r>
              <w:rPr>
                <w:b/>
                <w:bCs/>
              </w:rPr>
              <w:t>)</w:t>
            </w:r>
          </w:p>
        </w:tc>
        <w:tc>
          <w:tcPr>
            <w:tcW w:w="1429" w:type="dxa"/>
          </w:tcPr>
          <w:p w14:paraId="651FBDCB" w14:textId="77777777" w:rsidR="00F40FDD" w:rsidRPr="002C50CA" w:rsidRDefault="00F40FDD" w:rsidP="00F4524F">
            <w:pPr>
              <w:spacing w:line="360" w:lineRule="auto"/>
              <w:jc w:val="center"/>
              <w:rPr>
                <w:b/>
                <w:bCs/>
                <w:lang w:val="en-US"/>
              </w:rPr>
            </w:pPr>
            <w:r>
              <w:rPr>
                <w:b/>
                <w:bCs/>
                <w:lang w:val="en-US"/>
              </w:rPr>
              <w:t>Less: Tax (25%) (</w:t>
            </w:r>
            <w:r w:rsidRPr="004D27A6">
              <w:rPr>
                <w:b/>
                <w:bCs/>
              </w:rPr>
              <w:t>£</w:t>
            </w:r>
            <w:r>
              <w:rPr>
                <w:b/>
                <w:bCs/>
              </w:rPr>
              <w:t>)</w:t>
            </w:r>
          </w:p>
        </w:tc>
        <w:tc>
          <w:tcPr>
            <w:tcW w:w="1267" w:type="dxa"/>
          </w:tcPr>
          <w:p w14:paraId="0DC0F51B" w14:textId="77777777" w:rsidR="00F40FDD" w:rsidRPr="002C50CA" w:rsidRDefault="00F40FDD" w:rsidP="00F4524F">
            <w:pPr>
              <w:spacing w:line="360" w:lineRule="auto"/>
              <w:jc w:val="center"/>
              <w:rPr>
                <w:b/>
                <w:bCs/>
                <w:lang w:val="en-US"/>
              </w:rPr>
            </w:pPr>
            <w:r>
              <w:rPr>
                <w:b/>
                <w:bCs/>
                <w:lang w:val="en-US"/>
              </w:rPr>
              <w:t>Add: Tax Shield (</w:t>
            </w:r>
            <w:r w:rsidRPr="004D27A6">
              <w:rPr>
                <w:b/>
                <w:bCs/>
              </w:rPr>
              <w:t>£</w:t>
            </w:r>
            <w:r>
              <w:rPr>
                <w:b/>
                <w:bCs/>
              </w:rPr>
              <w:t>)</w:t>
            </w:r>
          </w:p>
        </w:tc>
        <w:tc>
          <w:tcPr>
            <w:tcW w:w="1430" w:type="dxa"/>
          </w:tcPr>
          <w:p w14:paraId="3E87D6EA" w14:textId="77777777" w:rsidR="00F40FDD" w:rsidRPr="002C50CA" w:rsidRDefault="00F40FDD" w:rsidP="00F4524F">
            <w:pPr>
              <w:spacing w:line="360" w:lineRule="auto"/>
              <w:jc w:val="center"/>
              <w:rPr>
                <w:b/>
                <w:bCs/>
                <w:lang w:val="en-US"/>
              </w:rPr>
            </w:pPr>
            <w:r>
              <w:rPr>
                <w:b/>
                <w:bCs/>
                <w:lang w:val="en-US"/>
              </w:rPr>
              <w:t>After-Tax Cash Flow (</w:t>
            </w:r>
            <w:r w:rsidRPr="004D27A6">
              <w:rPr>
                <w:b/>
                <w:bCs/>
              </w:rPr>
              <w:t>£</w:t>
            </w:r>
            <w:r>
              <w:rPr>
                <w:b/>
                <w:bCs/>
              </w:rPr>
              <w:t>)</w:t>
            </w:r>
          </w:p>
        </w:tc>
        <w:tc>
          <w:tcPr>
            <w:tcW w:w="1142" w:type="dxa"/>
          </w:tcPr>
          <w:p w14:paraId="7C4C9B22" w14:textId="72888D54" w:rsidR="00F40FDD" w:rsidRDefault="00F40FDD" w:rsidP="00F4524F">
            <w:pPr>
              <w:spacing w:line="360" w:lineRule="auto"/>
              <w:jc w:val="center"/>
              <w:rPr>
                <w:b/>
                <w:bCs/>
                <w:lang w:val="en-US"/>
              </w:rPr>
            </w:pPr>
            <w:r>
              <w:rPr>
                <w:b/>
                <w:bCs/>
                <w:lang w:val="en-US"/>
              </w:rPr>
              <w:t>PV Factor at 37%</w:t>
            </w:r>
          </w:p>
        </w:tc>
        <w:tc>
          <w:tcPr>
            <w:tcW w:w="1156" w:type="dxa"/>
          </w:tcPr>
          <w:p w14:paraId="21E8562C" w14:textId="77777777" w:rsidR="00F40FDD" w:rsidRDefault="00F40FDD" w:rsidP="00F4524F">
            <w:pPr>
              <w:spacing w:line="360" w:lineRule="auto"/>
              <w:jc w:val="center"/>
              <w:rPr>
                <w:b/>
                <w:bCs/>
                <w:lang w:val="en-US"/>
              </w:rPr>
            </w:pPr>
            <w:r>
              <w:rPr>
                <w:b/>
                <w:bCs/>
                <w:lang w:val="en-US"/>
              </w:rPr>
              <w:t>PV of CF (</w:t>
            </w:r>
            <w:r w:rsidRPr="004D27A6">
              <w:rPr>
                <w:b/>
                <w:bCs/>
              </w:rPr>
              <w:t>£</w:t>
            </w:r>
            <w:r>
              <w:rPr>
                <w:b/>
                <w:bCs/>
              </w:rPr>
              <w:t>)</w:t>
            </w:r>
          </w:p>
        </w:tc>
      </w:tr>
      <w:tr w:rsidR="00F40FDD" w14:paraId="0EDAE385" w14:textId="77777777" w:rsidTr="00F4524F">
        <w:tc>
          <w:tcPr>
            <w:tcW w:w="1163" w:type="dxa"/>
          </w:tcPr>
          <w:p w14:paraId="22E69A9B" w14:textId="77777777" w:rsidR="00F40FDD" w:rsidRDefault="00F40FDD" w:rsidP="00F4524F">
            <w:pPr>
              <w:spacing w:line="360" w:lineRule="auto"/>
              <w:jc w:val="center"/>
              <w:rPr>
                <w:lang w:val="en-US"/>
              </w:rPr>
            </w:pPr>
            <w:r>
              <w:rPr>
                <w:lang w:val="en-US"/>
              </w:rPr>
              <w:t>0</w:t>
            </w:r>
          </w:p>
        </w:tc>
        <w:tc>
          <w:tcPr>
            <w:tcW w:w="1429" w:type="dxa"/>
          </w:tcPr>
          <w:p w14:paraId="03C5EC3A" w14:textId="77777777" w:rsidR="00F40FDD" w:rsidRDefault="00F40FDD" w:rsidP="00F4524F">
            <w:pPr>
              <w:spacing w:line="360" w:lineRule="auto"/>
              <w:jc w:val="center"/>
              <w:rPr>
                <w:lang w:val="en-US"/>
              </w:rPr>
            </w:pPr>
            <w:r>
              <w:rPr>
                <w:lang w:val="en-US"/>
              </w:rPr>
              <w:t>(1,000,000)</w:t>
            </w:r>
          </w:p>
        </w:tc>
        <w:tc>
          <w:tcPr>
            <w:tcW w:w="1429" w:type="dxa"/>
          </w:tcPr>
          <w:p w14:paraId="5B041E39" w14:textId="77777777" w:rsidR="00F40FDD" w:rsidRDefault="00F40FDD" w:rsidP="00F4524F">
            <w:pPr>
              <w:spacing w:line="360" w:lineRule="auto"/>
              <w:jc w:val="center"/>
              <w:rPr>
                <w:lang w:val="en-US"/>
              </w:rPr>
            </w:pPr>
            <w:r>
              <w:rPr>
                <w:lang w:val="en-US"/>
              </w:rPr>
              <w:t>-</w:t>
            </w:r>
          </w:p>
        </w:tc>
        <w:tc>
          <w:tcPr>
            <w:tcW w:w="1267" w:type="dxa"/>
          </w:tcPr>
          <w:p w14:paraId="4808508A" w14:textId="77777777" w:rsidR="00F40FDD" w:rsidRDefault="00F40FDD" w:rsidP="00F4524F">
            <w:pPr>
              <w:spacing w:line="360" w:lineRule="auto"/>
              <w:jc w:val="center"/>
              <w:rPr>
                <w:lang w:val="en-US"/>
              </w:rPr>
            </w:pPr>
            <w:r>
              <w:rPr>
                <w:lang w:val="en-US"/>
              </w:rPr>
              <w:t>-</w:t>
            </w:r>
          </w:p>
        </w:tc>
        <w:tc>
          <w:tcPr>
            <w:tcW w:w="1430" w:type="dxa"/>
          </w:tcPr>
          <w:p w14:paraId="0206A430" w14:textId="77777777" w:rsidR="00F40FDD" w:rsidRDefault="00F40FDD" w:rsidP="00F4524F">
            <w:pPr>
              <w:spacing w:line="360" w:lineRule="auto"/>
              <w:jc w:val="center"/>
              <w:rPr>
                <w:lang w:val="en-US"/>
              </w:rPr>
            </w:pPr>
            <w:r>
              <w:rPr>
                <w:lang w:val="en-US"/>
              </w:rPr>
              <w:t>(1,000,000)</w:t>
            </w:r>
          </w:p>
        </w:tc>
        <w:tc>
          <w:tcPr>
            <w:tcW w:w="1142" w:type="dxa"/>
          </w:tcPr>
          <w:p w14:paraId="53D5880C" w14:textId="77777777" w:rsidR="00F40FDD" w:rsidRDefault="00F40FDD" w:rsidP="00F4524F">
            <w:pPr>
              <w:spacing w:line="360" w:lineRule="auto"/>
              <w:jc w:val="center"/>
              <w:rPr>
                <w:lang w:val="en-US"/>
              </w:rPr>
            </w:pPr>
            <w:r>
              <w:rPr>
                <w:lang w:val="en-US"/>
              </w:rPr>
              <w:t>-</w:t>
            </w:r>
          </w:p>
        </w:tc>
        <w:tc>
          <w:tcPr>
            <w:tcW w:w="1156" w:type="dxa"/>
          </w:tcPr>
          <w:p w14:paraId="41D1208F" w14:textId="77777777" w:rsidR="00F40FDD" w:rsidRDefault="00F40FDD" w:rsidP="00F4524F">
            <w:pPr>
              <w:spacing w:line="360" w:lineRule="auto"/>
              <w:jc w:val="center"/>
              <w:rPr>
                <w:lang w:val="en-US"/>
              </w:rPr>
            </w:pPr>
            <w:r>
              <w:rPr>
                <w:lang w:val="en-US"/>
              </w:rPr>
              <w:t>(1,000,000)</w:t>
            </w:r>
          </w:p>
        </w:tc>
      </w:tr>
      <w:tr w:rsidR="00F40FDD" w14:paraId="21C0F790" w14:textId="77777777" w:rsidTr="00F4524F">
        <w:tc>
          <w:tcPr>
            <w:tcW w:w="1163" w:type="dxa"/>
          </w:tcPr>
          <w:p w14:paraId="7E57296C" w14:textId="77777777" w:rsidR="00F40FDD" w:rsidRDefault="00F40FDD" w:rsidP="00F4524F">
            <w:pPr>
              <w:spacing w:line="360" w:lineRule="auto"/>
              <w:jc w:val="center"/>
              <w:rPr>
                <w:lang w:val="en-US"/>
              </w:rPr>
            </w:pPr>
            <w:r>
              <w:rPr>
                <w:lang w:val="en-US"/>
              </w:rPr>
              <w:t>1</w:t>
            </w:r>
          </w:p>
        </w:tc>
        <w:tc>
          <w:tcPr>
            <w:tcW w:w="1429" w:type="dxa"/>
          </w:tcPr>
          <w:p w14:paraId="70DD18B4" w14:textId="77777777" w:rsidR="00F40FDD" w:rsidRDefault="00F40FDD" w:rsidP="00F4524F">
            <w:pPr>
              <w:spacing w:line="360" w:lineRule="auto"/>
              <w:jc w:val="center"/>
              <w:rPr>
                <w:lang w:val="en-US"/>
              </w:rPr>
            </w:pPr>
            <w:r>
              <w:rPr>
                <w:lang w:val="en-US"/>
              </w:rPr>
              <w:t>400,000</w:t>
            </w:r>
          </w:p>
        </w:tc>
        <w:tc>
          <w:tcPr>
            <w:tcW w:w="1429" w:type="dxa"/>
          </w:tcPr>
          <w:p w14:paraId="6D09B6FC" w14:textId="77777777" w:rsidR="00F40FDD" w:rsidRDefault="00F40FDD" w:rsidP="00F4524F">
            <w:pPr>
              <w:spacing w:line="360" w:lineRule="auto"/>
              <w:jc w:val="center"/>
              <w:rPr>
                <w:lang w:val="en-US"/>
              </w:rPr>
            </w:pPr>
            <w:r>
              <w:rPr>
                <w:lang w:val="en-US"/>
              </w:rPr>
              <w:t>(100,000)</w:t>
            </w:r>
          </w:p>
        </w:tc>
        <w:tc>
          <w:tcPr>
            <w:tcW w:w="1267" w:type="dxa"/>
          </w:tcPr>
          <w:p w14:paraId="28BDDCA8" w14:textId="77777777" w:rsidR="00F40FDD" w:rsidRDefault="00F40FDD" w:rsidP="00F4524F">
            <w:pPr>
              <w:spacing w:line="360" w:lineRule="auto"/>
              <w:jc w:val="center"/>
              <w:rPr>
                <w:lang w:val="en-US"/>
              </w:rPr>
            </w:pPr>
            <w:r>
              <w:rPr>
                <w:lang w:val="en-US"/>
              </w:rPr>
              <w:t>50,000</w:t>
            </w:r>
          </w:p>
        </w:tc>
        <w:tc>
          <w:tcPr>
            <w:tcW w:w="1430" w:type="dxa"/>
          </w:tcPr>
          <w:p w14:paraId="16C6DD4B" w14:textId="77777777" w:rsidR="00F40FDD" w:rsidRDefault="00F40FDD" w:rsidP="00F4524F">
            <w:pPr>
              <w:spacing w:line="360" w:lineRule="auto"/>
              <w:jc w:val="center"/>
              <w:rPr>
                <w:lang w:val="en-US"/>
              </w:rPr>
            </w:pPr>
            <w:r>
              <w:rPr>
                <w:lang w:val="en-US"/>
              </w:rPr>
              <w:t>350,000</w:t>
            </w:r>
          </w:p>
        </w:tc>
        <w:tc>
          <w:tcPr>
            <w:tcW w:w="1142" w:type="dxa"/>
          </w:tcPr>
          <w:p w14:paraId="66244BED" w14:textId="3BABE024" w:rsidR="00F40FDD" w:rsidRDefault="00F40FDD" w:rsidP="00F4524F">
            <w:pPr>
              <w:spacing w:line="360" w:lineRule="auto"/>
              <w:jc w:val="center"/>
              <w:rPr>
                <w:lang w:val="en-US"/>
              </w:rPr>
            </w:pPr>
            <w:r>
              <w:rPr>
                <w:lang w:val="en-US"/>
              </w:rPr>
              <w:t>0.7299</w:t>
            </w:r>
          </w:p>
        </w:tc>
        <w:tc>
          <w:tcPr>
            <w:tcW w:w="1156" w:type="dxa"/>
          </w:tcPr>
          <w:p w14:paraId="1981C075" w14:textId="751B586D" w:rsidR="00F40FDD" w:rsidRDefault="00F40FDD" w:rsidP="00F4524F">
            <w:pPr>
              <w:spacing w:line="360" w:lineRule="auto"/>
              <w:jc w:val="center"/>
              <w:rPr>
                <w:lang w:val="en-US"/>
              </w:rPr>
            </w:pPr>
            <w:r>
              <w:rPr>
                <w:lang w:val="en-US"/>
              </w:rPr>
              <w:t>255,465</w:t>
            </w:r>
          </w:p>
        </w:tc>
      </w:tr>
      <w:tr w:rsidR="00F40FDD" w14:paraId="550DA5B1" w14:textId="77777777" w:rsidTr="00F4524F">
        <w:tc>
          <w:tcPr>
            <w:tcW w:w="1163" w:type="dxa"/>
          </w:tcPr>
          <w:p w14:paraId="02E6057D" w14:textId="77777777" w:rsidR="00F40FDD" w:rsidRDefault="00F40FDD" w:rsidP="00F4524F">
            <w:pPr>
              <w:spacing w:line="360" w:lineRule="auto"/>
              <w:jc w:val="center"/>
              <w:rPr>
                <w:lang w:val="en-US"/>
              </w:rPr>
            </w:pPr>
            <w:r>
              <w:rPr>
                <w:lang w:val="en-US"/>
              </w:rPr>
              <w:t>2</w:t>
            </w:r>
          </w:p>
        </w:tc>
        <w:tc>
          <w:tcPr>
            <w:tcW w:w="1429" w:type="dxa"/>
          </w:tcPr>
          <w:p w14:paraId="4D6D4C66" w14:textId="77777777" w:rsidR="00F40FDD" w:rsidRDefault="00F40FDD" w:rsidP="00F4524F">
            <w:pPr>
              <w:spacing w:line="360" w:lineRule="auto"/>
              <w:jc w:val="center"/>
              <w:rPr>
                <w:lang w:val="en-US"/>
              </w:rPr>
            </w:pPr>
            <w:r>
              <w:rPr>
                <w:lang w:val="en-US"/>
              </w:rPr>
              <w:t>450,000</w:t>
            </w:r>
          </w:p>
        </w:tc>
        <w:tc>
          <w:tcPr>
            <w:tcW w:w="1429" w:type="dxa"/>
          </w:tcPr>
          <w:p w14:paraId="7518C38A" w14:textId="77777777" w:rsidR="00F40FDD" w:rsidRDefault="00F40FDD" w:rsidP="00F4524F">
            <w:pPr>
              <w:spacing w:line="360" w:lineRule="auto"/>
              <w:jc w:val="center"/>
              <w:rPr>
                <w:lang w:val="en-US"/>
              </w:rPr>
            </w:pPr>
            <w:r>
              <w:rPr>
                <w:lang w:val="en-US"/>
              </w:rPr>
              <w:t>(112,500)</w:t>
            </w:r>
          </w:p>
        </w:tc>
        <w:tc>
          <w:tcPr>
            <w:tcW w:w="1267" w:type="dxa"/>
          </w:tcPr>
          <w:p w14:paraId="521277D9" w14:textId="77777777" w:rsidR="00F40FDD" w:rsidRDefault="00F40FDD" w:rsidP="00F4524F">
            <w:pPr>
              <w:spacing w:line="360" w:lineRule="auto"/>
              <w:jc w:val="center"/>
              <w:rPr>
                <w:lang w:val="en-US"/>
              </w:rPr>
            </w:pPr>
            <w:r>
              <w:rPr>
                <w:lang w:val="en-US"/>
              </w:rPr>
              <w:t>50,000</w:t>
            </w:r>
          </w:p>
        </w:tc>
        <w:tc>
          <w:tcPr>
            <w:tcW w:w="1430" w:type="dxa"/>
          </w:tcPr>
          <w:p w14:paraId="298C9D45" w14:textId="77777777" w:rsidR="00F40FDD" w:rsidRDefault="00F40FDD" w:rsidP="00F4524F">
            <w:pPr>
              <w:spacing w:line="360" w:lineRule="auto"/>
              <w:jc w:val="center"/>
              <w:rPr>
                <w:lang w:val="en-US"/>
              </w:rPr>
            </w:pPr>
            <w:r>
              <w:rPr>
                <w:lang w:val="en-US"/>
              </w:rPr>
              <w:t>387,500</w:t>
            </w:r>
          </w:p>
        </w:tc>
        <w:tc>
          <w:tcPr>
            <w:tcW w:w="1142" w:type="dxa"/>
          </w:tcPr>
          <w:p w14:paraId="127A26F4" w14:textId="0986FFA5" w:rsidR="00F40FDD" w:rsidRDefault="00F40FDD" w:rsidP="00F4524F">
            <w:pPr>
              <w:spacing w:line="360" w:lineRule="auto"/>
              <w:jc w:val="center"/>
              <w:rPr>
                <w:lang w:val="en-US"/>
              </w:rPr>
            </w:pPr>
            <w:r>
              <w:rPr>
                <w:lang w:val="en-US"/>
              </w:rPr>
              <w:t>0.5328</w:t>
            </w:r>
          </w:p>
        </w:tc>
        <w:tc>
          <w:tcPr>
            <w:tcW w:w="1156" w:type="dxa"/>
          </w:tcPr>
          <w:p w14:paraId="73350BAB" w14:textId="243A3A2C" w:rsidR="00F40FDD" w:rsidRDefault="00F40FDD" w:rsidP="00F4524F">
            <w:pPr>
              <w:spacing w:line="360" w:lineRule="auto"/>
              <w:jc w:val="center"/>
              <w:rPr>
                <w:lang w:val="en-US"/>
              </w:rPr>
            </w:pPr>
            <w:r>
              <w:rPr>
                <w:lang w:val="en-US"/>
              </w:rPr>
              <w:t>206,460</w:t>
            </w:r>
          </w:p>
        </w:tc>
      </w:tr>
      <w:tr w:rsidR="00F40FDD" w14:paraId="71BD4C70" w14:textId="77777777" w:rsidTr="00F4524F">
        <w:tc>
          <w:tcPr>
            <w:tcW w:w="1163" w:type="dxa"/>
          </w:tcPr>
          <w:p w14:paraId="079A59D6" w14:textId="77777777" w:rsidR="00F40FDD" w:rsidRDefault="00F40FDD" w:rsidP="00F4524F">
            <w:pPr>
              <w:spacing w:line="360" w:lineRule="auto"/>
              <w:jc w:val="center"/>
              <w:rPr>
                <w:lang w:val="en-US"/>
              </w:rPr>
            </w:pPr>
            <w:r>
              <w:rPr>
                <w:lang w:val="en-US"/>
              </w:rPr>
              <w:t>3</w:t>
            </w:r>
          </w:p>
        </w:tc>
        <w:tc>
          <w:tcPr>
            <w:tcW w:w="1429" w:type="dxa"/>
          </w:tcPr>
          <w:p w14:paraId="477514BF" w14:textId="77777777" w:rsidR="00F40FDD" w:rsidRDefault="00F40FDD" w:rsidP="00F4524F">
            <w:pPr>
              <w:spacing w:line="360" w:lineRule="auto"/>
              <w:jc w:val="center"/>
              <w:rPr>
                <w:lang w:val="en-US"/>
              </w:rPr>
            </w:pPr>
            <w:r>
              <w:rPr>
                <w:lang w:val="en-US"/>
              </w:rPr>
              <w:t>720,000</w:t>
            </w:r>
          </w:p>
        </w:tc>
        <w:tc>
          <w:tcPr>
            <w:tcW w:w="1429" w:type="dxa"/>
          </w:tcPr>
          <w:p w14:paraId="71A9D174" w14:textId="77777777" w:rsidR="00F40FDD" w:rsidRDefault="00F40FDD" w:rsidP="00F4524F">
            <w:pPr>
              <w:spacing w:line="360" w:lineRule="auto"/>
              <w:jc w:val="center"/>
              <w:rPr>
                <w:lang w:val="en-US"/>
              </w:rPr>
            </w:pPr>
            <w:r>
              <w:rPr>
                <w:lang w:val="en-US"/>
              </w:rPr>
              <w:t>(180,000)</w:t>
            </w:r>
          </w:p>
        </w:tc>
        <w:tc>
          <w:tcPr>
            <w:tcW w:w="1267" w:type="dxa"/>
          </w:tcPr>
          <w:p w14:paraId="1AD548D4" w14:textId="77777777" w:rsidR="00F40FDD" w:rsidRDefault="00F40FDD" w:rsidP="00F4524F">
            <w:pPr>
              <w:spacing w:line="360" w:lineRule="auto"/>
              <w:jc w:val="center"/>
              <w:rPr>
                <w:lang w:val="en-US"/>
              </w:rPr>
            </w:pPr>
            <w:r>
              <w:rPr>
                <w:lang w:val="en-US"/>
              </w:rPr>
              <w:t>50,000</w:t>
            </w:r>
          </w:p>
        </w:tc>
        <w:tc>
          <w:tcPr>
            <w:tcW w:w="1430" w:type="dxa"/>
          </w:tcPr>
          <w:p w14:paraId="03579FE5" w14:textId="77777777" w:rsidR="00F40FDD" w:rsidRDefault="00F40FDD" w:rsidP="00F4524F">
            <w:pPr>
              <w:spacing w:line="360" w:lineRule="auto"/>
              <w:jc w:val="center"/>
              <w:rPr>
                <w:lang w:val="en-US"/>
              </w:rPr>
            </w:pPr>
            <w:r>
              <w:rPr>
                <w:lang w:val="en-US"/>
              </w:rPr>
              <w:t>590,000</w:t>
            </w:r>
          </w:p>
        </w:tc>
        <w:tc>
          <w:tcPr>
            <w:tcW w:w="1142" w:type="dxa"/>
          </w:tcPr>
          <w:p w14:paraId="539DD47B" w14:textId="2230F7B0" w:rsidR="00F40FDD" w:rsidRDefault="00F40FDD" w:rsidP="00F4524F">
            <w:pPr>
              <w:spacing w:line="360" w:lineRule="auto"/>
              <w:jc w:val="center"/>
              <w:rPr>
                <w:lang w:val="en-US"/>
              </w:rPr>
            </w:pPr>
            <w:r>
              <w:rPr>
                <w:lang w:val="en-US"/>
              </w:rPr>
              <w:t>0.3888</w:t>
            </w:r>
          </w:p>
        </w:tc>
        <w:tc>
          <w:tcPr>
            <w:tcW w:w="1156" w:type="dxa"/>
          </w:tcPr>
          <w:p w14:paraId="68ED46AD" w14:textId="0EE23DE8" w:rsidR="00F40FDD" w:rsidRDefault="00F40FDD" w:rsidP="00F4524F">
            <w:pPr>
              <w:spacing w:line="360" w:lineRule="auto"/>
              <w:jc w:val="center"/>
              <w:rPr>
                <w:lang w:val="en-US"/>
              </w:rPr>
            </w:pPr>
            <w:r>
              <w:rPr>
                <w:lang w:val="en-US"/>
              </w:rPr>
              <w:t>229,392</w:t>
            </w:r>
          </w:p>
        </w:tc>
      </w:tr>
      <w:tr w:rsidR="00F40FDD" w14:paraId="61CAB52D" w14:textId="77777777" w:rsidTr="00F4524F">
        <w:tc>
          <w:tcPr>
            <w:tcW w:w="1163" w:type="dxa"/>
          </w:tcPr>
          <w:p w14:paraId="062A4C9E" w14:textId="77777777" w:rsidR="00F40FDD" w:rsidRDefault="00F40FDD" w:rsidP="00F4524F">
            <w:pPr>
              <w:spacing w:line="360" w:lineRule="auto"/>
              <w:jc w:val="center"/>
              <w:rPr>
                <w:lang w:val="en-US"/>
              </w:rPr>
            </w:pPr>
            <w:r>
              <w:rPr>
                <w:lang w:val="en-US"/>
              </w:rPr>
              <w:t>4</w:t>
            </w:r>
          </w:p>
        </w:tc>
        <w:tc>
          <w:tcPr>
            <w:tcW w:w="1429" w:type="dxa"/>
          </w:tcPr>
          <w:p w14:paraId="1FC9FA7B" w14:textId="77777777" w:rsidR="00F40FDD" w:rsidRDefault="00F40FDD" w:rsidP="00F4524F">
            <w:pPr>
              <w:spacing w:line="360" w:lineRule="auto"/>
              <w:jc w:val="center"/>
              <w:rPr>
                <w:lang w:val="en-US"/>
              </w:rPr>
            </w:pPr>
            <w:r>
              <w:rPr>
                <w:lang w:val="en-US"/>
              </w:rPr>
              <w:t>980,000</w:t>
            </w:r>
          </w:p>
        </w:tc>
        <w:tc>
          <w:tcPr>
            <w:tcW w:w="1429" w:type="dxa"/>
          </w:tcPr>
          <w:p w14:paraId="229AF330" w14:textId="77777777" w:rsidR="00F40FDD" w:rsidRDefault="00F40FDD" w:rsidP="00F4524F">
            <w:pPr>
              <w:spacing w:line="360" w:lineRule="auto"/>
              <w:jc w:val="center"/>
              <w:rPr>
                <w:lang w:val="en-US"/>
              </w:rPr>
            </w:pPr>
            <w:r>
              <w:rPr>
                <w:lang w:val="en-US"/>
              </w:rPr>
              <w:t>(245,000)</w:t>
            </w:r>
          </w:p>
        </w:tc>
        <w:tc>
          <w:tcPr>
            <w:tcW w:w="1267" w:type="dxa"/>
          </w:tcPr>
          <w:p w14:paraId="2D703C40" w14:textId="77777777" w:rsidR="00F40FDD" w:rsidRDefault="00F40FDD" w:rsidP="00F4524F">
            <w:pPr>
              <w:spacing w:line="360" w:lineRule="auto"/>
              <w:jc w:val="center"/>
              <w:rPr>
                <w:lang w:val="en-US"/>
              </w:rPr>
            </w:pPr>
            <w:r>
              <w:rPr>
                <w:lang w:val="en-US"/>
              </w:rPr>
              <w:t>50,000</w:t>
            </w:r>
          </w:p>
        </w:tc>
        <w:tc>
          <w:tcPr>
            <w:tcW w:w="1430" w:type="dxa"/>
          </w:tcPr>
          <w:p w14:paraId="45C4257D" w14:textId="77777777" w:rsidR="00F40FDD" w:rsidRDefault="00F40FDD" w:rsidP="00F4524F">
            <w:pPr>
              <w:spacing w:line="360" w:lineRule="auto"/>
              <w:jc w:val="center"/>
              <w:rPr>
                <w:lang w:val="en-US"/>
              </w:rPr>
            </w:pPr>
            <w:r>
              <w:rPr>
                <w:lang w:val="en-US"/>
              </w:rPr>
              <w:t>785,000</w:t>
            </w:r>
          </w:p>
        </w:tc>
        <w:tc>
          <w:tcPr>
            <w:tcW w:w="1142" w:type="dxa"/>
          </w:tcPr>
          <w:p w14:paraId="10DEF5C5" w14:textId="70E3307C" w:rsidR="00F40FDD" w:rsidRDefault="00F40FDD" w:rsidP="00F4524F">
            <w:pPr>
              <w:spacing w:line="360" w:lineRule="auto"/>
              <w:jc w:val="center"/>
              <w:rPr>
                <w:lang w:val="en-US"/>
              </w:rPr>
            </w:pPr>
            <w:r>
              <w:rPr>
                <w:lang w:val="en-US"/>
              </w:rPr>
              <w:t>0.2838</w:t>
            </w:r>
          </w:p>
        </w:tc>
        <w:tc>
          <w:tcPr>
            <w:tcW w:w="1156" w:type="dxa"/>
          </w:tcPr>
          <w:p w14:paraId="5487335F" w14:textId="07B818F4" w:rsidR="00F40FDD" w:rsidRDefault="00F40FDD" w:rsidP="00F4524F">
            <w:pPr>
              <w:spacing w:line="360" w:lineRule="auto"/>
              <w:jc w:val="center"/>
              <w:rPr>
                <w:lang w:val="en-US"/>
              </w:rPr>
            </w:pPr>
            <w:r>
              <w:rPr>
                <w:lang w:val="en-US"/>
              </w:rPr>
              <w:t>222,783</w:t>
            </w:r>
          </w:p>
        </w:tc>
      </w:tr>
      <w:tr w:rsidR="00F40FDD" w:rsidRPr="00FD384B" w14:paraId="0C0A3ED7" w14:textId="77777777" w:rsidTr="00F4524F">
        <w:tc>
          <w:tcPr>
            <w:tcW w:w="7860" w:type="dxa"/>
            <w:gridSpan w:val="6"/>
          </w:tcPr>
          <w:p w14:paraId="38956E3E" w14:textId="77777777" w:rsidR="00F40FDD" w:rsidRPr="00CA385F" w:rsidRDefault="00F40FDD" w:rsidP="00F4524F">
            <w:pPr>
              <w:spacing w:line="360" w:lineRule="auto"/>
              <w:jc w:val="center"/>
              <w:rPr>
                <w:b/>
                <w:bCs/>
                <w:lang w:val="en-US"/>
              </w:rPr>
            </w:pPr>
            <w:r>
              <w:rPr>
                <w:b/>
                <w:bCs/>
                <w:lang w:val="en-US"/>
              </w:rPr>
              <w:t>NPV</w:t>
            </w:r>
          </w:p>
        </w:tc>
        <w:tc>
          <w:tcPr>
            <w:tcW w:w="1156" w:type="dxa"/>
          </w:tcPr>
          <w:p w14:paraId="57B313C5" w14:textId="686919BF" w:rsidR="00F40FDD" w:rsidRPr="00FD384B" w:rsidRDefault="0094157F" w:rsidP="00F4524F">
            <w:pPr>
              <w:spacing w:line="360" w:lineRule="auto"/>
              <w:jc w:val="center"/>
              <w:rPr>
                <w:b/>
                <w:bCs/>
                <w:lang w:val="en-US"/>
              </w:rPr>
            </w:pPr>
            <w:r>
              <w:rPr>
                <w:b/>
                <w:bCs/>
                <w:lang w:val="en-US"/>
              </w:rPr>
              <w:t>(</w:t>
            </w:r>
            <w:r w:rsidR="00F40FDD">
              <w:rPr>
                <w:b/>
                <w:bCs/>
                <w:lang w:val="en-US"/>
              </w:rPr>
              <w:t>85,900</w:t>
            </w:r>
            <w:r>
              <w:rPr>
                <w:b/>
                <w:bCs/>
                <w:lang w:val="en-US"/>
              </w:rPr>
              <w:t>)</w:t>
            </w:r>
          </w:p>
        </w:tc>
      </w:tr>
    </w:tbl>
    <w:p w14:paraId="4640534F" w14:textId="0DDDF485" w:rsidR="004C49A4" w:rsidRDefault="004C49A4" w:rsidP="00582589">
      <w:pPr>
        <w:spacing w:after="160" w:line="360" w:lineRule="auto"/>
        <w:rPr>
          <w:lang w:val="en-US"/>
        </w:rPr>
      </w:pPr>
      <w:r>
        <w:rPr>
          <w:lang w:val="en-US"/>
        </w:rPr>
        <w:t>Now, IRR is = L + [NPV</w:t>
      </w:r>
      <w:r>
        <w:rPr>
          <w:vertAlign w:val="subscript"/>
          <w:lang w:val="en-US"/>
        </w:rPr>
        <w:t>L</w:t>
      </w:r>
      <w:r>
        <w:rPr>
          <w:lang w:val="en-US"/>
        </w:rPr>
        <w:t xml:space="preserve"> / (NPV</w:t>
      </w:r>
      <w:r>
        <w:rPr>
          <w:vertAlign w:val="subscript"/>
          <w:lang w:val="en-US"/>
        </w:rPr>
        <w:t xml:space="preserve">L – </w:t>
      </w:r>
      <w:r>
        <w:rPr>
          <w:lang w:val="en-US"/>
        </w:rPr>
        <w:t>NPV</w:t>
      </w:r>
      <w:r>
        <w:rPr>
          <w:vertAlign w:val="subscript"/>
          <w:lang w:val="en-US"/>
        </w:rPr>
        <w:t>H</w:t>
      </w:r>
      <w:r>
        <w:rPr>
          <w:lang w:val="en-US"/>
        </w:rPr>
        <w:t>) * (H – L)</w:t>
      </w:r>
    </w:p>
    <w:p w14:paraId="1A76CCDE" w14:textId="5BE41894" w:rsidR="004C49A4" w:rsidRDefault="004C49A4" w:rsidP="00582589">
      <w:pPr>
        <w:spacing w:after="160" w:line="360" w:lineRule="auto"/>
        <w:rPr>
          <w:lang w:val="en-US"/>
        </w:rPr>
      </w:pPr>
      <w:r>
        <w:rPr>
          <w:lang w:val="en-US"/>
        </w:rPr>
        <w:tab/>
        <w:t xml:space="preserve">         = 6% + [6% / (6% - 37%) * (37% - 6%)</w:t>
      </w:r>
    </w:p>
    <w:p w14:paraId="6B3979E6" w14:textId="439AAFB1" w:rsidR="004C49A4" w:rsidRDefault="004C49A4" w:rsidP="00582589">
      <w:pPr>
        <w:spacing w:after="160" w:line="360" w:lineRule="auto"/>
        <w:rPr>
          <w:lang w:val="en-US"/>
        </w:rPr>
      </w:pPr>
      <w:r>
        <w:rPr>
          <w:lang w:val="en-US"/>
        </w:rPr>
        <w:tab/>
        <w:t xml:space="preserve">        </w:t>
      </w:r>
      <w:r w:rsidR="00B11D72">
        <w:rPr>
          <w:lang w:val="en-US"/>
        </w:rPr>
        <w:t xml:space="preserve"> </w:t>
      </w:r>
      <w:r>
        <w:rPr>
          <w:lang w:val="en-US"/>
        </w:rPr>
        <w:t>= 33.97%</w:t>
      </w:r>
    </w:p>
    <w:p w14:paraId="4CCCB114" w14:textId="6BBAB089" w:rsidR="00A37A7D" w:rsidRPr="004C49A4" w:rsidRDefault="00A37A7D" w:rsidP="00582589">
      <w:pPr>
        <w:spacing w:after="160" w:line="360" w:lineRule="auto"/>
        <w:rPr>
          <w:lang w:val="en-US"/>
        </w:rPr>
      </w:pPr>
      <w:r>
        <w:rPr>
          <w:lang w:val="en-US"/>
        </w:rPr>
        <w:lastRenderedPageBreak/>
        <w:t xml:space="preserve">Now, what the internal rate of return </w:t>
      </w:r>
      <w:r w:rsidR="00A80895">
        <w:rPr>
          <w:lang w:val="en-US"/>
        </w:rPr>
        <w:t xml:space="preserve">of 33.97% means </w:t>
      </w:r>
      <w:r w:rsidR="00A415D2">
        <w:rPr>
          <w:lang w:val="en-US"/>
        </w:rPr>
        <w:t xml:space="preserve">is that Option B exceeds the cost of capital of 6% and that too by around 28%. </w:t>
      </w:r>
      <w:r w:rsidR="00606119">
        <w:rPr>
          <w:lang w:val="en-US"/>
        </w:rPr>
        <w:t>What this indicates is that Option B creates a great margin</w:t>
      </w:r>
      <w:r w:rsidR="001A4103">
        <w:rPr>
          <w:lang w:val="en-US"/>
        </w:rPr>
        <w:t>,</w:t>
      </w:r>
      <w:r w:rsidR="00606119">
        <w:rPr>
          <w:lang w:val="en-US"/>
        </w:rPr>
        <w:t xml:space="preserve"> which contributes to the value creation of the company</w:t>
      </w:r>
      <w:r w:rsidR="001A4103">
        <w:rPr>
          <w:lang w:val="en-US"/>
        </w:rPr>
        <w:t>,</w:t>
      </w:r>
      <w:r w:rsidR="00606119">
        <w:rPr>
          <w:lang w:val="en-US"/>
        </w:rPr>
        <w:t xml:space="preserve"> and even if the estimate of the cash flows remains flawed in some ways, </w:t>
      </w:r>
      <w:r w:rsidR="00B7346D">
        <w:rPr>
          <w:lang w:val="en-US"/>
        </w:rPr>
        <w:t xml:space="preserve">Option B will still be more </w:t>
      </w:r>
      <w:r w:rsidR="001A4103">
        <w:rPr>
          <w:lang w:val="en-US"/>
        </w:rPr>
        <w:t>value-generating</w:t>
      </w:r>
      <w:r w:rsidR="00B7346D">
        <w:rPr>
          <w:lang w:val="en-US"/>
        </w:rPr>
        <w:t xml:space="preserve"> for the company and provide a cushion to the company in the case of estimation errors.</w:t>
      </w:r>
    </w:p>
    <w:p w14:paraId="2B4C73F9" w14:textId="1BD0B726" w:rsidR="00400CDC" w:rsidRPr="00771444" w:rsidRDefault="00400CDC" w:rsidP="00582589">
      <w:pPr>
        <w:pStyle w:val="Heading3"/>
        <w:spacing w:line="360" w:lineRule="auto"/>
        <w:rPr>
          <w:rFonts w:ascii="Times New Roman" w:hAnsi="Times New Roman" w:cs="Times New Roman"/>
          <w:b/>
          <w:bCs/>
          <w:sz w:val="24"/>
          <w:szCs w:val="28"/>
          <w:lang w:val="en-US"/>
        </w:rPr>
      </w:pPr>
      <w:bookmarkStart w:id="20" w:name="_Toc219050360"/>
      <w:r>
        <w:rPr>
          <w:rFonts w:ascii="Times New Roman" w:hAnsi="Times New Roman" w:cs="Times New Roman"/>
          <w:b/>
          <w:bCs/>
          <w:sz w:val="24"/>
          <w:szCs w:val="28"/>
          <w:lang w:val="en-US"/>
        </w:rPr>
        <w:t>Theoretical Foundation of NPV as the Superior Investment Appraisal Method</w:t>
      </w:r>
      <w:bookmarkEnd w:id="20"/>
    </w:p>
    <w:p w14:paraId="145C7A43" w14:textId="36C82DA8" w:rsidR="009C09C1" w:rsidRDefault="00A70639" w:rsidP="00582589">
      <w:pPr>
        <w:spacing w:after="160" w:line="360" w:lineRule="auto"/>
        <w:rPr>
          <w:lang w:val="en-US"/>
        </w:rPr>
      </w:pPr>
      <w:r>
        <w:rPr>
          <w:lang w:val="en-US"/>
        </w:rPr>
        <w:t>There are many theoretical foundation</w:t>
      </w:r>
      <w:r w:rsidR="00DA25CB">
        <w:rPr>
          <w:lang w:val="en-US"/>
        </w:rPr>
        <w:t>s</w:t>
      </w:r>
      <w:r>
        <w:rPr>
          <w:lang w:val="en-US"/>
        </w:rPr>
        <w:t xml:space="preserve"> as to why NPV is the superior investment appraisal method for a decision-maker to use and base a decision </w:t>
      </w:r>
      <w:r w:rsidR="001A4103">
        <w:rPr>
          <w:lang w:val="en-US"/>
        </w:rPr>
        <w:t>on</w:t>
      </w:r>
      <w:r>
        <w:rPr>
          <w:lang w:val="en-US"/>
        </w:rPr>
        <w:t xml:space="preserve">. </w:t>
      </w:r>
      <w:r w:rsidR="00DA25CB">
        <w:rPr>
          <w:lang w:val="en-US"/>
        </w:rPr>
        <w:t>Now, the major theoretical foundations of NPV are as follows.</w:t>
      </w:r>
    </w:p>
    <w:p w14:paraId="28FCB61E" w14:textId="3BF56DA4" w:rsidR="001B2421" w:rsidRDefault="001B2421" w:rsidP="001B2421">
      <w:pPr>
        <w:pStyle w:val="ListParagraph"/>
        <w:numPr>
          <w:ilvl w:val="0"/>
          <w:numId w:val="1"/>
        </w:numPr>
        <w:spacing w:after="160" w:line="360" w:lineRule="auto"/>
        <w:rPr>
          <w:lang w:val="en-US"/>
        </w:rPr>
      </w:pPr>
      <w:r>
        <w:rPr>
          <w:lang w:val="en-US"/>
        </w:rPr>
        <w:t xml:space="preserve">NPV directly quantifies the return of a project in terms of wealth change for shareholders in present value terms. </w:t>
      </w:r>
      <w:r w:rsidR="00081E6E">
        <w:rPr>
          <w:lang w:val="en-US"/>
        </w:rPr>
        <w:t xml:space="preserve">The case of Option B returning a NPV of 792,229 Pounds means that the wealth of shareholders is to increase by the same amount. </w:t>
      </w:r>
      <w:r w:rsidR="001A518C">
        <w:rPr>
          <w:lang w:val="en-US"/>
        </w:rPr>
        <w:t>Again, IRR is not that widely accepted or used because of results being shown in percentage returns, thwarting the assessment of absolute wealth impacts</w:t>
      </w:r>
      <w:r w:rsidR="00352110">
        <w:rPr>
          <w:lang w:val="en-US"/>
        </w:rPr>
        <w:t xml:space="preserve"> (</w:t>
      </w:r>
      <w:r w:rsidR="00352110" w:rsidRPr="00594B6C">
        <w:t>Under30CEO</w:t>
      </w:r>
      <w:r w:rsidR="00352110">
        <w:t>, 2024)</w:t>
      </w:r>
      <w:r w:rsidR="001A518C">
        <w:rPr>
          <w:lang w:val="en-US"/>
        </w:rPr>
        <w:t>.</w:t>
      </w:r>
    </w:p>
    <w:p w14:paraId="19F7971E" w14:textId="51158812" w:rsidR="00AE7959" w:rsidRDefault="00AE7959" w:rsidP="001B2421">
      <w:pPr>
        <w:pStyle w:val="ListParagraph"/>
        <w:numPr>
          <w:ilvl w:val="0"/>
          <w:numId w:val="1"/>
        </w:numPr>
        <w:spacing w:after="160" w:line="360" w:lineRule="auto"/>
        <w:rPr>
          <w:lang w:val="en-US"/>
        </w:rPr>
      </w:pPr>
      <w:r>
        <w:rPr>
          <w:lang w:val="en-US"/>
        </w:rPr>
        <w:t xml:space="preserve">NPV is one such method which uses </w:t>
      </w:r>
      <w:r w:rsidR="001A4103">
        <w:rPr>
          <w:lang w:val="en-US"/>
        </w:rPr>
        <w:t xml:space="preserve">the </w:t>
      </w:r>
      <w:r>
        <w:rPr>
          <w:lang w:val="en-US"/>
        </w:rPr>
        <w:t>time value of money concept directly</w:t>
      </w:r>
      <w:r w:rsidR="001A4103">
        <w:rPr>
          <w:lang w:val="en-US"/>
        </w:rPr>
        <w:t>,</w:t>
      </w:r>
      <w:r>
        <w:rPr>
          <w:lang w:val="en-US"/>
        </w:rPr>
        <w:t xml:space="preserve"> for which the resulting wealth creation aligns directly with identical amounts in the future. </w:t>
      </w:r>
      <w:r w:rsidR="008E3F6F">
        <w:rPr>
          <w:lang w:val="en-US"/>
        </w:rPr>
        <w:t>By discounting all the cash flows available to present value using the appropriate discount rate, the risks and financing costs involved can be incorporated into the result achieved</w:t>
      </w:r>
      <w:r w:rsidR="00352110">
        <w:rPr>
          <w:lang w:val="en-US"/>
        </w:rPr>
        <w:t xml:space="preserve"> (</w:t>
      </w:r>
      <w:r w:rsidR="00352110" w:rsidRPr="00594B6C">
        <w:t>FasterCapital</w:t>
      </w:r>
      <w:r w:rsidR="00352110">
        <w:t>, 2025)</w:t>
      </w:r>
      <w:r w:rsidR="008E3F6F">
        <w:rPr>
          <w:lang w:val="en-US"/>
        </w:rPr>
        <w:t>.</w:t>
      </w:r>
    </w:p>
    <w:p w14:paraId="6FF8AA1D" w14:textId="308D0921" w:rsidR="0014122F" w:rsidRPr="001B2421" w:rsidRDefault="0014122F" w:rsidP="001B2421">
      <w:pPr>
        <w:pStyle w:val="ListParagraph"/>
        <w:numPr>
          <w:ilvl w:val="0"/>
          <w:numId w:val="1"/>
        </w:numPr>
        <w:spacing w:after="160" w:line="360" w:lineRule="auto"/>
        <w:rPr>
          <w:lang w:val="en-US"/>
        </w:rPr>
      </w:pPr>
      <w:r>
        <w:rPr>
          <w:lang w:val="en-US"/>
        </w:rPr>
        <w:t>NPV does not assume anything unrealistic as that the cash flows will be reinvested at the IRR rate</w:t>
      </w:r>
      <w:r w:rsidR="001A4103">
        <w:rPr>
          <w:lang w:val="en-US"/>
        </w:rPr>
        <w:t>. What</w:t>
      </w:r>
      <w:r>
        <w:rPr>
          <w:lang w:val="en-US"/>
        </w:rPr>
        <w:t xml:space="preserve"> NPV does is </w:t>
      </w:r>
      <w:r w:rsidR="001A4103">
        <w:rPr>
          <w:lang w:val="en-US"/>
        </w:rPr>
        <w:t>assume</w:t>
      </w:r>
      <w:r>
        <w:rPr>
          <w:lang w:val="en-US"/>
        </w:rPr>
        <w:t xml:space="preserve"> that all the cash flows will be reinvested at </w:t>
      </w:r>
      <w:r w:rsidR="001A4103">
        <w:rPr>
          <w:lang w:val="en-US"/>
        </w:rPr>
        <w:t xml:space="preserve">the </w:t>
      </w:r>
      <w:r>
        <w:rPr>
          <w:lang w:val="en-US"/>
        </w:rPr>
        <w:t>cost of capital of the company which is a more appropriate and feasible assumption</w:t>
      </w:r>
      <w:r w:rsidR="00352110">
        <w:rPr>
          <w:lang w:val="en-US"/>
        </w:rPr>
        <w:t xml:space="preserve"> (</w:t>
      </w:r>
      <w:r w:rsidR="00352110" w:rsidRPr="00594B6C">
        <w:t>Project Management Academy</w:t>
      </w:r>
      <w:r w:rsidR="00352110">
        <w:t>, 2025)</w:t>
      </w:r>
      <w:r>
        <w:rPr>
          <w:lang w:val="en-US"/>
        </w:rPr>
        <w:t>.</w:t>
      </w:r>
    </w:p>
    <w:p w14:paraId="12C69D69" w14:textId="4C45C120" w:rsidR="009C09C1" w:rsidRPr="00771444" w:rsidRDefault="009C09C1" w:rsidP="00582589">
      <w:pPr>
        <w:pStyle w:val="Heading3"/>
        <w:spacing w:line="360" w:lineRule="auto"/>
        <w:rPr>
          <w:rFonts w:ascii="Times New Roman" w:hAnsi="Times New Roman" w:cs="Times New Roman"/>
          <w:b/>
          <w:bCs/>
          <w:sz w:val="24"/>
          <w:szCs w:val="28"/>
          <w:lang w:val="en-US"/>
        </w:rPr>
      </w:pPr>
      <w:bookmarkStart w:id="21" w:name="_Toc219050361"/>
      <w:r>
        <w:rPr>
          <w:rFonts w:ascii="Times New Roman" w:hAnsi="Times New Roman" w:cs="Times New Roman"/>
          <w:b/>
          <w:bCs/>
          <w:sz w:val="24"/>
          <w:szCs w:val="28"/>
          <w:lang w:val="en-US"/>
        </w:rPr>
        <w:t>Popularity of Non-Discounting Methods</w:t>
      </w:r>
      <w:bookmarkEnd w:id="21"/>
    </w:p>
    <w:p w14:paraId="1907CC99" w14:textId="0C33A04A" w:rsidR="009C09C1" w:rsidRDefault="00FB556B" w:rsidP="00582589">
      <w:pPr>
        <w:spacing w:after="160" w:line="360" w:lineRule="auto"/>
        <w:rPr>
          <w:lang w:val="en-US"/>
        </w:rPr>
      </w:pPr>
      <w:r>
        <w:rPr>
          <w:lang w:val="en-US"/>
        </w:rPr>
        <w:t xml:space="preserve">Although NPV is clearly considered to be superior </w:t>
      </w:r>
      <w:r w:rsidR="001A4103">
        <w:rPr>
          <w:lang w:val="en-US"/>
        </w:rPr>
        <w:t>to</w:t>
      </w:r>
      <w:r>
        <w:rPr>
          <w:lang w:val="en-US"/>
        </w:rPr>
        <w:t xml:space="preserve"> other methods, non-discounting methods such as payback period, accounting rate of return are still quite popular due to the following reasons.</w:t>
      </w:r>
    </w:p>
    <w:p w14:paraId="69AC39CB" w14:textId="31B69233" w:rsidR="00FB556B" w:rsidRDefault="00FB556B" w:rsidP="00FB556B">
      <w:pPr>
        <w:pStyle w:val="ListParagraph"/>
        <w:numPr>
          <w:ilvl w:val="0"/>
          <w:numId w:val="1"/>
        </w:numPr>
        <w:spacing w:after="160" w:line="360" w:lineRule="auto"/>
        <w:rPr>
          <w:lang w:val="en-US"/>
        </w:rPr>
      </w:pPr>
      <w:r>
        <w:rPr>
          <w:lang w:val="en-US"/>
        </w:rPr>
        <w:t xml:space="preserve">Non-discounting methods are simple in nature and intuitive in their use cases. </w:t>
      </w:r>
      <w:r w:rsidR="003C400D">
        <w:rPr>
          <w:lang w:val="en-US"/>
        </w:rPr>
        <w:t xml:space="preserve">For instance, </w:t>
      </w:r>
      <w:r w:rsidR="001A4103">
        <w:rPr>
          <w:lang w:val="en-US"/>
        </w:rPr>
        <w:t xml:space="preserve">the </w:t>
      </w:r>
      <w:r w:rsidR="003C400D">
        <w:rPr>
          <w:lang w:val="en-US"/>
        </w:rPr>
        <w:t>payback period is used to answer a simple question of how long a project will take to recover the initial investment</w:t>
      </w:r>
      <w:r w:rsidR="007F5A95">
        <w:rPr>
          <w:lang w:val="en-US"/>
        </w:rPr>
        <w:t xml:space="preserve"> (</w:t>
      </w:r>
      <w:r w:rsidR="007F5A95" w:rsidRPr="00594B6C">
        <w:t>Imarticus</w:t>
      </w:r>
      <w:r w:rsidR="007F5A95">
        <w:t>, 2025)</w:t>
      </w:r>
      <w:r w:rsidR="003C400D">
        <w:rPr>
          <w:lang w:val="en-US"/>
        </w:rPr>
        <w:t xml:space="preserve">. </w:t>
      </w:r>
      <w:r w:rsidR="0065539D">
        <w:rPr>
          <w:lang w:val="en-US"/>
        </w:rPr>
        <w:t>This is more intuitive than having to explain what NPV or IRR stands for and what implications their results hold for an investor</w:t>
      </w:r>
      <w:r w:rsidR="00352110">
        <w:rPr>
          <w:lang w:val="en-US"/>
        </w:rPr>
        <w:t xml:space="preserve"> (</w:t>
      </w:r>
      <w:r w:rsidR="00352110" w:rsidRPr="00594B6C">
        <w:t>Project Management Academy</w:t>
      </w:r>
      <w:r w:rsidR="00352110">
        <w:t>, 2025)</w:t>
      </w:r>
      <w:r w:rsidR="0065539D">
        <w:rPr>
          <w:lang w:val="en-US"/>
        </w:rPr>
        <w:t>.</w:t>
      </w:r>
    </w:p>
    <w:p w14:paraId="2FFC8945" w14:textId="4849F533" w:rsidR="0019195E" w:rsidRDefault="0019195E" w:rsidP="00FB556B">
      <w:pPr>
        <w:pStyle w:val="ListParagraph"/>
        <w:numPr>
          <w:ilvl w:val="0"/>
          <w:numId w:val="1"/>
        </w:numPr>
        <w:spacing w:after="160" w:line="360" w:lineRule="auto"/>
        <w:rPr>
          <w:lang w:val="en-US"/>
        </w:rPr>
      </w:pPr>
      <w:r>
        <w:rPr>
          <w:lang w:val="en-US"/>
        </w:rPr>
        <w:lastRenderedPageBreak/>
        <w:t>Discounted methods such as NPV or IRR do not account for any liquidity risks involved. However, a non-discounting method</w:t>
      </w:r>
      <w:r w:rsidR="001A4103">
        <w:rPr>
          <w:lang w:val="en-US"/>
        </w:rPr>
        <w:t>,</w:t>
      </w:r>
      <w:r>
        <w:rPr>
          <w:lang w:val="en-US"/>
        </w:rPr>
        <w:t xml:space="preserve"> such as </w:t>
      </w:r>
      <w:r w:rsidR="001A4103">
        <w:rPr>
          <w:lang w:val="en-US"/>
        </w:rPr>
        <w:t xml:space="preserve">the </w:t>
      </w:r>
      <w:r>
        <w:rPr>
          <w:lang w:val="en-US"/>
        </w:rPr>
        <w:t>payback period</w:t>
      </w:r>
      <w:r w:rsidR="001A4103">
        <w:rPr>
          <w:lang w:val="en-US"/>
        </w:rPr>
        <w:t>,</w:t>
      </w:r>
      <w:r>
        <w:rPr>
          <w:lang w:val="en-US"/>
        </w:rPr>
        <w:t xml:space="preserve"> directly showcases the liquidity risk involved with a project. </w:t>
      </w:r>
      <w:r w:rsidR="00D23D98">
        <w:rPr>
          <w:lang w:val="en-US"/>
        </w:rPr>
        <w:t>This is simpler to use and explain to a non-technical person.</w:t>
      </w:r>
    </w:p>
    <w:p w14:paraId="0F805D42" w14:textId="2AF1C216" w:rsidR="00D23D98" w:rsidRPr="00FB556B" w:rsidRDefault="00D23D98" w:rsidP="00FB556B">
      <w:pPr>
        <w:pStyle w:val="ListParagraph"/>
        <w:numPr>
          <w:ilvl w:val="0"/>
          <w:numId w:val="1"/>
        </w:numPr>
        <w:spacing w:after="160" w:line="360" w:lineRule="auto"/>
        <w:rPr>
          <w:lang w:val="en-US"/>
        </w:rPr>
      </w:pPr>
      <w:r>
        <w:rPr>
          <w:lang w:val="en-US"/>
        </w:rPr>
        <w:t>Lastly, non-discounting methods such as payback period, accounting rate of return</w:t>
      </w:r>
      <w:r w:rsidR="001A4103">
        <w:rPr>
          <w:lang w:val="en-US"/>
        </w:rPr>
        <w:t>,</w:t>
      </w:r>
      <w:r>
        <w:rPr>
          <w:lang w:val="en-US"/>
        </w:rPr>
        <w:t xml:space="preserve"> etc.</w:t>
      </w:r>
      <w:r w:rsidR="001A4103">
        <w:rPr>
          <w:lang w:val="en-US"/>
        </w:rPr>
        <w:t>,</w:t>
      </w:r>
      <w:r>
        <w:rPr>
          <w:lang w:val="en-US"/>
        </w:rPr>
        <w:t xml:space="preserve"> </w:t>
      </w:r>
      <w:r w:rsidR="004427EF">
        <w:rPr>
          <w:lang w:val="en-US"/>
        </w:rPr>
        <w:t>are easier to calculate and apply directly to projects despite their limitations</w:t>
      </w:r>
      <w:r w:rsidR="001A4103">
        <w:rPr>
          <w:lang w:val="en-US"/>
        </w:rPr>
        <w:t>,</w:t>
      </w:r>
      <w:r w:rsidR="004427EF">
        <w:rPr>
          <w:lang w:val="en-US"/>
        </w:rPr>
        <w:t xml:space="preserve"> whereas discounted methods involve more complications and complex calculation processes to achieve the result, making it more difficult for an investor to get the </w:t>
      </w:r>
      <w:r w:rsidR="001A4103">
        <w:rPr>
          <w:lang w:val="en-US"/>
        </w:rPr>
        <w:t>hang</w:t>
      </w:r>
      <w:r w:rsidR="004427EF">
        <w:rPr>
          <w:lang w:val="en-US"/>
        </w:rPr>
        <w:t xml:space="preserve"> of and use </w:t>
      </w:r>
      <w:r w:rsidR="001A4103">
        <w:rPr>
          <w:lang w:val="en-US"/>
        </w:rPr>
        <w:t>them</w:t>
      </w:r>
      <w:r w:rsidR="004427EF">
        <w:rPr>
          <w:lang w:val="en-US"/>
        </w:rPr>
        <w:t xml:space="preserve"> regularly.</w:t>
      </w:r>
    </w:p>
    <w:p w14:paraId="5B40B989" w14:textId="75CBA7D3" w:rsidR="009C09C1" w:rsidRPr="00771444" w:rsidRDefault="009C09C1" w:rsidP="00582589">
      <w:pPr>
        <w:pStyle w:val="Heading3"/>
        <w:spacing w:line="360" w:lineRule="auto"/>
        <w:rPr>
          <w:rFonts w:ascii="Times New Roman" w:hAnsi="Times New Roman" w:cs="Times New Roman"/>
          <w:b/>
          <w:bCs/>
          <w:sz w:val="24"/>
          <w:szCs w:val="28"/>
          <w:lang w:val="en-US"/>
        </w:rPr>
      </w:pPr>
      <w:bookmarkStart w:id="22" w:name="_Toc219050362"/>
      <w:r>
        <w:rPr>
          <w:rFonts w:ascii="Times New Roman" w:hAnsi="Times New Roman" w:cs="Times New Roman"/>
          <w:b/>
          <w:bCs/>
          <w:sz w:val="24"/>
          <w:szCs w:val="28"/>
          <w:lang w:val="en-US"/>
        </w:rPr>
        <w:t>Factors that Influence Investment Decisions</w:t>
      </w:r>
      <w:bookmarkEnd w:id="22"/>
    </w:p>
    <w:p w14:paraId="41792C48" w14:textId="4FAA9AFD" w:rsidR="00491CD1" w:rsidRDefault="00FE0D02" w:rsidP="00582589">
      <w:pPr>
        <w:spacing w:after="160" w:line="360" w:lineRule="auto"/>
        <w:rPr>
          <w:lang w:val="en-US"/>
        </w:rPr>
      </w:pPr>
      <w:r>
        <w:rPr>
          <w:lang w:val="en-US"/>
        </w:rPr>
        <w:t>There are many factors which influence investment decisions</w:t>
      </w:r>
      <w:r w:rsidR="001A4103">
        <w:rPr>
          <w:lang w:val="en-US"/>
        </w:rPr>
        <w:t>,</w:t>
      </w:r>
      <w:r>
        <w:rPr>
          <w:lang w:val="en-US"/>
        </w:rPr>
        <w:t xml:space="preserve"> except for quantitative aspects. These factors are as follows.</w:t>
      </w:r>
    </w:p>
    <w:p w14:paraId="2A489354" w14:textId="3C6F5FC0" w:rsidR="00FE0D02" w:rsidRDefault="00FE0D02" w:rsidP="00FE0D02">
      <w:pPr>
        <w:pStyle w:val="ListParagraph"/>
        <w:numPr>
          <w:ilvl w:val="0"/>
          <w:numId w:val="1"/>
        </w:numPr>
        <w:spacing w:after="160" w:line="360" w:lineRule="auto"/>
        <w:rPr>
          <w:lang w:val="en-US"/>
        </w:rPr>
      </w:pPr>
      <w:r>
        <w:rPr>
          <w:lang w:val="en-US"/>
        </w:rPr>
        <w:t>One of the most important factors that influences investment decisions is risk assessment</w:t>
      </w:r>
      <w:r w:rsidR="001A4103">
        <w:rPr>
          <w:lang w:val="en-US"/>
        </w:rPr>
        <w:t>,</w:t>
      </w:r>
      <w:r>
        <w:rPr>
          <w:lang w:val="en-US"/>
        </w:rPr>
        <w:t xml:space="preserve"> and it must go beyond only discount rates. </w:t>
      </w:r>
      <w:r w:rsidR="005712CD">
        <w:rPr>
          <w:lang w:val="en-US"/>
        </w:rPr>
        <w:t>Whilst discount rates theoretically adjust for risk automatically, there can be other risks involved</w:t>
      </w:r>
      <w:r w:rsidR="001A4103">
        <w:rPr>
          <w:lang w:val="en-US"/>
        </w:rPr>
        <w:t>,</w:t>
      </w:r>
      <w:r w:rsidR="005712CD">
        <w:rPr>
          <w:lang w:val="en-US"/>
        </w:rPr>
        <w:t xml:space="preserve"> such as demand volatility, technological obsolescence, competitive pressures increasing</w:t>
      </w:r>
      <w:r w:rsidR="001A4103">
        <w:rPr>
          <w:lang w:val="en-US"/>
        </w:rPr>
        <w:t>,</w:t>
      </w:r>
      <w:r w:rsidR="005712CD">
        <w:rPr>
          <w:lang w:val="en-US"/>
        </w:rPr>
        <w:t xml:space="preserve"> etc. </w:t>
      </w:r>
      <w:r w:rsidR="00352110">
        <w:rPr>
          <w:lang w:val="en-US"/>
        </w:rPr>
        <w:t>(</w:t>
      </w:r>
      <w:r w:rsidR="00352110" w:rsidRPr="00AD0184">
        <w:t>Zupok</w:t>
      </w:r>
      <w:r w:rsidR="00352110">
        <w:t xml:space="preserve">, 2022). </w:t>
      </w:r>
      <w:r w:rsidR="00D438C5">
        <w:rPr>
          <w:lang w:val="en-US"/>
        </w:rPr>
        <w:t>This is why tools such as scenario analysis and planning are important to implement in a project in order to make effective decisions.</w:t>
      </w:r>
    </w:p>
    <w:p w14:paraId="0B17E883" w14:textId="5998AC07" w:rsidR="00D438C5" w:rsidRDefault="00D438C5" w:rsidP="00FE0D02">
      <w:pPr>
        <w:pStyle w:val="ListParagraph"/>
        <w:numPr>
          <w:ilvl w:val="0"/>
          <w:numId w:val="1"/>
        </w:numPr>
        <w:spacing w:after="160" w:line="360" w:lineRule="auto"/>
        <w:rPr>
          <w:lang w:val="en-US"/>
        </w:rPr>
      </w:pPr>
      <w:r>
        <w:rPr>
          <w:lang w:val="en-US"/>
        </w:rPr>
        <w:t>External market analysis is of greater importance in making investment decisions because</w:t>
      </w:r>
      <w:r w:rsidR="001A4103">
        <w:rPr>
          <w:lang w:val="en-US"/>
        </w:rPr>
        <w:t>,</w:t>
      </w:r>
      <w:r>
        <w:rPr>
          <w:lang w:val="en-US"/>
        </w:rPr>
        <w:t xml:space="preserve"> while quantitative models and appraisal methods incorporate numbers only, external market analysis can showcase growth prospects, competitive intensity and other trends and patterns to effectively capture what can be expected of a project’s implementation</w:t>
      </w:r>
      <w:r w:rsidR="00352110">
        <w:rPr>
          <w:lang w:val="en-US"/>
        </w:rPr>
        <w:t xml:space="preserve"> (</w:t>
      </w:r>
      <w:r w:rsidR="00352110" w:rsidRPr="00AD0184">
        <w:t>Kabachenko</w:t>
      </w:r>
      <w:r w:rsidR="00352110">
        <w:t xml:space="preserve"> and </w:t>
      </w:r>
      <w:r w:rsidR="00352110" w:rsidRPr="00AD0184">
        <w:t>Lapkhanov</w:t>
      </w:r>
      <w:r w:rsidR="00352110">
        <w:t>, 2023)</w:t>
      </w:r>
      <w:r w:rsidR="00352110">
        <w:rPr>
          <w:lang w:val="en-US"/>
        </w:rPr>
        <w:t>.</w:t>
      </w:r>
      <w:r>
        <w:rPr>
          <w:lang w:val="en-US"/>
        </w:rPr>
        <w:t xml:space="preserve"> </w:t>
      </w:r>
    </w:p>
    <w:p w14:paraId="359DCA68" w14:textId="7E9B20BA" w:rsidR="00597AA8" w:rsidRPr="00FE0D02" w:rsidRDefault="00597AA8" w:rsidP="00FE0D02">
      <w:pPr>
        <w:pStyle w:val="ListParagraph"/>
        <w:numPr>
          <w:ilvl w:val="0"/>
          <w:numId w:val="1"/>
        </w:numPr>
        <w:spacing w:after="160" w:line="360" w:lineRule="auto"/>
        <w:rPr>
          <w:lang w:val="en-US"/>
        </w:rPr>
      </w:pPr>
      <w:r>
        <w:rPr>
          <w:lang w:val="en-US"/>
        </w:rPr>
        <w:t>Another major factor influencing investment decisions is inherent flexibility and real options involved with projects. If a project is not strategically flexible and cannot be opted out of once committed to, it can significantly increase the risk involved with the project</w:t>
      </w:r>
      <w:r w:rsidR="00352110">
        <w:rPr>
          <w:lang w:val="en-US"/>
        </w:rPr>
        <w:t>.</w:t>
      </w:r>
      <w:r w:rsidR="006660C5">
        <w:rPr>
          <w:lang w:val="en-US"/>
        </w:rPr>
        <w:t xml:space="preserve"> For instance, Option C creates opportunities for Westward PLC to further increase its product </w:t>
      </w:r>
      <w:r w:rsidR="001A4103">
        <w:rPr>
          <w:lang w:val="en-US"/>
        </w:rPr>
        <w:t>categorisation</w:t>
      </w:r>
      <w:r w:rsidR="006660C5">
        <w:rPr>
          <w:lang w:val="en-US"/>
        </w:rPr>
        <w:t xml:space="preserve"> in the future</w:t>
      </w:r>
      <w:r w:rsidR="001A4103">
        <w:rPr>
          <w:lang w:val="en-US"/>
        </w:rPr>
        <w:t>,</w:t>
      </w:r>
      <w:r w:rsidR="006660C5">
        <w:rPr>
          <w:lang w:val="en-US"/>
        </w:rPr>
        <w:t xml:space="preserve"> which cannot be captured by the four-year timeline of cash flows. </w:t>
      </w:r>
    </w:p>
    <w:p w14:paraId="60A4AEAE" w14:textId="431E184D" w:rsidR="00491CD1" w:rsidRPr="00771444" w:rsidRDefault="00491CD1" w:rsidP="00582589">
      <w:pPr>
        <w:pStyle w:val="Heading3"/>
        <w:spacing w:line="360" w:lineRule="auto"/>
        <w:rPr>
          <w:rFonts w:ascii="Times New Roman" w:hAnsi="Times New Roman" w:cs="Times New Roman"/>
          <w:b/>
          <w:bCs/>
          <w:sz w:val="24"/>
          <w:szCs w:val="28"/>
          <w:lang w:val="en-US"/>
        </w:rPr>
      </w:pPr>
      <w:bookmarkStart w:id="23" w:name="_Toc219050363"/>
      <w:r>
        <w:rPr>
          <w:rFonts w:ascii="Times New Roman" w:hAnsi="Times New Roman" w:cs="Times New Roman"/>
          <w:b/>
          <w:bCs/>
          <w:sz w:val="24"/>
          <w:szCs w:val="28"/>
          <w:lang w:val="en-US"/>
        </w:rPr>
        <w:t>Capital Rationing Analysis</w:t>
      </w:r>
      <w:bookmarkEnd w:id="23"/>
    </w:p>
    <w:p w14:paraId="2979F01A" w14:textId="21E6B8D8" w:rsidR="005A47D0" w:rsidRDefault="001442D7" w:rsidP="00582589">
      <w:pPr>
        <w:spacing w:after="160" w:line="360" w:lineRule="auto"/>
        <w:rPr>
          <w:lang w:val="en-US"/>
        </w:rPr>
      </w:pPr>
      <w:r>
        <w:rPr>
          <w:lang w:val="en-US"/>
        </w:rPr>
        <w:t xml:space="preserve">Capital rationing analysis is the process through which </w:t>
      </w:r>
      <w:r w:rsidR="00874F4E">
        <w:rPr>
          <w:lang w:val="en-US"/>
        </w:rPr>
        <w:t xml:space="preserve">investors decide upon how funds available are to be </w:t>
      </w:r>
      <w:r w:rsidR="001A4103">
        <w:rPr>
          <w:lang w:val="en-US"/>
        </w:rPr>
        <w:t>utilised</w:t>
      </w:r>
      <w:r w:rsidR="00874F4E">
        <w:rPr>
          <w:lang w:val="en-US"/>
        </w:rPr>
        <w:t xml:space="preserve"> to ensure maximum outcome by allocating capital optimally</w:t>
      </w:r>
      <w:r w:rsidR="00352110">
        <w:rPr>
          <w:lang w:val="en-US"/>
        </w:rPr>
        <w:t xml:space="preserve"> (</w:t>
      </w:r>
      <w:r w:rsidR="00352110" w:rsidRPr="00352110">
        <w:t>Khan</w:t>
      </w:r>
      <w:r w:rsidR="00352110">
        <w:t xml:space="preserve">, </w:t>
      </w:r>
      <w:r w:rsidR="00352110">
        <w:lastRenderedPageBreak/>
        <w:t>2024)</w:t>
      </w:r>
      <w:r w:rsidR="00874F4E">
        <w:rPr>
          <w:lang w:val="en-US"/>
        </w:rPr>
        <w:t xml:space="preserve">. </w:t>
      </w:r>
      <w:r w:rsidR="000D004C">
        <w:rPr>
          <w:lang w:val="en-US"/>
        </w:rPr>
        <w:t xml:space="preserve">Now, as per the given brief, the funds available to Westward PLC </w:t>
      </w:r>
      <w:r w:rsidR="001A4103">
        <w:rPr>
          <w:lang w:val="en-US"/>
        </w:rPr>
        <w:t>are</w:t>
      </w:r>
      <w:r w:rsidR="000D004C">
        <w:rPr>
          <w:lang w:val="en-US"/>
        </w:rPr>
        <w:t xml:space="preserve"> 2,500,000 Pounds</w:t>
      </w:r>
      <w:r w:rsidR="00B507AF">
        <w:rPr>
          <w:lang w:val="en-US"/>
        </w:rPr>
        <w:t xml:space="preserve"> and the projects at hand can be divided for the maximum output. </w:t>
      </w:r>
      <w:r w:rsidR="00BD284E">
        <w:rPr>
          <w:lang w:val="en-US"/>
        </w:rPr>
        <w:t xml:space="preserve">Now, using </w:t>
      </w:r>
      <w:r w:rsidR="001A4103">
        <w:rPr>
          <w:lang w:val="en-US"/>
        </w:rPr>
        <w:t xml:space="preserve">the </w:t>
      </w:r>
      <w:r w:rsidR="00BD284E">
        <w:rPr>
          <w:lang w:val="en-US"/>
        </w:rPr>
        <w:t>profitability index, the calculations are provided below.</w:t>
      </w:r>
    </w:p>
    <w:tbl>
      <w:tblPr>
        <w:tblStyle w:val="TableGrid"/>
        <w:tblW w:w="0" w:type="auto"/>
        <w:tblLook w:val="04A0" w:firstRow="1" w:lastRow="0" w:firstColumn="1" w:lastColumn="0" w:noHBand="0" w:noVBand="1"/>
      </w:tblPr>
      <w:tblGrid>
        <w:gridCol w:w="3005"/>
        <w:gridCol w:w="3005"/>
        <w:gridCol w:w="3006"/>
      </w:tblGrid>
      <w:tr w:rsidR="00BD284E" w14:paraId="5932775B" w14:textId="77777777" w:rsidTr="00BD284E">
        <w:tc>
          <w:tcPr>
            <w:tcW w:w="3005" w:type="dxa"/>
          </w:tcPr>
          <w:p w14:paraId="32B5B9DA" w14:textId="50A011FC" w:rsidR="00BD284E" w:rsidRPr="00BD284E" w:rsidRDefault="00BD284E" w:rsidP="00BD284E">
            <w:pPr>
              <w:spacing w:after="160" w:line="360" w:lineRule="auto"/>
              <w:jc w:val="center"/>
              <w:rPr>
                <w:b/>
                <w:bCs/>
                <w:lang w:val="en-US"/>
              </w:rPr>
            </w:pPr>
            <w:r>
              <w:rPr>
                <w:b/>
                <w:bCs/>
                <w:lang w:val="en-US"/>
              </w:rPr>
              <w:t>Options</w:t>
            </w:r>
          </w:p>
        </w:tc>
        <w:tc>
          <w:tcPr>
            <w:tcW w:w="3005" w:type="dxa"/>
          </w:tcPr>
          <w:p w14:paraId="00A7AAAE" w14:textId="5A547152" w:rsidR="00BD284E" w:rsidRPr="00BD284E" w:rsidRDefault="00BD284E" w:rsidP="00BD284E">
            <w:pPr>
              <w:spacing w:after="160" w:line="360" w:lineRule="auto"/>
              <w:jc w:val="center"/>
              <w:rPr>
                <w:b/>
                <w:bCs/>
                <w:lang w:val="en-US"/>
              </w:rPr>
            </w:pPr>
            <w:r>
              <w:rPr>
                <w:b/>
                <w:bCs/>
                <w:lang w:val="en-US"/>
              </w:rPr>
              <w:t>Calculation</w:t>
            </w:r>
          </w:p>
        </w:tc>
        <w:tc>
          <w:tcPr>
            <w:tcW w:w="3006" w:type="dxa"/>
          </w:tcPr>
          <w:p w14:paraId="3B4B7774" w14:textId="44573DF3" w:rsidR="00BD284E" w:rsidRPr="00BD284E" w:rsidRDefault="00BD284E" w:rsidP="00BD284E">
            <w:pPr>
              <w:spacing w:after="160" w:line="360" w:lineRule="auto"/>
              <w:jc w:val="center"/>
              <w:rPr>
                <w:b/>
                <w:bCs/>
                <w:lang w:val="en-US"/>
              </w:rPr>
            </w:pPr>
            <w:r>
              <w:rPr>
                <w:b/>
                <w:bCs/>
                <w:lang w:val="en-US"/>
              </w:rPr>
              <w:t>PI</w:t>
            </w:r>
          </w:p>
        </w:tc>
      </w:tr>
      <w:tr w:rsidR="00BD284E" w14:paraId="3F06A045" w14:textId="77777777" w:rsidTr="00BD284E">
        <w:tc>
          <w:tcPr>
            <w:tcW w:w="3005" w:type="dxa"/>
          </w:tcPr>
          <w:p w14:paraId="0019B7AD" w14:textId="61F069D1" w:rsidR="00BD284E" w:rsidRDefault="00BD284E" w:rsidP="00BD284E">
            <w:pPr>
              <w:spacing w:after="160" w:line="360" w:lineRule="auto"/>
              <w:jc w:val="center"/>
              <w:rPr>
                <w:lang w:val="en-US"/>
              </w:rPr>
            </w:pPr>
            <w:r>
              <w:rPr>
                <w:lang w:val="en-US"/>
              </w:rPr>
              <w:t>A</w:t>
            </w:r>
          </w:p>
        </w:tc>
        <w:tc>
          <w:tcPr>
            <w:tcW w:w="3005" w:type="dxa"/>
          </w:tcPr>
          <w:p w14:paraId="75A8249D" w14:textId="2C28A897" w:rsidR="00BD284E" w:rsidRDefault="00BD284E" w:rsidP="00BD284E">
            <w:pPr>
              <w:spacing w:after="160" w:line="360" w:lineRule="auto"/>
              <w:jc w:val="center"/>
              <w:rPr>
                <w:lang w:val="en-US"/>
              </w:rPr>
            </w:pPr>
            <w:r>
              <w:rPr>
                <w:lang w:val="en-US"/>
              </w:rPr>
              <w:t>643,000 / 600,000</w:t>
            </w:r>
          </w:p>
        </w:tc>
        <w:tc>
          <w:tcPr>
            <w:tcW w:w="3006" w:type="dxa"/>
          </w:tcPr>
          <w:p w14:paraId="4E9180CA" w14:textId="36AFCDA6" w:rsidR="00BD284E" w:rsidRDefault="00BD284E" w:rsidP="00BD284E">
            <w:pPr>
              <w:spacing w:after="160" w:line="360" w:lineRule="auto"/>
              <w:jc w:val="center"/>
              <w:rPr>
                <w:lang w:val="en-US"/>
              </w:rPr>
            </w:pPr>
            <w:r>
              <w:rPr>
                <w:lang w:val="en-US"/>
              </w:rPr>
              <w:t>1.072</w:t>
            </w:r>
          </w:p>
        </w:tc>
      </w:tr>
      <w:tr w:rsidR="00BD284E" w14:paraId="773AE244" w14:textId="77777777" w:rsidTr="00BD284E">
        <w:tc>
          <w:tcPr>
            <w:tcW w:w="3005" w:type="dxa"/>
          </w:tcPr>
          <w:p w14:paraId="7C3F5D91" w14:textId="5F186F42" w:rsidR="00BD284E" w:rsidRDefault="00BD284E" w:rsidP="00BD284E">
            <w:pPr>
              <w:spacing w:after="160" w:line="360" w:lineRule="auto"/>
              <w:jc w:val="center"/>
              <w:rPr>
                <w:lang w:val="en-US"/>
              </w:rPr>
            </w:pPr>
            <w:r>
              <w:rPr>
                <w:lang w:val="en-US"/>
              </w:rPr>
              <w:t>B</w:t>
            </w:r>
          </w:p>
        </w:tc>
        <w:tc>
          <w:tcPr>
            <w:tcW w:w="3005" w:type="dxa"/>
          </w:tcPr>
          <w:p w14:paraId="25F57019" w14:textId="628D849B" w:rsidR="00BD284E" w:rsidRDefault="00BD284E" w:rsidP="00BD284E">
            <w:pPr>
              <w:spacing w:after="160" w:line="360" w:lineRule="auto"/>
              <w:jc w:val="center"/>
              <w:rPr>
                <w:lang w:val="en-US"/>
              </w:rPr>
            </w:pPr>
            <w:r>
              <w:rPr>
                <w:lang w:val="en-US"/>
              </w:rPr>
              <w:t>792,229 / 1,000,000</w:t>
            </w:r>
          </w:p>
        </w:tc>
        <w:tc>
          <w:tcPr>
            <w:tcW w:w="3006" w:type="dxa"/>
          </w:tcPr>
          <w:p w14:paraId="53DA42A0" w14:textId="16E15DE8" w:rsidR="00BD284E" w:rsidRDefault="00BD284E" w:rsidP="00BD284E">
            <w:pPr>
              <w:spacing w:after="160" w:line="360" w:lineRule="auto"/>
              <w:jc w:val="center"/>
              <w:rPr>
                <w:lang w:val="en-US"/>
              </w:rPr>
            </w:pPr>
            <w:r>
              <w:rPr>
                <w:lang w:val="en-US"/>
              </w:rPr>
              <w:t>0..792</w:t>
            </w:r>
          </w:p>
        </w:tc>
      </w:tr>
      <w:tr w:rsidR="00BD284E" w14:paraId="751F3D3C" w14:textId="77777777" w:rsidTr="00BD284E">
        <w:tc>
          <w:tcPr>
            <w:tcW w:w="3005" w:type="dxa"/>
          </w:tcPr>
          <w:p w14:paraId="29074B5B" w14:textId="47712C3D" w:rsidR="00BD284E" w:rsidRDefault="00BD284E" w:rsidP="00BD284E">
            <w:pPr>
              <w:spacing w:after="160" w:line="360" w:lineRule="auto"/>
              <w:jc w:val="center"/>
              <w:rPr>
                <w:lang w:val="en-US"/>
              </w:rPr>
            </w:pPr>
            <w:r>
              <w:rPr>
                <w:lang w:val="en-US"/>
              </w:rPr>
              <w:t>C</w:t>
            </w:r>
          </w:p>
        </w:tc>
        <w:tc>
          <w:tcPr>
            <w:tcW w:w="3005" w:type="dxa"/>
          </w:tcPr>
          <w:p w14:paraId="17E2B741" w14:textId="111C6B7B" w:rsidR="00BD284E" w:rsidRDefault="00BD284E" w:rsidP="00BD284E">
            <w:pPr>
              <w:spacing w:after="160" w:line="360" w:lineRule="auto"/>
              <w:jc w:val="center"/>
              <w:rPr>
                <w:lang w:val="en-US"/>
              </w:rPr>
            </w:pPr>
            <w:r>
              <w:rPr>
                <w:lang w:val="en-US"/>
              </w:rPr>
              <w:t>742,475 / 1,600,000</w:t>
            </w:r>
          </w:p>
        </w:tc>
        <w:tc>
          <w:tcPr>
            <w:tcW w:w="3006" w:type="dxa"/>
          </w:tcPr>
          <w:p w14:paraId="6F9D003E" w14:textId="0BA425C7" w:rsidR="00BD284E" w:rsidRDefault="00BD284E" w:rsidP="00BD284E">
            <w:pPr>
              <w:spacing w:after="160" w:line="360" w:lineRule="auto"/>
              <w:jc w:val="center"/>
              <w:rPr>
                <w:lang w:val="en-US"/>
              </w:rPr>
            </w:pPr>
            <w:r>
              <w:rPr>
                <w:lang w:val="en-US"/>
              </w:rPr>
              <w:t>0.464</w:t>
            </w:r>
          </w:p>
        </w:tc>
      </w:tr>
    </w:tbl>
    <w:p w14:paraId="5556D9CF" w14:textId="73AE5D09" w:rsidR="00BD284E" w:rsidRDefault="009C7156" w:rsidP="00582589">
      <w:pPr>
        <w:spacing w:after="160" w:line="360" w:lineRule="auto"/>
        <w:rPr>
          <w:lang w:val="en-US"/>
        </w:rPr>
      </w:pPr>
      <w:r>
        <w:rPr>
          <w:lang w:val="en-US"/>
        </w:rPr>
        <w:t xml:space="preserve">Based on the above calculation, it is quite clear that Option A is the one where the company must commit 600,000 Pounds from the available funds after which it must also commit another 1,000,000 Pounds to Option B. Now, after having invested in both Option A and Option B fully, the company will be left with 900,000 Pounds, however, Option C requires 1,600,000 Pounds. This is why the company should invest in Option C fractionally at 56.25% to fully </w:t>
      </w:r>
      <w:r w:rsidR="001A4103">
        <w:rPr>
          <w:lang w:val="en-US"/>
        </w:rPr>
        <w:t>utilise</w:t>
      </w:r>
      <w:r>
        <w:rPr>
          <w:lang w:val="en-US"/>
        </w:rPr>
        <w:t xml:space="preserve"> the available funds. </w:t>
      </w:r>
    </w:p>
    <w:p w14:paraId="1BC4C76F" w14:textId="6FB978F8" w:rsidR="00C3172A" w:rsidRDefault="00C3172A" w:rsidP="00582589">
      <w:pPr>
        <w:spacing w:after="160" w:line="360" w:lineRule="auto"/>
        <w:rPr>
          <w:lang w:val="en-US"/>
        </w:rPr>
      </w:pPr>
      <w:r>
        <w:rPr>
          <w:lang w:val="en-US"/>
        </w:rPr>
        <w:t>Based on the calculations and the capital rationing made for Westward PLC, the estimated NPV from three of the projects is = 643,166 + 792,229 + 417,642 = 1,853,037 Pounds</w:t>
      </w:r>
      <w:r w:rsidR="00645148">
        <w:rPr>
          <w:lang w:val="en-US"/>
        </w:rPr>
        <w:t>.</w:t>
      </w:r>
    </w:p>
    <w:p w14:paraId="45FCD85B" w14:textId="4D365B3D" w:rsidR="005A47D0" w:rsidRPr="00771444" w:rsidRDefault="005A47D0" w:rsidP="00582589">
      <w:pPr>
        <w:pStyle w:val="Heading3"/>
        <w:spacing w:line="360" w:lineRule="auto"/>
        <w:rPr>
          <w:rFonts w:ascii="Times New Roman" w:hAnsi="Times New Roman" w:cs="Times New Roman"/>
          <w:b/>
          <w:bCs/>
          <w:sz w:val="24"/>
          <w:szCs w:val="28"/>
          <w:lang w:val="en-US"/>
        </w:rPr>
      </w:pPr>
      <w:bookmarkStart w:id="24" w:name="_Toc219050364"/>
      <w:r>
        <w:rPr>
          <w:rFonts w:ascii="Times New Roman" w:hAnsi="Times New Roman" w:cs="Times New Roman"/>
          <w:b/>
          <w:bCs/>
          <w:sz w:val="24"/>
          <w:szCs w:val="28"/>
          <w:lang w:val="en-US"/>
        </w:rPr>
        <w:t>Financing Sources Analysis</w:t>
      </w:r>
      <w:bookmarkEnd w:id="24"/>
    </w:p>
    <w:p w14:paraId="4A5B4C4D" w14:textId="3E550A25" w:rsidR="00400581" w:rsidRDefault="00A3233A" w:rsidP="00582589">
      <w:pPr>
        <w:spacing w:after="160" w:line="360" w:lineRule="auto"/>
        <w:rPr>
          <w:lang w:val="en-US"/>
        </w:rPr>
      </w:pPr>
      <w:r>
        <w:rPr>
          <w:lang w:val="en-US"/>
        </w:rPr>
        <w:t xml:space="preserve">Now, the available financing sources </w:t>
      </w:r>
      <w:r w:rsidR="001A4103">
        <w:rPr>
          <w:lang w:val="en-US"/>
        </w:rPr>
        <w:t>for</w:t>
      </w:r>
      <w:r>
        <w:rPr>
          <w:lang w:val="en-US"/>
        </w:rPr>
        <w:t xml:space="preserve"> Westward PLC to collect 2,500,000 Pounds include </w:t>
      </w:r>
      <w:r w:rsidR="007325B2">
        <w:rPr>
          <w:lang w:val="en-US"/>
        </w:rPr>
        <w:t xml:space="preserve">equity financing by issuing ordinary shares or using retained earnings, </w:t>
      </w:r>
      <w:r w:rsidR="001A4103">
        <w:rPr>
          <w:lang w:val="en-US"/>
        </w:rPr>
        <w:t xml:space="preserve">and </w:t>
      </w:r>
      <w:r w:rsidR="007325B2">
        <w:rPr>
          <w:lang w:val="en-US"/>
        </w:rPr>
        <w:t xml:space="preserve">debt financing by using bank loans or issuing corporate bonds. </w:t>
      </w:r>
      <w:r w:rsidR="00777372">
        <w:rPr>
          <w:lang w:val="en-US"/>
        </w:rPr>
        <w:t>Now, each of these sources has its advantages and disadvantages</w:t>
      </w:r>
      <w:r w:rsidR="001A4103">
        <w:rPr>
          <w:lang w:val="en-US"/>
        </w:rPr>
        <w:t>,</w:t>
      </w:r>
      <w:r w:rsidR="00777372">
        <w:rPr>
          <w:lang w:val="en-US"/>
        </w:rPr>
        <w:t xml:space="preserve"> which must be acknowledged before committing to one or many.</w:t>
      </w:r>
    </w:p>
    <w:p w14:paraId="09A86C23" w14:textId="48938503" w:rsidR="00B0444C" w:rsidRDefault="00B0444C" w:rsidP="00582589">
      <w:pPr>
        <w:spacing w:after="160" w:line="360" w:lineRule="auto"/>
        <w:rPr>
          <w:b/>
          <w:bCs/>
          <w:lang w:val="en-US"/>
        </w:rPr>
      </w:pPr>
      <w:r>
        <w:rPr>
          <w:b/>
          <w:bCs/>
          <w:lang w:val="en-US"/>
        </w:rPr>
        <w:t>Ordinary Share Issuance – Equity Financing</w:t>
      </w:r>
    </w:p>
    <w:p w14:paraId="0A7C4C2D" w14:textId="308CFB6B" w:rsidR="00B0444C" w:rsidRDefault="00B0444C" w:rsidP="00582589">
      <w:pPr>
        <w:spacing w:after="160" w:line="360" w:lineRule="auto"/>
        <w:rPr>
          <w:b/>
          <w:bCs/>
          <w:lang w:val="en-US"/>
        </w:rPr>
      </w:pPr>
      <w:r>
        <w:rPr>
          <w:b/>
          <w:bCs/>
          <w:lang w:val="en-US"/>
        </w:rPr>
        <w:t>Advantages</w:t>
      </w:r>
    </w:p>
    <w:p w14:paraId="338EEEB1" w14:textId="517C37F0" w:rsidR="00B0444C" w:rsidRPr="005B376E" w:rsidRDefault="00353BFA" w:rsidP="00B0444C">
      <w:pPr>
        <w:pStyle w:val="ListParagraph"/>
        <w:numPr>
          <w:ilvl w:val="0"/>
          <w:numId w:val="1"/>
        </w:numPr>
        <w:spacing w:after="160" w:line="360" w:lineRule="auto"/>
        <w:rPr>
          <w:b/>
          <w:bCs/>
          <w:lang w:val="en-US"/>
        </w:rPr>
      </w:pPr>
      <w:r>
        <w:rPr>
          <w:lang w:val="en-US"/>
        </w:rPr>
        <w:t xml:space="preserve">There </w:t>
      </w:r>
      <w:r w:rsidR="00172BA7">
        <w:rPr>
          <w:lang w:val="en-US"/>
        </w:rPr>
        <w:t>are</w:t>
      </w:r>
      <w:r>
        <w:rPr>
          <w:lang w:val="en-US"/>
        </w:rPr>
        <w:t xml:space="preserve"> no fixed payment obligations on Westward PLC to make</w:t>
      </w:r>
      <w:r w:rsidR="00565F7A">
        <w:rPr>
          <w:lang w:val="en-US"/>
        </w:rPr>
        <w:t xml:space="preserve"> if it opts for ordinary share issuance to fund its investment requirement.</w:t>
      </w:r>
    </w:p>
    <w:p w14:paraId="1B3E07CA" w14:textId="180D1FA0" w:rsidR="005B376E" w:rsidRPr="00B0444C" w:rsidRDefault="004619CC" w:rsidP="00B0444C">
      <w:pPr>
        <w:pStyle w:val="ListParagraph"/>
        <w:numPr>
          <w:ilvl w:val="0"/>
          <w:numId w:val="1"/>
        </w:numPr>
        <w:spacing w:after="160" w:line="360" w:lineRule="auto"/>
        <w:rPr>
          <w:b/>
          <w:bCs/>
          <w:lang w:val="en-US"/>
        </w:rPr>
      </w:pPr>
      <w:r>
        <w:rPr>
          <w:lang w:val="en-US"/>
        </w:rPr>
        <w:t xml:space="preserve">Permanent capital available for long-term projects remains greater as the risks involved </w:t>
      </w:r>
      <w:r w:rsidR="00172BA7">
        <w:rPr>
          <w:lang w:val="en-US"/>
        </w:rPr>
        <w:t>are lower due to no refinancing needs</w:t>
      </w:r>
      <w:r w:rsidR="00352110">
        <w:rPr>
          <w:lang w:val="en-US"/>
        </w:rPr>
        <w:t xml:space="preserve"> (</w:t>
      </w:r>
      <w:r w:rsidR="00352110" w:rsidRPr="00594B6C">
        <w:t>Rangewell</w:t>
      </w:r>
      <w:r w:rsidR="00352110">
        <w:t>, 2018)</w:t>
      </w:r>
      <w:r w:rsidR="00172BA7">
        <w:rPr>
          <w:lang w:val="en-US"/>
        </w:rPr>
        <w:t>.</w:t>
      </w:r>
    </w:p>
    <w:p w14:paraId="247E040B" w14:textId="030F0843" w:rsidR="00B0444C" w:rsidRDefault="00B0444C" w:rsidP="00B0444C">
      <w:pPr>
        <w:spacing w:after="160" w:line="360" w:lineRule="auto"/>
        <w:rPr>
          <w:b/>
          <w:bCs/>
          <w:lang w:val="en-US"/>
        </w:rPr>
      </w:pPr>
      <w:r>
        <w:rPr>
          <w:b/>
          <w:bCs/>
          <w:lang w:val="en-US"/>
        </w:rPr>
        <w:t>Disadvantages</w:t>
      </w:r>
    </w:p>
    <w:p w14:paraId="6F096DCE" w14:textId="59DDEDFC" w:rsidR="00B0444C" w:rsidRPr="00540EAB" w:rsidRDefault="008071FD" w:rsidP="00B0444C">
      <w:pPr>
        <w:pStyle w:val="ListParagraph"/>
        <w:numPr>
          <w:ilvl w:val="0"/>
          <w:numId w:val="1"/>
        </w:numPr>
        <w:spacing w:after="160" w:line="360" w:lineRule="auto"/>
        <w:rPr>
          <w:b/>
          <w:bCs/>
          <w:lang w:val="en-US"/>
        </w:rPr>
      </w:pPr>
      <w:r>
        <w:rPr>
          <w:lang w:val="en-US"/>
        </w:rPr>
        <w:t>The more a company issues ordinary shares, the more it dilutes the ownership stakes of the existing shareholders.</w:t>
      </w:r>
    </w:p>
    <w:p w14:paraId="7A1764A6" w14:textId="2F24D4FA" w:rsidR="00540EAB" w:rsidRPr="00B0444C" w:rsidRDefault="00540EAB" w:rsidP="00B0444C">
      <w:pPr>
        <w:pStyle w:val="ListParagraph"/>
        <w:numPr>
          <w:ilvl w:val="0"/>
          <w:numId w:val="1"/>
        </w:numPr>
        <w:spacing w:after="160" w:line="360" w:lineRule="auto"/>
        <w:rPr>
          <w:b/>
          <w:bCs/>
          <w:lang w:val="en-US"/>
        </w:rPr>
      </w:pPr>
      <w:r>
        <w:rPr>
          <w:lang w:val="en-US"/>
        </w:rPr>
        <w:lastRenderedPageBreak/>
        <w:t>Higher cost of capital than debt and unavailability of tax deductibility result in greater financing cost for the company</w:t>
      </w:r>
      <w:r w:rsidR="00352110">
        <w:rPr>
          <w:lang w:val="en-US"/>
        </w:rPr>
        <w:t xml:space="preserve"> (</w:t>
      </w:r>
      <w:r w:rsidR="00352110" w:rsidRPr="00594B6C">
        <w:t>Rangewell</w:t>
      </w:r>
      <w:r w:rsidR="00352110">
        <w:t>, 2018)</w:t>
      </w:r>
      <w:r>
        <w:rPr>
          <w:lang w:val="en-US"/>
        </w:rPr>
        <w:t>.</w:t>
      </w:r>
    </w:p>
    <w:p w14:paraId="74CCEFE1" w14:textId="4E31AD10" w:rsidR="00B0444C" w:rsidRDefault="00B0444C" w:rsidP="00B0444C">
      <w:pPr>
        <w:spacing w:after="160" w:line="360" w:lineRule="auto"/>
        <w:rPr>
          <w:b/>
          <w:bCs/>
          <w:lang w:val="en-US"/>
        </w:rPr>
      </w:pPr>
      <w:r>
        <w:rPr>
          <w:b/>
          <w:bCs/>
          <w:lang w:val="en-US"/>
        </w:rPr>
        <w:t>Retained Earnings – Equity Financing</w:t>
      </w:r>
    </w:p>
    <w:p w14:paraId="751B7D9A" w14:textId="77777777" w:rsidR="00B0444C" w:rsidRDefault="00B0444C" w:rsidP="00B0444C">
      <w:pPr>
        <w:spacing w:after="160" w:line="360" w:lineRule="auto"/>
        <w:rPr>
          <w:b/>
          <w:bCs/>
          <w:lang w:val="en-US"/>
        </w:rPr>
      </w:pPr>
      <w:r>
        <w:rPr>
          <w:b/>
          <w:bCs/>
          <w:lang w:val="en-US"/>
        </w:rPr>
        <w:t>Advantages</w:t>
      </w:r>
    </w:p>
    <w:p w14:paraId="3AAE6851" w14:textId="561DA1BD" w:rsidR="00B0444C" w:rsidRPr="005C1208" w:rsidRDefault="00F6257B" w:rsidP="00B0444C">
      <w:pPr>
        <w:pStyle w:val="ListParagraph"/>
        <w:numPr>
          <w:ilvl w:val="0"/>
          <w:numId w:val="1"/>
        </w:numPr>
        <w:spacing w:after="160" w:line="360" w:lineRule="auto"/>
        <w:rPr>
          <w:b/>
          <w:bCs/>
          <w:lang w:val="en-US"/>
        </w:rPr>
      </w:pPr>
      <w:r>
        <w:rPr>
          <w:lang w:val="en-US"/>
        </w:rPr>
        <w:t xml:space="preserve">There </w:t>
      </w:r>
      <w:r w:rsidR="0001107A">
        <w:rPr>
          <w:lang w:val="en-US"/>
        </w:rPr>
        <w:t>is</w:t>
      </w:r>
      <w:r>
        <w:rPr>
          <w:lang w:val="en-US"/>
        </w:rPr>
        <w:t xml:space="preserve"> no issuance cost involved</w:t>
      </w:r>
      <w:r w:rsidR="001A4103">
        <w:rPr>
          <w:lang w:val="en-US"/>
        </w:rPr>
        <w:t>, nor</w:t>
      </w:r>
      <w:r>
        <w:rPr>
          <w:lang w:val="en-US"/>
        </w:rPr>
        <w:t xml:space="preserve"> do they dilute </w:t>
      </w:r>
      <w:r w:rsidR="001A4103">
        <w:rPr>
          <w:lang w:val="en-US"/>
        </w:rPr>
        <w:t xml:space="preserve">the </w:t>
      </w:r>
      <w:r>
        <w:rPr>
          <w:lang w:val="en-US"/>
        </w:rPr>
        <w:t>ownership structure</w:t>
      </w:r>
      <w:r w:rsidR="005C1208">
        <w:rPr>
          <w:lang w:val="en-US"/>
        </w:rPr>
        <w:t xml:space="preserve"> of the existing shareholders.</w:t>
      </w:r>
    </w:p>
    <w:p w14:paraId="443295BD" w14:textId="5ED7EC3F" w:rsidR="005C1208" w:rsidRPr="00B0444C" w:rsidRDefault="006F72C0" w:rsidP="00B0444C">
      <w:pPr>
        <w:pStyle w:val="ListParagraph"/>
        <w:numPr>
          <w:ilvl w:val="0"/>
          <w:numId w:val="1"/>
        </w:numPr>
        <w:spacing w:after="160" w:line="360" w:lineRule="auto"/>
        <w:rPr>
          <w:b/>
          <w:bCs/>
          <w:lang w:val="en-US"/>
        </w:rPr>
      </w:pPr>
      <w:r>
        <w:rPr>
          <w:lang w:val="en-US"/>
        </w:rPr>
        <w:t xml:space="preserve">It is the most </w:t>
      </w:r>
      <w:r w:rsidR="00136526">
        <w:rPr>
          <w:lang w:val="en-US"/>
        </w:rPr>
        <w:t>flexible capital source for which the company does not remain liable or obligated to answer anyone</w:t>
      </w:r>
      <w:r w:rsidR="00352110">
        <w:rPr>
          <w:lang w:val="en-US"/>
        </w:rPr>
        <w:t xml:space="preserve"> (</w:t>
      </w:r>
      <w:r w:rsidR="00352110" w:rsidRPr="00352110">
        <w:t>Gautam</w:t>
      </w:r>
      <w:r w:rsidR="00352110">
        <w:t xml:space="preserve"> and Purohit, 2024)</w:t>
      </w:r>
      <w:r w:rsidR="00136526">
        <w:rPr>
          <w:lang w:val="en-US"/>
        </w:rPr>
        <w:t>.</w:t>
      </w:r>
    </w:p>
    <w:p w14:paraId="4FE4D081" w14:textId="77777777" w:rsidR="00B0444C" w:rsidRDefault="00B0444C" w:rsidP="00B0444C">
      <w:pPr>
        <w:spacing w:after="160" w:line="360" w:lineRule="auto"/>
        <w:rPr>
          <w:b/>
          <w:bCs/>
          <w:lang w:val="en-US"/>
        </w:rPr>
      </w:pPr>
      <w:r>
        <w:rPr>
          <w:b/>
          <w:bCs/>
          <w:lang w:val="en-US"/>
        </w:rPr>
        <w:t>Disadvantages</w:t>
      </w:r>
    </w:p>
    <w:p w14:paraId="181FBFFB" w14:textId="4FA3CF5C" w:rsidR="00B0444C" w:rsidRPr="002D585A" w:rsidRDefault="00F003EF" w:rsidP="00B0444C">
      <w:pPr>
        <w:pStyle w:val="ListParagraph"/>
        <w:numPr>
          <w:ilvl w:val="0"/>
          <w:numId w:val="1"/>
        </w:numPr>
        <w:spacing w:after="160" w:line="360" w:lineRule="auto"/>
        <w:rPr>
          <w:b/>
          <w:bCs/>
          <w:lang w:val="en-US"/>
        </w:rPr>
      </w:pPr>
      <w:r>
        <w:rPr>
          <w:lang w:val="en-US"/>
        </w:rPr>
        <w:t>There exists an opportunity cost for the shareholders as they could get the retained earnings in the form of dividends and invest them elsewhere.</w:t>
      </w:r>
    </w:p>
    <w:p w14:paraId="50583AA8" w14:textId="21141E7F" w:rsidR="002D585A" w:rsidRPr="00B0444C" w:rsidRDefault="002D585A" w:rsidP="00B0444C">
      <w:pPr>
        <w:pStyle w:val="ListParagraph"/>
        <w:numPr>
          <w:ilvl w:val="0"/>
          <w:numId w:val="1"/>
        </w:numPr>
        <w:spacing w:after="160" w:line="360" w:lineRule="auto"/>
        <w:rPr>
          <w:b/>
          <w:bCs/>
          <w:lang w:val="en-US"/>
        </w:rPr>
      </w:pPr>
      <w:r>
        <w:rPr>
          <w:lang w:val="en-US"/>
        </w:rPr>
        <w:t xml:space="preserve">After having paid every other </w:t>
      </w:r>
      <w:r w:rsidR="00415513">
        <w:rPr>
          <w:lang w:val="en-US"/>
        </w:rPr>
        <w:t>expense</w:t>
      </w:r>
      <w:r>
        <w:rPr>
          <w:lang w:val="en-US"/>
        </w:rPr>
        <w:t xml:space="preserve">, </w:t>
      </w:r>
      <w:r w:rsidR="00883955">
        <w:rPr>
          <w:lang w:val="en-US"/>
        </w:rPr>
        <w:t xml:space="preserve">there is hardly anything available for the company to invest in big projects requiring greater </w:t>
      </w:r>
      <w:r w:rsidR="001A4103">
        <w:rPr>
          <w:lang w:val="en-US"/>
        </w:rPr>
        <w:t>funding</w:t>
      </w:r>
      <w:r w:rsidR="00352110">
        <w:rPr>
          <w:lang w:val="en-US"/>
        </w:rPr>
        <w:t xml:space="preserve"> (</w:t>
      </w:r>
      <w:r w:rsidR="00352110" w:rsidRPr="00352110">
        <w:t>Gautam</w:t>
      </w:r>
      <w:r w:rsidR="00352110">
        <w:t xml:space="preserve"> and Purohit, 2024)</w:t>
      </w:r>
      <w:r w:rsidR="00883955">
        <w:rPr>
          <w:lang w:val="en-US"/>
        </w:rPr>
        <w:t>.</w:t>
      </w:r>
    </w:p>
    <w:p w14:paraId="313CD3DF" w14:textId="23F913B3" w:rsidR="00B0444C" w:rsidRDefault="00B0444C" w:rsidP="00B0444C">
      <w:pPr>
        <w:spacing w:after="160" w:line="360" w:lineRule="auto"/>
        <w:rPr>
          <w:b/>
          <w:bCs/>
          <w:lang w:val="en-US"/>
        </w:rPr>
      </w:pPr>
      <w:r>
        <w:rPr>
          <w:b/>
          <w:bCs/>
          <w:lang w:val="en-US"/>
        </w:rPr>
        <w:t>Bank Loans – Debt Financing</w:t>
      </w:r>
    </w:p>
    <w:p w14:paraId="0598E27D" w14:textId="77777777" w:rsidR="00B0444C" w:rsidRDefault="00B0444C" w:rsidP="00B0444C">
      <w:pPr>
        <w:spacing w:after="160" w:line="360" w:lineRule="auto"/>
        <w:rPr>
          <w:b/>
          <w:bCs/>
          <w:lang w:val="en-US"/>
        </w:rPr>
      </w:pPr>
      <w:r>
        <w:rPr>
          <w:b/>
          <w:bCs/>
          <w:lang w:val="en-US"/>
        </w:rPr>
        <w:t>Advantages</w:t>
      </w:r>
    </w:p>
    <w:p w14:paraId="55358C08" w14:textId="693464DC" w:rsidR="00B0444C" w:rsidRPr="00BF06BC" w:rsidRDefault="001D37E0" w:rsidP="00B0444C">
      <w:pPr>
        <w:pStyle w:val="ListParagraph"/>
        <w:numPr>
          <w:ilvl w:val="0"/>
          <w:numId w:val="1"/>
        </w:numPr>
        <w:spacing w:after="160" w:line="360" w:lineRule="auto"/>
        <w:rPr>
          <w:b/>
          <w:bCs/>
          <w:lang w:val="en-US"/>
        </w:rPr>
      </w:pPr>
      <w:r>
        <w:rPr>
          <w:lang w:val="en-US"/>
        </w:rPr>
        <w:t>Because interest payme</w:t>
      </w:r>
      <w:r w:rsidR="00415513">
        <w:rPr>
          <w:lang w:val="en-US"/>
        </w:rPr>
        <w:t>nts are tax-deductible, they reduce the effective cost a company ends up paying the creditors</w:t>
      </w:r>
      <w:r w:rsidR="00352110">
        <w:rPr>
          <w:lang w:val="en-US"/>
        </w:rPr>
        <w:t xml:space="preserve"> (</w:t>
      </w:r>
      <w:r w:rsidR="00352110" w:rsidRPr="00352110">
        <w:t>Xalimovich</w:t>
      </w:r>
      <w:r w:rsidR="00352110">
        <w:t>, 2025)</w:t>
      </w:r>
      <w:r w:rsidR="00415513">
        <w:rPr>
          <w:lang w:val="en-US"/>
        </w:rPr>
        <w:t>.</w:t>
      </w:r>
    </w:p>
    <w:p w14:paraId="69671E2B" w14:textId="7A6EA35F" w:rsidR="00BF06BC" w:rsidRPr="00B0444C" w:rsidRDefault="00BF06BC" w:rsidP="00B0444C">
      <w:pPr>
        <w:pStyle w:val="ListParagraph"/>
        <w:numPr>
          <w:ilvl w:val="0"/>
          <w:numId w:val="1"/>
        </w:numPr>
        <w:spacing w:after="160" w:line="360" w:lineRule="auto"/>
        <w:rPr>
          <w:b/>
          <w:bCs/>
          <w:lang w:val="en-US"/>
        </w:rPr>
      </w:pPr>
      <w:r>
        <w:rPr>
          <w:lang w:val="en-US"/>
        </w:rPr>
        <w:t>As it is a debt, it does not dilute the ownership or control of the owners</w:t>
      </w:r>
      <w:r w:rsidR="00005A4B">
        <w:rPr>
          <w:lang w:val="en-US"/>
        </w:rPr>
        <w:t xml:space="preserve"> of the company.</w:t>
      </w:r>
    </w:p>
    <w:p w14:paraId="0249F8B6" w14:textId="77777777" w:rsidR="00B0444C" w:rsidRDefault="00B0444C" w:rsidP="00B0444C">
      <w:pPr>
        <w:spacing w:after="160" w:line="360" w:lineRule="auto"/>
        <w:rPr>
          <w:b/>
          <w:bCs/>
          <w:lang w:val="en-US"/>
        </w:rPr>
      </w:pPr>
      <w:r>
        <w:rPr>
          <w:b/>
          <w:bCs/>
          <w:lang w:val="en-US"/>
        </w:rPr>
        <w:t>Disadvantages</w:t>
      </w:r>
    </w:p>
    <w:p w14:paraId="6AD6FD83" w14:textId="7135652D" w:rsidR="00B0444C" w:rsidRPr="00B72EA8" w:rsidRDefault="000D38D5" w:rsidP="00B0444C">
      <w:pPr>
        <w:pStyle w:val="ListParagraph"/>
        <w:numPr>
          <w:ilvl w:val="0"/>
          <w:numId w:val="1"/>
        </w:numPr>
        <w:spacing w:after="160" w:line="360" w:lineRule="auto"/>
        <w:rPr>
          <w:b/>
          <w:bCs/>
          <w:lang w:val="en-US"/>
        </w:rPr>
      </w:pPr>
      <w:r>
        <w:rPr>
          <w:lang w:val="en-US"/>
        </w:rPr>
        <w:t>There are only fixed repayment obligations regardless of how the company performs financially, putting excessive pressure on the company to make the repayments no matter what</w:t>
      </w:r>
      <w:r w:rsidR="00352110">
        <w:rPr>
          <w:lang w:val="en-US"/>
        </w:rPr>
        <w:t xml:space="preserve"> (</w:t>
      </w:r>
      <w:r w:rsidR="00352110" w:rsidRPr="00352110">
        <w:t>Xalimovich</w:t>
      </w:r>
      <w:r w:rsidR="00352110">
        <w:t>, 2025)</w:t>
      </w:r>
      <w:r>
        <w:rPr>
          <w:lang w:val="en-US"/>
        </w:rPr>
        <w:t>.</w:t>
      </w:r>
    </w:p>
    <w:p w14:paraId="4C92B1A6" w14:textId="0A6DB8A6" w:rsidR="00B72EA8" w:rsidRPr="00B0444C" w:rsidRDefault="00B72EA8" w:rsidP="00B0444C">
      <w:pPr>
        <w:pStyle w:val="ListParagraph"/>
        <w:numPr>
          <w:ilvl w:val="0"/>
          <w:numId w:val="1"/>
        </w:numPr>
        <w:spacing w:after="160" w:line="360" w:lineRule="auto"/>
        <w:rPr>
          <w:b/>
          <w:bCs/>
          <w:lang w:val="en-US"/>
        </w:rPr>
      </w:pPr>
      <w:r>
        <w:rPr>
          <w:lang w:val="en-US"/>
        </w:rPr>
        <w:t xml:space="preserve">There are usually </w:t>
      </w:r>
      <w:r w:rsidR="001A4103">
        <w:rPr>
          <w:lang w:val="en-US"/>
        </w:rPr>
        <w:t xml:space="preserve">a </w:t>
      </w:r>
      <w:r>
        <w:rPr>
          <w:lang w:val="en-US"/>
        </w:rPr>
        <w:t xml:space="preserve">great </w:t>
      </w:r>
      <w:r w:rsidR="001A4103">
        <w:rPr>
          <w:lang w:val="en-US"/>
        </w:rPr>
        <w:t>number</w:t>
      </w:r>
      <w:r>
        <w:rPr>
          <w:lang w:val="en-US"/>
        </w:rPr>
        <w:t xml:space="preserve"> of collateral requirements to take out loans from banks.</w:t>
      </w:r>
    </w:p>
    <w:p w14:paraId="3FE1C598" w14:textId="0A8D7B82" w:rsidR="00B0444C" w:rsidRDefault="00B0444C" w:rsidP="00B0444C">
      <w:pPr>
        <w:spacing w:after="160" w:line="360" w:lineRule="auto"/>
        <w:rPr>
          <w:b/>
          <w:bCs/>
          <w:lang w:val="en-US"/>
        </w:rPr>
      </w:pPr>
      <w:r>
        <w:rPr>
          <w:b/>
          <w:bCs/>
          <w:lang w:val="en-US"/>
        </w:rPr>
        <w:t>Corporate Bond Issuance – Debt Financing</w:t>
      </w:r>
    </w:p>
    <w:p w14:paraId="536624B8" w14:textId="77777777" w:rsidR="00B0444C" w:rsidRDefault="00B0444C" w:rsidP="00B0444C">
      <w:pPr>
        <w:spacing w:after="160" w:line="360" w:lineRule="auto"/>
        <w:rPr>
          <w:b/>
          <w:bCs/>
          <w:lang w:val="en-US"/>
        </w:rPr>
      </w:pPr>
      <w:r>
        <w:rPr>
          <w:b/>
          <w:bCs/>
          <w:lang w:val="en-US"/>
        </w:rPr>
        <w:t>Advantages</w:t>
      </w:r>
    </w:p>
    <w:p w14:paraId="109B9225" w14:textId="0174E8B5" w:rsidR="00B0444C" w:rsidRPr="00C777B8" w:rsidRDefault="00EE6541" w:rsidP="00B0444C">
      <w:pPr>
        <w:pStyle w:val="ListParagraph"/>
        <w:numPr>
          <w:ilvl w:val="0"/>
          <w:numId w:val="1"/>
        </w:numPr>
        <w:spacing w:after="160" w:line="360" w:lineRule="auto"/>
        <w:rPr>
          <w:b/>
          <w:bCs/>
          <w:lang w:val="en-US"/>
        </w:rPr>
      </w:pPr>
      <w:r>
        <w:rPr>
          <w:lang w:val="en-US"/>
        </w:rPr>
        <w:t xml:space="preserve">They offer lower interest rates than bank loans </w:t>
      </w:r>
      <w:r w:rsidR="00DA3C76">
        <w:rPr>
          <w:lang w:val="en-US"/>
        </w:rPr>
        <w:t>for creditworthy issuers, creating significant benefits</w:t>
      </w:r>
      <w:r w:rsidR="00352110">
        <w:rPr>
          <w:lang w:val="en-US"/>
        </w:rPr>
        <w:t xml:space="preserve"> (</w:t>
      </w:r>
      <w:r w:rsidR="00352110" w:rsidRPr="00594B6C">
        <w:t>Plutus Education</w:t>
      </w:r>
      <w:r w:rsidR="00352110">
        <w:t>, 2025)</w:t>
      </w:r>
      <w:r w:rsidR="00C777B8">
        <w:rPr>
          <w:lang w:val="en-US"/>
        </w:rPr>
        <w:t>.</w:t>
      </w:r>
    </w:p>
    <w:p w14:paraId="6E43FCE8" w14:textId="2CAB1671" w:rsidR="00C777B8" w:rsidRPr="00B0444C" w:rsidRDefault="004A66ED" w:rsidP="00B0444C">
      <w:pPr>
        <w:pStyle w:val="ListParagraph"/>
        <w:numPr>
          <w:ilvl w:val="0"/>
          <w:numId w:val="1"/>
        </w:numPr>
        <w:spacing w:after="160" w:line="360" w:lineRule="auto"/>
        <w:rPr>
          <w:b/>
          <w:bCs/>
          <w:lang w:val="en-US"/>
        </w:rPr>
      </w:pPr>
      <w:r>
        <w:rPr>
          <w:lang w:val="en-US"/>
        </w:rPr>
        <w:lastRenderedPageBreak/>
        <w:t>They are usually longer-term in maturity</w:t>
      </w:r>
      <w:r w:rsidR="001A4103">
        <w:rPr>
          <w:lang w:val="en-US"/>
        </w:rPr>
        <w:t>,</w:t>
      </w:r>
      <w:r>
        <w:rPr>
          <w:lang w:val="en-US"/>
        </w:rPr>
        <w:t xml:space="preserve"> which makes it easier for the company to plan and pay </w:t>
      </w:r>
      <w:r w:rsidR="001A4103">
        <w:rPr>
          <w:lang w:val="en-US"/>
        </w:rPr>
        <w:t>them</w:t>
      </w:r>
      <w:r>
        <w:rPr>
          <w:lang w:val="en-US"/>
        </w:rPr>
        <w:t xml:space="preserve"> off.</w:t>
      </w:r>
    </w:p>
    <w:p w14:paraId="3B424D1D" w14:textId="77777777" w:rsidR="00B0444C" w:rsidRDefault="00B0444C" w:rsidP="00B0444C">
      <w:pPr>
        <w:spacing w:after="160" w:line="360" w:lineRule="auto"/>
        <w:rPr>
          <w:b/>
          <w:bCs/>
          <w:lang w:val="en-US"/>
        </w:rPr>
      </w:pPr>
      <w:r>
        <w:rPr>
          <w:b/>
          <w:bCs/>
          <w:lang w:val="en-US"/>
        </w:rPr>
        <w:t>Disadvantages</w:t>
      </w:r>
    </w:p>
    <w:p w14:paraId="2EAC2270" w14:textId="7087F144" w:rsidR="00EE2F83" w:rsidRPr="00EE2F83" w:rsidRDefault="00774143" w:rsidP="00582589">
      <w:pPr>
        <w:pStyle w:val="ListParagraph"/>
        <w:numPr>
          <w:ilvl w:val="0"/>
          <w:numId w:val="1"/>
        </w:numPr>
        <w:spacing w:after="160" w:line="360" w:lineRule="auto"/>
        <w:rPr>
          <w:b/>
          <w:bCs/>
          <w:lang w:val="en-US"/>
        </w:rPr>
      </w:pPr>
      <w:r>
        <w:rPr>
          <w:lang w:val="en-US"/>
        </w:rPr>
        <w:t xml:space="preserve">There is usually </w:t>
      </w:r>
      <w:r w:rsidR="001A4103">
        <w:rPr>
          <w:lang w:val="en-US"/>
        </w:rPr>
        <w:t xml:space="preserve">a </w:t>
      </w:r>
      <w:r>
        <w:rPr>
          <w:lang w:val="en-US"/>
        </w:rPr>
        <w:t>high issuance cost involved with corporate bonds in the form of legal, underwriting, credit rating</w:t>
      </w:r>
      <w:r w:rsidR="001A4103">
        <w:rPr>
          <w:lang w:val="en-US"/>
        </w:rPr>
        <w:t>,</w:t>
      </w:r>
      <w:r>
        <w:rPr>
          <w:lang w:val="en-US"/>
        </w:rPr>
        <w:t xml:space="preserve"> etc.</w:t>
      </w:r>
    </w:p>
    <w:p w14:paraId="6ADE5113" w14:textId="6BD1896D" w:rsidR="00E13B4B" w:rsidRPr="005F2A94" w:rsidRDefault="00EE2F83" w:rsidP="00582589">
      <w:pPr>
        <w:pStyle w:val="ListParagraph"/>
        <w:numPr>
          <w:ilvl w:val="0"/>
          <w:numId w:val="1"/>
        </w:numPr>
        <w:spacing w:after="160" w:line="360" w:lineRule="auto"/>
        <w:rPr>
          <w:b/>
          <w:bCs/>
          <w:lang w:val="en-US"/>
        </w:rPr>
      </w:pPr>
      <w:r>
        <w:rPr>
          <w:lang w:val="en-US"/>
        </w:rPr>
        <w:t>There exist restrictive covenants laid out in the bond indenture which affect the implications of buying or selling the bond</w:t>
      </w:r>
      <w:r w:rsidR="00352110">
        <w:rPr>
          <w:lang w:val="en-US"/>
        </w:rPr>
        <w:t xml:space="preserve"> (</w:t>
      </w:r>
      <w:r w:rsidR="00352110" w:rsidRPr="00594B6C">
        <w:t>Plutus Education</w:t>
      </w:r>
      <w:r w:rsidR="00352110">
        <w:t>, 2025)</w:t>
      </w:r>
      <w:r>
        <w:rPr>
          <w:lang w:val="en-US"/>
        </w:rPr>
        <w:t>.</w:t>
      </w:r>
      <w:r w:rsidR="00E13B4B" w:rsidRPr="005F2A94">
        <w:rPr>
          <w:lang w:val="en-US"/>
        </w:rPr>
        <w:br w:type="page"/>
      </w:r>
    </w:p>
    <w:p w14:paraId="6DD9468D" w14:textId="00E0A615" w:rsidR="00E13B4B" w:rsidRDefault="00E13B4B" w:rsidP="00582589">
      <w:pPr>
        <w:pStyle w:val="Heading1"/>
        <w:spacing w:line="360" w:lineRule="auto"/>
        <w:rPr>
          <w:lang w:val="en-US"/>
        </w:rPr>
      </w:pPr>
      <w:bookmarkStart w:id="25" w:name="_Toc219050365"/>
      <w:r>
        <w:rPr>
          <w:lang w:val="en-US"/>
        </w:rPr>
        <w:lastRenderedPageBreak/>
        <w:t>Conclusion</w:t>
      </w:r>
      <w:bookmarkEnd w:id="25"/>
    </w:p>
    <w:p w14:paraId="538B7345" w14:textId="05810110" w:rsidR="00E13B4B" w:rsidRDefault="00D31577" w:rsidP="00374BDF">
      <w:pPr>
        <w:spacing w:line="360" w:lineRule="auto"/>
        <w:rPr>
          <w:lang w:val="en-US"/>
        </w:rPr>
      </w:pPr>
      <w:r>
        <w:rPr>
          <w:lang w:val="en-US"/>
        </w:rPr>
        <w:t xml:space="preserve">In this comprehensive financial analysis of both Standard Chartered PLC and Westward PLC, </w:t>
      </w:r>
      <w:r w:rsidR="00C96872">
        <w:rPr>
          <w:lang w:val="en-US"/>
        </w:rPr>
        <w:t xml:space="preserve">the importance of rigorous analytical frameworks has been established effectively. </w:t>
      </w:r>
      <w:r w:rsidR="00782A5F">
        <w:rPr>
          <w:lang w:val="en-US"/>
        </w:rPr>
        <w:t xml:space="preserve">The evaluation of organisational performance and allocation of resources </w:t>
      </w:r>
      <w:r w:rsidR="001A4103">
        <w:rPr>
          <w:lang w:val="en-US"/>
        </w:rPr>
        <w:t>has</w:t>
      </w:r>
      <w:r w:rsidR="00782A5F">
        <w:rPr>
          <w:lang w:val="en-US"/>
        </w:rPr>
        <w:t xml:space="preserve"> been undertaken effectively. </w:t>
      </w:r>
      <w:r w:rsidR="00777D27">
        <w:rPr>
          <w:lang w:val="en-US"/>
        </w:rPr>
        <w:t xml:space="preserve">The dual examination of two different companies in line with fundamental financial principles has provided </w:t>
      </w:r>
      <w:r w:rsidR="001A4103">
        <w:rPr>
          <w:lang w:val="en-US"/>
        </w:rPr>
        <w:t>the</w:t>
      </w:r>
      <w:r w:rsidR="00777D27">
        <w:rPr>
          <w:lang w:val="en-US"/>
        </w:rPr>
        <w:t xml:space="preserve"> necessary guidance to navigate the complexities found in the implementation processes. </w:t>
      </w:r>
      <w:r w:rsidR="00612045">
        <w:rPr>
          <w:lang w:val="en-US"/>
        </w:rPr>
        <w:t xml:space="preserve">From the financial performance analysis of Standard Chartered PLC, </w:t>
      </w:r>
      <w:r w:rsidR="00C4307C">
        <w:rPr>
          <w:lang w:val="en-US"/>
        </w:rPr>
        <w:t>substantial progress has been identified across the board</w:t>
      </w:r>
      <w:r w:rsidR="001A4103">
        <w:rPr>
          <w:lang w:val="en-US"/>
        </w:rPr>
        <w:t>,</w:t>
      </w:r>
      <w:r w:rsidR="00C4307C">
        <w:rPr>
          <w:lang w:val="en-US"/>
        </w:rPr>
        <w:t xml:space="preserve"> including profitability, efficiency, gearing, liquidity and </w:t>
      </w:r>
      <w:r w:rsidR="001A4103">
        <w:rPr>
          <w:lang w:val="en-US"/>
        </w:rPr>
        <w:t>investors'</w:t>
      </w:r>
      <w:r w:rsidR="00C4307C">
        <w:rPr>
          <w:lang w:val="en-US"/>
        </w:rPr>
        <w:t xml:space="preserve"> ratio. </w:t>
      </w:r>
      <w:r w:rsidR="00085E7F">
        <w:rPr>
          <w:lang w:val="en-US"/>
        </w:rPr>
        <w:t xml:space="preserve">On one hand, </w:t>
      </w:r>
      <w:r w:rsidR="001A4103">
        <w:rPr>
          <w:lang w:val="en-US"/>
        </w:rPr>
        <w:t xml:space="preserve">the </w:t>
      </w:r>
      <w:r w:rsidR="00085E7F">
        <w:rPr>
          <w:lang w:val="en-US"/>
        </w:rPr>
        <w:t xml:space="preserve">cost-to-income ratio has </w:t>
      </w:r>
      <w:r w:rsidR="001A4103">
        <w:rPr>
          <w:lang w:val="en-US"/>
        </w:rPr>
        <w:t>increased</w:t>
      </w:r>
      <w:r w:rsidR="00085E7F">
        <w:rPr>
          <w:lang w:val="en-US"/>
        </w:rPr>
        <w:t xml:space="preserve"> to 59.4% and on </w:t>
      </w:r>
      <w:r w:rsidR="001A4103">
        <w:rPr>
          <w:lang w:val="en-US"/>
        </w:rPr>
        <w:t xml:space="preserve">the </w:t>
      </w:r>
      <w:r w:rsidR="00085E7F">
        <w:rPr>
          <w:lang w:val="en-US"/>
        </w:rPr>
        <w:t xml:space="preserve">other hand, capital positioning has strengthened to 14.2% of </w:t>
      </w:r>
      <w:r w:rsidR="001A4103">
        <w:rPr>
          <w:lang w:val="en-US"/>
        </w:rPr>
        <w:t xml:space="preserve">the </w:t>
      </w:r>
      <w:r w:rsidR="00085E7F">
        <w:rPr>
          <w:lang w:val="en-US"/>
        </w:rPr>
        <w:t xml:space="preserve">CET1 ratio. </w:t>
      </w:r>
      <w:r w:rsidR="00E778B5">
        <w:rPr>
          <w:lang w:val="en-US"/>
        </w:rPr>
        <w:t xml:space="preserve">While doing all these, the company has also distributed a </w:t>
      </w:r>
      <w:r w:rsidR="00D847AC">
        <w:rPr>
          <w:lang w:val="en-US"/>
        </w:rPr>
        <w:t>record shareholder distribution</w:t>
      </w:r>
      <w:r w:rsidR="00E778B5">
        <w:rPr>
          <w:lang w:val="en-US"/>
        </w:rPr>
        <w:t xml:space="preserve"> amounting to 4.9 billion USD</w:t>
      </w:r>
      <w:r w:rsidR="00295A47">
        <w:rPr>
          <w:lang w:val="en-US"/>
        </w:rPr>
        <w:t xml:space="preserve">. </w:t>
      </w:r>
      <w:r w:rsidR="00D847AC">
        <w:rPr>
          <w:lang w:val="en-US"/>
        </w:rPr>
        <w:t xml:space="preserve">The </w:t>
      </w:r>
      <w:r w:rsidR="001A4103">
        <w:rPr>
          <w:lang w:val="en-US"/>
        </w:rPr>
        <w:t>reasoning</w:t>
      </w:r>
      <w:r w:rsidR="00D847AC">
        <w:rPr>
          <w:lang w:val="en-US"/>
        </w:rPr>
        <w:t xml:space="preserve"> behind each of the improvements has already been delivered</w:t>
      </w:r>
      <w:r w:rsidR="001A4103">
        <w:rPr>
          <w:lang w:val="en-US"/>
        </w:rPr>
        <w:t>,</w:t>
      </w:r>
      <w:r w:rsidR="00D847AC">
        <w:rPr>
          <w:lang w:val="en-US"/>
        </w:rPr>
        <w:t xml:space="preserve"> while the inherent limitations of ratio analysis have also been depicted</w:t>
      </w:r>
      <w:r w:rsidR="001A4103">
        <w:rPr>
          <w:lang w:val="en-US"/>
        </w:rPr>
        <w:t>,</w:t>
      </w:r>
      <w:r w:rsidR="00177A5D">
        <w:rPr>
          <w:lang w:val="en-US"/>
        </w:rPr>
        <w:t xml:space="preserve"> which showcased </w:t>
      </w:r>
      <w:r w:rsidR="001A4103">
        <w:rPr>
          <w:lang w:val="en-US"/>
        </w:rPr>
        <w:t xml:space="preserve">that </w:t>
      </w:r>
      <w:r w:rsidR="00177A5D">
        <w:rPr>
          <w:lang w:val="en-US"/>
        </w:rPr>
        <w:t>the use of historical data limits the forward-looking capacity of an organisation</w:t>
      </w:r>
      <w:r w:rsidR="001A4103">
        <w:rPr>
          <w:lang w:val="en-US"/>
        </w:rPr>
        <w:t>,</w:t>
      </w:r>
      <w:r w:rsidR="00BC3D36">
        <w:rPr>
          <w:lang w:val="en-US"/>
        </w:rPr>
        <w:t xml:space="preserve"> as well as accounting policies affect comparability and other areas of </w:t>
      </w:r>
      <w:r w:rsidR="001A4103">
        <w:rPr>
          <w:lang w:val="en-US"/>
        </w:rPr>
        <w:t>interest</w:t>
      </w:r>
      <w:r w:rsidR="00BC3D36">
        <w:rPr>
          <w:lang w:val="en-US"/>
        </w:rPr>
        <w:t xml:space="preserve">, as well. </w:t>
      </w:r>
      <w:r w:rsidR="00E0280C">
        <w:rPr>
          <w:lang w:val="en-US"/>
        </w:rPr>
        <w:t xml:space="preserve">Overall, the financial performance and health of Standard Chartered PLC have been found to be improving from 2023 to 2024. </w:t>
      </w:r>
      <w:r w:rsidR="007415F2">
        <w:rPr>
          <w:lang w:val="en-US"/>
        </w:rPr>
        <w:t>Now, the investment appraisal of the three options of Westward PLC has identified option B as the most value-generating choice for the company to make. The decision has come to be with the use of both NPV and IRR</w:t>
      </w:r>
      <w:r w:rsidR="001A4103">
        <w:rPr>
          <w:lang w:val="en-US"/>
        </w:rPr>
        <w:t>,</w:t>
      </w:r>
      <w:r w:rsidR="007415F2">
        <w:rPr>
          <w:lang w:val="en-US"/>
        </w:rPr>
        <w:t xml:space="preserve"> as NPV has resulted in almost 800,000 Pounds at 6% discount rate</w:t>
      </w:r>
      <w:r w:rsidR="001A4103">
        <w:rPr>
          <w:lang w:val="en-US"/>
        </w:rPr>
        <w:t>,</w:t>
      </w:r>
      <w:r w:rsidR="007415F2">
        <w:rPr>
          <w:lang w:val="en-US"/>
        </w:rPr>
        <w:t xml:space="preserve"> which is the highest of all options available</w:t>
      </w:r>
      <w:r w:rsidR="001A4103">
        <w:rPr>
          <w:lang w:val="en-US"/>
        </w:rPr>
        <w:t>,</w:t>
      </w:r>
      <w:r w:rsidR="007415F2">
        <w:rPr>
          <w:lang w:val="en-US"/>
        </w:rPr>
        <w:t xml:space="preserve"> with almost 34% internal rate of return, exceeding the minimum cost of capital at 6%. </w:t>
      </w:r>
      <w:r w:rsidR="00AA12F4">
        <w:rPr>
          <w:lang w:val="en-US"/>
        </w:rPr>
        <w:t xml:space="preserve">Moreover, the latter part of the report also contained </w:t>
      </w:r>
      <w:r w:rsidR="001A4103">
        <w:rPr>
          <w:lang w:val="en-US"/>
        </w:rPr>
        <w:t xml:space="preserve">a </w:t>
      </w:r>
      <w:r w:rsidR="00AA12F4">
        <w:rPr>
          <w:lang w:val="en-US"/>
        </w:rPr>
        <w:t xml:space="preserve">description </w:t>
      </w:r>
      <w:r w:rsidR="001A4103">
        <w:rPr>
          <w:lang w:val="en-US"/>
        </w:rPr>
        <w:t>of</w:t>
      </w:r>
      <w:r w:rsidR="00AA12F4">
        <w:rPr>
          <w:lang w:val="en-US"/>
        </w:rPr>
        <w:t xml:space="preserve"> the superiority of net present value, the continued popularity of non-discounting methods, capital rationing and the sources available to the company to fund its investment projects.</w:t>
      </w:r>
      <w:r w:rsidR="00E13B4B">
        <w:rPr>
          <w:lang w:val="en-US"/>
        </w:rPr>
        <w:br w:type="page"/>
      </w:r>
    </w:p>
    <w:p w14:paraId="27D1F56F" w14:textId="3A4E610B" w:rsidR="00E13B4B" w:rsidRDefault="00E13B4B" w:rsidP="00582589">
      <w:pPr>
        <w:pStyle w:val="Heading1"/>
        <w:spacing w:line="360" w:lineRule="auto"/>
        <w:rPr>
          <w:lang w:val="en-US"/>
        </w:rPr>
      </w:pPr>
      <w:bookmarkStart w:id="26" w:name="_Toc219050366"/>
      <w:r>
        <w:rPr>
          <w:lang w:val="en-US"/>
        </w:rPr>
        <w:lastRenderedPageBreak/>
        <w:t>References</w:t>
      </w:r>
      <w:bookmarkEnd w:id="26"/>
    </w:p>
    <w:p w14:paraId="66E8150E" w14:textId="77777777" w:rsidR="00861CB4" w:rsidRPr="00530CE5" w:rsidRDefault="00861CB4" w:rsidP="00861CB4">
      <w:pPr>
        <w:spacing w:line="360" w:lineRule="auto"/>
      </w:pPr>
      <w:r w:rsidRPr="00530CE5">
        <w:t>ACCA (2024) 'Investment appraisal', Available at: </w:t>
      </w:r>
      <w:hyperlink r:id="rId15" w:tgtFrame="_blank" w:history="1">
        <w:r w:rsidRPr="00530CE5">
          <w:rPr>
            <w:rStyle w:val="Hyperlink"/>
          </w:rPr>
          <w:t>https://www.accaglobal.com/gb/en/student/exam-support-resources/prodipsust-study-resources/technical-articles/investment-appraisal.html</w:t>
        </w:r>
      </w:hyperlink>
    </w:p>
    <w:p w14:paraId="707CBA23" w14:textId="77777777" w:rsidR="00861CB4" w:rsidRDefault="00861CB4" w:rsidP="00861CB4">
      <w:pPr>
        <w:spacing w:line="360" w:lineRule="auto"/>
      </w:pPr>
      <w:r w:rsidRPr="0025394B">
        <w:t>Al Karim, R. and Alam, T.</w:t>
      </w:r>
      <w:r>
        <w:t xml:space="preserve"> (</w:t>
      </w:r>
      <w:r w:rsidRPr="0025394B">
        <w:t>2013</w:t>
      </w:r>
      <w:r>
        <w:t>)</w:t>
      </w:r>
      <w:r w:rsidRPr="0025394B">
        <w:t xml:space="preserve"> An evaluation of financial performance of private commercial banks in Bangladesh: Ratio analysis. </w:t>
      </w:r>
      <w:r w:rsidRPr="00861CB4">
        <w:rPr>
          <w:i/>
          <w:iCs/>
        </w:rPr>
        <w:t>Journal of Business Studies Quarterly</w:t>
      </w:r>
      <w:r w:rsidRPr="0025394B">
        <w:t>, </w:t>
      </w:r>
      <w:r w:rsidRPr="00861CB4">
        <w:rPr>
          <w:i/>
          <w:iCs/>
        </w:rPr>
        <w:t>5</w:t>
      </w:r>
      <w:r w:rsidRPr="0025394B">
        <w:t>(2), p.65.</w:t>
      </w:r>
    </w:p>
    <w:p w14:paraId="7BFDBACF" w14:textId="77777777" w:rsidR="00861CB4" w:rsidRPr="00530CE5" w:rsidRDefault="00861CB4" w:rsidP="00861CB4">
      <w:pPr>
        <w:spacing w:line="360" w:lineRule="auto"/>
      </w:pPr>
      <w:r w:rsidRPr="00530CE5">
        <w:t>Alarussi, A.S.A. (2021)</w:t>
      </w:r>
      <w:r>
        <w:t>.</w:t>
      </w:r>
      <w:r w:rsidRPr="00530CE5">
        <w:t xml:space="preserve"> Financial ratios and efficiency in Malaysian listed companies. </w:t>
      </w:r>
      <w:r w:rsidRPr="00861CB4">
        <w:rPr>
          <w:i/>
          <w:iCs/>
        </w:rPr>
        <w:t>Asian Journal of Economics and Banking</w:t>
      </w:r>
      <w:r w:rsidRPr="00530CE5">
        <w:t>, </w:t>
      </w:r>
      <w:r w:rsidRPr="00861CB4">
        <w:rPr>
          <w:i/>
          <w:iCs/>
        </w:rPr>
        <w:t>5</w:t>
      </w:r>
      <w:r w:rsidRPr="00530CE5">
        <w:t>(2), pp.116-135.</w:t>
      </w:r>
    </w:p>
    <w:p w14:paraId="4FF49F32" w14:textId="77777777" w:rsidR="00861CB4" w:rsidRDefault="00861CB4" w:rsidP="00861CB4">
      <w:pPr>
        <w:spacing w:line="360" w:lineRule="auto"/>
      </w:pPr>
      <w:r w:rsidRPr="0025394B">
        <w:t>Anithabose, S. and Gnanaraj, G.</w:t>
      </w:r>
      <w:r>
        <w:t xml:space="preserve"> (</w:t>
      </w:r>
      <w:r w:rsidRPr="0025394B">
        <w:t>2020</w:t>
      </w:r>
      <w:r>
        <w:t>)</w:t>
      </w:r>
      <w:r w:rsidRPr="0025394B">
        <w:t xml:space="preserve"> Financial performance evaluation based on economic value added and financial ratios: An empirical study. </w:t>
      </w:r>
      <w:r w:rsidRPr="00861CB4">
        <w:rPr>
          <w:i/>
          <w:iCs/>
        </w:rPr>
        <w:t>International Journal of Management (IJM), 11 (10)</w:t>
      </w:r>
      <w:r w:rsidRPr="0025394B">
        <w:t>, pp.2278-2289.</w:t>
      </w:r>
    </w:p>
    <w:p w14:paraId="768C0EB6" w14:textId="77777777" w:rsidR="00861CB4" w:rsidRDefault="00861CB4" w:rsidP="00861CB4">
      <w:pPr>
        <w:spacing w:line="360" w:lineRule="auto"/>
      </w:pPr>
      <w:r w:rsidRPr="00861CB4">
        <w:t>Arshad, A.</w:t>
      </w:r>
      <w:r>
        <w:t xml:space="preserve"> (</w:t>
      </w:r>
      <w:r w:rsidRPr="00861CB4">
        <w:t>2012</w:t>
      </w:r>
      <w:r>
        <w:t>)</w:t>
      </w:r>
      <w:r w:rsidRPr="00861CB4">
        <w:t xml:space="preserve"> Net present value is better than internal rate of return. </w:t>
      </w:r>
      <w:r w:rsidRPr="00861CB4">
        <w:rPr>
          <w:i/>
          <w:iCs/>
        </w:rPr>
        <w:t>Interdisciplinary journal of contemporary research in business</w:t>
      </w:r>
      <w:r w:rsidRPr="00861CB4">
        <w:t>, </w:t>
      </w:r>
      <w:r w:rsidRPr="00861CB4">
        <w:rPr>
          <w:i/>
          <w:iCs/>
        </w:rPr>
        <w:t>4</w:t>
      </w:r>
      <w:r w:rsidRPr="00861CB4">
        <w:t>(8), pp.211-219.</w:t>
      </w:r>
    </w:p>
    <w:p w14:paraId="761D5C3E" w14:textId="77777777" w:rsidR="00861CB4" w:rsidRPr="00530CE5" w:rsidRDefault="00861CB4" w:rsidP="00861CB4">
      <w:pPr>
        <w:spacing w:line="360" w:lineRule="auto"/>
      </w:pPr>
      <w:r w:rsidRPr="00530CE5">
        <w:t>Asian Banking and Finance (2025) 'Standard Chartered's profit up 17% to $4.04b in 2024', Available at: </w:t>
      </w:r>
      <w:hyperlink r:id="rId16" w:tgtFrame="_blank" w:history="1">
        <w:r w:rsidRPr="00530CE5">
          <w:rPr>
            <w:rStyle w:val="Hyperlink"/>
          </w:rPr>
          <w:t>https://asianbankingandfinance.net/retail-banking/news/standard-chartereds-profit-17-404b-in-2024</w:t>
        </w:r>
      </w:hyperlink>
    </w:p>
    <w:p w14:paraId="5F68A7BD" w14:textId="77777777" w:rsidR="00861CB4" w:rsidRDefault="00861CB4" w:rsidP="00861CB4">
      <w:pPr>
        <w:spacing w:line="360" w:lineRule="auto"/>
      </w:pPr>
      <w:r w:rsidRPr="0025394B">
        <w:t>Babalola, Y.A. and Abiola, F.R.</w:t>
      </w:r>
      <w:r>
        <w:t xml:space="preserve"> (</w:t>
      </w:r>
      <w:r w:rsidRPr="0025394B">
        <w:t>2013</w:t>
      </w:r>
      <w:r>
        <w:t>)</w:t>
      </w:r>
      <w:r w:rsidRPr="0025394B">
        <w:t xml:space="preserve"> Financial ratio analysis of firms: A tool for decision making. </w:t>
      </w:r>
      <w:r w:rsidRPr="00861CB4">
        <w:rPr>
          <w:i/>
          <w:iCs/>
        </w:rPr>
        <w:t>International journal of management sciences</w:t>
      </w:r>
      <w:r w:rsidRPr="0025394B">
        <w:t>, </w:t>
      </w:r>
      <w:r w:rsidRPr="00861CB4">
        <w:rPr>
          <w:i/>
          <w:iCs/>
        </w:rPr>
        <w:t>1</w:t>
      </w:r>
      <w:r w:rsidRPr="0025394B">
        <w:t>(4), pp.132-137.</w:t>
      </w:r>
    </w:p>
    <w:p w14:paraId="4CF7E92F" w14:textId="77777777" w:rsidR="00861CB4" w:rsidRDefault="00861CB4" w:rsidP="00861CB4">
      <w:pPr>
        <w:spacing w:line="360" w:lineRule="auto"/>
      </w:pPr>
      <w:r w:rsidRPr="0025394B">
        <w:t>Bansal, R.</w:t>
      </w:r>
      <w:r>
        <w:t xml:space="preserve"> (</w:t>
      </w:r>
      <w:r w:rsidRPr="0025394B">
        <w:t>2014</w:t>
      </w:r>
      <w:r>
        <w:t>)</w:t>
      </w:r>
      <w:r w:rsidRPr="0025394B">
        <w:t xml:space="preserve"> A Comparative Analysis of the Financial Ratios of Selected Banks in the India for the period of 2011-2014. </w:t>
      </w:r>
      <w:r w:rsidRPr="00861CB4">
        <w:rPr>
          <w:i/>
          <w:iCs/>
        </w:rPr>
        <w:t>Research Journal of Finance and Accounting</w:t>
      </w:r>
      <w:r w:rsidRPr="0025394B">
        <w:t>, </w:t>
      </w:r>
      <w:r w:rsidRPr="00861CB4">
        <w:rPr>
          <w:i/>
          <w:iCs/>
        </w:rPr>
        <w:t>5</w:t>
      </w:r>
      <w:r w:rsidRPr="0025394B">
        <w:t>(19), pp.153-167.</w:t>
      </w:r>
    </w:p>
    <w:p w14:paraId="5DB97CA6" w14:textId="77777777" w:rsidR="00861CB4" w:rsidRDefault="00861CB4" w:rsidP="00861CB4">
      <w:pPr>
        <w:spacing w:line="360" w:lineRule="auto"/>
      </w:pPr>
      <w:r w:rsidRPr="00861CB4">
        <w:t>Bas, E.</w:t>
      </w:r>
      <w:r>
        <w:t xml:space="preserve"> (</w:t>
      </w:r>
      <w:r w:rsidRPr="00861CB4">
        <w:t>2013</w:t>
      </w:r>
      <w:r>
        <w:t>)</w:t>
      </w:r>
      <w:r w:rsidRPr="00861CB4">
        <w:t xml:space="preserve"> A robust approach to the decision rules of NPV and IRR for simple projects. </w:t>
      </w:r>
      <w:r w:rsidRPr="00861CB4">
        <w:rPr>
          <w:i/>
          <w:iCs/>
        </w:rPr>
        <w:t>Applied Mathematics and Computation</w:t>
      </w:r>
      <w:r w:rsidRPr="00861CB4">
        <w:t>, </w:t>
      </w:r>
      <w:r w:rsidRPr="00861CB4">
        <w:rPr>
          <w:i/>
          <w:iCs/>
        </w:rPr>
        <w:t>219</w:t>
      </w:r>
      <w:r w:rsidRPr="00861CB4">
        <w:t>(11), pp.5901-5908.</w:t>
      </w:r>
    </w:p>
    <w:p w14:paraId="2FEFDE92" w14:textId="77777777" w:rsidR="00861CB4" w:rsidRDefault="00861CB4" w:rsidP="00861CB4">
      <w:pPr>
        <w:spacing w:line="360" w:lineRule="auto"/>
      </w:pPr>
      <w:r w:rsidRPr="00861CB4">
        <w:t>Ben-Horin, M. and Kroll, Y.</w:t>
      </w:r>
      <w:r>
        <w:t xml:space="preserve"> (</w:t>
      </w:r>
      <w:r w:rsidRPr="00861CB4">
        <w:t>2017</w:t>
      </w:r>
      <w:r>
        <w:t>)</w:t>
      </w:r>
      <w:r w:rsidRPr="00861CB4">
        <w:t xml:space="preserve"> A simple intuitive NPV-IRR consistent ranking. </w:t>
      </w:r>
      <w:r w:rsidRPr="00861CB4">
        <w:rPr>
          <w:i/>
          <w:iCs/>
        </w:rPr>
        <w:t>The Quarterly Review of Economics and Finance</w:t>
      </w:r>
      <w:r w:rsidRPr="00861CB4">
        <w:t>, </w:t>
      </w:r>
      <w:r w:rsidRPr="00861CB4">
        <w:rPr>
          <w:i/>
          <w:iCs/>
        </w:rPr>
        <w:t>66</w:t>
      </w:r>
      <w:r w:rsidRPr="00861CB4">
        <w:t>, pp.108-114.</w:t>
      </w:r>
    </w:p>
    <w:p w14:paraId="203A60F5" w14:textId="77777777" w:rsidR="00861CB4" w:rsidRDefault="00861CB4" w:rsidP="00861CB4">
      <w:pPr>
        <w:spacing w:line="360" w:lineRule="auto"/>
      </w:pPr>
      <w:r w:rsidRPr="00861CB4">
        <w:t>Bosri, R.</w:t>
      </w:r>
      <w:r>
        <w:t xml:space="preserve"> (</w:t>
      </w:r>
      <w:r w:rsidRPr="00861CB4">
        <w:t>2016</w:t>
      </w:r>
      <w:r>
        <w:t>)</w:t>
      </w:r>
      <w:r w:rsidRPr="00861CB4">
        <w:t xml:space="preserve"> Evaluation of managerial techniques: NPV and IRR. </w:t>
      </w:r>
      <w:r w:rsidRPr="00861CB4">
        <w:rPr>
          <w:i/>
          <w:iCs/>
        </w:rPr>
        <w:t>UITS journal</w:t>
      </w:r>
      <w:r w:rsidRPr="00861CB4">
        <w:t>, </w:t>
      </w:r>
      <w:r w:rsidRPr="00861CB4">
        <w:rPr>
          <w:i/>
          <w:iCs/>
        </w:rPr>
        <w:t>5</w:t>
      </w:r>
      <w:r w:rsidRPr="00861CB4">
        <w:t>(1), pp.48-57.</w:t>
      </w:r>
    </w:p>
    <w:p w14:paraId="7AA64947" w14:textId="77777777" w:rsidR="00861CB4" w:rsidRPr="00530CE5" w:rsidRDefault="00861CB4" w:rsidP="00861CB4">
      <w:pPr>
        <w:spacing w:line="360" w:lineRule="auto"/>
      </w:pPr>
      <w:r w:rsidRPr="00530CE5">
        <w:t>Brotman, B.A. (2022)</w:t>
      </w:r>
      <w:r>
        <w:t>.</w:t>
      </w:r>
      <w:r w:rsidRPr="00530CE5">
        <w:t xml:space="preserve"> Property investor decisions using income and rental ratio signals. </w:t>
      </w:r>
      <w:r w:rsidRPr="00861CB4">
        <w:rPr>
          <w:i/>
          <w:iCs/>
        </w:rPr>
        <w:t>Journal of Property Investment &amp; Finance</w:t>
      </w:r>
      <w:r w:rsidRPr="00530CE5">
        <w:t>, </w:t>
      </w:r>
      <w:r w:rsidRPr="00861CB4">
        <w:rPr>
          <w:i/>
          <w:iCs/>
        </w:rPr>
        <w:t>40</w:t>
      </w:r>
      <w:r w:rsidRPr="00530CE5">
        <w:t>(1), pp.2-13.</w:t>
      </w:r>
    </w:p>
    <w:p w14:paraId="5856246C" w14:textId="77777777" w:rsidR="00861CB4" w:rsidRDefault="00861CB4" w:rsidP="00861CB4">
      <w:pPr>
        <w:spacing w:line="360" w:lineRule="auto"/>
      </w:pPr>
      <w:r w:rsidRPr="00861CB4">
        <w:lastRenderedPageBreak/>
        <w:t>Dai, H., Li, N., Wang, Y. and Zhao, X.</w:t>
      </w:r>
      <w:r>
        <w:t xml:space="preserve"> (</w:t>
      </w:r>
      <w:r w:rsidRPr="00861CB4">
        <w:t>2022</w:t>
      </w:r>
      <w:r>
        <w:t>)</w:t>
      </w:r>
      <w:r w:rsidRPr="00861CB4">
        <w:t xml:space="preserve"> The analysis of three main investment criteria: NPV IRR and payback period. In </w:t>
      </w:r>
      <w:r w:rsidRPr="00861CB4">
        <w:rPr>
          <w:i/>
          <w:iCs/>
        </w:rPr>
        <w:t>2022 7th International Conference on Financial Innovation and Economic Development (ICFIED 2022)</w:t>
      </w:r>
      <w:r w:rsidRPr="00861CB4">
        <w:t> (pp. 185-189). Atlantis Press.</w:t>
      </w:r>
    </w:p>
    <w:p w14:paraId="7BC03858" w14:textId="77777777" w:rsidR="00861CB4" w:rsidRPr="00530CE5" w:rsidRDefault="00861CB4" w:rsidP="00861CB4">
      <w:pPr>
        <w:spacing w:line="360" w:lineRule="auto"/>
      </w:pPr>
      <w:r w:rsidRPr="00530CE5">
        <w:t>Effendie, J.M., Manafe, H.A. and Man, S. (2022)</w:t>
      </w:r>
      <w:r>
        <w:t>.</w:t>
      </w:r>
      <w:r w:rsidRPr="00530CE5">
        <w:t xml:space="preserve"> Analysis of the Effect of Liquidity Ratios, Solvency and Activity on the Financial Performance of the Company (Literature Review of Corporate Financial Management). </w:t>
      </w:r>
      <w:r w:rsidRPr="00861CB4">
        <w:rPr>
          <w:i/>
          <w:iCs/>
        </w:rPr>
        <w:t>Dinasti International Journal of Economics, Finance &amp; Accounting (DIJEFA)</w:t>
      </w:r>
      <w:r w:rsidRPr="00530CE5">
        <w:t>, </w:t>
      </w:r>
      <w:r w:rsidRPr="00861CB4">
        <w:rPr>
          <w:i/>
          <w:iCs/>
        </w:rPr>
        <w:t>3</w:t>
      </w:r>
      <w:r w:rsidRPr="00530CE5">
        <w:t>(5).</w:t>
      </w:r>
    </w:p>
    <w:p w14:paraId="183E8481" w14:textId="77777777" w:rsidR="00861CB4" w:rsidRDefault="00861CB4" w:rsidP="00861CB4">
      <w:pPr>
        <w:spacing w:line="360" w:lineRule="auto"/>
      </w:pPr>
      <w:r w:rsidRPr="0025394B">
        <w:t>Faruk, H. and Habib, A.</w:t>
      </w:r>
      <w:r>
        <w:t xml:space="preserve"> (</w:t>
      </w:r>
      <w:r w:rsidRPr="0025394B">
        <w:t>2010</w:t>
      </w:r>
      <w:r>
        <w:t xml:space="preserve">) </w:t>
      </w:r>
      <w:r w:rsidRPr="00861CB4">
        <w:rPr>
          <w:i/>
          <w:iCs/>
        </w:rPr>
        <w:t>Performance evaluation and ratio analysis of Pharmaceutical Company in Bangladesh</w:t>
      </w:r>
      <w:r w:rsidRPr="0025394B">
        <w:t>.</w:t>
      </w:r>
    </w:p>
    <w:p w14:paraId="316DF825" w14:textId="77777777" w:rsidR="00861CB4" w:rsidRPr="00530CE5" w:rsidRDefault="00861CB4" w:rsidP="00861CB4">
      <w:pPr>
        <w:spacing w:line="360" w:lineRule="auto"/>
      </w:pPr>
      <w:r w:rsidRPr="00530CE5">
        <w:t>FasterCapital (2025)</w:t>
      </w:r>
      <w:r>
        <w:t xml:space="preserve">. </w:t>
      </w:r>
      <w:r w:rsidRPr="00530CE5">
        <w:t xml:space="preserve">Advantages </w:t>
      </w:r>
      <w:r>
        <w:t>and</w:t>
      </w:r>
      <w:r w:rsidRPr="00530CE5">
        <w:t xml:space="preserve"> Disadvantages </w:t>
      </w:r>
      <w:r>
        <w:t>of</w:t>
      </w:r>
      <w:r w:rsidRPr="00530CE5">
        <w:t xml:space="preserve"> Using Net Present Value As A Capital Budgeting Method, Available at: </w:t>
      </w:r>
      <w:hyperlink r:id="rId17" w:tgtFrame="_blank" w:history="1">
        <w:r w:rsidRPr="00530CE5">
          <w:rPr>
            <w:rStyle w:val="Hyperlink"/>
          </w:rPr>
          <w:t>https://fastercapital.com/topics/advantages-and-disadvantages-of-using-net-present-value-as-a-capital-budgeting-method.html</w:t>
        </w:r>
      </w:hyperlink>
    </w:p>
    <w:p w14:paraId="62D56E85" w14:textId="77777777" w:rsidR="00861CB4" w:rsidRPr="00530CE5" w:rsidRDefault="00861CB4" w:rsidP="00861CB4">
      <w:pPr>
        <w:spacing w:line="360" w:lineRule="auto"/>
      </w:pPr>
      <w:r w:rsidRPr="00530CE5">
        <w:t xml:space="preserve">Gautam, S. and Purohit, A. (2024) DEBT OR RETAINED EARNINGS: </w:t>
      </w:r>
      <w:r>
        <w:t>WHICH</w:t>
      </w:r>
      <w:r w:rsidRPr="00530CE5">
        <w:t xml:space="preserve"> IS OPTIMUM FOR THE GROWTH OF THE FIRM. </w:t>
      </w:r>
      <w:r w:rsidRPr="00861CB4">
        <w:rPr>
          <w:i/>
          <w:iCs/>
        </w:rPr>
        <w:t>Russian Law Journal</w:t>
      </w:r>
      <w:r w:rsidRPr="00530CE5">
        <w:t>, </w:t>
      </w:r>
      <w:r w:rsidRPr="00861CB4">
        <w:rPr>
          <w:i/>
          <w:iCs/>
        </w:rPr>
        <w:t>12</w:t>
      </w:r>
      <w:r w:rsidRPr="00530CE5">
        <w:t>(1), pp.125-129.</w:t>
      </w:r>
    </w:p>
    <w:p w14:paraId="30FDBE4E" w14:textId="77777777" w:rsidR="00861CB4" w:rsidRDefault="00861CB4" w:rsidP="00861CB4">
      <w:pPr>
        <w:spacing w:line="360" w:lineRule="auto"/>
      </w:pPr>
      <w:r w:rsidRPr="00861CB4">
        <w:t>Harris, E.P. and El-Massri, M.</w:t>
      </w:r>
      <w:r>
        <w:t xml:space="preserve"> (</w:t>
      </w:r>
      <w:r w:rsidRPr="00861CB4">
        <w:t>2011</w:t>
      </w:r>
      <w:r>
        <w:t>)</w:t>
      </w:r>
      <w:r w:rsidRPr="00861CB4">
        <w:t xml:space="preserve"> Capital investment appraisal. In </w:t>
      </w:r>
      <w:r w:rsidRPr="00861CB4">
        <w:rPr>
          <w:i/>
          <w:iCs/>
        </w:rPr>
        <w:t>Review of management accounting research</w:t>
      </w:r>
      <w:r w:rsidRPr="00861CB4">
        <w:t> (pp. 343-377). London: Palgrave Macmillan UK.</w:t>
      </w:r>
    </w:p>
    <w:p w14:paraId="117A95F3" w14:textId="77777777" w:rsidR="00861CB4" w:rsidRDefault="00861CB4" w:rsidP="00861CB4">
      <w:pPr>
        <w:spacing w:line="360" w:lineRule="auto"/>
      </w:pPr>
      <w:r w:rsidRPr="0025394B">
        <w:t>Hasidi, M.H., Baheri, J. and Hajar, K.I.</w:t>
      </w:r>
      <w:r>
        <w:t xml:space="preserve"> (</w:t>
      </w:r>
      <w:r w:rsidRPr="0025394B">
        <w:t>2024</w:t>
      </w:r>
      <w:r>
        <w:t>)</w:t>
      </w:r>
      <w:r w:rsidRPr="0025394B">
        <w:t xml:space="preserve"> Financial performance evaluation using profitability and liquidity ratio analysis.</w:t>
      </w:r>
    </w:p>
    <w:p w14:paraId="26D73610" w14:textId="77777777" w:rsidR="00861CB4" w:rsidRDefault="00861CB4" w:rsidP="00861CB4">
      <w:pPr>
        <w:spacing w:line="360" w:lineRule="auto"/>
      </w:pPr>
      <w:r w:rsidRPr="0025394B">
        <w:t>Hassan, M.</w:t>
      </w:r>
      <w:r>
        <w:t xml:space="preserve"> (</w:t>
      </w:r>
      <w:r w:rsidRPr="0025394B">
        <w:t>2018</w:t>
      </w:r>
      <w:r>
        <w:t>)</w:t>
      </w:r>
      <w:r w:rsidRPr="0025394B">
        <w:t xml:space="preserve"> Financial ratio analysis as an important tool for evaluating the performance of business organization.</w:t>
      </w:r>
    </w:p>
    <w:p w14:paraId="2941D2CA" w14:textId="77777777" w:rsidR="00861CB4" w:rsidRDefault="00861CB4" w:rsidP="00861CB4">
      <w:pPr>
        <w:spacing w:line="360" w:lineRule="auto"/>
      </w:pPr>
      <w:r w:rsidRPr="00861CB4">
        <w:t>Huang, J., Tong, J., Wang, P. and Zheng, X.</w:t>
      </w:r>
      <w:r>
        <w:t xml:space="preserve"> (</w:t>
      </w:r>
      <w:r w:rsidRPr="00861CB4">
        <w:t>2022</w:t>
      </w:r>
      <w:r>
        <w:t>)</w:t>
      </w:r>
      <w:r w:rsidRPr="00861CB4">
        <w:t xml:space="preserve"> Application and comparison of NPV and IRR methods in the company investment decision. In </w:t>
      </w:r>
      <w:r w:rsidRPr="00861CB4">
        <w:rPr>
          <w:i/>
          <w:iCs/>
        </w:rPr>
        <w:t>2022 7th International Conference on Financial Innovation and Economic Development (ICFIED 2022)</w:t>
      </w:r>
      <w:r w:rsidRPr="00861CB4">
        <w:t> (pp. 71-78). Atlantis Press.</w:t>
      </w:r>
    </w:p>
    <w:p w14:paraId="5D405417" w14:textId="77777777" w:rsidR="00861CB4" w:rsidRPr="00530CE5" w:rsidRDefault="00861CB4" w:rsidP="00861CB4">
      <w:pPr>
        <w:spacing w:line="360" w:lineRule="auto"/>
      </w:pPr>
      <w:r w:rsidRPr="00530CE5">
        <w:t>Imarticus (2025) 'Discounting vs. Non-Discounting Methods: Which is Better for Capital Budgeting?', Available at: </w:t>
      </w:r>
      <w:hyperlink r:id="rId18" w:tgtFrame="_blank" w:history="1">
        <w:r w:rsidRPr="00530CE5">
          <w:rPr>
            <w:rStyle w:val="Hyperlink"/>
          </w:rPr>
          <w:t>https://imarticus.org/blog/capital-budgeting-methods/</w:t>
        </w:r>
      </w:hyperlink>
    </w:p>
    <w:p w14:paraId="07E6E5DA" w14:textId="77777777" w:rsidR="00861CB4" w:rsidRPr="00530CE5" w:rsidRDefault="00861CB4" w:rsidP="00861CB4">
      <w:pPr>
        <w:spacing w:line="360" w:lineRule="auto"/>
      </w:pPr>
      <w:r w:rsidRPr="00530CE5">
        <w:t>Investing.com (2025) 'Earnings call transcript: Standard Chartered Q4 2024 reports record income', Available at: </w:t>
      </w:r>
      <w:hyperlink r:id="rId19" w:tgtFrame="_blank" w:history="1">
        <w:r w:rsidRPr="00530CE5">
          <w:rPr>
            <w:rStyle w:val="Hyperlink"/>
          </w:rPr>
          <w:t>https://www.investing.com/news/transcripts/earnings-call-transcript-standard-chartered-q4-2024-reports-record-income-93CH-388271</w:t>
        </w:r>
      </w:hyperlink>
    </w:p>
    <w:p w14:paraId="400C9A76" w14:textId="77777777" w:rsidR="00861CB4" w:rsidRDefault="00861CB4" w:rsidP="00861CB4">
      <w:pPr>
        <w:spacing w:line="360" w:lineRule="auto"/>
      </w:pPr>
      <w:r w:rsidRPr="0025394B">
        <w:t>Islam, M.A.</w:t>
      </w:r>
      <w:r>
        <w:t xml:space="preserve"> (</w:t>
      </w:r>
      <w:r w:rsidRPr="0025394B">
        <w:t>2014</w:t>
      </w:r>
      <w:r>
        <w:t xml:space="preserve">) </w:t>
      </w:r>
      <w:r w:rsidRPr="0025394B">
        <w:t>An analysis of the financial performance of national bank limited using financial ratio. </w:t>
      </w:r>
      <w:r w:rsidRPr="00861CB4">
        <w:rPr>
          <w:i/>
          <w:iCs/>
        </w:rPr>
        <w:t>Journal of Behavioural Economics, Finance, Entrepreneurship, Accounting and Transport</w:t>
      </w:r>
      <w:r w:rsidRPr="0025394B">
        <w:t>, </w:t>
      </w:r>
      <w:r w:rsidRPr="00861CB4">
        <w:rPr>
          <w:i/>
          <w:iCs/>
        </w:rPr>
        <w:t>2</w:t>
      </w:r>
      <w:r w:rsidRPr="0025394B">
        <w:t>(5), pp.121-129.</w:t>
      </w:r>
    </w:p>
    <w:p w14:paraId="3E8E7889" w14:textId="77777777" w:rsidR="00861CB4" w:rsidRDefault="00861CB4" w:rsidP="00861CB4">
      <w:pPr>
        <w:spacing w:line="360" w:lineRule="auto"/>
      </w:pPr>
      <w:r w:rsidRPr="0025394B">
        <w:lastRenderedPageBreak/>
        <w:t>Jaradat, N.K.M.</w:t>
      </w:r>
      <w:r>
        <w:t xml:space="preserve"> (</w:t>
      </w:r>
      <w:r w:rsidRPr="0025394B">
        <w:t>2024</w:t>
      </w:r>
      <w:r>
        <w:t>)</w:t>
      </w:r>
      <w:r w:rsidRPr="0025394B">
        <w:t> </w:t>
      </w:r>
      <w:r w:rsidRPr="00861CB4">
        <w:rPr>
          <w:i/>
          <w:iCs/>
        </w:rPr>
        <w:t>The Reliability of Bankruptcy Forecasting Based on Financial Ratio Analysis in The United Kingdom</w:t>
      </w:r>
      <w:r w:rsidRPr="0025394B">
        <w:t> (Doctoral dissertation, Aberystwyth University).</w:t>
      </w:r>
    </w:p>
    <w:p w14:paraId="7AB2E72C" w14:textId="77777777" w:rsidR="00861CB4" w:rsidRDefault="00861CB4" w:rsidP="00861CB4">
      <w:pPr>
        <w:spacing w:line="360" w:lineRule="auto"/>
      </w:pPr>
      <w:r w:rsidRPr="00861CB4">
        <w:t>Juhász, L.</w:t>
      </w:r>
      <w:r>
        <w:t xml:space="preserve"> (</w:t>
      </w:r>
      <w:r w:rsidRPr="00861CB4">
        <w:t>2011</w:t>
      </w:r>
      <w:r>
        <w:t>)</w:t>
      </w:r>
      <w:r w:rsidRPr="00861CB4">
        <w:t xml:space="preserve"> Net present value versus internal rate of return. </w:t>
      </w:r>
      <w:r w:rsidRPr="00861CB4">
        <w:rPr>
          <w:i/>
          <w:iCs/>
        </w:rPr>
        <w:t>Economics &amp; Sociology</w:t>
      </w:r>
      <w:r w:rsidRPr="00861CB4">
        <w:t>, </w:t>
      </w:r>
      <w:r w:rsidRPr="00861CB4">
        <w:rPr>
          <w:i/>
          <w:iCs/>
        </w:rPr>
        <w:t>4</w:t>
      </w:r>
      <w:r w:rsidRPr="00861CB4">
        <w:t>(1), pp.46-53.</w:t>
      </w:r>
    </w:p>
    <w:p w14:paraId="3C5B8729" w14:textId="77777777" w:rsidR="00861CB4" w:rsidRPr="00530CE5" w:rsidRDefault="00861CB4" w:rsidP="00861CB4">
      <w:pPr>
        <w:spacing w:line="360" w:lineRule="auto"/>
      </w:pPr>
      <w:r w:rsidRPr="00530CE5">
        <w:t>Kabachenko, D. and Lapkhanov, E. (2023) DEVELOPMENT AND JUSTIFICATION OF THE SYSTEM METHODOLOGICAL APPROACH TO ASSESSING THE INVESTMENT BUSINESS PROJECT IMPLEMENTATION EFFICIENCY UNDER CONDITIONS OF THE EXTERNAL MARKET ENVIRONMENT FACTORS IMPACT. </w:t>
      </w:r>
      <w:r w:rsidRPr="00861CB4">
        <w:rPr>
          <w:i/>
          <w:iCs/>
        </w:rPr>
        <w:t>Eastern-European Journal of Enterprise Technologies</w:t>
      </w:r>
      <w:r w:rsidRPr="00530CE5">
        <w:t>, </w:t>
      </w:r>
      <w:r w:rsidRPr="00861CB4">
        <w:rPr>
          <w:i/>
          <w:iCs/>
        </w:rPr>
        <w:t>123</w:t>
      </w:r>
      <w:r w:rsidRPr="00530CE5">
        <w:t>(3).</w:t>
      </w:r>
    </w:p>
    <w:p w14:paraId="1E5CF342" w14:textId="77777777" w:rsidR="00861CB4" w:rsidRDefault="00861CB4" w:rsidP="00861CB4">
      <w:pPr>
        <w:spacing w:line="360" w:lineRule="auto"/>
      </w:pPr>
      <w:r w:rsidRPr="00861CB4">
        <w:t>Keča, L., Keča, N. and Pantić, D.</w:t>
      </w:r>
      <w:r>
        <w:t xml:space="preserve"> (</w:t>
      </w:r>
      <w:r w:rsidRPr="00861CB4">
        <w:t>2012</w:t>
      </w:r>
      <w:r>
        <w:t>)</w:t>
      </w:r>
      <w:r w:rsidRPr="00861CB4">
        <w:t xml:space="preserve"> Net Present Value and Internal Rate of Return as indicators for assessment of cost-efficiency of poplar plantations: a Serbian case study. </w:t>
      </w:r>
      <w:r w:rsidRPr="00861CB4">
        <w:rPr>
          <w:i/>
          <w:iCs/>
        </w:rPr>
        <w:t>International Forestry Review</w:t>
      </w:r>
      <w:r w:rsidRPr="00861CB4">
        <w:t>, </w:t>
      </w:r>
      <w:r w:rsidRPr="00861CB4">
        <w:rPr>
          <w:i/>
          <w:iCs/>
        </w:rPr>
        <w:t>14</w:t>
      </w:r>
      <w:r w:rsidRPr="00861CB4">
        <w:t>(2), pp.145-156.</w:t>
      </w:r>
    </w:p>
    <w:p w14:paraId="6EECE9C4" w14:textId="77777777" w:rsidR="00861CB4" w:rsidRDefault="00861CB4" w:rsidP="00861CB4">
      <w:pPr>
        <w:spacing w:line="360" w:lineRule="auto"/>
      </w:pPr>
      <w:r w:rsidRPr="00861CB4">
        <w:t>Kengatharan, L.</w:t>
      </w:r>
      <w:r>
        <w:t xml:space="preserve"> (</w:t>
      </w:r>
      <w:r w:rsidRPr="00861CB4">
        <w:t>2017</w:t>
      </w:r>
      <w:r>
        <w:t>)</w:t>
      </w:r>
      <w:r w:rsidRPr="00861CB4">
        <w:t xml:space="preserve"> Use of capital investment appraisal practices and effectiveness of investment decisions: A study on listed manufacturing companies in Sri Lanka. </w:t>
      </w:r>
      <w:r w:rsidRPr="00861CB4">
        <w:rPr>
          <w:i/>
          <w:iCs/>
        </w:rPr>
        <w:t>Asian Journal of Finance &amp; Accounting</w:t>
      </w:r>
      <w:r w:rsidRPr="00861CB4">
        <w:t>.</w:t>
      </w:r>
    </w:p>
    <w:p w14:paraId="11D0E64A" w14:textId="77777777" w:rsidR="00861CB4" w:rsidRPr="00530CE5" w:rsidRDefault="00861CB4" w:rsidP="00861CB4">
      <w:pPr>
        <w:spacing w:line="360" w:lineRule="auto"/>
      </w:pPr>
      <w:r w:rsidRPr="00530CE5">
        <w:t>Khan, A. (2024)</w:t>
      </w:r>
      <w:r>
        <w:t>.</w:t>
      </w:r>
      <w:r w:rsidRPr="00530CE5">
        <w:t xml:space="preserve"> Capital Rationing and Budget Allocation. In </w:t>
      </w:r>
      <w:r w:rsidRPr="00861CB4">
        <w:rPr>
          <w:i/>
          <w:iCs/>
        </w:rPr>
        <w:t>Fundamentals of Public Budgeting and Finance</w:t>
      </w:r>
      <w:r w:rsidRPr="00530CE5">
        <w:t> (pp. 329-367). Cham: Springer International Publishing.</w:t>
      </w:r>
    </w:p>
    <w:p w14:paraId="161F4F85" w14:textId="77777777" w:rsidR="00861CB4" w:rsidRDefault="00861CB4" w:rsidP="00861CB4">
      <w:pPr>
        <w:spacing w:line="360" w:lineRule="auto"/>
      </w:pPr>
      <w:r w:rsidRPr="0025394B">
        <w:t>Khan, F. and Al Maktoumi, I.</w:t>
      </w:r>
      <w:r>
        <w:t xml:space="preserve"> (</w:t>
      </w:r>
      <w:r w:rsidRPr="0025394B">
        <w:t>2021</w:t>
      </w:r>
      <w:r>
        <w:t>)</w:t>
      </w:r>
      <w:r w:rsidRPr="0025394B">
        <w:t xml:space="preserve"> Performance evaluation of commercial banks in Oman using ratio analyses. </w:t>
      </w:r>
      <w:r w:rsidRPr="00861CB4">
        <w:rPr>
          <w:i/>
          <w:iCs/>
        </w:rPr>
        <w:t>International Journal of Research in Entrepreneurship &amp; Business Studies</w:t>
      </w:r>
      <w:r w:rsidRPr="0025394B">
        <w:t>, </w:t>
      </w:r>
      <w:r w:rsidRPr="00861CB4">
        <w:rPr>
          <w:i/>
          <w:iCs/>
        </w:rPr>
        <w:t>2</w:t>
      </w:r>
      <w:r w:rsidRPr="0025394B">
        <w:t>(1), pp.10-21.</w:t>
      </w:r>
    </w:p>
    <w:p w14:paraId="4A3A625B" w14:textId="77777777" w:rsidR="00861CB4" w:rsidRDefault="00861CB4" w:rsidP="00861CB4">
      <w:pPr>
        <w:spacing w:line="360" w:lineRule="auto"/>
      </w:pPr>
      <w:r w:rsidRPr="00861CB4">
        <w:t>Kim, J.</w:t>
      </w:r>
      <w:r>
        <w:t xml:space="preserve"> (</w:t>
      </w:r>
      <w:r w:rsidRPr="00861CB4">
        <w:t>2022</w:t>
      </w:r>
      <w:r>
        <w:t>)</w:t>
      </w:r>
      <w:r w:rsidRPr="00861CB4">
        <w:t xml:space="preserve"> Do NPV and IRR Measure the Profitability of Investment Opportunities? Conditions as Measures of Profitability. </w:t>
      </w:r>
      <w:r w:rsidRPr="00861CB4">
        <w:rPr>
          <w:rFonts w:ascii="Malgun Gothic" w:eastAsia="Malgun Gothic" w:hAnsi="Malgun Gothic" w:cs="Malgun Gothic" w:hint="eastAsia"/>
          <w:i/>
          <w:iCs/>
        </w:rPr>
        <w:t>한국산업경영시스템학회지</w:t>
      </w:r>
      <w:r w:rsidRPr="00861CB4">
        <w:t>, </w:t>
      </w:r>
      <w:r w:rsidRPr="00861CB4">
        <w:rPr>
          <w:i/>
          <w:iCs/>
        </w:rPr>
        <w:t>45</w:t>
      </w:r>
      <w:r w:rsidRPr="00861CB4">
        <w:t>(4), pp.167-173.</w:t>
      </w:r>
    </w:p>
    <w:p w14:paraId="3CDC0A03" w14:textId="77777777" w:rsidR="00861CB4" w:rsidRPr="00530CE5" w:rsidRDefault="00861CB4" w:rsidP="00861CB4">
      <w:pPr>
        <w:spacing w:line="360" w:lineRule="auto"/>
      </w:pPr>
      <w:r w:rsidRPr="00530CE5">
        <w:t>KPMG (2024) '2024 U.S. Banking Industry Outlook Survey', Available at: </w:t>
      </w:r>
      <w:hyperlink r:id="rId20" w:tgtFrame="_blank" w:history="1">
        <w:r w:rsidRPr="00530CE5">
          <w:rPr>
            <w:rStyle w:val="Hyperlink"/>
          </w:rPr>
          <w:t>https://kpmg.com/us/en/articles/2024/2024-us-banking-industry-outlook-survey.html</w:t>
        </w:r>
      </w:hyperlink>
    </w:p>
    <w:p w14:paraId="6078DD78" w14:textId="77777777" w:rsidR="00861CB4" w:rsidRDefault="00861CB4" w:rsidP="00861CB4">
      <w:pPr>
        <w:spacing w:line="360" w:lineRule="auto"/>
      </w:pPr>
      <w:r w:rsidRPr="0025394B">
        <w:t>La Rosa, N.</w:t>
      </w:r>
      <w:r>
        <w:t xml:space="preserve"> (</w:t>
      </w:r>
      <w:r w:rsidRPr="0025394B">
        <w:t>2020</w:t>
      </w:r>
      <w:r>
        <w:t>)</w:t>
      </w:r>
      <w:r w:rsidRPr="0025394B">
        <w:t> </w:t>
      </w:r>
      <w:r w:rsidRPr="00861CB4">
        <w:rPr>
          <w:i/>
          <w:iCs/>
        </w:rPr>
        <w:t>Analysing financial performance: using integrated ratio analysis</w:t>
      </w:r>
      <w:r w:rsidRPr="0025394B">
        <w:t>. Routledge.</w:t>
      </w:r>
    </w:p>
    <w:p w14:paraId="17D53045" w14:textId="77777777" w:rsidR="00861CB4" w:rsidRDefault="00861CB4" w:rsidP="00861CB4">
      <w:pPr>
        <w:spacing w:line="360" w:lineRule="auto"/>
      </w:pPr>
      <w:r w:rsidRPr="0025394B">
        <w:t>Lardic, S. and Terraza, V.</w:t>
      </w:r>
      <w:r>
        <w:t xml:space="preserve"> (</w:t>
      </w:r>
      <w:r w:rsidRPr="0025394B">
        <w:t>2019</w:t>
      </w:r>
      <w:r>
        <w:t>)</w:t>
      </w:r>
      <w:r w:rsidRPr="0025394B">
        <w:t xml:space="preserve"> Financial ratios analysis in determination of bank performance in the German banking sector. </w:t>
      </w:r>
      <w:r w:rsidRPr="00861CB4">
        <w:rPr>
          <w:i/>
          <w:iCs/>
        </w:rPr>
        <w:t>International Journal of Economics and Financial Issues</w:t>
      </w:r>
      <w:r w:rsidRPr="0025394B">
        <w:t>.</w:t>
      </w:r>
    </w:p>
    <w:p w14:paraId="68A97B37" w14:textId="77777777" w:rsidR="00861CB4" w:rsidRPr="00530CE5" w:rsidRDefault="00861CB4" w:rsidP="00861CB4">
      <w:pPr>
        <w:spacing w:line="360" w:lineRule="auto"/>
      </w:pPr>
      <w:r w:rsidRPr="00861CB4">
        <w:t>Larsen, J.E.</w:t>
      </w:r>
      <w:r>
        <w:t xml:space="preserve"> (</w:t>
      </w:r>
      <w:r w:rsidRPr="00861CB4">
        <w:t>2024</w:t>
      </w:r>
      <w:r>
        <w:t>)</w:t>
      </w:r>
      <w:r w:rsidRPr="00861CB4">
        <w:t xml:space="preserve"> Education Briefing: A review of problematic investment selection issues associated with IRR and NPV benchmarks. </w:t>
      </w:r>
      <w:r w:rsidRPr="00861CB4">
        <w:rPr>
          <w:i/>
          <w:iCs/>
        </w:rPr>
        <w:t>Journal of Property Investment &amp; Finance</w:t>
      </w:r>
      <w:r w:rsidRPr="00861CB4">
        <w:t>, </w:t>
      </w:r>
      <w:r w:rsidRPr="00861CB4">
        <w:rPr>
          <w:i/>
          <w:iCs/>
        </w:rPr>
        <w:t>42</w:t>
      </w:r>
      <w:r w:rsidRPr="00861CB4">
        <w:t>(6), pp.604-613.</w:t>
      </w:r>
    </w:p>
    <w:p w14:paraId="48E8D701" w14:textId="77777777" w:rsidR="00861CB4" w:rsidRDefault="00861CB4" w:rsidP="00861CB4">
      <w:pPr>
        <w:spacing w:line="360" w:lineRule="auto"/>
      </w:pPr>
      <w:r w:rsidRPr="00861CB4">
        <w:lastRenderedPageBreak/>
        <w:t>Li, X.</w:t>
      </w:r>
      <w:r>
        <w:t xml:space="preserve"> (</w:t>
      </w:r>
      <w:r w:rsidRPr="00861CB4">
        <w:t>2025</w:t>
      </w:r>
      <w:r>
        <w:t>)</w:t>
      </w:r>
      <w:r w:rsidRPr="00861CB4">
        <w:t xml:space="preserve"> NPV vs. IRR: Comparison of Pros and Cons in Investment Decisions. In </w:t>
      </w:r>
      <w:r w:rsidRPr="00861CB4">
        <w:rPr>
          <w:i/>
          <w:iCs/>
        </w:rPr>
        <w:t>2025 5th International Conference on Enterprise Management and Economic Development (ICEMED 2025)</w:t>
      </w:r>
      <w:r w:rsidRPr="00861CB4">
        <w:t> (pp. 983-991). Atlantis Press.</w:t>
      </w:r>
    </w:p>
    <w:p w14:paraId="278D1C07" w14:textId="77777777" w:rsidR="00861CB4" w:rsidRDefault="00861CB4" w:rsidP="00861CB4">
      <w:pPr>
        <w:spacing w:line="360" w:lineRule="auto"/>
      </w:pPr>
      <w:r w:rsidRPr="00861CB4">
        <w:t>Lin, J.</w:t>
      </w:r>
      <w:r>
        <w:t xml:space="preserve"> (</w:t>
      </w:r>
      <w:r w:rsidRPr="00861CB4">
        <w:t>2023</w:t>
      </w:r>
      <w:r>
        <w:t xml:space="preserve">) </w:t>
      </w:r>
      <w:r w:rsidRPr="00861CB4">
        <w:t>A Comparative Study on the Application of NPV and IRR in Financial Market Investment Decision. </w:t>
      </w:r>
      <w:r w:rsidRPr="00861CB4">
        <w:rPr>
          <w:i/>
          <w:iCs/>
        </w:rPr>
        <w:t>Academic Journal of Business &amp; Management</w:t>
      </w:r>
      <w:r w:rsidRPr="00861CB4">
        <w:t>, </w:t>
      </w:r>
      <w:r w:rsidRPr="00861CB4">
        <w:rPr>
          <w:i/>
          <w:iCs/>
        </w:rPr>
        <w:t>5</w:t>
      </w:r>
      <w:r w:rsidRPr="00861CB4">
        <w:t>(4), pp.51-54.</w:t>
      </w:r>
    </w:p>
    <w:p w14:paraId="6B790A23" w14:textId="77777777" w:rsidR="00861CB4" w:rsidRDefault="00861CB4" w:rsidP="00861CB4">
      <w:pPr>
        <w:spacing w:line="360" w:lineRule="auto"/>
      </w:pPr>
      <w:r w:rsidRPr="00861CB4">
        <w:t>Osborne, M.J.</w:t>
      </w:r>
      <w:r>
        <w:t xml:space="preserve"> (</w:t>
      </w:r>
      <w:r w:rsidRPr="00861CB4">
        <w:t>2010</w:t>
      </w:r>
      <w:r>
        <w:t>)</w:t>
      </w:r>
      <w:r w:rsidRPr="00861CB4">
        <w:t xml:space="preserve"> A resolution to the NPV–IRR debate?. </w:t>
      </w:r>
      <w:r w:rsidRPr="00861CB4">
        <w:rPr>
          <w:i/>
          <w:iCs/>
        </w:rPr>
        <w:t>The Quarterly Review of Economics and Finance</w:t>
      </w:r>
      <w:r w:rsidRPr="00861CB4">
        <w:t>, </w:t>
      </w:r>
      <w:r w:rsidRPr="00861CB4">
        <w:rPr>
          <w:i/>
          <w:iCs/>
        </w:rPr>
        <w:t>50</w:t>
      </w:r>
      <w:r w:rsidRPr="00861CB4">
        <w:t>(2), pp.234-239.</w:t>
      </w:r>
    </w:p>
    <w:p w14:paraId="1D86D980" w14:textId="77777777" w:rsidR="00861CB4" w:rsidRDefault="00861CB4" w:rsidP="00861CB4">
      <w:pPr>
        <w:spacing w:line="360" w:lineRule="auto"/>
      </w:pPr>
      <w:r w:rsidRPr="0025394B">
        <w:t>Oshoke, A.S. and Sumaina, J.</w:t>
      </w:r>
      <w:r>
        <w:t xml:space="preserve"> (</w:t>
      </w:r>
      <w:r w:rsidRPr="0025394B">
        <w:t>2015</w:t>
      </w:r>
      <w:r>
        <w:t>)</w:t>
      </w:r>
      <w:r w:rsidRPr="0025394B">
        <w:t xml:space="preserve"> Performance evaluation through ratio analysis. </w:t>
      </w:r>
      <w:r w:rsidRPr="00861CB4">
        <w:rPr>
          <w:i/>
          <w:iCs/>
        </w:rPr>
        <w:t>Journal of Accounting and Financial Management</w:t>
      </w:r>
      <w:r w:rsidRPr="0025394B">
        <w:t>, </w:t>
      </w:r>
      <w:r w:rsidRPr="00861CB4">
        <w:rPr>
          <w:i/>
          <w:iCs/>
        </w:rPr>
        <w:t>1</w:t>
      </w:r>
      <w:r w:rsidRPr="0025394B">
        <w:t>(8), pp.1-10.</w:t>
      </w:r>
    </w:p>
    <w:p w14:paraId="5952D5D8" w14:textId="77777777" w:rsidR="00861CB4" w:rsidRPr="00530CE5" w:rsidRDefault="00861CB4" w:rsidP="00861CB4">
      <w:pPr>
        <w:spacing w:line="360" w:lineRule="auto"/>
      </w:pPr>
      <w:r w:rsidRPr="00530CE5">
        <w:t>Plutus Education (2025) 'Sources of Business Finance: Meaning, Advantages &amp; Disadvantages', Available at: </w:t>
      </w:r>
      <w:hyperlink r:id="rId21" w:tgtFrame="_blank" w:history="1">
        <w:r w:rsidRPr="00530CE5">
          <w:rPr>
            <w:rStyle w:val="Hyperlink"/>
          </w:rPr>
          <w:t>https://plutuseducation.com/blog/sources-of-business-finance/</w:t>
        </w:r>
      </w:hyperlink>
    </w:p>
    <w:p w14:paraId="59E2B135" w14:textId="77777777" w:rsidR="00861CB4" w:rsidRPr="00530CE5" w:rsidRDefault="00861CB4" w:rsidP="00861CB4">
      <w:pPr>
        <w:spacing w:line="360" w:lineRule="auto"/>
      </w:pPr>
      <w:r w:rsidRPr="00530CE5">
        <w:t>Project Management Academy (2025) 'Understanding Internal Rate of Return (IRR) for the PMP', Available at: </w:t>
      </w:r>
      <w:hyperlink r:id="rId22" w:tgtFrame="_blank" w:history="1">
        <w:r w:rsidRPr="00530CE5">
          <w:rPr>
            <w:rStyle w:val="Hyperlink"/>
          </w:rPr>
          <w:t>https://projectmanagementacademy.net/resources/blog/internal-rate-of-return/</w:t>
        </w:r>
      </w:hyperlink>
    </w:p>
    <w:p w14:paraId="68B5341D" w14:textId="77777777" w:rsidR="00861CB4" w:rsidRPr="00530CE5" w:rsidRDefault="00861CB4" w:rsidP="00861CB4">
      <w:pPr>
        <w:spacing w:line="360" w:lineRule="auto"/>
      </w:pPr>
      <w:r w:rsidRPr="00530CE5">
        <w:t>Rafid, M., Soukotta, A., Cakranegara, P.A., Sutiyan, O.S.J. and Nurriqli, A. (2024)</w:t>
      </w:r>
      <w:r>
        <w:t>.</w:t>
      </w:r>
      <w:r w:rsidRPr="00530CE5">
        <w:t xml:space="preserve"> Analysis of Liquidity Ratios, Profitability Ratios, and Capital Structures on Financial Distress Conditions in Service Companies during the Covid-19 Period. </w:t>
      </w:r>
      <w:r w:rsidRPr="00861CB4">
        <w:rPr>
          <w:i/>
          <w:iCs/>
        </w:rPr>
        <w:t>Jurnal Darma Agung</w:t>
      </w:r>
      <w:r w:rsidRPr="00530CE5">
        <w:t>, </w:t>
      </w:r>
      <w:r w:rsidRPr="00861CB4">
        <w:rPr>
          <w:i/>
          <w:iCs/>
        </w:rPr>
        <w:t>30</w:t>
      </w:r>
      <w:r w:rsidRPr="00530CE5">
        <w:t>(3), pp.614-622.</w:t>
      </w:r>
    </w:p>
    <w:p w14:paraId="0A9D3207" w14:textId="77777777" w:rsidR="00861CB4" w:rsidRPr="00530CE5" w:rsidRDefault="00861CB4" w:rsidP="00861CB4">
      <w:pPr>
        <w:spacing w:line="360" w:lineRule="auto"/>
      </w:pPr>
      <w:r w:rsidRPr="00530CE5">
        <w:t>Rangewell (2018) 'External Sources of Finance: Advantages and Disadvantages', Available at: </w:t>
      </w:r>
      <w:hyperlink r:id="rId23" w:tgtFrame="_blank" w:history="1">
        <w:r w:rsidRPr="00530CE5">
          <w:rPr>
            <w:rStyle w:val="Hyperlink"/>
          </w:rPr>
          <w:t>https://rangewell.com/article/external-sources-of-finance-advantages-and-disadvantages</w:t>
        </w:r>
      </w:hyperlink>
    </w:p>
    <w:p w14:paraId="4B94E2D3" w14:textId="77777777" w:rsidR="00861CB4" w:rsidRDefault="00861CB4" w:rsidP="00861CB4">
      <w:pPr>
        <w:spacing w:line="360" w:lineRule="auto"/>
      </w:pPr>
      <w:r w:rsidRPr="0025394B">
        <w:t>Rashid, C.A.</w:t>
      </w:r>
      <w:r>
        <w:t xml:space="preserve"> (</w:t>
      </w:r>
      <w:r w:rsidRPr="0025394B">
        <w:t>2018</w:t>
      </w:r>
      <w:r>
        <w:t>)</w:t>
      </w:r>
      <w:r w:rsidRPr="0025394B">
        <w:t xml:space="preserve"> Efficiency of financial ratios analysis for evaluating companies’ liquidity. </w:t>
      </w:r>
      <w:r w:rsidRPr="00861CB4">
        <w:rPr>
          <w:i/>
          <w:iCs/>
        </w:rPr>
        <w:t>International journal of social sciences &amp; educational studies</w:t>
      </w:r>
      <w:r w:rsidRPr="0025394B">
        <w:t>, </w:t>
      </w:r>
      <w:r w:rsidRPr="00861CB4">
        <w:rPr>
          <w:i/>
          <w:iCs/>
        </w:rPr>
        <w:t>4</w:t>
      </w:r>
      <w:r w:rsidRPr="0025394B">
        <w:t>(4), pp.110-123.</w:t>
      </w:r>
    </w:p>
    <w:p w14:paraId="29CE9FE8" w14:textId="77777777" w:rsidR="00861CB4" w:rsidRDefault="00861CB4" w:rsidP="00861CB4">
      <w:pPr>
        <w:spacing w:line="360" w:lineRule="auto"/>
      </w:pPr>
      <w:r w:rsidRPr="00861CB4">
        <w:t>Sinaga, A.S., Sari, M.M., Hutasuhut, A.A., Zahara, S.T., Amanda, A., Fitri, A. and Caesario, M.A.</w:t>
      </w:r>
      <w:r>
        <w:t xml:space="preserve"> (</w:t>
      </w:r>
      <w:r w:rsidRPr="00861CB4">
        <w:t>2023</w:t>
      </w:r>
      <w:r>
        <w:t>)</w:t>
      </w:r>
      <w:r w:rsidRPr="00861CB4">
        <w:t xml:space="preserve"> Comparison of capital budgeting methods: NPV, IRR, PAYBACK period. </w:t>
      </w:r>
      <w:r w:rsidRPr="00861CB4">
        <w:rPr>
          <w:i/>
          <w:iCs/>
        </w:rPr>
        <w:t>World Journal of Advanced Research and Reviews</w:t>
      </w:r>
      <w:r w:rsidRPr="00861CB4">
        <w:t>, </w:t>
      </w:r>
      <w:r w:rsidRPr="00861CB4">
        <w:rPr>
          <w:i/>
          <w:iCs/>
        </w:rPr>
        <w:t>19</w:t>
      </w:r>
      <w:r w:rsidRPr="00861CB4">
        <w:t>(2), pp.1078-1081.</w:t>
      </w:r>
    </w:p>
    <w:p w14:paraId="76D9464B" w14:textId="77777777" w:rsidR="00861CB4" w:rsidRDefault="00861CB4" w:rsidP="00861CB4">
      <w:pPr>
        <w:spacing w:line="360" w:lineRule="auto"/>
      </w:pPr>
      <w:r w:rsidRPr="00861CB4">
        <w:t>Sneps-Sneppe, M.</w:t>
      </w:r>
      <w:r>
        <w:t xml:space="preserve"> (</w:t>
      </w:r>
      <w:r w:rsidRPr="00861CB4">
        <w:t>2023</w:t>
      </w:r>
      <w:r>
        <w:t>)</w:t>
      </w:r>
      <w:r w:rsidRPr="00861CB4">
        <w:t xml:space="preserve"> Use of criteria NPV and IRR for choosing among investment projects. In </w:t>
      </w:r>
      <w:r w:rsidRPr="00861CB4">
        <w:rPr>
          <w:i/>
          <w:iCs/>
        </w:rPr>
        <w:t>22nd International Scientific Conference Engineering for Rural Development Proceedings</w:t>
      </w:r>
      <w:r w:rsidRPr="00861CB4">
        <w:t> (pp. 745-750).</w:t>
      </w:r>
    </w:p>
    <w:p w14:paraId="086AA23C" w14:textId="77777777" w:rsidR="00861CB4" w:rsidRPr="00530CE5" w:rsidRDefault="00861CB4" w:rsidP="00861CB4">
      <w:pPr>
        <w:spacing w:line="360" w:lineRule="auto"/>
      </w:pPr>
      <w:r w:rsidRPr="00530CE5">
        <w:t>Standard Chartered (2025) 'Annual Report 2024', Available at: </w:t>
      </w:r>
      <w:hyperlink r:id="rId24" w:tgtFrame="_blank" w:history="1">
        <w:r w:rsidRPr="00530CE5">
          <w:rPr>
            <w:rStyle w:val="Hyperlink"/>
          </w:rPr>
          <w:t>https://www.sc.com/en/investors/financial-results/annual-report/</w:t>
        </w:r>
      </w:hyperlink>
    </w:p>
    <w:p w14:paraId="7DDE9C5A" w14:textId="77777777" w:rsidR="00861CB4" w:rsidRPr="00530CE5" w:rsidRDefault="00861CB4" w:rsidP="00861CB4">
      <w:pPr>
        <w:spacing w:line="360" w:lineRule="auto"/>
      </w:pPr>
      <w:r w:rsidRPr="00530CE5">
        <w:t>Tulung, J.E., Sondakh, J.J., Wangke, S.J.C. and Posumah, R.F.K. (2024)</w:t>
      </w:r>
      <w:r>
        <w:t>.</w:t>
      </w:r>
      <w:r w:rsidRPr="00530CE5">
        <w:t xml:space="preserve"> EFFECTS OF CAPITAL RATIO, QUALITY OF RECEIVABLES, LIQUIDITY, AND GEARING RATIO </w:t>
      </w:r>
      <w:r w:rsidRPr="00530CE5">
        <w:lastRenderedPageBreak/>
        <w:t xml:space="preserve">ON PROFITABILITY: A STUDY </w:t>
      </w:r>
      <w:r>
        <w:t xml:space="preserve">OF </w:t>
      </w:r>
      <w:r w:rsidRPr="00530CE5">
        <w:t>FINANCIAL INSTITUTIONS’GOVERNANCE. </w:t>
      </w:r>
      <w:r w:rsidRPr="00861CB4">
        <w:rPr>
          <w:i/>
          <w:iCs/>
        </w:rPr>
        <w:t>Journal of Governance and Regulation/Volume</w:t>
      </w:r>
      <w:r w:rsidRPr="00530CE5">
        <w:t>, </w:t>
      </w:r>
      <w:r w:rsidRPr="00861CB4">
        <w:rPr>
          <w:i/>
          <w:iCs/>
        </w:rPr>
        <w:t>13</w:t>
      </w:r>
      <w:r w:rsidRPr="00530CE5">
        <w:t>(3).</w:t>
      </w:r>
    </w:p>
    <w:p w14:paraId="6021309D" w14:textId="77777777" w:rsidR="00861CB4" w:rsidRPr="00530CE5" w:rsidRDefault="00861CB4" w:rsidP="00861CB4">
      <w:pPr>
        <w:spacing w:line="360" w:lineRule="auto"/>
      </w:pPr>
      <w:r w:rsidRPr="00530CE5">
        <w:t>Under30CEO (2024) 'Advantages and Disadvantages of NPV', Available at: </w:t>
      </w:r>
      <w:hyperlink r:id="rId25" w:tgtFrame="_blank" w:history="1">
        <w:r w:rsidRPr="00530CE5">
          <w:rPr>
            <w:rStyle w:val="Hyperlink"/>
          </w:rPr>
          <w:t>https://www.under30ceo.com/terms/advantages-and-disadvantages-of-npv/</w:t>
        </w:r>
      </w:hyperlink>
    </w:p>
    <w:p w14:paraId="7452E40E" w14:textId="77777777" w:rsidR="00861CB4" w:rsidRDefault="00861CB4" w:rsidP="00861CB4">
      <w:pPr>
        <w:spacing w:line="360" w:lineRule="auto"/>
      </w:pPr>
      <w:r w:rsidRPr="00861CB4">
        <w:t>Wang, Y.</w:t>
      </w:r>
      <w:r>
        <w:t xml:space="preserve"> (</w:t>
      </w:r>
      <w:r w:rsidRPr="00861CB4">
        <w:t>2021</w:t>
      </w:r>
      <w:r>
        <w:t>)</w:t>
      </w:r>
      <w:r w:rsidRPr="00861CB4">
        <w:t xml:space="preserve"> The development and usage of NPV and IRR and their comparison. In </w:t>
      </w:r>
      <w:r w:rsidRPr="00861CB4">
        <w:rPr>
          <w:i/>
          <w:iCs/>
        </w:rPr>
        <w:t>2021 3rd International Conference on Economic Management and Cultural Industry (ICEMCI 2021)</w:t>
      </w:r>
      <w:r w:rsidRPr="00861CB4">
        <w:t> (pp. 2044-2048). Atlantis Press.</w:t>
      </w:r>
    </w:p>
    <w:p w14:paraId="2B03D1F1" w14:textId="77777777" w:rsidR="00861CB4" w:rsidRPr="00530CE5" w:rsidRDefault="00861CB4" w:rsidP="00861CB4">
      <w:pPr>
        <w:spacing w:line="360" w:lineRule="auto"/>
      </w:pPr>
      <w:r w:rsidRPr="00530CE5">
        <w:t>Xalimovich, K.N. (2025) THE ADVANTAGES OF USING BANK LOANS IN THE DEVELOPMENT OF INDUSTRIAL ENTERPRISES. </w:t>
      </w:r>
      <w:r w:rsidRPr="00861CB4">
        <w:rPr>
          <w:i/>
          <w:iCs/>
        </w:rPr>
        <w:t>AMERICAN JOURNAL OF EDUCATION AND LEARNING</w:t>
      </w:r>
      <w:r w:rsidRPr="00530CE5">
        <w:t>, </w:t>
      </w:r>
      <w:r w:rsidRPr="00861CB4">
        <w:rPr>
          <w:i/>
          <w:iCs/>
        </w:rPr>
        <w:t>3</w:t>
      </w:r>
      <w:r w:rsidRPr="00530CE5">
        <w:t>(6), pp.860-866.</w:t>
      </w:r>
    </w:p>
    <w:p w14:paraId="4C99D0E8" w14:textId="77777777" w:rsidR="00861CB4" w:rsidRDefault="00861CB4" w:rsidP="00861CB4">
      <w:pPr>
        <w:spacing w:line="360" w:lineRule="auto"/>
      </w:pPr>
      <w:r w:rsidRPr="00861CB4">
        <w:t>Yan, R. and Zhang, Y.</w:t>
      </w:r>
      <w:r>
        <w:t xml:space="preserve"> (</w:t>
      </w:r>
      <w:r w:rsidRPr="00861CB4">
        <w:t>2022</w:t>
      </w:r>
      <w:r>
        <w:t>)</w:t>
      </w:r>
      <w:r w:rsidRPr="00861CB4">
        <w:t xml:space="preserve"> The Introduction of NPV and IRR. In </w:t>
      </w:r>
      <w:r w:rsidRPr="00861CB4">
        <w:rPr>
          <w:i/>
          <w:iCs/>
        </w:rPr>
        <w:t>2022 7th International Conference on Financial Innovation and Economic Development (ICFIED 2022)</w:t>
      </w:r>
      <w:r w:rsidRPr="00861CB4">
        <w:t> (pp. 1472-1476). Atlantis Press.</w:t>
      </w:r>
    </w:p>
    <w:p w14:paraId="43F043A0" w14:textId="77777777" w:rsidR="00861CB4" w:rsidRDefault="00861CB4" w:rsidP="00861CB4">
      <w:pPr>
        <w:spacing w:line="360" w:lineRule="auto"/>
      </w:pPr>
      <w:r w:rsidRPr="00530CE5">
        <w:t>Zupok, S. (2022)</w:t>
      </w:r>
      <w:r>
        <w:t>.</w:t>
      </w:r>
      <w:r w:rsidRPr="00530CE5">
        <w:t xml:space="preserve"> Investment risk assessment. </w:t>
      </w:r>
      <w:r w:rsidRPr="00861CB4">
        <w:rPr>
          <w:i/>
          <w:iCs/>
        </w:rPr>
        <w:t>Globalisation, the State and the Individual</w:t>
      </w:r>
      <w:r w:rsidRPr="00530CE5">
        <w:t>, </w:t>
      </w:r>
      <w:r w:rsidRPr="00861CB4">
        <w:rPr>
          <w:i/>
          <w:iCs/>
        </w:rPr>
        <w:t>30</w:t>
      </w:r>
      <w:r w:rsidRPr="00530CE5">
        <w:t>(2), pp.66-72.</w:t>
      </w:r>
    </w:p>
    <w:bookmarkEnd w:id="0"/>
    <w:p w14:paraId="76A1B89E" w14:textId="2DA38534" w:rsidR="00374BDF" w:rsidRDefault="00374BDF">
      <w:pPr>
        <w:spacing w:after="160"/>
        <w:jc w:val="left"/>
        <w:rPr>
          <w:lang w:val="en-US"/>
        </w:rPr>
      </w:pPr>
      <w:r>
        <w:rPr>
          <w:lang w:val="en-US"/>
        </w:rPr>
        <w:br w:type="page"/>
      </w:r>
    </w:p>
    <w:p w14:paraId="50DA93A4" w14:textId="77777777" w:rsidR="00374BDF" w:rsidRDefault="00374BDF" w:rsidP="00374BDF">
      <w:pPr>
        <w:pStyle w:val="Heading1"/>
        <w:spacing w:line="360" w:lineRule="auto"/>
        <w:rPr>
          <w:lang w:val="en-US"/>
        </w:rPr>
      </w:pPr>
      <w:bookmarkStart w:id="27" w:name="_Toc219050367"/>
      <w:r>
        <w:rPr>
          <w:lang w:val="en-US"/>
        </w:rPr>
        <w:lastRenderedPageBreak/>
        <w:t>Appendix</w:t>
      </w:r>
      <w:bookmarkEnd w:id="27"/>
    </w:p>
    <w:p w14:paraId="7539DD13" w14:textId="126A0097" w:rsidR="00E13B4B" w:rsidRPr="00E13B4B" w:rsidRDefault="00374BDF" w:rsidP="00374BDF">
      <w:pPr>
        <w:spacing w:line="360" w:lineRule="auto"/>
        <w:rPr>
          <w:lang w:val="en-US"/>
        </w:rPr>
      </w:pPr>
      <w:r>
        <w:rPr>
          <w:lang w:val="en-US"/>
        </w:rPr>
        <w:object w:dxaOrig="1520" w:dyaOrig="988" w14:anchorId="6A8D7B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75pt" o:ole="">
            <v:imagedata r:id="rId26" o:title=""/>
          </v:shape>
          <o:OLEObject Type="Embed" ProgID="FoxitPhantomPDF.Document" ShapeID="_x0000_i1025" DrawAspect="Icon" ObjectID="_1829683563" r:id="rId27"/>
        </w:object>
      </w:r>
    </w:p>
    <w:sectPr w:rsidR="00E13B4B" w:rsidRPr="00E13B4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E2E9D" w14:textId="77777777" w:rsidR="00D33FA8" w:rsidRDefault="00D33FA8" w:rsidP="007405FE">
      <w:pPr>
        <w:spacing w:after="0" w:line="240" w:lineRule="auto"/>
      </w:pPr>
      <w:r>
        <w:separator/>
      </w:r>
    </w:p>
  </w:endnote>
  <w:endnote w:type="continuationSeparator" w:id="0">
    <w:p w14:paraId="10B3F431" w14:textId="77777777" w:rsidR="00D33FA8" w:rsidRDefault="00D33FA8" w:rsidP="00740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9FD6" w14:textId="77777777" w:rsidR="00D33FA8" w:rsidRDefault="00D33FA8" w:rsidP="007405FE">
      <w:pPr>
        <w:spacing w:after="0" w:line="240" w:lineRule="auto"/>
      </w:pPr>
      <w:r>
        <w:separator/>
      </w:r>
    </w:p>
  </w:footnote>
  <w:footnote w:type="continuationSeparator" w:id="0">
    <w:p w14:paraId="561B71A4" w14:textId="77777777" w:rsidR="00D33FA8" w:rsidRDefault="00D33FA8" w:rsidP="007405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F4C09"/>
    <w:multiLevelType w:val="hybridMultilevel"/>
    <w:tmpl w:val="3536DB98"/>
    <w:lvl w:ilvl="0" w:tplc="B17421E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773895"/>
    <w:multiLevelType w:val="hybridMultilevel"/>
    <w:tmpl w:val="E2CE7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B4B"/>
    <w:rsid w:val="00005A4B"/>
    <w:rsid w:val="0001107A"/>
    <w:rsid w:val="00044905"/>
    <w:rsid w:val="0004704E"/>
    <w:rsid w:val="000620F8"/>
    <w:rsid w:val="00065331"/>
    <w:rsid w:val="00065DD0"/>
    <w:rsid w:val="00071E9D"/>
    <w:rsid w:val="00081E6E"/>
    <w:rsid w:val="00085E7F"/>
    <w:rsid w:val="00091D41"/>
    <w:rsid w:val="00093EFB"/>
    <w:rsid w:val="000A3470"/>
    <w:rsid w:val="000A4816"/>
    <w:rsid w:val="000B1CB2"/>
    <w:rsid w:val="000B39D1"/>
    <w:rsid w:val="000D004C"/>
    <w:rsid w:val="000D38D5"/>
    <w:rsid w:val="000F1572"/>
    <w:rsid w:val="00103AA7"/>
    <w:rsid w:val="001110A8"/>
    <w:rsid w:val="001318D2"/>
    <w:rsid w:val="00136526"/>
    <w:rsid w:val="0014122F"/>
    <w:rsid w:val="001442D7"/>
    <w:rsid w:val="00147C72"/>
    <w:rsid w:val="00172BA7"/>
    <w:rsid w:val="00175083"/>
    <w:rsid w:val="00177A5D"/>
    <w:rsid w:val="00180C85"/>
    <w:rsid w:val="00187259"/>
    <w:rsid w:val="0019195E"/>
    <w:rsid w:val="001A4103"/>
    <w:rsid w:val="001A518C"/>
    <w:rsid w:val="001B2421"/>
    <w:rsid w:val="001C79FA"/>
    <w:rsid w:val="001D37E0"/>
    <w:rsid w:val="001D6986"/>
    <w:rsid w:val="001E7E56"/>
    <w:rsid w:val="001F4285"/>
    <w:rsid w:val="001F47D4"/>
    <w:rsid w:val="00200061"/>
    <w:rsid w:val="00202449"/>
    <w:rsid w:val="00214563"/>
    <w:rsid w:val="002212AA"/>
    <w:rsid w:val="00221DF3"/>
    <w:rsid w:val="002335B8"/>
    <w:rsid w:val="00251C8B"/>
    <w:rsid w:val="0025394B"/>
    <w:rsid w:val="002634BD"/>
    <w:rsid w:val="0026492E"/>
    <w:rsid w:val="0026493B"/>
    <w:rsid w:val="00281D40"/>
    <w:rsid w:val="00295A47"/>
    <w:rsid w:val="00296B05"/>
    <w:rsid w:val="002A44F9"/>
    <w:rsid w:val="002C50CA"/>
    <w:rsid w:val="002D585A"/>
    <w:rsid w:val="00352110"/>
    <w:rsid w:val="00353BFA"/>
    <w:rsid w:val="003633D3"/>
    <w:rsid w:val="00363AD6"/>
    <w:rsid w:val="003679A1"/>
    <w:rsid w:val="003705B2"/>
    <w:rsid w:val="00374BDF"/>
    <w:rsid w:val="00375A54"/>
    <w:rsid w:val="003A4EB0"/>
    <w:rsid w:val="003C400D"/>
    <w:rsid w:val="003F110B"/>
    <w:rsid w:val="00400581"/>
    <w:rsid w:val="00400CDC"/>
    <w:rsid w:val="00413672"/>
    <w:rsid w:val="00415513"/>
    <w:rsid w:val="004427EF"/>
    <w:rsid w:val="00446166"/>
    <w:rsid w:val="00451292"/>
    <w:rsid w:val="004533D4"/>
    <w:rsid w:val="004619CC"/>
    <w:rsid w:val="0046436D"/>
    <w:rsid w:val="004806AB"/>
    <w:rsid w:val="00491CD1"/>
    <w:rsid w:val="004A66ED"/>
    <w:rsid w:val="004B56DF"/>
    <w:rsid w:val="004C1CF4"/>
    <w:rsid w:val="004C49A4"/>
    <w:rsid w:val="004D02A6"/>
    <w:rsid w:val="004D27A6"/>
    <w:rsid w:val="004E3488"/>
    <w:rsid w:val="004E34DC"/>
    <w:rsid w:val="004E44C1"/>
    <w:rsid w:val="004E4A90"/>
    <w:rsid w:val="00530CE5"/>
    <w:rsid w:val="005338A4"/>
    <w:rsid w:val="00536719"/>
    <w:rsid w:val="00540EAB"/>
    <w:rsid w:val="005419AD"/>
    <w:rsid w:val="00565F7A"/>
    <w:rsid w:val="005712CD"/>
    <w:rsid w:val="00582589"/>
    <w:rsid w:val="00591195"/>
    <w:rsid w:val="00595799"/>
    <w:rsid w:val="005961F2"/>
    <w:rsid w:val="00597AA8"/>
    <w:rsid w:val="005A47D0"/>
    <w:rsid w:val="005A5387"/>
    <w:rsid w:val="005B36BA"/>
    <w:rsid w:val="005B376E"/>
    <w:rsid w:val="005C0613"/>
    <w:rsid w:val="005C1208"/>
    <w:rsid w:val="005F2A94"/>
    <w:rsid w:val="006046BD"/>
    <w:rsid w:val="00606119"/>
    <w:rsid w:val="00612045"/>
    <w:rsid w:val="0061423D"/>
    <w:rsid w:val="006175F2"/>
    <w:rsid w:val="00626E58"/>
    <w:rsid w:val="00645148"/>
    <w:rsid w:val="0065539D"/>
    <w:rsid w:val="006660C5"/>
    <w:rsid w:val="0066731A"/>
    <w:rsid w:val="00683543"/>
    <w:rsid w:val="00693E09"/>
    <w:rsid w:val="006B0FC8"/>
    <w:rsid w:val="006B427C"/>
    <w:rsid w:val="006E403D"/>
    <w:rsid w:val="006F72C0"/>
    <w:rsid w:val="00707702"/>
    <w:rsid w:val="00724AE6"/>
    <w:rsid w:val="007325B2"/>
    <w:rsid w:val="007405FE"/>
    <w:rsid w:val="007415F2"/>
    <w:rsid w:val="00745A66"/>
    <w:rsid w:val="00763781"/>
    <w:rsid w:val="00771444"/>
    <w:rsid w:val="00774143"/>
    <w:rsid w:val="00777372"/>
    <w:rsid w:val="00777D27"/>
    <w:rsid w:val="00780AC7"/>
    <w:rsid w:val="00782A5F"/>
    <w:rsid w:val="00796F50"/>
    <w:rsid w:val="007A37DC"/>
    <w:rsid w:val="007A3C61"/>
    <w:rsid w:val="007A5367"/>
    <w:rsid w:val="007B2355"/>
    <w:rsid w:val="007B675E"/>
    <w:rsid w:val="007C0B15"/>
    <w:rsid w:val="007E4D29"/>
    <w:rsid w:val="007E5564"/>
    <w:rsid w:val="007F31CB"/>
    <w:rsid w:val="007F552A"/>
    <w:rsid w:val="007F5A95"/>
    <w:rsid w:val="007F7256"/>
    <w:rsid w:val="008071FD"/>
    <w:rsid w:val="008329FE"/>
    <w:rsid w:val="00835699"/>
    <w:rsid w:val="008451F6"/>
    <w:rsid w:val="00854655"/>
    <w:rsid w:val="00861CB4"/>
    <w:rsid w:val="00873C56"/>
    <w:rsid w:val="00874F4E"/>
    <w:rsid w:val="00877442"/>
    <w:rsid w:val="00882C50"/>
    <w:rsid w:val="00883955"/>
    <w:rsid w:val="008848ED"/>
    <w:rsid w:val="008A5082"/>
    <w:rsid w:val="008B7A11"/>
    <w:rsid w:val="008C447B"/>
    <w:rsid w:val="008C5BE9"/>
    <w:rsid w:val="008D15E4"/>
    <w:rsid w:val="008E3F6F"/>
    <w:rsid w:val="008F33FA"/>
    <w:rsid w:val="009345A7"/>
    <w:rsid w:val="0094157F"/>
    <w:rsid w:val="00941D92"/>
    <w:rsid w:val="00943FD1"/>
    <w:rsid w:val="00955BB6"/>
    <w:rsid w:val="00970D24"/>
    <w:rsid w:val="00974C9A"/>
    <w:rsid w:val="00986C40"/>
    <w:rsid w:val="009930D7"/>
    <w:rsid w:val="009A37F9"/>
    <w:rsid w:val="009A38C0"/>
    <w:rsid w:val="009B0E8A"/>
    <w:rsid w:val="009C09C1"/>
    <w:rsid w:val="009C7156"/>
    <w:rsid w:val="009D447C"/>
    <w:rsid w:val="009F156E"/>
    <w:rsid w:val="00A2425A"/>
    <w:rsid w:val="00A24492"/>
    <w:rsid w:val="00A3233A"/>
    <w:rsid w:val="00A37A7D"/>
    <w:rsid w:val="00A415D2"/>
    <w:rsid w:val="00A54001"/>
    <w:rsid w:val="00A70639"/>
    <w:rsid w:val="00A80895"/>
    <w:rsid w:val="00A863A8"/>
    <w:rsid w:val="00A90D5E"/>
    <w:rsid w:val="00AA12F4"/>
    <w:rsid w:val="00AC0E85"/>
    <w:rsid w:val="00AC2373"/>
    <w:rsid w:val="00AC3A12"/>
    <w:rsid w:val="00AD0184"/>
    <w:rsid w:val="00AD49B9"/>
    <w:rsid w:val="00AE552E"/>
    <w:rsid w:val="00AE7959"/>
    <w:rsid w:val="00AF4AB7"/>
    <w:rsid w:val="00AF6413"/>
    <w:rsid w:val="00B0444C"/>
    <w:rsid w:val="00B05029"/>
    <w:rsid w:val="00B05E8E"/>
    <w:rsid w:val="00B11D72"/>
    <w:rsid w:val="00B11F26"/>
    <w:rsid w:val="00B3048B"/>
    <w:rsid w:val="00B3106A"/>
    <w:rsid w:val="00B37F3A"/>
    <w:rsid w:val="00B456BF"/>
    <w:rsid w:val="00B507AF"/>
    <w:rsid w:val="00B70760"/>
    <w:rsid w:val="00B70E77"/>
    <w:rsid w:val="00B72EA8"/>
    <w:rsid w:val="00B7346D"/>
    <w:rsid w:val="00B82C56"/>
    <w:rsid w:val="00B92F40"/>
    <w:rsid w:val="00B94342"/>
    <w:rsid w:val="00B959A6"/>
    <w:rsid w:val="00BC1395"/>
    <w:rsid w:val="00BC2287"/>
    <w:rsid w:val="00BC3D36"/>
    <w:rsid w:val="00BD284E"/>
    <w:rsid w:val="00BE6133"/>
    <w:rsid w:val="00BF06BC"/>
    <w:rsid w:val="00C06FF6"/>
    <w:rsid w:val="00C1513D"/>
    <w:rsid w:val="00C21A8A"/>
    <w:rsid w:val="00C236C3"/>
    <w:rsid w:val="00C309C9"/>
    <w:rsid w:val="00C3172A"/>
    <w:rsid w:val="00C32BB1"/>
    <w:rsid w:val="00C33878"/>
    <w:rsid w:val="00C4307C"/>
    <w:rsid w:val="00C436B2"/>
    <w:rsid w:val="00C56424"/>
    <w:rsid w:val="00C61D21"/>
    <w:rsid w:val="00C777B8"/>
    <w:rsid w:val="00C8021C"/>
    <w:rsid w:val="00C87704"/>
    <w:rsid w:val="00C96872"/>
    <w:rsid w:val="00CA385F"/>
    <w:rsid w:val="00CC0224"/>
    <w:rsid w:val="00CC0B4E"/>
    <w:rsid w:val="00CC5CAD"/>
    <w:rsid w:val="00CE13B8"/>
    <w:rsid w:val="00CE5F6D"/>
    <w:rsid w:val="00CF1CA6"/>
    <w:rsid w:val="00D071CA"/>
    <w:rsid w:val="00D12799"/>
    <w:rsid w:val="00D23D98"/>
    <w:rsid w:val="00D27A94"/>
    <w:rsid w:val="00D31577"/>
    <w:rsid w:val="00D33FA8"/>
    <w:rsid w:val="00D438C5"/>
    <w:rsid w:val="00D44560"/>
    <w:rsid w:val="00D4550E"/>
    <w:rsid w:val="00D51BE4"/>
    <w:rsid w:val="00D61D03"/>
    <w:rsid w:val="00D66C96"/>
    <w:rsid w:val="00D74FDC"/>
    <w:rsid w:val="00D750C2"/>
    <w:rsid w:val="00D82A31"/>
    <w:rsid w:val="00D847AC"/>
    <w:rsid w:val="00D84B6D"/>
    <w:rsid w:val="00D86446"/>
    <w:rsid w:val="00DA25CB"/>
    <w:rsid w:val="00DA3C76"/>
    <w:rsid w:val="00DB2EDF"/>
    <w:rsid w:val="00DE0D9B"/>
    <w:rsid w:val="00DE5147"/>
    <w:rsid w:val="00E0280C"/>
    <w:rsid w:val="00E116B5"/>
    <w:rsid w:val="00E13B4B"/>
    <w:rsid w:val="00E15B8C"/>
    <w:rsid w:val="00E3611B"/>
    <w:rsid w:val="00E512A2"/>
    <w:rsid w:val="00E6133D"/>
    <w:rsid w:val="00E70512"/>
    <w:rsid w:val="00E778B5"/>
    <w:rsid w:val="00E845F9"/>
    <w:rsid w:val="00E87A7B"/>
    <w:rsid w:val="00E92B95"/>
    <w:rsid w:val="00ED559B"/>
    <w:rsid w:val="00ED5F1A"/>
    <w:rsid w:val="00EE2F83"/>
    <w:rsid w:val="00EE3D9F"/>
    <w:rsid w:val="00EE6541"/>
    <w:rsid w:val="00F00292"/>
    <w:rsid w:val="00F003EF"/>
    <w:rsid w:val="00F1459D"/>
    <w:rsid w:val="00F2400D"/>
    <w:rsid w:val="00F27B64"/>
    <w:rsid w:val="00F310D9"/>
    <w:rsid w:val="00F408A0"/>
    <w:rsid w:val="00F40FDD"/>
    <w:rsid w:val="00F61911"/>
    <w:rsid w:val="00F6257B"/>
    <w:rsid w:val="00F67218"/>
    <w:rsid w:val="00F7116A"/>
    <w:rsid w:val="00F82463"/>
    <w:rsid w:val="00F85F13"/>
    <w:rsid w:val="00F91370"/>
    <w:rsid w:val="00F916A4"/>
    <w:rsid w:val="00F91AC9"/>
    <w:rsid w:val="00FB0850"/>
    <w:rsid w:val="00FB4398"/>
    <w:rsid w:val="00FB556B"/>
    <w:rsid w:val="00FC5731"/>
    <w:rsid w:val="00FD0DE4"/>
    <w:rsid w:val="00FD20A4"/>
    <w:rsid w:val="00FD384B"/>
    <w:rsid w:val="00FE0D0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2241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BD"/>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D5E"/>
    <w:pPr>
      <w:spacing w:after="40"/>
      <w:jc w:val="both"/>
    </w:pPr>
    <w:rPr>
      <w:rFonts w:ascii="Times New Roman" w:hAnsi="Times New Roman"/>
    </w:rPr>
  </w:style>
  <w:style w:type="paragraph" w:styleId="Heading1">
    <w:name w:val="heading 1"/>
    <w:basedOn w:val="Normal"/>
    <w:next w:val="Normal"/>
    <w:link w:val="Heading1Char"/>
    <w:autoRedefine/>
    <w:uiPriority w:val="9"/>
    <w:qFormat/>
    <w:rsid w:val="009345A7"/>
    <w:pPr>
      <w:keepNext/>
      <w:keepLines/>
      <w:spacing w:before="240" w:after="120"/>
      <w:outlineLvl w:val="0"/>
    </w:pPr>
    <w:rPr>
      <w:rFonts w:eastAsiaTheme="majorEastAsia" w:cstheme="majorBidi"/>
      <w:b/>
      <w:color w:val="2F5496" w:themeColor="accent1" w:themeShade="BF"/>
      <w:sz w:val="32"/>
      <w:szCs w:val="50"/>
    </w:rPr>
  </w:style>
  <w:style w:type="paragraph" w:styleId="Heading2">
    <w:name w:val="heading 2"/>
    <w:basedOn w:val="Normal"/>
    <w:next w:val="Normal"/>
    <w:link w:val="Heading2Char"/>
    <w:autoRedefine/>
    <w:uiPriority w:val="9"/>
    <w:unhideWhenUsed/>
    <w:qFormat/>
    <w:rsid w:val="00044905"/>
    <w:pPr>
      <w:keepNext/>
      <w:keepLines/>
      <w:spacing w:before="40" w:after="0" w:line="360" w:lineRule="auto"/>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unhideWhenUsed/>
    <w:qFormat/>
    <w:rsid w:val="00E13B4B"/>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E13B4B"/>
    <w:pPr>
      <w:keepNext/>
      <w:keepLines/>
      <w:spacing w:before="8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3B4B"/>
    <w:pPr>
      <w:keepNext/>
      <w:keepLines/>
      <w:spacing w:before="8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13B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3B4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3B4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3B4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5A7"/>
    <w:rPr>
      <w:rFonts w:ascii="Times New Roman" w:eastAsiaTheme="majorEastAsia" w:hAnsi="Times New Roman" w:cstheme="majorBidi"/>
      <w:b/>
      <w:color w:val="2F5496" w:themeColor="accent1" w:themeShade="BF"/>
      <w:sz w:val="32"/>
      <w:szCs w:val="50"/>
    </w:rPr>
  </w:style>
  <w:style w:type="character" w:customStyle="1" w:styleId="Heading2Char">
    <w:name w:val="Heading 2 Char"/>
    <w:basedOn w:val="DefaultParagraphFont"/>
    <w:link w:val="Heading2"/>
    <w:uiPriority w:val="9"/>
    <w:rsid w:val="00044905"/>
    <w:rPr>
      <w:rFonts w:ascii="Times New Roman" w:eastAsiaTheme="majorEastAsia" w:hAnsi="Times New Roman" w:cstheme="majorBidi"/>
      <w:b/>
      <w:color w:val="2F5496" w:themeColor="accent1" w:themeShade="BF"/>
      <w:sz w:val="28"/>
      <w:szCs w:val="40"/>
    </w:rPr>
  </w:style>
  <w:style w:type="character" w:customStyle="1" w:styleId="Heading3Char">
    <w:name w:val="Heading 3 Char"/>
    <w:basedOn w:val="DefaultParagraphFont"/>
    <w:link w:val="Heading3"/>
    <w:uiPriority w:val="9"/>
    <w:rsid w:val="00E13B4B"/>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E13B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13B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13B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B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B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B4B"/>
    <w:rPr>
      <w:rFonts w:eastAsiaTheme="majorEastAsia" w:cstheme="majorBidi"/>
      <w:color w:val="272727" w:themeColor="text1" w:themeTint="D8"/>
    </w:rPr>
  </w:style>
  <w:style w:type="paragraph" w:styleId="Title">
    <w:name w:val="Title"/>
    <w:basedOn w:val="Normal"/>
    <w:next w:val="Normal"/>
    <w:link w:val="TitleChar"/>
    <w:uiPriority w:val="10"/>
    <w:qFormat/>
    <w:rsid w:val="00E13B4B"/>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13B4B"/>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E13B4B"/>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E13B4B"/>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E13B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3B4B"/>
    <w:rPr>
      <w:rFonts w:ascii="Times New Roman" w:hAnsi="Times New Roman"/>
      <w:i/>
      <w:iCs/>
      <w:color w:val="404040" w:themeColor="text1" w:themeTint="BF"/>
    </w:rPr>
  </w:style>
  <w:style w:type="paragraph" w:styleId="ListParagraph">
    <w:name w:val="List Paragraph"/>
    <w:basedOn w:val="Normal"/>
    <w:uiPriority w:val="34"/>
    <w:qFormat/>
    <w:rsid w:val="00E13B4B"/>
    <w:pPr>
      <w:ind w:left="720"/>
      <w:contextualSpacing/>
    </w:pPr>
  </w:style>
  <w:style w:type="character" w:styleId="IntenseEmphasis">
    <w:name w:val="Intense Emphasis"/>
    <w:basedOn w:val="DefaultParagraphFont"/>
    <w:uiPriority w:val="21"/>
    <w:qFormat/>
    <w:rsid w:val="00E13B4B"/>
    <w:rPr>
      <w:i/>
      <w:iCs/>
      <w:color w:val="2F5496" w:themeColor="accent1" w:themeShade="BF"/>
    </w:rPr>
  </w:style>
  <w:style w:type="paragraph" w:styleId="IntenseQuote">
    <w:name w:val="Intense Quote"/>
    <w:basedOn w:val="Normal"/>
    <w:next w:val="Normal"/>
    <w:link w:val="IntenseQuoteChar"/>
    <w:uiPriority w:val="30"/>
    <w:qFormat/>
    <w:rsid w:val="00E13B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13B4B"/>
    <w:rPr>
      <w:rFonts w:ascii="Times New Roman" w:hAnsi="Times New Roman"/>
      <w:i/>
      <w:iCs/>
      <w:color w:val="2F5496" w:themeColor="accent1" w:themeShade="BF"/>
    </w:rPr>
  </w:style>
  <w:style w:type="character" w:styleId="IntenseReference">
    <w:name w:val="Intense Reference"/>
    <w:basedOn w:val="DefaultParagraphFont"/>
    <w:uiPriority w:val="32"/>
    <w:qFormat/>
    <w:rsid w:val="00E13B4B"/>
    <w:rPr>
      <w:b/>
      <w:bCs/>
      <w:smallCaps/>
      <w:color w:val="2F5496" w:themeColor="accent1" w:themeShade="BF"/>
      <w:spacing w:val="5"/>
    </w:rPr>
  </w:style>
  <w:style w:type="paragraph" w:styleId="TOCHeading">
    <w:name w:val="TOC Heading"/>
    <w:basedOn w:val="Heading1"/>
    <w:next w:val="Normal"/>
    <w:uiPriority w:val="39"/>
    <w:unhideWhenUsed/>
    <w:qFormat/>
    <w:rsid w:val="00E13B4B"/>
    <w:pPr>
      <w:spacing w:after="0" w:line="259" w:lineRule="auto"/>
      <w:jc w:val="left"/>
      <w:outlineLvl w:val="9"/>
    </w:pPr>
    <w:rPr>
      <w:rFonts w:asciiTheme="majorHAnsi" w:hAnsiTheme="majorHAnsi"/>
      <w:b w:val="0"/>
      <w:kern w:val="0"/>
      <w:szCs w:val="32"/>
      <w:lang w:eastAsia="en-GB"/>
      <w14:ligatures w14:val="none"/>
    </w:rPr>
  </w:style>
  <w:style w:type="table" w:styleId="TableGrid">
    <w:name w:val="Table Grid"/>
    <w:basedOn w:val="TableNormal"/>
    <w:uiPriority w:val="39"/>
    <w:rsid w:val="002C5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0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5FE"/>
    <w:rPr>
      <w:rFonts w:ascii="Times New Roman" w:hAnsi="Times New Roman"/>
    </w:rPr>
  </w:style>
  <w:style w:type="paragraph" w:styleId="Footer">
    <w:name w:val="footer"/>
    <w:basedOn w:val="Normal"/>
    <w:link w:val="FooterChar"/>
    <w:uiPriority w:val="99"/>
    <w:unhideWhenUsed/>
    <w:rsid w:val="00740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5FE"/>
    <w:rPr>
      <w:rFonts w:ascii="Times New Roman" w:hAnsi="Times New Roman"/>
    </w:rPr>
  </w:style>
  <w:style w:type="character" w:styleId="Hyperlink">
    <w:name w:val="Hyperlink"/>
    <w:basedOn w:val="DefaultParagraphFont"/>
    <w:uiPriority w:val="99"/>
    <w:unhideWhenUsed/>
    <w:rsid w:val="00530CE5"/>
    <w:rPr>
      <w:color w:val="0563C1" w:themeColor="hyperlink"/>
      <w:u w:val="single"/>
    </w:rPr>
  </w:style>
  <w:style w:type="character" w:styleId="UnresolvedMention">
    <w:name w:val="Unresolved Mention"/>
    <w:basedOn w:val="DefaultParagraphFont"/>
    <w:uiPriority w:val="99"/>
    <w:semiHidden/>
    <w:unhideWhenUsed/>
    <w:rsid w:val="00530CE5"/>
    <w:rPr>
      <w:color w:val="605E5C"/>
      <w:shd w:val="clear" w:color="auto" w:fill="E1DFDD"/>
    </w:rPr>
  </w:style>
  <w:style w:type="paragraph" w:styleId="TOC1">
    <w:name w:val="toc 1"/>
    <w:basedOn w:val="Normal"/>
    <w:next w:val="Normal"/>
    <w:autoRedefine/>
    <w:uiPriority w:val="39"/>
    <w:unhideWhenUsed/>
    <w:rsid w:val="003679A1"/>
    <w:pPr>
      <w:spacing w:after="100"/>
    </w:pPr>
  </w:style>
  <w:style w:type="paragraph" w:styleId="TOC2">
    <w:name w:val="toc 2"/>
    <w:basedOn w:val="Normal"/>
    <w:next w:val="Normal"/>
    <w:autoRedefine/>
    <w:uiPriority w:val="39"/>
    <w:unhideWhenUsed/>
    <w:rsid w:val="003679A1"/>
    <w:pPr>
      <w:spacing w:after="100"/>
      <w:ind w:left="240"/>
    </w:pPr>
  </w:style>
  <w:style w:type="paragraph" w:styleId="TOC3">
    <w:name w:val="toc 3"/>
    <w:basedOn w:val="Normal"/>
    <w:next w:val="Normal"/>
    <w:autoRedefine/>
    <w:uiPriority w:val="39"/>
    <w:unhideWhenUsed/>
    <w:rsid w:val="003679A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hyperlink" Target="https://imarticus.org/blog/capital-budgeting-methods/" TargetMode="External"/><Relationship Id="rId26"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s://plutuseducation.com/blog/sources-of-business-finance/"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fastercapital.com/topics/advantages-and-disadvantages-of-using-net-present-value-as-a-capital-budgeting-method.html" TargetMode="External"/><Relationship Id="rId25" Type="http://schemas.openxmlformats.org/officeDocument/2006/relationships/hyperlink" Target="https://www.under30ceo.com/terms/advantages-and-disadvantages-of-npv/" TargetMode="External"/><Relationship Id="rId2" Type="http://schemas.openxmlformats.org/officeDocument/2006/relationships/numbering" Target="numbering.xml"/><Relationship Id="rId16" Type="http://schemas.openxmlformats.org/officeDocument/2006/relationships/hyperlink" Target="https://asianbankingandfinance.net/retail-banking/news/standard-chartereds-profit-17-404b-in-2024" TargetMode="External"/><Relationship Id="rId20" Type="http://schemas.openxmlformats.org/officeDocument/2006/relationships/hyperlink" Target="https://kpmg.com/us/en/articles/2024/2024-us-banking-industry-outlook-survey.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sc.com/en/investors/financial-results/annual-report/" TargetMode="External"/><Relationship Id="rId5" Type="http://schemas.openxmlformats.org/officeDocument/2006/relationships/webSettings" Target="webSettings.xml"/><Relationship Id="rId15" Type="http://schemas.openxmlformats.org/officeDocument/2006/relationships/hyperlink" Target="https://www.accaglobal.com/gb/en/student/exam-support-resources/prodipsust-study-resources/technical-articles/investment-appraisal.html" TargetMode="External"/><Relationship Id="rId23" Type="http://schemas.openxmlformats.org/officeDocument/2006/relationships/hyperlink" Target="https://rangewell.com/article/external-sources-of-finance-advantages-and-disadvantages" TargetMode="External"/><Relationship Id="rId28"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www.investing.com/news/transcripts/earnings-call-transcript-standard-chartered-q4-2024-reports-record-income-93CH-38827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hart" Target="charts/chart5.xml"/><Relationship Id="rId22" Type="http://schemas.openxmlformats.org/officeDocument/2006/relationships/hyperlink" Target="https://projectmanagementacademy.net/resources/blog/internal-rate-of-return/" TargetMode="External"/><Relationship Id="rId27" Type="http://schemas.openxmlformats.org/officeDocument/2006/relationships/oleObject" Target="embeddings/oleObject1.bin"/></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Profitabiliy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Operating Profit Margin</c:v>
                </c:pt>
                <c:pt idx="1">
                  <c:v>Net Profit Margin</c:v>
                </c:pt>
              </c:strCache>
            </c:strRef>
          </c:cat>
          <c:val>
            <c:numRef>
              <c:f>Sheet1!$B$2:$B$3</c:f>
              <c:numCache>
                <c:formatCode>0.00%</c:formatCode>
                <c:ptCount val="2"/>
                <c:pt idx="0">
                  <c:v>0.28260000000000002</c:v>
                </c:pt>
                <c:pt idx="1">
                  <c:v>0.19209999999999999</c:v>
                </c:pt>
              </c:numCache>
            </c:numRef>
          </c:val>
          <c:extLst>
            <c:ext xmlns:c16="http://schemas.microsoft.com/office/drawing/2014/chart" uri="{C3380CC4-5D6E-409C-BE32-E72D297353CC}">
              <c16:uniqueId val="{00000000-838D-43FC-A2C7-532BA84C8642}"/>
            </c:ext>
          </c:extLst>
        </c:ser>
        <c:ser>
          <c:idx val="1"/>
          <c:order val="1"/>
          <c:tx>
            <c:strRef>
              <c:f>Sheet1!$C$1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Operating Profit Margin</c:v>
                </c:pt>
                <c:pt idx="1">
                  <c:v>Net Profit Margin</c:v>
                </c:pt>
              </c:strCache>
            </c:strRef>
          </c:cat>
          <c:val>
            <c:numRef>
              <c:f>Sheet1!$C$2:$C$3</c:f>
              <c:numCache>
                <c:formatCode>0.00%</c:formatCode>
                <c:ptCount val="2"/>
                <c:pt idx="0">
                  <c:v>0.30780000000000002</c:v>
                </c:pt>
                <c:pt idx="1">
                  <c:v>0.20680000000000001</c:v>
                </c:pt>
              </c:numCache>
            </c:numRef>
          </c:val>
          <c:extLst>
            <c:ext xmlns:c16="http://schemas.microsoft.com/office/drawing/2014/chart" uri="{C3380CC4-5D6E-409C-BE32-E72D297353CC}">
              <c16:uniqueId val="{00000001-838D-43FC-A2C7-532BA84C8642}"/>
            </c:ext>
          </c:extLst>
        </c:ser>
        <c:dLbls>
          <c:dLblPos val="outEnd"/>
          <c:showLegendKey val="0"/>
          <c:showVal val="1"/>
          <c:showCatName val="0"/>
          <c:showSerName val="0"/>
          <c:showPercent val="0"/>
          <c:showBubbleSize val="0"/>
        </c:dLbls>
        <c:gapWidth val="219"/>
        <c:overlap val="-27"/>
        <c:axId val="646784095"/>
        <c:axId val="870495039"/>
      </c:barChart>
      <c:catAx>
        <c:axId val="64678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495039"/>
        <c:crosses val="autoZero"/>
        <c:auto val="1"/>
        <c:lblAlgn val="ctr"/>
        <c:lblOffset val="100"/>
        <c:noMultiLvlLbl val="0"/>
      </c:catAx>
      <c:valAx>
        <c:axId val="8704950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784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Liquidity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Advance-to-Deposit Ratio</c:v>
                </c:pt>
                <c:pt idx="1">
                  <c:v>Cash Ratio</c:v>
                </c:pt>
              </c:strCache>
            </c:strRef>
          </c:cat>
          <c:val>
            <c:numRef>
              <c:f>Sheet1!$B$2:$B$3</c:f>
              <c:numCache>
                <c:formatCode>0.00%</c:formatCode>
                <c:ptCount val="2"/>
                <c:pt idx="0">
                  <c:v>0.61140000000000005</c:v>
                </c:pt>
                <c:pt idx="1">
                  <c:v>0.14799999999999999</c:v>
                </c:pt>
              </c:numCache>
            </c:numRef>
          </c:val>
          <c:extLst>
            <c:ext xmlns:c16="http://schemas.microsoft.com/office/drawing/2014/chart" uri="{C3380CC4-5D6E-409C-BE32-E72D297353CC}">
              <c16:uniqueId val="{00000000-8FE4-4B94-94E5-35BC20610D99}"/>
            </c:ext>
          </c:extLst>
        </c:ser>
        <c:ser>
          <c:idx val="1"/>
          <c:order val="1"/>
          <c:tx>
            <c:strRef>
              <c:f>Sheet1!$C$1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Advance-to-Deposit Ratio</c:v>
                </c:pt>
                <c:pt idx="1">
                  <c:v>Cash Ratio</c:v>
                </c:pt>
              </c:strCache>
            </c:strRef>
          </c:cat>
          <c:val>
            <c:numRef>
              <c:f>Sheet1!$C$2:$C$3</c:f>
              <c:numCache>
                <c:formatCode>0.00%</c:formatCode>
                <c:ptCount val="2"/>
                <c:pt idx="0">
                  <c:v>0.60509999999999997</c:v>
                </c:pt>
                <c:pt idx="1">
                  <c:v>0.13700000000000001</c:v>
                </c:pt>
              </c:numCache>
            </c:numRef>
          </c:val>
          <c:extLst>
            <c:ext xmlns:c16="http://schemas.microsoft.com/office/drawing/2014/chart" uri="{C3380CC4-5D6E-409C-BE32-E72D297353CC}">
              <c16:uniqueId val="{00000001-8FE4-4B94-94E5-35BC20610D99}"/>
            </c:ext>
          </c:extLst>
        </c:ser>
        <c:dLbls>
          <c:dLblPos val="outEnd"/>
          <c:showLegendKey val="0"/>
          <c:showVal val="1"/>
          <c:showCatName val="0"/>
          <c:showSerName val="0"/>
          <c:showPercent val="0"/>
          <c:showBubbleSize val="0"/>
        </c:dLbls>
        <c:gapWidth val="219"/>
        <c:overlap val="-27"/>
        <c:axId val="646784095"/>
        <c:axId val="870495039"/>
      </c:barChart>
      <c:catAx>
        <c:axId val="64678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495039"/>
        <c:crosses val="autoZero"/>
        <c:auto val="1"/>
        <c:lblAlgn val="ctr"/>
        <c:lblOffset val="100"/>
        <c:noMultiLvlLbl val="0"/>
      </c:catAx>
      <c:valAx>
        <c:axId val="8704950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784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Gearing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Equity Ratio</c:v>
                </c:pt>
              </c:strCache>
            </c:strRef>
          </c:cat>
          <c:val>
            <c:numRef>
              <c:f>Sheet1!$B$2</c:f>
              <c:numCache>
                <c:formatCode>0.00%</c:formatCode>
                <c:ptCount val="1"/>
                <c:pt idx="0">
                  <c:v>6.1199999999999997E-2</c:v>
                </c:pt>
              </c:numCache>
            </c:numRef>
          </c:val>
          <c:extLst>
            <c:ext xmlns:c16="http://schemas.microsoft.com/office/drawing/2014/chart" uri="{C3380CC4-5D6E-409C-BE32-E72D297353CC}">
              <c16:uniqueId val="{00000000-95F1-4405-98A2-5D0BB2400DB9}"/>
            </c:ext>
          </c:extLst>
        </c:ser>
        <c:ser>
          <c:idx val="1"/>
          <c:order val="1"/>
          <c:tx>
            <c:strRef>
              <c:f>Sheet1!$C$1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Equity Ratio</c:v>
                </c:pt>
              </c:strCache>
            </c:strRef>
          </c:cat>
          <c:val>
            <c:numRef>
              <c:f>Sheet1!$C$2</c:f>
              <c:numCache>
                <c:formatCode>0.00%</c:formatCode>
                <c:ptCount val="1"/>
                <c:pt idx="0">
                  <c:v>6.0400000000000002E-2</c:v>
                </c:pt>
              </c:numCache>
            </c:numRef>
          </c:val>
          <c:extLst>
            <c:ext xmlns:c16="http://schemas.microsoft.com/office/drawing/2014/chart" uri="{C3380CC4-5D6E-409C-BE32-E72D297353CC}">
              <c16:uniqueId val="{00000001-95F1-4405-98A2-5D0BB2400DB9}"/>
            </c:ext>
          </c:extLst>
        </c:ser>
        <c:dLbls>
          <c:dLblPos val="outEnd"/>
          <c:showLegendKey val="0"/>
          <c:showVal val="1"/>
          <c:showCatName val="0"/>
          <c:showSerName val="0"/>
          <c:showPercent val="0"/>
          <c:showBubbleSize val="0"/>
        </c:dLbls>
        <c:gapWidth val="219"/>
        <c:overlap val="-27"/>
        <c:axId val="646784095"/>
        <c:axId val="870495039"/>
      </c:barChart>
      <c:catAx>
        <c:axId val="64678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495039"/>
        <c:crosses val="autoZero"/>
        <c:auto val="1"/>
        <c:lblAlgn val="ctr"/>
        <c:lblOffset val="100"/>
        <c:noMultiLvlLbl val="0"/>
      </c:catAx>
      <c:valAx>
        <c:axId val="8704950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784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Cost-to-Income Ratio</c:v>
                </c:pt>
              </c:strCache>
            </c:strRef>
          </c:cat>
          <c:val>
            <c:numRef>
              <c:f>Sheet1!$B$2</c:f>
              <c:numCache>
                <c:formatCode>0.00%</c:formatCode>
                <c:ptCount val="1"/>
                <c:pt idx="0">
                  <c:v>0.64100000000000001</c:v>
                </c:pt>
              </c:numCache>
            </c:numRef>
          </c:val>
          <c:extLst>
            <c:ext xmlns:c16="http://schemas.microsoft.com/office/drawing/2014/chart" uri="{C3380CC4-5D6E-409C-BE32-E72D297353CC}">
              <c16:uniqueId val="{00000000-3E71-46B4-939E-3E1616BF98C3}"/>
            </c:ext>
          </c:extLst>
        </c:ser>
        <c:ser>
          <c:idx val="1"/>
          <c:order val="1"/>
          <c:tx>
            <c:strRef>
              <c:f>Sheet1!$C$1</c:f>
              <c:strCache>
                <c:ptCount val="1"/>
                <c:pt idx="0">
                  <c:v>2024</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Cost-to-Income Ratio</c:v>
                </c:pt>
              </c:strCache>
            </c:strRef>
          </c:cat>
          <c:val>
            <c:numRef>
              <c:f>Sheet1!$C$2</c:f>
              <c:numCache>
                <c:formatCode>0.00%</c:formatCode>
                <c:ptCount val="1"/>
                <c:pt idx="0">
                  <c:v>0.59799999999999998</c:v>
                </c:pt>
              </c:numCache>
            </c:numRef>
          </c:val>
          <c:extLst>
            <c:ext xmlns:c16="http://schemas.microsoft.com/office/drawing/2014/chart" uri="{C3380CC4-5D6E-409C-BE32-E72D297353CC}">
              <c16:uniqueId val="{00000001-3E71-46B4-939E-3E1616BF98C3}"/>
            </c:ext>
          </c:extLst>
        </c:ser>
        <c:dLbls>
          <c:dLblPos val="outEnd"/>
          <c:showLegendKey val="0"/>
          <c:showVal val="1"/>
          <c:showCatName val="0"/>
          <c:showSerName val="0"/>
          <c:showPercent val="0"/>
          <c:showBubbleSize val="0"/>
        </c:dLbls>
        <c:gapWidth val="219"/>
        <c:overlap val="-27"/>
        <c:axId val="646784095"/>
        <c:axId val="870495039"/>
      </c:barChart>
      <c:catAx>
        <c:axId val="64678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495039"/>
        <c:crosses val="autoZero"/>
        <c:auto val="1"/>
        <c:lblAlgn val="ctr"/>
        <c:lblOffset val="100"/>
        <c:noMultiLvlLbl val="0"/>
      </c:catAx>
      <c:valAx>
        <c:axId val="8704950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784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Investor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2023</c:v>
                </c:pt>
              </c:strCache>
            </c:strRef>
          </c:tx>
          <c:spPr>
            <a:solidFill>
              <a:schemeClr val="accent1"/>
            </a:solidFill>
            <a:ln>
              <a:noFill/>
            </a:ln>
            <a:effectLst/>
          </c:spPr>
          <c:invertIfNegative val="0"/>
          <c:dLbls>
            <c:dLbl>
              <c:idx val="0"/>
              <c:tx>
                <c:rich>
                  <a:bodyPr/>
                  <a:lstStyle/>
                  <a:p>
                    <a:r>
                      <a:rPr lang="en-US"/>
                      <a:t>108.60</a:t>
                    </a:r>
                    <a:r>
                      <a:rPr lang="en-US" baseline="0"/>
                      <a:t> Cents</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2D36-48E2-B10A-CB787F86A6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Earnings per Share</c:v>
                </c:pt>
                <c:pt idx="1">
                  <c:v>Dividend Payment Ratio</c:v>
                </c:pt>
              </c:strCache>
            </c:strRef>
          </c:cat>
          <c:val>
            <c:numRef>
              <c:f>Sheet1!$B$2:$B$3</c:f>
              <c:numCache>
                <c:formatCode>0.00%</c:formatCode>
                <c:ptCount val="2"/>
                <c:pt idx="0">
                  <c:v>1.0860000000000001</c:v>
                </c:pt>
                <c:pt idx="1">
                  <c:v>0.23599999999999999</c:v>
                </c:pt>
              </c:numCache>
            </c:numRef>
          </c:val>
          <c:extLst>
            <c:ext xmlns:c16="http://schemas.microsoft.com/office/drawing/2014/chart" uri="{C3380CC4-5D6E-409C-BE32-E72D297353CC}">
              <c16:uniqueId val="{00000000-2D36-48E2-B10A-CB787F86A66C}"/>
            </c:ext>
          </c:extLst>
        </c:ser>
        <c:ser>
          <c:idx val="1"/>
          <c:order val="1"/>
          <c:tx>
            <c:strRef>
              <c:f>Sheet1!$C$1</c:f>
              <c:strCache>
                <c:ptCount val="1"/>
                <c:pt idx="0">
                  <c:v>2024</c:v>
                </c:pt>
              </c:strCache>
            </c:strRef>
          </c:tx>
          <c:spPr>
            <a:solidFill>
              <a:schemeClr val="accent2"/>
            </a:solidFill>
            <a:ln>
              <a:noFill/>
            </a:ln>
            <a:effectLst/>
          </c:spPr>
          <c:invertIfNegative val="0"/>
          <c:dLbls>
            <c:dLbl>
              <c:idx val="0"/>
              <c:tx>
                <c:rich>
                  <a:bodyPr/>
                  <a:lstStyle/>
                  <a:p>
                    <a:r>
                      <a:rPr lang="en-US"/>
                      <a:t>141.3</a:t>
                    </a:r>
                    <a:r>
                      <a:rPr lang="en-US" baseline="0"/>
                      <a:t> Cents</a:t>
                    </a:r>
                    <a:endParaRPr lang="en-US"/>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2D36-48E2-B10A-CB787F86A66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Earnings per Share</c:v>
                </c:pt>
                <c:pt idx="1">
                  <c:v>Dividend Payment Ratio</c:v>
                </c:pt>
              </c:strCache>
            </c:strRef>
          </c:cat>
          <c:val>
            <c:numRef>
              <c:f>Sheet1!$C$2:$C$3</c:f>
              <c:numCache>
                <c:formatCode>0.00%</c:formatCode>
                <c:ptCount val="2"/>
                <c:pt idx="0">
                  <c:v>1.413</c:v>
                </c:pt>
                <c:pt idx="1">
                  <c:v>0.253</c:v>
                </c:pt>
              </c:numCache>
            </c:numRef>
          </c:val>
          <c:extLst>
            <c:ext xmlns:c16="http://schemas.microsoft.com/office/drawing/2014/chart" uri="{C3380CC4-5D6E-409C-BE32-E72D297353CC}">
              <c16:uniqueId val="{00000001-2D36-48E2-B10A-CB787F86A66C}"/>
            </c:ext>
          </c:extLst>
        </c:ser>
        <c:dLbls>
          <c:dLblPos val="outEnd"/>
          <c:showLegendKey val="0"/>
          <c:showVal val="1"/>
          <c:showCatName val="0"/>
          <c:showSerName val="0"/>
          <c:showPercent val="0"/>
          <c:showBubbleSize val="0"/>
        </c:dLbls>
        <c:gapWidth val="219"/>
        <c:overlap val="-27"/>
        <c:axId val="646784095"/>
        <c:axId val="870495039"/>
      </c:barChart>
      <c:catAx>
        <c:axId val="64678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0495039"/>
        <c:crosses val="autoZero"/>
        <c:auto val="1"/>
        <c:lblAlgn val="ctr"/>
        <c:lblOffset val="100"/>
        <c:noMultiLvlLbl val="0"/>
      </c:catAx>
      <c:valAx>
        <c:axId val="8704950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784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C104A-3701-4DF0-A7BA-3C61B1DA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7147</Words>
  <Characters>40744</Characters>
  <Application>Microsoft Office Word</Application>
  <DocSecurity>0</DocSecurity>
  <Lines>339</Lines>
  <Paragraphs>95</Paragraphs>
  <ScaleCrop>false</ScaleCrop>
  <Company/>
  <LinksUpToDate>false</LinksUpToDate>
  <CharactersWithSpaces>47796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2025-12-30T16:38:00Z</dcterms:created>
  <dcterms:modified xsi:type="dcterms:W3CDTF">2026-01-11T18:40:00Z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8f61a01f-d017-4ac0-8248-66ca9a6c0983</vt:lpwstr>
  </property>
</Properties>
</file>