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4"/>
        </w:rPr>
        <w:t>UNDERSTANDING AND ENGAGING STAKEHOLDERS</w:t>
        <w:br/>
      </w:r>
      <w:r>
        <w:rPr>
          <w:b/>
          <w:sz w:val="36"/>
        </w:rPr>
        <w:t>A New Stakeholder Engagement Study for Tesco PLC</w:t>
      </w:r>
    </w:p>
    <w:p/>
    <w:p/>
    <w:p/>
    <w:p>
      <w:pPr>
        <w:jc w:val="center"/>
      </w:pPr>
      <w:r>
        <w:rPr>
          <w:b/>
        </w:rPr>
        <w:t xml:space="preserve">Module: </w:t>
      </w:r>
      <w:r>
        <w:t>LCLM5001 – Understanding and Engaging Stakeholders</w:t>
      </w:r>
    </w:p>
    <w:p>
      <w:pPr>
        <w:jc w:val="center"/>
      </w:pPr>
      <w:r>
        <w:rPr>
          <w:b/>
        </w:rPr>
        <w:t xml:space="preserve">Student Name: </w:t>
      </w:r>
      <w:r>
        <w:t>Juan Martinez</w:t>
      </w:r>
    </w:p>
    <w:p>
      <w:pPr>
        <w:jc w:val="center"/>
      </w:pPr>
      <w:r>
        <w:rPr>
          <w:b/>
        </w:rPr>
        <w:t xml:space="preserve">Student ID: </w:t>
      </w:r>
      <w:r>
        <w:t>2439868</w:t>
      </w:r>
    </w:p>
    <w:p>
      <w:pPr>
        <w:jc w:val="center"/>
      </w:pPr>
      <w:r>
        <w:rPr>
          <w:b/>
        </w:rPr>
        <w:t xml:space="preserve">Company Case Study: </w:t>
      </w:r>
      <w:r>
        <w:t>Tesco PLC – UK Retail and Digital Customer Ecosystem</w:t>
      </w:r>
    </w:p>
    <w:p>
      <w:pPr>
        <w:jc w:val="center"/>
      </w:pPr>
      <w:r>
        <w:rPr>
          <w:b/>
        </w:rPr>
        <w:t xml:space="preserve">Project Focus: </w:t>
      </w:r>
      <w:r>
        <w:t>AI-enabled personalisation, Clubcard and stakeholder engagement</w:t>
      </w:r>
    </w:p>
    <w:p>
      <w:pPr>
        <w:jc w:val="center"/>
      </w:pPr>
      <w:r>
        <w:rPr>
          <w:b/>
        </w:rPr>
        <w:t xml:space="preserve">Submission: </w:t>
      </w:r>
      <w:r>
        <w:t>2026</w:t>
      </w:r>
    </w:p>
    <w:p>
      <w:r>
        <w:br w:type="page"/>
      </w:r>
    </w:p>
    <w:p>
      <w:pPr>
        <w:pStyle w:val="Heading1"/>
      </w:pPr>
      <w:r>
        <w:t>Executive Summary</w:t>
      </w:r>
    </w:p>
    <w:p>
      <w:r>
        <w:t>Tesco PLC operates in a highly competitive retail environment in which customers, colleagues, suppliers, shareholders, regulators and local communities all influence the organisation’s ability to create long-term value. This report develops a new stakeholder engagement study using Tesco as the case organisation. The analysis focuses on the relationship between Tesco’s Clubcard ecosystem, digital personalisation and the responsible use of customer data. Tesco’s current strategy places strong emphasis on value, convenience, loyalty and digital capability, while its wider sustainability agenda includes people, health, communities and the environment (Tesco PLC, 2026a; Tesco PLC, 2026b).</w:t>
      </w:r>
    </w:p>
    <w:p>
      <w:r>
        <w:t>The proposed project is an enhanced AI-supported 'Smart Clubcard Engagement Programme'. Its purpose is to use customer insight responsibly to improve relevance of offers, support customer retention and strengthen decision-making, while protecting privacy and maintaining stakeholder trust. The report identifies internal and external stakeholders and evaluates their power, interest, legitimacy and urgency. Mendelow’s Power–Interest Matrix and the stakeholder salience approach are used to determine engagement priorities. Freeman et al. (2018) provides the theoretical foundation that organisations should consider the interests of groups affected by business decisions rather than focusing exclusively on shareholders.</w:t>
      </w:r>
    </w:p>
    <w:p>
      <w:r>
        <w:t>The report proposes a structured engagement approach based on communication, consultation, collaboration and continuing commitment. A RACI framework clarifies responsibilities across technology, marketing, legal, customer, store and leadership functions. The study also considers conflicts involving privacy, algorithmic bias, affordability, supplier expectations, employee adoption and regional differences. Recommendations include stronger data governance, transparent customer communication, continuous feedback, colleague capability building and measurable stakeholder outcomes. The conclusion argues that Tesco can strengthen competitive advantage when digital innovation is combined with responsible governance and meaningful stakeholder participation.</w:t>
      </w:r>
    </w:p>
    <w:p>
      <w:pPr>
        <w:pStyle w:val="Heading1"/>
      </w:pPr>
      <w:r>
        <w:t>Contents</w:t>
      </w:r>
    </w:p>
    <w:p>
      <w:r>
        <w:t>1. Introduction</w:t>
      </w:r>
    </w:p>
    <w:p>
      <w:r>
        <w:t>2. SMART Objectives</w:t>
      </w:r>
    </w:p>
    <w:p>
      <w:r>
        <w:t>3. Stakeholder Identification and Analysis</w:t>
      </w:r>
    </w:p>
    <w:p>
      <w:r>
        <w:t>4. Stakeholder Theory Foundation</w:t>
      </w:r>
    </w:p>
    <w:p>
      <w:r>
        <w:t>5. Stakeholder Mapping</w:t>
      </w:r>
    </w:p>
    <w:p>
      <w:r>
        <w:t>6. Roles, Responsibilities, Benefits and Challenges</w:t>
      </w:r>
    </w:p>
    <w:p>
      <w:r>
        <w:t>7. Stakeholder Engagement Strategy and Conflict Management</w:t>
      </w:r>
    </w:p>
    <w:p>
      <w:r>
        <w:t>8. Communication Plan and RACI Matrix</w:t>
      </w:r>
    </w:p>
    <w:p>
      <w:r>
        <w:t>9. Stakeholder Engagement Lifecycle</w:t>
      </w:r>
    </w:p>
    <w:p>
      <w:r>
        <w:t>10. Cultural, Regulatory and Global Considerations</w:t>
      </w:r>
    </w:p>
    <w:p>
      <w:r>
        <w:t>11. Impact of Sustainable Stakeholder Engagement</w:t>
      </w:r>
    </w:p>
    <w:p>
      <w:r>
        <w:t>12. Critical Evaluation</w:t>
      </w:r>
    </w:p>
    <w:p>
      <w:r>
        <w:t>13. Recommendations</w:t>
      </w:r>
    </w:p>
    <w:p>
      <w:r>
        <w:t>14. Conclusion</w:t>
      </w:r>
    </w:p>
    <w:p>
      <w:r>
        <w:t>References</w:t>
      </w:r>
    </w:p>
    <w:p>
      <w:r>
        <w:br w:type="page"/>
      </w:r>
    </w:p>
    <w:p>
      <w:pPr>
        <w:pStyle w:val="Heading1"/>
      </w:pPr>
      <w:r>
        <w:t>1. Introduction</w:t>
      </w:r>
    </w:p>
    <w:p>
      <w:r>
        <w:t>Tesco PLC is one of the UK’s leading grocery retailers and operates across several markets and business formats. Tesco describes its purpose as serving customers, communities and the planet better every day, and its business includes Tesco UK, Tesco Republic of Ireland, Booker, dunnhumby and Central European operations (Tesco PLC, 2026c). The scale of this ecosystem means that stakeholder management is not a secondary activity: it is an important part of strategic decision-making.</w:t>
      </w:r>
    </w:p>
    <w:p>
      <w:r>
        <w:t>Tesco has developed substantial digital capability through Clubcard, its mobile applications, online services and the data science expertise associated with dunnhumby. Tesco’s recent reporting highlights the use of AI-enabled data science to improve ranging decisions and the use of Clubcard data to support personalised interactions and recommendations (Tesco PLC, 2026d). The company has also expanded personalised Clubcard initiatives, demonstrating that customer data is increasingly connected to the retail experience.</w:t>
      </w:r>
    </w:p>
    <w:p>
      <w:r>
        <w:t>This study therefore proposes a new stakeholder engagement scenario: the introduction of a more advanced AI-enabled personalisation programme within the Tesco Clubcard ecosystem. The proposed programme is not presented as an existing Tesco project; rather, it is a strategic case-study proposal informed by Tesco’s publicly reported digital direction. The purpose is to explore how stakeholder theory can help Tesco balance commercial benefits with privacy, fairness, employee acceptance, supplier relationships and community expectations.</w:t>
      </w:r>
    </w:p>
    <w:p>
      <w:r>
        <w:t>The issue is particularly important because personalisation can create value for customers when it makes offers more relevant, but the same technology can reduce trust if people do not understand how their data is used. Stakeholder engagement provides a way to involve the affected groups in project design and governance. Freeman et al. (2018) argues that stakeholder thinking supports long-term value creation by recognising the interests of multiple groups. Jones, Harrison and Felps (2018) similarly connect effective stakeholder relationships with sustainable competitive advantage.</w:t>
      </w:r>
    </w:p>
    <w:p>
      <w:pPr>
        <w:pStyle w:val="Heading1"/>
      </w:pPr>
      <w:r>
        <w:t>2. SMART Objectives</w:t>
      </w:r>
    </w:p>
    <w:p>
      <w:r>
        <w:t>The proposed Smart Clubcard Engagement Programme should have measurable objectives so that stakeholder engagement is connected to business and ethical outcomes.</w:t>
      </w:r>
    </w:p>
    <w:tbl>
      <w:tblPr>
        <w:tblStyle w:val="TableGrid"/>
        <w:tblW w:type="auto" w:w="0"/>
        <w:jc w:val="center"/>
        <w:tblLook w:firstColumn="1" w:firstRow="1" w:lastColumn="0" w:lastRow="0" w:noHBand="0" w:noVBand="1" w:val="04A0"/>
      </w:tblPr>
      <w:tblGrid>
        <w:gridCol w:w="4824"/>
        <w:gridCol w:w="4824"/>
      </w:tblGrid>
      <w:tr>
        <w:tc>
          <w:tcPr>
            <w:tcW w:type="dxa" w:w="4824"/>
          </w:tcPr>
          <w:p>
            <w:r>
              <w:t>Objective</w:t>
            </w:r>
          </w:p>
        </w:tc>
        <w:tc>
          <w:tcPr>
            <w:tcW w:type="dxa" w:w="4824"/>
          </w:tcPr>
          <w:p>
            <w:r>
              <w:t>SMART target</w:t>
            </w:r>
          </w:p>
        </w:tc>
      </w:tr>
      <w:tr>
        <w:tc>
          <w:tcPr>
            <w:tcW w:type="dxa" w:w="4824"/>
          </w:tcPr>
          <w:p>
            <w:r>
              <w:t>Customer retention and relevance</w:t>
            </w:r>
          </w:p>
        </w:tc>
        <w:tc>
          <w:tcPr>
            <w:tcW w:type="dxa" w:w="4824"/>
          </w:tcPr>
          <w:p>
            <w:r>
              <w:t>Increase engagement with personalised Clubcard offers by 8% within 12 months of the pilot, while maintaining customer satisfaction.</w:t>
            </w:r>
          </w:p>
        </w:tc>
      </w:tr>
      <w:tr>
        <w:tc>
          <w:tcPr>
            <w:tcW w:type="dxa" w:w="4824"/>
          </w:tcPr>
          <w:p>
            <w:r>
              <w:t>Stakeholder mapping</w:t>
            </w:r>
          </w:p>
        </w:tc>
        <w:tc>
          <w:tcPr>
            <w:tcW w:type="dxa" w:w="4824"/>
          </w:tcPr>
          <w:p>
            <w:r>
              <w:t>Complete a documented power, interest and salience assessment for all major stakeholder groups before full implementation.</w:t>
            </w:r>
          </w:p>
        </w:tc>
      </w:tr>
      <w:tr>
        <w:tc>
          <w:tcPr>
            <w:tcW w:type="dxa" w:w="4824"/>
          </w:tcPr>
          <w:p>
            <w:r>
              <w:t>Privacy and governance</w:t>
            </w:r>
          </w:p>
        </w:tc>
        <w:tc>
          <w:tcPr>
            <w:tcW w:type="dxa" w:w="4824"/>
          </w:tcPr>
          <w:p>
            <w:r>
              <w:t>Complete privacy, data-protection and ethical assessments for all AI personalisation features before release.</w:t>
            </w:r>
          </w:p>
        </w:tc>
      </w:tr>
      <w:tr>
        <w:tc>
          <w:tcPr>
            <w:tcW w:type="dxa" w:w="4824"/>
          </w:tcPr>
          <w:p>
            <w:r>
              <w:t>Colleague participation</w:t>
            </w:r>
          </w:p>
        </w:tc>
        <w:tc>
          <w:tcPr>
            <w:tcW w:type="dxa" w:w="4824"/>
          </w:tcPr>
          <w:p>
            <w:r>
              <w:t>Provide role-specific digital and AI training to affected colleagues and achieve at least 90% completion within six months.</w:t>
            </w:r>
          </w:p>
        </w:tc>
      </w:tr>
      <w:tr>
        <w:tc>
          <w:tcPr>
            <w:tcW w:type="dxa" w:w="4824"/>
          </w:tcPr>
          <w:p>
            <w:r>
              <w:t>Feedback and conflict</w:t>
            </w:r>
          </w:p>
        </w:tc>
        <w:tc>
          <w:tcPr>
            <w:tcW w:type="dxa" w:w="4824"/>
          </w:tcPr>
          <w:p>
            <w:r>
              <w:t>Create formal feedback routes for customers, colleagues and suppliers, with material issues reviewed monthly.</w:t>
            </w:r>
          </w:p>
        </w:tc>
      </w:tr>
      <w:tr>
        <w:tc>
          <w:tcPr>
            <w:tcW w:type="dxa" w:w="4824"/>
          </w:tcPr>
          <w:p>
            <w:r>
              <w:t>Sustainability and trust</w:t>
            </w:r>
          </w:p>
        </w:tc>
        <w:tc>
          <w:tcPr>
            <w:tcW w:type="dxa" w:w="4824"/>
          </w:tcPr>
          <w:p>
            <w:r>
              <w:t>Include stakeholder trust, fairness and responsible data use in the programme dashboard alongside commercial KPIs.</w:t>
            </w:r>
          </w:p>
        </w:tc>
      </w:tr>
    </w:tbl>
    <w:p>
      <w:pPr>
        <w:pStyle w:val="Heading1"/>
      </w:pPr>
      <w:r>
        <w:t>3. Stakeholder Identification and Analysis</w:t>
      </w:r>
    </w:p>
    <w:p>
      <w:r>
        <w:t>Stakeholders are individuals or groups who can affect the project, are affected by it, or possess a legitimate interest in its outcomes. In Tesco’s case, the proposed programme creates a wide network of stakeholders because the customer proposition depends on technology, stores, suppliers, data, marketing, regulation and community relationships.</w:t>
      </w:r>
    </w:p>
    <w:p>
      <w:pPr>
        <w:pStyle w:val="Heading2"/>
      </w:pPr>
      <w:r>
        <w:t>Internal stakeholders</w:t>
      </w:r>
    </w:p>
    <w:p>
      <w:r>
        <w:t>Senior leaders and the Board have high influence because they approve strategy, resources and governance. Project managers coordinate implementation and manage dependencies. Technology and data teams are responsible for the architecture, analytics, security and AI models. Marketing and Clubcard teams translate customer insight into campaigns and offers. Store and online colleagues influence the customer experience directly. Legal, privacy, risk and compliance specialists are responsible for ensuring that the programme operates within relevant requirements. Finance teams assess commercial performance and investment.</w:t>
      </w:r>
    </w:p>
    <w:p>
      <w:pPr>
        <w:pStyle w:val="Heading2"/>
      </w:pPr>
      <w:r>
        <w:t>External stakeholders</w:t>
      </w:r>
    </w:p>
    <w:p>
      <w:r>
        <w:t>Customers are the most visible stakeholder group because they receive personalised offers and decide whether to use the service. Suppliers and brand partners are also important because retail media, promotions and assortment decisions can affect their commercial outcomes. Regulators and data-protection authorities have legitimate interests in privacy, fairness and lawful processing. Shareholders expect sustainable returns and effective risk management. Communities and charities have an interest in Tesco’s wider social impact. Technology partners and service providers can affect system resilience and implementation quality.</w:t>
      </w:r>
    </w:p>
    <w:p>
      <w:r>
        <w:t>Tesco’s current sustainability reporting illustrates the breadth of this stakeholder environment. The company reports more than 340,000 colleagues, significant investment in colleague pay and development, community food redistribution, customer fundraising and work with suppliers and farmers (Tesco PLC, 2026b). This demonstrates why a stakeholder assessment should extend beyond customers and investors.</w:t>
      </w:r>
    </w:p>
    <w:p>
      <w:pPr>
        <w:pStyle w:val="Heading1"/>
      </w:pPr>
      <w:r>
        <w:t>4. Stakeholder Theory Foundation</w:t>
      </w:r>
    </w:p>
    <w:p>
      <w:r>
        <w:t>Freeman’s stakeholder perspective challenges a narrow view of the organisation as an entity serving only shareholders. Freeman, Harrison and Zyglidopoulos (2018) explain stakeholder theory as a framework for creating value through relationships with different groups. For Tesco, this means that the success of a digital loyalty initiative should not be measured only through sales or retention. Customer trust, colleague acceptance, supplier fairness, privacy and community expectations should also be considered.</w:t>
      </w:r>
    </w:p>
    <w:p>
      <w:r>
        <w:t>Stakeholder salience adds a second analytical lens. Mitchell, Agle and Wood’s framework, discussed by Wood et al. (2021), evaluates stakeholders through power, legitimacy and urgency. A regulator may have high legitimacy and power, while a customer complaint may have limited individual power but become urgent if it reveals a systemic privacy issue. The model therefore helps managers avoid treating all stakeholders as if they have identical influence.</w:t>
      </w:r>
    </w:p>
    <w:p>
      <w:r>
        <w:t>Mendelow’s Power–Interest Matrix is useful for deciding the intensity of communication. High-power/high-interest groups should be managed closely; high-power/low-interest groups should be kept satisfied; low-power/high-interest groups should be kept informed; and low-power/low-interest stakeholders require proportionate monitoring. Serna, Nakandala and Bowyer (2022) further emphasise the importance of identifying and prioritising stakeholders because dependency relationships can change their practical influence.</w:t>
      </w:r>
    </w:p>
    <w:p>
      <w:pPr>
        <w:pStyle w:val="Heading1"/>
      </w:pPr>
      <w:r>
        <w:t>5. Stakeholder Mapping</w:t>
      </w:r>
    </w:p>
    <w:tbl>
      <w:tblPr>
        <w:tblStyle w:val="TableGrid"/>
        <w:tblW w:type="auto" w:w="0"/>
        <w:jc w:val="center"/>
        <w:tblLook w:firstColumn="1" w:firstRow="1" w:lastColumn="0" w:lastRow="0" w:noHBand="0" w:noVBand="1" w:val="04A0"/>
      </w:tblPr>
      <w:tblGrid>
        <w:gridCol w:w="1930"/>
        <w:gridCol w:w="1930"/>
        <w:gridCol w:w="1930"/>
        <w:gridCol w:w="1930"/>
        <w:gridCol w:w="1930"/>
      </w:tblGrid>
      <w:tr>
        <w:tc>
          <w:tcPr>
            <w:tcW w:type="dxa" w:w="1930"/>
          </w:tcPr>
          <w:p>
            <w:r>
              <w:t>Stakeholder</w:t>
            </w:r>
          </w:p>
        </w:tc>
        <w:tc>
          <w:tcPr>
            <w:tcW w:type="dxa" w:w="1930"/>
          </w:tcPr>
          <w:p>
            <w:r>
              <w:t>Power</w:t>
            </w:r>
          </w:p>
        </w:tc>
        <w:tc>
          <w:tcPr>
            <w:tcW w:type="dxa" w:w="1930"/>
          </w:tcPr>
          <w:p>
            <w:r>
              <w:t>Interest</w:t>
            </w:r>
          </w:p>
        </w:tc>
        <w:tc>
          <w:tcPr>
            <w:tcW w:type="dxa" w:w="1930"/>
          </w:tcPr>
          <w:p>
            <w:r>
              <w:t>Salience</w:t>
            </w:r>
          </w:p>
        </w:tc>
        <w:tc>
          <w:tcPr>
            <w:tcW w:type="dxa" w:w="1930"/>
          </w:tcPr>
          <w:p>
            <w:r>
              <w:t>Engagement priority</w:t>
            </w:r>
          </w:p>
        </w:tc>
      </w:tr>
      <w:tr>
        <w:tc>
          <w:tcPr>
            <w:tcW w:type="dxa" w:w="1930"/>
          </w:tcPr>
          <w:p>
            <w:r>
              <w:t>Tesco Board and senior leadership</w:t>
            </w:r>
          </w:p>
        </w:tc>
        <w:tc>
          <w:tcPr>
            <w:tcW w:type="dxa" w:w="1930"/>
          </w:tcPr>
          <w:p>
            <w:r>
              <w:t>High</w:t>
            </w:r>
          </w:p>
        </w:tc>
        <w:tc>
          <w:tcPr>
            <w:tcW w:type="dxa" w:w="1930"/>
          </w:tcPr>
          <w:p>
            <w:r>
              <w:t>High</w:t>
            </w:r>
          </w:p>
        </w:tc>
        <w:tc>
          <w:tcPr>
            <w:tcW w:type="dxa" w:w="1930"/>
          </w:tcPr>
          <w:p>
            <w:r>
              <w:t>High</w:t>
            </w:r>
          </w:p>
        </w:tc>
        <w:tc>
          <w:tcPr>
            <w:tcW w:type="dxa" w:w="1930"/>
          </w:tcPr>
          <w:p>
            <w:r>
              <w:t>Manage closely; strategic decisions and risk oversight.</w:t>
            </w:r>
          </w:p>
        </w:tc>
      </w:tr>
      <w:tr>
        <w:tc>
          <w:tcPr>
            <w:tcW w:type="dxa" w:w="1930"/>
          </w:tcPr>
          <w:p>
            <w:r>
              <w:t>Customers / Clubcard members</w:t>
            </w:r>
          </w:p>
        </w:tc>
        <w:tc>
          <w:tcPr>
            <w:tcW w:type="dxa" w:w="1930"/>
          </w:tcPr>
          <w:p>
            <w:r>
              <w:t>Medium</w:t>
            </w:r>
          </w:p>
        </w:tc>
        <w:tc>
          <w:tcPr>
            <w:tcW w:type="dxa" w:w="1930"/>
          </w:tcPr>
          <w:p>
            <w:r>
              <w:t>High</w:t>
            </w:r>
          </w:p>
        </w:tc>
        <w:tc>
          <w:tcPr>
            <w:tcW w:type="dxa" w:w="1930"/>
          </w:tcPr>
          <w:p>
            <w:r>
              <w:t>High</w:t>
            </w:r>
          </w:p>
        </w:tc>
        <w:tc>
          <w:tcPr>
            <w:tcW w:type="dxa" w:w="1930"/>
          </w:tcPr>
          <w:p>
            <w:r>
              <w:t>Consult and inform; collect consent, feedback and experience data.</w:t>
            </w:r>
          </w:p>
        </w:tc>
      </w:tr>
      <w:tr>
        <w:tc>
          <w:tcPr>
            <w:tcW w:type="dxa" w:w="1930"/>
          </w:tcPr>
          <w:p>
            <w:r>
              <w:t>Data protection / regulators</w:t>
            </w:r>
          </w:p>
        </w:tc>
        <w:tc>
          <w:tcPr>
            <w:tcW w:type="dxa" w:w="1930"/>
          </w:tcPr>
          <w:p>
            <w:r>
              <w:t>High</w:t>
            </w:r>
          </w:p>
        </w:tc>
        <w:tc>
          <w:tcPr>
            <w:tcW w:type="dxa" w:w="1930"/>
          </w:tcPr>
          <w:p>
            <w:r>
              <w:t>Medium</w:t>
            </w:r>
          </w:p>
        </w:tc>
        <w:tc>
          <w:tcPr>
            <w:tcW w:type="dxa" w:w="1930"/>
          </w:tcPr>
          <w:p>
            <w:r>
              <w:t>High</w:t>
            </w:r>
          </w:p>
        </w:tc>
        <w:tc>
          <w:tcPr>
            <w:tcW w:type="dxa" w:w="1930"/>
          </w:tcPr>
          <w:p>
            <w:r>
              <w:t>Maintain formal compliance dialogue and evidence.</w:t>
            </w:r>
          </w:p>
        </w:tc>
      </w:tr>
      <w:tr>
        <w:tc>
          <w:tcPr>
            <w:tcW w:type="dxa" w:w="1930"/>
          </w:tcPr>
          <w:p>
            <w:r>
              <w:t>Technology and data teams</w:t>
            </w:r>
          </w:p>
        </w:tc>
        <w:tc>
          <w:tcPr>
            <w:tcW w:type="dxa" w:w="1930"/>
          </w:tcPr>
          <w:p>
            <w:r>
              <w:t>High</w:t>
            </w:r>
          </w:p>
        </w:tc>
        <w:tc>
          <w:tcPr>
            <w:tcW w:type="dxa" w:w="1930"/>
          </w:tcPr>
          <w:p>
            <w:r>
              <w:t>High</w:t>
            </w:r>
          </w:p>
        </w:tc>
        <w:tc>
          <w:tcPr>
            <w:tcW w:type="dxa" w:w="1930"/>
          </w:tcPr>
          <w:p>
            <w:r>
              <w:t>High</w:t>
            </w:r>
          </w:p>
        </w:tc>
        <w:tc>
          <w:tcPr>
            <w:tcW w:type="dxa" w:w="1930"/>
          </w:tcPr>
          <w:p>
            <w:r>
              <w:t>Collaborate continuously; technical and ethical assurance.</w:t>
            </w:r>
          </w:p>
        </w:tc>
      </w:tr>
      <w:tr>
        <w:tc>
          <w:tcPr>
            <w:tcW w:type="dxa" w:w="1930"/>
          </w:tcPr>
          <w:p>
            <w:r>
              <w:t>Store and online colleagues</w:t>
            </w:r>
          </w:p>
        </w:tc>
        <w:tc>
          <w:tcPr>
            <w:tcW w:type="dxa" w:w="1930"/>
          </w:tcPr>
          <w:p>
            <w:r>
              <w:t>Medium</w:t>
            </w:r>
          </w:p>
        </w:tc>
        <w:tc>
          <w:tcPr>
            <w:tcW w:type="dxa" w:w="1930"/>
          </w:tcPr>
          <w:p>
            <w:r>
              <w:t>High</w:t>
            </w:r>
          </w:p>
        </w:tc>
        <w:tc>
          <w:tcPr>
            <w:tcW w:type="dxa" w:w="1930"/>
          </w:tcPr>
          <w:p>
            <w:r>
              <w:t>Medium</w:t>
            </w:r>
          </w:p>
        </w:tc>
        <w:tc>
          <w:tcPr>
            <w:tcW w:type="dxa" w:w="1930"/>
          </w:tcPr>
          <w:p>
            <w:r>
              <w:t>Train, consult and involve in pilot design.</w:t>
            </w:r>
          </w:p>
        </w:tc>
      </w:tr>
      <w:tr>
        <w:tc>
          <w:tcPr>
            <w:tcW w:type="dxa" w:w="1930"/>
          </w:tcPr>
          <w:p>
            <w:r>
              <w:t>Suppliers and brand partners</w:t>
            </w:r>
          </w:p>
        </w:tc>
        <w:tc>
          <w:tcPr>
            <w:tcW w:type="dxa" w:w="1930"/>
          </w:tcPr>
          <w:p>
            <w:r>
              <w:t>Medium</w:t>
            </w:r>
          </w:p>
        </w:tc>
        <w:tc>
          <w:tcPr>
            <w:tcW w:type="dxa" w:w="1930"/>
          </w:tcPr>
          <w:p>
            <w:r>
              <w:t>Medium</w:t>
            </w:r>
          </w:p>
        </w:tc>
        <w:tc>
          <w:tcPr>
            <w:tcW w:type="dxa" w:w="1930"/>
          </w:tcPr>
          <w:p>
            <w:r>
              <w:t>Medium</w:t>
            </w:r>
          </w:p>
        </w:tc>
        <w:tc>
          <w:tcPr>
            <w:tcW w:type="dxa" w:w="1930"/>
          </w:tcPr>
          <w:p>
            <w:r>
              <w:t>Consult on campaign fairness and commercial impacts.</w:t>
            </w:r>
          </w:p>
        </w:tc>
      </w:tr>
      <w:tr>
        <w:tc>
          <w:tcPr>
            <w:tcW w:type="dxa" w:w="1930"/>
          </w:tcPr>
          <w:p>
            <w:r>
              <w:t>Shareholders / investors</w:t>
            </w:r>
          </w:p>
        </w:tc>
        <w:tc>
          <w:tcPr>
            <w:tcW w:type="dxa" w:w="1930"/>
          </w:tcPr>
          <w:p>
            <w:r>
              <w:t>High</w:t>
            </w:r>
          </w:p>
        </w:tc>
        <w:tc>
          <w:tcPr>
            <w:tcW w:type="dxa" w:w="1930"/>
          </w:tcPr>
          <w:p>
            <w:r>
              <w:t>Medium</w:t>
            </w:r>
          </w:p>
        </w:tc>
        <w:tc>
          <w:tcPr>
            <w:tcW w:type="dxa" w:w="1930"/>
          </w:tcPr>
          <w:p>
            <w:r>
              <w:t>Medium</w:t>
            </w:r>
          </w:p>
        </w:tc>
        <w:tc>
          <w:tcPr>
            <w:tcW w:type="dxa" w:w="1930"/>
          </w:tcPr>
          <w:p>
            <w:r>
              <w:t>Report performance, risk and governance outcomes.</w:t>
            </w:r>
          </w:p>
        </w:tc>
      </w:tr>
      <w:tr>
        <w:tc>
          <w:tcPr>
            <w:tcW w:type="dxa" w:w="1930"/>
          </w:tcPr>
          <w:p>
            <w:r>
              <w:t>Communities and charities</w:t>
            </w:r>
          </w:p>
        </w:tc>
        <w:tc>
          <w:tcPr>
            <w:tcW w:type="dxa" w:w="1930"/>
          </w:tcPr>
          <w:p>
            <w:r>
              <w:t>Low-Medium</w:t>
            </w:r>
          </w:p>
        </w:tc>
        <w:tc>
          <w:tcPr>
            <w:tcW w:type="dxa" w:w="1930"/>
          </w:tcPr>
          <w:p>
            <w:r>
              <w:t>Medium</w:t>
            </w:r>
          </w:p>
        </w:tc>
        <w:tc>
          <w:tcPr>
            <w:tcW w:type="dxa" w:w="1930"/>
          </w:tcPr>
          <w:p>
            <w:r>
              <w:t>Medium</w:t>
            </w:r>
          </w:p>
        </w:tc>
        <w:tc>
          <w:tcPr>
            <w:tcW w:type="dxa" w:w="1930"/>
          </w:tcPr>
          <w:p>
            <w:r>
              <w:t>Engage on affordability, inclusion and community impact.</w:t>
            </w:r>
          </w:p>
        </w:tc>
      </w:tr>
      <w:tr>
        <w:tc>
          <w:tcPr>
            <w:tcW w:type="dxa" w:w="1930"/>
          </w:tcPr>
          <w:p>
            <w:r>
              <w:t>Technology partners</w:t>
            </w:r>
          </w:p>
        </w:tc>
        <w:tc>
          <w:tcPr>
            <w:tcW w:type="dxa" w:w="1930"/>
          </w:tcPr>
          <w:p>
            <w:r>
              <w:t>Medium</w:t>
            </w:r>
          </w:p>
        </w:tc>
        <w:tc>
          <w:tcPr>
            <w:tcW w:type="dxa" w:w="1930"/>
          </w:tcPr>
          <w:p>
            <w:r>
              <w:t>Medium</w:t>
            </w:r>
          </w:p>
        </w:tc>
        <w:tc>
          <w:tcPr>
            <w:tcW w:type="dxa" w:w="1930"/>
          </w:tcPr>
          <w:p>
            <w:r>
              <w:t>Medium</w:t>
            </w:r>
          </w:p>
        </w:tc>
        <w:tc>
          <w:tcPr>
            <w:tcW w:type="dxa" w:w="1930"/>
          </w:tcPr>
          <w:p>
            <w:r>
              <w:t>Contractual governance, service levels and risk reviews.</w:t>
            </w:r>
          </w:p>
        </w:tc>
      </w:tr>
    </w:tbl>
    <w:p>
      <w:r>
        <w:t>The mapping should not be static. For example, a customer privacy issue could increase the urgency of customer groups and regulators. Similarly, a supplier may become more influential if its products are central to a major personalised campaign. Stakeholder analysis should therefore be reviewed at key project gates.</w:t>
      </w:r>
    </w:p>
    <w:p>
      <w:pPr>
        <w:pStyle w:val="Heading1"/>
      </w:pPr>
      <w:r>
        <w:t>6. Roles, Responsibilities, Benefits and Challenges</w:t>
      </w:r>
    </w:p>
    <w:p>
      <w:pPr>
        <w:pStyle w:val="Heading2"/>
      </w:pPr>
      <w:r>
        <w:t>Roles and responsibilities</w:t>
      </w:r>
    </w:p>
    <w:p>
      <w:r>
        <w:t>Technology teams would design and maintain the platform, while data scientists would develop models and monitor model performance. Privacy and legal teams would assess data processing, transparency and regulatory requirements. Marketing and Clubcard teams would translate insight into customer propositions. Store and online colleagues would provide operational feedback. Senior management would remain accountable for strategic outcomes and risk. Customers would contribute through feedback, preferences and participation decisions.</w:t>
      </w:r>
    </w:p>
    <w:p>
      <w:pPr>
        <w:pStyle w:val="Heading2"/>
      </w:pPr>
      <w:r>
        <w:t>Benefits</w:t>
      </w:r>
    </w:p>
    <w:p>
      <w:r>
        <w:t>A successful programme could improve customer relevance, reduce wasted promotional activity and strengthen loyalty. Tesco already reports that Clubcard is central to its digital customer proposition and has been expanding personalised experiences (Tesco PLC, 2025; Tesco PLC, 2026d). Better use of insight could also support assortment decisions and improve operational planning. For suppliers, more accurate targeting could make promotional activity more measurable. For colleagues, improved digital tools could reduce repetitive decision-making and provide better customer insight.</w:t>
      </w:r>
    </w:p>
    <w:p>
      <w:pPr>
        <w:pStyle w:val="Heading2"/>
      </w:pPr>
      <w:r>
        <w:t>Challenges</w:t>
      </w:r>
    </w:p>
    <w:p>
      <w:r>
        <w:t>Data privacy is a major challenge. Customers may not understand how their shopping information contributes to recommendations. Algorithmic bias is another concern because models can produce unequal outcomes if the underlying data or design choices are unbalanced (Williams, Brooks and Shmargad, 2018). Employee resistance could occur if colleagues perceive AI as a threat rather than a support tool. Suppliers could also challenge the system if personalised offers appear to favour certain brands unfairly. Finally, excessive dependence on digital systems creates operational resilience risks.</w:t>
      </w:r>
    </w:p>
    <w:p>
      <w:pPr>
        <w:pStyle w:val="Heading1"/>
      </w:pPr>
      <w:r>
        <w:t>7. Stakeholder Engagement Strategy and Conflict Management</w:t>
      </w:r>
    </w:p>
    <w:p>
      <w:pPr>
        <w:pStyle w:val="Heading2"/>
      </w:pPr>
      <w:r>
        <w:t>Communication</w:t>
      </w:r>
    </w:p>
    <w:p>
      <w:r>
        <w:t>Communication should explain the purpose, benefits and limitations of the programme in accessible language. Customers should receive clear information about personalisation and appropriate privacy choices. Colleagues should receive practical guidance explaining what the technology does and what it does not do. Senior leaders should receive dashboards covering financial, customer, operational and ethical indicators.</w:t>
      </w:r>
    </w:p>
    <w:p>
      <w:pPr>
        <w:pStyle w:val="Heading2"/>
      </w:pPr>
      <w:r>
        <w:t>Consultation</w:t>
      </w:r>
    </w:p>
    <w:p>
      <w:r>
        <w:t>Consultation should occur before major design decisions rather than after implementation. Customer research, colleague panels and supplier workshops can identify unintended consequences. Tesco’s Every Voice Matters approach demonstrates the value the company places on listening to colleagues; its 2026 sustainability reporting notes that colleague feedback is used to improve the workplace and strengthen culture (Tesco PLC, 2026b).</w:t>
      </w:r>
    </w:p>
    <w:p>
      <w:pPr>
        <w:pStyle w:val="Heading2"/>
      </w:pPr>
      <w:r>
        <w:t>Collaboration</w:t>
      </w:r>
    </w:p>
    <w:p>
      <w:r>
        <w:t>Cross-functional teams should bring together technology, marketing, privacy, store operations, customer insight and procurement. Collaboration reduces the likelihood that technical teams optimise a model without considering customer or operational consequences. Ali and Haapasalo (2023) emphasise that collaborative stakeholder relationships require clear conditions and shared working practices.</w:t>
      </w:r>
    </w:p>
    <w:p>
      <w:pPr>
        <w:pStyle w:val="Heading2"/>
      </w:pPr>
      <w:r>
        <w:t>Commitment</w:t>
      </w:r>
    </w:p>
    <w:p>
      <w:r>
        <w:t>Long-term engagement requires stakeholders to see evidence that their feedback changes decisions. A formal feedback register should record issues, owners, decisions and outcomes. This makes engagement measurable rather than symbolic.</w:t>
      </w:r>
    </w:p>
    <w:p>
      <w:pPr>
        <w:pStyle w:val="Heading2"/>
      </w:pPr>
      <w:r>
        <w:t>Conflict management</w:t>
      </w:r>
    </w:p>
    <w:p>
      <w:r>
        <w:t>Conflicts should be addressed through early identification, negotiation and mediation. For example, a customer may want highly relevant discounts while also wanting minimal use of personal information. A supplier may want maximum visibility while Tesco may prioritise customer value. These tensions should be resolved through transparent criteria rather than informal influence. The project manager can act as an impartial coordinator, while privacy and risk teams provide specialist escalation.</w:t>
      </w:r>
    </w:p>
    <w:p>
      <w:pPr>
        <w:pStyle w:val="Heading1"/>
      </w:pPr>
      <w:r>
        <w:t>8. Communication Plan and RACI Matrix</w:t>
      </w:r>
    </w:p>
    <w:tbl>
      <w:tblPr>
        <w:tblStyle w:val="TableGrid"/>
        <w:tblW w:type="auto" w:w="0"/>
        <w:tblLook w:firstColumn="1" w:firstRow="1" w:lastColumn="0" w:lastRow="0" w:noHBand="0" w:noVBand="1" w:val="04A0"/>
      </w:tblPr>
      <w:tblGrid>
        <w:gridCol w:w="2412"/>
        <w:gridCol w:w="2412"/>
        <w:gridCol w:w="2412"/>
        <w:gridCol w:w="2412"/>
      </w:tblGrid>
      <w:tr>
        <w:tc>
          <w:tcPr>
            <w:tcW w:type="dxa" w:w="2412"/>
          </w:tcPr>
          <w:p>
            <w:r>
              <w:t>Stakeholder</w:t>
            </w:r>
          </w:p>
        </w:tc>
        <w:tc>
          <w:tcPr>
            <w:tcW w:type="dxa" w:w="2412"/>
          </w:tcPr>
          <w:p>
            <w:r>
              <w:t>Channel</w:t>
            </w:r>
          </w:p>
        </w:tc>
        <w:tc>
          <w:tcPr>
            <w:tcW w:type="dxa" w:w="2412"/>
          </w:tcPr>
          <w:p>
            <w:r>
              <w:t>Frequency</w:t>
            </w:r>
          </w:p>
        </w:tc>
        <w:tc>
          <w:tcPr>
            <w:tcW w:type="dxa" w:w="2412"/>
          </w:tcPr>
          <w:p>
            <w:r>
              <w:t>Purpose</w:t>
            </w:r>
          </w:p>
        </w:tc>
      </w:tr>
      <w:tr>
        <w:tc>
          <w:tcPr>
            <w:tcW w:type="dxa" w:w="2412"/>
          </w:tcPr>
          <w:p>
            <w:r>
              <w:t>Customers</w:t>
            </w:r>
          </w:p>
        </w:tc>
        <w:tc>
          <w:tcPr>
            <w:tcW w:type="dxa" w:w="2412"/>
          </w:tcPr>
          <w:p>
            <w:r>
              <w:t>App/email/web messaging, surveys, preference controls</w:t>
            </w:r>
          </w:p>
        </w:tc>
        <w:tc>
          <w:tcPr>
            <w:tcW w:type="dxa" w:w="2412"/>
          </w:tcPr>
          <w:p>
            <w:r>
              <w:t>Monthly and at feature changes</w:t>
            </w:r>
          </w:p>
        </w:tc>
        <w:tc>
          <w:tcPr>
            <w:tcW w:type="dxa" w:w="2412"/>
          </w:tcPr>
          <w:p>
            <w:r>
              <w:t>Trust, understanding and feedback</w:t>
            </w:r>
          </w:p>
        </w:tc>
      </w:tr>
      <w:tr>
        <w:tc>
          <w:tcPr>
            <w:tcW w:type="dxa" w:w="2412"/>
          </w:tcPr>
          <w:p>
            <w:r>
              <w:t>Colleagues</w:t>
            </w:r>
          </w:p>
        </w:tc>
        <w:tc>
          <w:tcPr>
            <w:tcW w:type="dxa" w:w="2412"/>
          </w:tcPr>
          <w:p>
            <w:r>
              <w:t>Briefings, training, intranet, team meetings</w:t>
            </w:r>
          </w:p>
        </w:tc>
        <w:tc>
          <w:tcPr>
            <w:tcW w:type="dxa" w:w="2412"/>
          </w:tcPr>
          <w:p>
            <w:r>
              <w:t>Monthly during rollout</w:t>
            </w:r>
          </w:p>
        </w:tc>
        <w:tc>
          <w:tcPr>
            <w:tcW w:type="dxa" w:w="2412"/>
          </w:tcPr>
          <w:p>
            <w:r>
              <w:t>Adoption and operational issues</w:t>
            </w:r>
          </w:p>
        </w:tc>
      </w:tr>
      <w:tr>
        <w:tc>
          <w:tcPr>
            <w:tcW w:type="dxa" w:w="2412"/>
          </w:tcPr>
          <w:p>
            <w:r>
              <w:t>Leadership</w:t>
            </w:r>
          </w:p>
        </w:tc>
        <w:tc>
          <w:tcPr>
            <w:tcW w:type="dxa" w:w="2412"/>
          </w:tcPr>
          <w:p>
            <w:r>
              <w:t>Dashboard and steering committee</w:t>
            </w:r>
          </w:p>
        </w:tc>
        <w:tc>
          <w:tcPr>
            <w:tcW w:type="dxa" w:w="2412"/>
          </w:tcPr>
          <w:p>
            <w:r>
              <w:t>Monthly</w:t>
            </w:r>
          </w:p>
        </w:tc>
        <w:tc>
          <w:tcPr>
            <w:tcW w:type="dxa" w:w="2412"/>
          </w:tcPr>
          <w:p>
            <w:r>
              <w:t>Performance, risk and decisions</w:t>
            </w:r>
          </w:p>
        </w:tc>
      </w:tr>
      <w:tr>
        <w:tc>
          <w:tcPr>
            <w:tcW w:type="dxa" w:w="2412"/>
          </w:tcPr>
          <w:p>
            <w:r>
              <w:t>Regulators/privacy specialists</w:t>
            </w:r>
          </w:p>
        </w:tc>
        <w:tc>
          <w:tcPr>
            <w:tcW w:type="dxa" w:w="2412"/>
          </w:tcPr>
          <w:p>
            <w:r>
              <w:t>Compliance reports and formal reviews</w:t>
            </w:r>
          </w:p>
        </w:tc>
        <w:tc>
          <w:tcPr>
            <w:tcW w:type="dxa" w:w="2412"/>
          </w:tcPr>
          <w:p>
            <w:r>
              <w:t>At key gates and when required</w:t>
            </w:r>
          </w:p>
        </w:tc>
        <w:tc>
          <w:tcPr>
            <w:tcW w:type="dxa" w:w="2412"/>
          </w:tcPr>
          <w:p>
            <w:r>
              <w:t>Compliance evidence</w:t>
            </w:r>
          </w:p>
        </w:tc>
      </w:tr>
      <w:tr>
        <w:tc>
          <w:tcPr>
            <w:tcW w:type="dxa" w:w="2412"/>
          </w:tcPr>
          <w:p>
            <w:r>
              <w:t>Suppliers</w:t>
            </w:r>
          </w:p>
        </w:tc>
        <w:tc>
          <w:tcPr>
            <w:tcW w:type="dxa" w:w="2412"/>
          </w:tcPr>
          <w:p>
            <w:r>
              <w:t>Partner workshops and account meetings</w:t>
            </w:r>
          </w:p>
        </w:tc>
        <w:tc>
          <w:tcPr>
            <w:tcW w:type="dxa" w:w="2412"/>
          </w:tcPr>
          <w:p>
            <w:r>
              <w:t>Quarterly / campaign based</w:t>
            </w:r>
          </w:p>
        </w:tc>
        <w:tc>
          <w:tcPr>
            <w:tcW w:type="dxa" w:w="2412"/>
          </w:tcPr>
          <w:p>
            <w:r>
              <w:t>Fairness and commercial impacts</w:t>
            </w:r>
          </w:p>
        </w:tc>
      </w:tr>
      <w:tr>
        <w:tc>
          <w:tcPr>
            <w:tcW w:type="dxa" w:w="2412"/>
          </w:tcPr>
          <w:p>
            <w:r>
              <w:t>Investors</w:t>
            </w:r>
          </w:p>
        </w:tc>
        <w:tc>
          <w:tcPr>
            <w:tcW w:type="dxa" w:w="2412"/>
          </w:tcPr>
          <w:p>
            <w:r>
              <w:t>Annual/interim reporting</w:t>
            </w:r>
          </w:p>
        </w:tc>
        <w:tc>
          <w:tcPr>
            <w:tcW w:type="dxa" w:w="2412"/>
          </w:tcPr>
          <w:p>
            <w:r>
              <w:t>Scheduled reporting cycle</w:t>
            </w:r>
          </w:p>
        </w:tc>
        <w:tc>
          <w:tcPr>
            <w:tcW w:type="dxa" w:w="2412"/>
          </w:tcPr>
          <w:p>
            <w:r>
              <w:t>Strategic performance and risk</w:t>
            </w:r>
          </w:p>
        </w:tc>
      </w:tr>
    </w:tbl>
    <w:p>
      <w:pPr>
        <w:pStyle w:val="Heading2"/>
      </w:pPr>
      <w:r>
        <w:t>RACI Matrix</w:t>
      </w:r>
    </w:p>
    <w:tbl>
      <w:tblPr>
        <w:tblStyle w:val="TableGrid"/>
        <w:tblW w:type="auto" w:w="0"/>
        <w:tblLook w:firstColumn="1" w:firstRow="1" w:lastColumn="0" w:lastRow="0" w:noHBand="0" w:noVBand="1" w:val="04A0"/>
      </w:tblPr>
      <w:tblGrid>
        <w:gridCol w:w="1930"/>
        <w:gridCol w:w="1930"/>
        <w:gridCol w:w="1930"/>
        <w:gridCol w:w="1930"/>
        <w:gridCol w:w="1930"/>
      </w:tblGrid>
      <w:tr>
        <w:tc>
          <w:tcPr>
            <w:tcW w:type="dxa" w:w="1930"/>
          </w:tcPr>
          <w:p>
            <w:r>
              <w:t>Activity</w:t>
            </w:r>
          </w:p>
        </w:tc>
        <w:tc>
          <w:tcPr>
            <w:tcW w:type="dxa" w:w="1930"/>
          </w:tcPr>
          <w:p>
            <w:r>
              <w:t>Responsible</w:t>
            </w:r>
          </w:p>
        </w:tc>
        <w:tc>
          <w:tcPr>
            <w:tcW w:type="dxa" w:w="1930"/>
          </w:tcPr>
          <w:p>
            <w:r>
              <w:t>Accountable</w:t>
            </w:r>
          </w:p>
        </w:tc>
        <w:tc>
          <w:tcPr>
            <w:tcW w:type="dxa" w:w="1930"/>
          </w:tcPr>
          <w:p>
            <w:r>
              <w:t>Consulted</w:t>
            </w:r>
          </w:p>
        </w:tc>
        <w:tc>
          <w:tcPr>
            <w:tcW w:type="dxa" w:w="1930"/>
          </w:tcPr>
          <w:p>
            <w:r>
              <w:t>Informed</w:t>
            </w:r>
          </w:p>
        </w:tc>
      </w:tr>
      <w:tr>
        <w:tc>
          <w:tcPr>
            <w:tcW w:type="dxa" w:w="1930"/>
          </w:tcPr>
          <w:p>
            <w:r>
              <w:t>AI platform design</w:t>
            </w:r>
          </w:p>
        </w:tc>
        <w:tc>
          <w:tcPr>
            <w:tcW w:type="dxa" w:w="1930"/>
          </w:tcPr>
          <w:p>
            <w:r>
              <w:t>IT/Data</w:t>
            </w:r>
          </w:p>
        </w:tc>
        <w:tc>
          <w:tcPr>
            <w:tcW w:type="dxa" w:w="1930"/>
          </w:tcPr>
          <w:p>
            <w:r>
              <w:t>Project Director</w:t>
            </w:r>
          </w:p>
        </w:tc>
        <w:tc>
          <w:tcPr>
            <w:tcW w:type="dxa" w:w="1930"/>
          </w:tcPr>
          <w:p>
            <w:r>
              <w:t>Privacy/Marketing</w:t>
            </w:r>
          </w:p>
        </w:tc>
        <w:tc>
          <w:tcPr>
            <w:tcW w:type="dxa" w:w="1930"/>
          </w:tcPr>
          <w:p>
            <w:r>
              <w:t>Customers/Colleagues</w:t>
            </w:r>
          </w:p>
        </w:tc>
      </w:tr>
      <w:tr>
        <w:tc>
          <w:tcPr>
            <w:tcW w:type="dxa" w:w="1930"/>
          </w:tcPr>
          <w:p>
            <w:r>
              <w:t>Privacy and ethics review</w:t>
            </w:r>
          </w:p>
        </w:tc>
        <w:tc>
          <w:tcPr>
            <w:tcW w:type="dxa" w:w="1930"/>
          </w:tcPr>
          <w:p>
            <w:r>
              <w:t>Legal/Privacy</w:t>
            </w:r>
          </w:p>
        </w:tc>
        <w:tc>
          <w:tcPr>
            <w:tcW w:type="dxa" w:w="1930"/>
          </w:tcPr>
          <w:p>
            <w:r>
              <w:t>Chief Risk/Sponsor</w:t>
            </w:r>
          </w:p>
        </w:tc>
        <w:tc>
          <w:tcPr>
            <w:tcW w:type="dxa" w:w="1930"/>
          </w:tcPr>
          <w:p>
            <w:r>
              <w:t>IT/Data</w:t>
            </w:r>
          </w:p>
        </w:tc>
        <w:tc>
          <w:tcPr>
            <w:tcW w:type="dxa" w:w="1930"/>
          </w:tcPr>
          <w:p>
            <w:r>
              <w:t>Leadership</w:t>
            </w:r>
          </w:p>
        </w:tc>
      </w:tr>
      <w:tr>
        <w:tc>
          <w:tcPr>
            <w:tcW w:type="dxa" w:w="1930"/>
          </w:tcPr>
          <w:p>
            <w:r>
              <w:t>Customer proposition</w:t>
            </w:r>
          </w:p>
        </w:tc>
        <w:tc>
          <w:tcPr>
            <w:tcW w:type="dxa" w:w="1930"/>
          </w:tcPr>
          <w:p>
            <w:r>
              <w:t>Clubcard/Marketing</w:t>
            </w:r>
          </w:p>
        </w:tc>
        <w:tc>
          <w:tcPr>
            <w:tcW w:type="dxa" w:w="1930"/>
          </w:tcPr>
          <w:p>
            <w:r>
              <w:t>Commercial Director</w:t>
            </w:r>
          </w:p>
        </w:tc>
        <w:tc>
          <w:tcPr>
            <w:tcW w:type="dxa" w:w="1930"/>
          </w:tcPr>
          <w:p>
            <w:r>
              <w:t>Customer Insight</w:t>
            </w:r>
          </w:p>
        </w:tc>
        <w:tc>
          <w:tcPr>
            <w:tcW w:type="dxa" w:w="1930"/>
          </w:tcPr>
          <w:p>
            <w:r>
              <w:t>Stores/Suppliers</w:t>
            </w:r>
          </w:p>
        </w:tc>
      </w:tr>
      <w:tr>
        <w:tc>
          <w:tcPr>
            <w:tcW w:type="dxa" w:w="1930"/>
          </w:tcPr>
          <w:p>
            <w:r>
              <w:t>Colleague training</w:t>
            </w:r>
          </w:p>
        </w:tc>
        <w:tc>
          <w:tcPr>
            <w:tcW w:type="dxa" w:w="1930"/>
          </w:tcPr>
          <w:p>
            <w:r>
              <w:t>Learning/HR</w:t>
            </w:r>
          </w:p>
        </w:tc>
        <w:tc>
          <w:tcPr>
            <w:tcW w:type="dxa" w:w="1930"/>
          </w:tcPr>
          <w:p>
            <w:r>
              <w:t>Operations Director</w:t>
            </w:r>
          </w:p>
        </w:tc>
        <w:tc>
          <w:tcPr>
            <w:tcW w:type="dxa" w:w="1930"/>
          </w:tcPr>
          <w:p>
            <w:r>
              <w:t>IT/Project Team</w:t>
            </w:r>
          </w:p>
        </w:tc>
        <w:tc>
          <w:tcPr>
            <w:tcW w:type="dxa" w:w="1930"/>
          </w:tcPr>
          <w:p>
            <w:r>
              <w:t>Store Managers</w:t>
            </w:r>
          </w:p>
        </w:tc>
      </w:tr>
      <w:tr>
        <w:tc>
          <w:tcPr>
            <w:tcW w:type="dxa" w:w="1930"/>
          </w:tcPr>
          <w:p>
            <w:r>
              <w:t>Pilot evaluation</w:t>
            </w:r>
          </w:p>
        </w:tc>
        <w:tc>
          <w:tcPr>
            <w:tcW w:type="dxa" w:w="1930"/>
          </w:tcPr>
          <w:p>
            <w:r>
              <w:t>Project Team</w:t>
            </w:r>
          </w:p>
        </w:tc>
        <w:tc>
          <w:tcPr>
            <w:tcW w:type="dxa" w:w="1930"/>
          </w:tcPr>
          <w:p>
            <w:r>
              <w:t>Steering Committee</w:t>
            </w:r>
          </w:p>
        </w:tc>
        <w:tc>
          <w:tcPr>
            <w:tcW w:type="dxa" w:w="1930"/>
          </w:tcPr>
          <w:p>
            <w:r>
              <w:t>All major functions</w:t>
            </w:r>
          </w:p>
        </w:tc>
        <w:tc>
          <w:tcPr>
            <w:tcW w:type="dxa" w:w="1930"/>
          </w:tcPr>
          <w:p>
            <w:r>
              <w:t>Customers/Suppliers</w:t>
            </w:r>
          </w:p>
        </w:tc>
      </w:tr>
    </w:tbl>
    <w:p>
      <w:r>
        <w:t>The RACI approach reduces ambiguity by identifying who performs the work, who owns the outcome, who provides expert input and who receives updates. This is especially important in digital projects where accountability can otherwise become fragmented.</w:t>
      </w:r>
    </w:p>
    <w:p>
      <w:pPr>
        <w:pStyle w:val="Heading1"/>
      </w:pPr>
      <w:r>
        <w:t>9. Stakeholder Engagement Lifecycle</w:t>
      </w:r>
    </w:p>
    <w:p>
      <w:r>
        <w:rPr>
          <w:b/>
        </w:rPr>
        <w:t xml:space="preserve">1. Identify: </w:t>
      </w:r>
      <w:r>
        <w:t>List stakeholders and potential impacts.</w:t>
      </w:r>
    </w:p>
    <w:p>
      <w:r>
        <w:rPr>
          <w:b/>
        </w:rPr>
        <w:t xml:space="preserve">2. Analyse: </w:t>
      </w:r>
      <w:r>
        <w:t>Assess power, interest, legitimacy, urgency and dependencies.</w:t>
      </w:r>
    </w:p>
    <w:p>
      <w:r>
        <w:rPr>
          <w:b/>
        </w:rPr>
        <w:t xml:space="preserve">3. Prioritise: </w:t>
      </w:r>
      <w:r>
        <w:t>Allocate engagement resources according to risk and influence.</w:t>
      </w:r>
    </w:p>
    <w:p>
      <w:r>
        <w:rPr>
          <w:b/>
        </w:rPr>
        <w:t xml:space="preserve">4. Engage: </w:t>
      </w:r>
      <w:r>
        <w:t>Communicate, consult and collaborate through appropriate channels.</w:t>
      </w:r>
    </w:p>
    <w:p>
      <w:r>
        <w:rPr>
          <w:b/>
        </w:rPr>
        <w:t xml:space="preserve">5. Monitor: </w:t>
      </w:r>
      <w:r>
        <w:t>Track sentiment, adoption, complaints, risks and stakeholder changes.</w:t>
      </w:r>
    </w:p>
    <w:p>
      <w:r>
        <w:rPr>
          <w:b/>
        </w:rPr>
        <w:t xml:space="preserve">6. Learn: </w:t>
      </w:r>
      <w:r>
        <w:t>Use feedback to improve the product, governance and engagement process.</w:t>
      </w:r>
    </w:p>
    <w:p>
      <w:r>
        <w:t>This lifecycle should operate throughout the project rather than only during planning. Liu et al. (2023) illustrates the value of feedback and data-driven approaches in complex digital ecosystems. In Tesco’s case, feedback should be connected to both customer outcomes and responsible technology governance.</w:t>
      </w:r>
    </w:p>
    <w:p>
      <w:pPr>
        <w:pStyle w:val="Heading1"/>
      </w:pPr>
      <w:r>
        <w:t>10. Cultural, Regulatory and Global Considerations</w:t>
      </w:r>
    </w:p>
    <w:p>
      <w:r>
        <w:t>Tesco operates in the UK, Republic of Ireland and Central Europe, so customer expectations and regulatory requirements are not identical across markets. The same personalisation approach may need different communication or governance arrangements depending on local expectations and law. Gillespie and Swan (2021) highlight the importance of adapting marketing and engagement to different cultural environments.</w:t>
      </w:r>
    </w:p>
    <w:p>
      <w:r>
        <w:t>Data protection should be treated as a design requirement rather than a final compliance check. Tesco should maintain clear records of data use, access controls, retention and customer choices. Denley, Foulsham and Hitchen (2019) emphasise that GDPR compliance requires ongoing organisational processes rather than a one-off exercise. AI governance should additionally consider transparency, accountability and fairness. Cath (2018) shows why AI governance involves ethical, legal and technical dimensions.</w:t>
      </w:r>
    </w:p>
    <w:p>
      <w:r>
        <w:t>The programme should also recognise affordability as a stakeholder issue. Tesco’s purpose and current strategy place significant emphasis on value and accessible food. Personalisation should therefore not create a system where the best value is perceived as available only to customers willing to share more data. Clear alternatives and fair access are important to maintaining trust.</w:t>
      </w:r>
    </w:p>
    <w:p>
      <w:pPr>
        <w:pStyle w:val="Heading1"/>
      </w:pPr>
      <w:r>
        <w:t>11. Impact of Sustainable Stakeholder Engagement</w:t>
      </w:r>
    </w:p>
    <w:p>
      <w:pPr>
        <w:pStyle w:val="Heading2"/>
      </w:pPr>
      <w:r>
        <w:t>Business performance impact</w:t>
      </w:r>
    </w:p>
    <w:p>
      <w:r>
        <w:t>Strong stakeholder engagement can support retention, customer satisfaction and more effective promotions. Tesco’s current reporting shows that Clubcard remains a major part of its customer proposition, with personalised offers and digital engagement continuing to develop (Tesco PLC, 2026d). A well-governed AI programme could build on this capability while reducing irrelevant communications.</w:t>
      </w:r>
    </w:p>
    <w:p>
      <w:pPr>
        <w:pStyle w:val="Heading2"/>
      </w:pPr>
      <w:r>
        <w:t>Strategic impact</w:t>
      </w:r>
    </w:p>
    <w:p>
      <w:r>
        <w:t>Stakeholder engagement can become a competitive capability when customer insight, technology and trusted relationships are combined. Tesco’s scale creates access to extensive retail data, but the value of this resource depends on customer trust and organisational capability. Digital innovation should therefore be aligned with the company’s broader strategic priorities.</w:t>
      </w:r>
    </w:p>
    <w:p>
      <w:pPr>
        <w:pStyle w:val="Heading2"/>
      </w:pPr>
      <w:r>
        <w:t>Operational impact</w:t>
      </w:r>
    </w:p>
    <w:p>
      <w:r>
        <w:t>Clear engagement can reduce implementation errors, improve coordination and surface operational problems earlier. Colleague feedback is particularly important because store teams experience customer reactions directly. Tesco reports significant investment in colleague training, including more than one million hours of training for UK store colleagues in the latest reporting period (Tesco PLC, 2026d).</w:t>
      </w:r>
    </w:p>
    <w:p>
      <w:pPr>
        <w:pStyle w:val="Heading2"/>
      </w:pPr>
      <w:r>
        <w:t>Ethical and governance impact</w:t>
      </w:r>
    </w:p>
    <w:p>
      <w:r>
        <w:t>Responsible engagement strengthens accountability. Customers can understand how personalisation works, colleagues can challenge inappropriate processes, and leadership can monitor ethical indicators. This creates a governance structure in which commercial performance is considered alongside privacy, fairness and trust.</w:t>
      </w:r>
    </w:p>
    <w:p>
      <w:pPr>
        <w:pStyle w:val="Heading2"/>
      </w:pPr>
      <w:r>
        <w:t>Sustainability and community impact</w:t>
      </w:r>
    </w:p>
    <w:p>
      <w:r>
        <w:t>Tesco’s sustainability reporting demonstrates that stakeholder outcomes extend beyond commercial performance. The company reports substantial food redistribution, community fundraising, healthy-food initiatives and environmental progress (Tesco PLC, 2026b). The proposed digital programme should therefore avoid treating stakeholder engagement as purely a marketing activity and should connect it to Tesco’s wider social purpose.</w:t>
      </w:r>
    </w:p>
    <w:p>
      <w:pPr>
        <w:pStyle w:val="Heading1"/>
      </w:pPr>
      <w:r>
        <w:t>12. Critical Evaluation</w:t>
      </w:r>
    </w:p>
    <w:p>
      <w:r>
        <w:t>The proposed engagement model offers clear advantages, but it also has limitations. First, extensive consultation can slow decision-making. A digital programme operating in a competitive retail market cannot allow every decision to remain open indefinitely. Clear decision rights and escalation thresholds are therefore necessary.</w:t>
      </w:r>
    </w:p>
    <w:p>
      <w:r>
        <w:t>Second, stakeholder power is unequal. Customers may have strong interest but limited direct influence over technical design, whereas senior management and regulators can make high-impact decisions. A responsible engagement system should compensate for this imbalance by giving customer and colleague feedback formal routes into governance.</w:t>
      </w:r>
    </w:p>
    <w:p>
      <w:r>
        <w:t>Third, personalisation creates a tension between relevance and privacy. More data can potentially improve recommendations, but collecting or using information without sufficient transparency can damage trust. The programme should therefore follow a data-minimisation and purpose-led approach.</w:t>
      </w:r>
    </w:p>
    <w:p>
      <w:r>
        <w:t>Fourth, AI models may produce biased outcomes. Monitoring should include fairness indicators, complaint patterns and performance across relevant customer segments. Human review should remain available for material decisions. Brundage et al. (2018) also highlights broader risks associated with the malicious or unsafe use of AI, reinforcing the need for strong controls.</w:t>
      </w:r>
    </w:p>
    <w:p>
      <w:r>
        <w:t>Finally, engagement should not be confused with agreement. Stakeholders can be listened to without receiving every requested outcome. Good governance makes the decision criteria visible and explains why competing interests have been balanced in a particular way.</w:t>
      </w:r>
    </w:p>
    <w:p>
      <w:pPr>
        <w:pStyle w:val="Heading1"/>
      </w:pPr>
      <w:r>
        <w:t>13. Recommendations</w:t>
      </w:r>
    </w:p>
    <w:p>
      <w:r>
        <w:rPr>
          <w:b/>
        </w:rPr>
        <w:t xml:space="preserve">Create a Digital Stakeholder Governance Board: </w:t>
      </w:r>
      <w:r>
        <w:t>Include senior management, privacy, technology, customer, operations and colleague representation. Review high-risk AI and personalisation decisions.</w:t>
      </w:r>
    </w:p>
    <w:p>
      <w:r>
        <w:rPr>
          <w:b/>
        </w:rPr>
        <w:t xml:space="preserve">Introduce transparent customer controls: </w:t>
      </w:r>
      <w:r>
        <w:t>Explain personalisation in plain language and provide understandable options for preferences and data use.</w:t>
      </w:r>
    </w:p>
    <w:p>
      <w:r>
        <w:rPr>
          <w:b/>
        </w:rPr>
        <w:t xml:space="preserve">Build continuous fairness monitoring: </w:t>
      </w:r>
      <w:r>
        <w:t>Track model outcomes, complaints, unusual patterns and performance differences. Establish human escalation for material issues.</w:t>
      </w:r>
    </w:p>
    <w:p>
      <w:r>
        <w:rPr>
          <w:b/>
        </w:rPr>
        <w:t xml:space="preserve">Make colleague participation mandatory in pilots: </w:t>
      </w:r>
      <w:r>
        <w:t>Use store and online colleagues as co-designers and provide practical digital/AI training before rollout.</w:t>
      </w:r>
    </w:p>
    <w:p>
      <w:r>
        <w:rPr>
          <w:b/>
        </w:rPr>
        <w:t xml:space="preserve">Use a stakeholder dashboard: </w:t>
      </w:r>
      <w:r>
        <w:t>Combine commercial KPIs with trust, privacy incidents, complaints, training completion, supplier feedback and customer satisfaction.</w:t>
      </w:r>
    </w:p>
    <w:p>
      <w:r>
        <w:rPr>
          <w:b/>
        </w:rPr>
        <w:t xml:space="preserve">Strengthen supplier engagement: </w:t>
      </w:r>
      <w:r>
        <w:t>Explain campaign criteria and create review mechanisms where personalisation may affect supplier visibility or sales.</w:t>
      </w:r>
    </w:p>
    <w:p>
      <w:r>
        <w:rPr>
          <w:b/>
        </w:rPr>
        <w:t xml:space="preserve">Review stakeholder maps quarterly: </w:t>
      </w:r>
      <w:r>
        <w:t>Power, interest and urgency can change rapidly, so the map should be refreshed throughout the programme.</w:t>
      </w:r>
    </w:p>
    <w:p>
      <w:r>
        <w:rPr>
          <w:b/>
        </w:rPr>
        <w:t xml:space="preserve">Link digital engagement to Tesco’s wider purpose: </w:t>
      </w:r>
      <w:r>
        <w:t>Ensure the programme supports value, healthy choices, communities and responsible use of technology rather than focusing only on sales.</w:t>
      </w:r>
    </w:p>
    <w:p>
      <w:pPr>
        <w:pStyle w:val="Heading1"/>
      </w:pPr>
      <w:r>
        <w:t>14. Conclusion</w:t>
      </w:r>
    </w:p>
    <w:p>
      <w:r>
        <w:t>This study demonstrates how stakeholder engagement can support Tesco PLC in developing responsible digital innovation. Tesco already has a strong foundation through Clubcard, digital channels, customer insight and dunnhumby’s data science capability. Its current strategy also demonstrates an emphasis on customers, colleagues, suppliers, communities and sustainability.</w:t>
      </w:r>
    </w:p>
    <w:p>
      <w:r>
        <w:t>The proposed Smart Clubcard Engagement Programme would extend these capabilities through a structured approach to AI-enabled personalisation. The central argument is that technology alone does not create sustainable competitive advantage. Trust, governance, colleague participation, customer choice and effective supplier relationships are equally important.</w:t>
      </w:r>
    </w:p>
    <w:p>
      <w:r>
        <w:t>Using stakeholder theory, salience analysis, the Power–Interest Matrix, RACI and a lifecycle approach gives Tesco a practical framework for balancing competing expectations. The strongest model is one that combines commercial performance with responsible data use and measurable stakeholder outcomes. If Tesco can maintain this balance, digital personalisation can strengthen customer relationships while supporting long-term value for a broader stakeholder community.</w:t>
      </w:r>
    </w:p>
    <w:p>
      <w:pPr>
        <w:pStyle w:val="Heading1"/>
      </w:pPr>
      <w:r>
        <w:t>References</w:t>
      </w:r>
    </w:p>
    <w:p>
      <w:r>
        <w:t>Ali, F. and Haapasalo, H. (2023) ‘Development levels of stakeholder relationships in collaborative projects: challenges and preconditions’, International Journal of Managing Projects in Business, 16(8), pp. 58–76. doi:10.1108/IJMPB-03-2022-0066.</w:t>
      </w:r>
    </w:p>
    <w:p>
      <w:r>
        <w:t>Brundage, M. et al. (2018) The Malicious Use of Artificial Intelligence: Forecasting, Prevention, and Mitigation. arXiv:1802.07228.</w:t>
      </w:r>
    </w:p>
    <w:p>
      <w:r>
        <w:t>Cath, C. (2018) ‘Governing artificial intelligence: ethical, legal and technical opportunities and challenges’, Philosophical Transactions of the Royal Society A, 376(2133). doi:10.1098/rsta.2018.0080.</w:t>
      </w:r>
    </w:p>
    <w:p>
      <w:r>
        <w:t>Denley, A., Foulsham, M. and Hitchen, B. (2019) GDPR – How to Achieve and Maintain Compliance. Routledge.</w:t>
      </w:r>
    </w:p>
    <w:p>
      <w:r>
        <w:t>Freeman, R.E., Harrison, J.S. and Zyglidopoulos, S. (2018) Stakeholder Theory: Concepts and Strategies. Cambridge University Press. doi:10.1017/9781108539500.</w:t>
      </w:r>
    </w:p>
    <w:p>
      <w:r>
        <w:t>Gillespie, K. and Swan, K.S. (2021) Global Marketing. Routledge. doi:10.4324/9781003141709.</w:t>
      </w:r>
    </w:p>
    <w:p>
      <w:r>
        <w:t>Jones, T.M., Harrison, J.S. and Felps, W. (2018) ‘How applying instrumental stakeholder theory can provide sustainable competitive advantage’, Academy of Management Review, 43(3), pp. 371–391. doi:10.5465/amr.2016.0111.</w:t>
      </w:r>
    </w:p>
    <w:p>
      <w:r>
        <w:t>Kim, J. and Yum, K. (2024) ‘Enhancing continuous usage intention in e-commerce marketplace platforms: the effects of service quality, customer satisfaction, and trust’, Applied Sciences, 14(17), p. 7617. doi:10.3390/app14177617.</w:t>
      </w:r>
    </w:p>
    <w:p>
      <w:r>
        <w:t>Liu, B. et al. (2023) ‘Data-driven quantitative analysis of an integrated open digital ecosystems platform for user-centric energy retrofits’, Technology in Society, 75, p.102347. doi:10.1016/j.techsoc.2023.102347.</w:t>
      </w:r>
    </w:p>
    <w:p>
      <w:r>
        <w:t>Serna, L.R., Nakandala, D. and Bowyer, D. (2022) ‘Stakeholder identification and prioritization: the attribute of dependency’, Journal of Business Research, 148, pp. 444–455. doi:10.1016/j.jbusres.2022.04.062.</w:t>
      </w:r>
    </w:p>
    <w:p>
      <w:r>
        <w:t>Tesco PLC (2025) Annual Report and Financial Statements 2025. Available at: https://www.tescoplc.com/media/ky0bfwpo/tesco_ar25_interactive.pdf (Accessed: 8 August 2026).</w:t>
      </w:r>
    </w:p>
    <w:p>
      <w:r>
        <w:t>Tesco PLC (2026a) Investors: Annual Report 2026 and financial highlights. Available at: https://origin.tescoplc.com/investors (Accessed: 8 August 2026).</w:t>
      </w:r>
    </w:p>
    <w:p>
      <w:r>
        <w:t>Tesco PLC (2026b) Sustainability Report 2026. Available at: https://www.tescoplc.com/sustainability-report-2026 (Accessed: 8 August 2026).</w:t>
      </w:r>
    </w:p>
    <w:p>
      <w:r>
        <w:t>Tesco PLC (2026c) About Tesco. Available at: https://origin.tescoplc.com/about/ (Accessed: 8 August 2026).</w:t>
      </w:r>
    </w:p>
    <w:p>
      <w:r>
        <w:t>Tesco PLC (2026d) Preliminary Results 2025/26 – Analyst Call Transcript. Available at: https://www.tescoplc.com/media/tdqcjq35/tesco-plc-preliminary-results-2526-analyst-call-transcript.pdf (Accessed: 8 August 2026).</w:t>
      </w:r>
    </w:p>
    <w:p>
      <w:r>
        <w:t>Vashishth, T.K. et al. (2024) ‘Enhancing customer experience through AI-enabled content personalization in e-commerce marketing’, CRC Press eBooks, pp. 7–32.</w:t>
      </w:r>
    </w:p>
    <w:p>
      <w:r>
        <w:t>Watanabe, C., Akhtar, W., Tou, Y. and Neittaanmäki, P. (2021) ‘Amazon’s initiative transforming a non-contact society – Digital disruption leads the way to stakeholder capitalization’, Technology in Society, 65, p.101596.</w:t>
      </w:r>
    </w:p>
    <w:p>
      <w:r>
        <w:t>Williams, B.A., Brooks, C.F. and Shmargad, Y. (2018) ‘How algorithms discriminate based on data they lack: challenges, solutions, and policy implications’, Journal of Information Policy, 8, p.78. doi:10.5325/jinfopoli.8.2018.0078.</w:t>
      </w:r>
    </w:p>
    <w:p>
      <w:r>
        <w:t>Wood, D.J., Mitchell, R.K., Agle, B.R. and Bryan, L.M. (2021) ‘Stakeholder identification and salience after 20 years: progress, problems, and prospects’, Business &amp; Society, 60(1), pp.196–245. doi:10.1177/0007650318816522.</w:t>
      </w:r>
    </w:p>
    <w:p/>
    <w:p>
      <w:r>
        <w:rPr>
          <w:b/>
        </w:rPr>
        <w:t xml:space="preserve">Research note: </w:t>
      </w:r>
      <w:r>
        <w:t>This new study was developed from the uploaded stakeholder-engagement assignment as a structural and academic starting point, but the company case, examples, analysis and recommendations have been newly developed for Tesco PLC. Current Tesco-specific facts were checked against Tesco PLC public reporting.</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Page </w:t>
    </w: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