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D55C9D" w14:textId="5AC5EFE8" w:rsidR="00C66304" w:rsidRPr="0087792D" w:rsidRDefault="0087792D" w:rsidP="0087792D">
      <w:pPr>
        <w:jc w:val="center"/>
        <w:rPr>
          <w:rFonts w:ascii="Dubai" w:hAnsi="Dubai" w:cs="Dubai"/>
          <w:b/>
          <w:bCs/>
          <w:sz w:val="36"/>
          <w:szCs w:val="36"/>
        </w:rPr>
      </w:pPr>
      <w:r w:rsidRPr="0087792D">
        <w:rPr>
          <w:rFonts w:ascii="Dubai" w:hAnsi="Dubai" w:cs="Dubai" w:hint="cs"/>
          <w:b/>
          <w:bCs/>
          <w:sz w:val="36"/>
          <w:szCs w:val="36"/>
        </w:rPr>
        <w:t>Image Analysis of an Illustration of Tomb 11, Kalavasos</w:t>
      </w:r>
    </w:p>
    <w:p w14:paraId="15D643BA" w14:textId="2E6C8D08" w:rsidR="0087792D" w:rsidRDefault="0087792D" w:rsidP="0087792D">
      <w:pPr>
        <w:rPr>
          <w:rFonts w:ascii="Dubai" w:hAnsi="Dubai" w:cs="Dubai" w:hint="cs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FE2B128" wp14:editId="63A858BF">
            <wp:simplePos x="0" y="0"/>
            <wp:positionH relativeFrom="margin">
              <wp:align>center</wp:align>
            </wp:positionH>
            <wp:positionV relativeFrom="paragraph">
              <wp:posOffset>231140</wp:posOffset>
            </wp:positionV>
            <wp:extent cx="4420870" cy="2917355"/>
            <wp:effectExtent l="19050" t="19050" r="17780" b="16510"/>
            <wp:wrapNone/>
            <wp:docPr id="5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67846A33-AD36-4A59-B2F6-5ACDB77348C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>
                      <a:extLst>
                        <a:ext uri="{FF2B5EF4-FFF2-40B4-BE49-F238E27FC236}">
                          <a16:creationId xmlns:a16="http://schemas.microsoft.com/office/drawing/2014/main" id="{67846A33-AD36-4A59-B2F6-5ACDB77348C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rightnessContrast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0870" cy="2917355"/>
                    </a:xfrm>
                    <a:prstGeom prst="rect">
                      <a:avLst/>
                    </a:prstGeom>
                    <a:ln w="19050"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</a:ln>
                  </pic:spPr>
                </pic:pic>
              </a:graphicData>
            </a:graphic>
          </wp:anchor>
        </w:drawing>
      </w:r>
    </w:p>
    <w:p w14:paraId="74BA8882" w14:textId="77777777" w:rsidR="0087792D" w:rsidRPr="0087792D" w:rsidRDefault="0087792D" w:rsidP="0087792D">
      <w:pPr>
        <w:rPr>
          <w:rFonts w:ascii="Dubai" w:hAnsi="Dubai" w:cs="Dubai" w:hint="cs"/>
          <w:sz w:val="24"/>
          <w:szCs w:val="24"/>
        </w:rPr>
      </w:pPr>
    </w:p>
    <w:p w14:paraId="1B59981C" w14:textId="77777777" w:rsidR="0087792D" w:rsidRPr="0087792D" w:rsidRDefault="0087792D" w:rsidP="0087792D">
      <w:pPr>
        <w:rPr>
          <w:rFonts w:ascii="Dubai" w:hAnsi="Dubai" w:cs="Dubai" w:hint="cs"/>
          <w:sz w:val="24"/>
          <w:szCs w:val="24"/>
        </w:rPr>
      </w:pPr>
    </w:p>
    <w:p w14:paraId="7A780839" w14:textId="77777777" w:rsidR="0087792D" w:rsidRPr="0087792D" w:rsidRDefault="0087792D" w:rsidP="0087792D">
      <w:pPr>
        <w:rPr>
          <w:rFonts w:ascii="Dubai" w:hAnsi="Dubai" w:cs="Dubai" w:hint="cs"/>
          <w:sz w:val="24"/>
          <w:szCs w:val="24"/>
        </w:rPr>
      </w:pPr>
    </w:p>
    <w:p w14:paraId="5F43ED64" w14:textId="77777777" w:rsidR="0087792D" w:rsidRPr="0087792D" w:rsidRDefault="0087792D" w:rsidP="0087792D">
      <w:pPr>
        <w:rPr>
          <w:rFonts w:ascii="Dubai" w:hAnsi="Dubai" w:cs="Dubai" w:hint="cs"/>
          <w:sz w:val="24"/>
          <w:szCs w:val="24"/>
        </w:rPr>
      </w:pPr>
    </w:p>
    <w:p w14:paraId="5F3308E6" w14:textId="77777777" w:rsidR="0087792D" w:rsidRPr="0087792D" w:rsidRDefault="0087792D" w:rsidP="0087792D">
      <w:pPr>
        <w:rPr>
          <w:rFonts w:ascii="Dubai" w:hAnsi="Dubai" w:cs="Dubai" w:hint="cs"/>
          <w:sz w:val="24"/>
          <w:szCs w:val="24"/>
        </w:rPr>
      </w:pPr>
    </w:p>
    <w:p w14:paraId="66EC769C" w14:textId="77777777" w:rsidR="0087792D" w:rsidRPr="0087792D" w:rsidRDefault="0087792D" w:rsidP="0087792D">
      <w:pPr>
        <w:rPr>
          <w:rFonts w:ascii="Dubai" w:hAnsi="Dubai" w:cs="Dubai" w:hint="cs"/>
          <w:sz w:val="24"/>
          <w:szCs w:val="24"/>
        </w:rPr>
      </w:pPr>
    </w:p>
    <w:p w14:paraId="470AAFF9" w14:textId="77777777" w:rsidR="0087792D" w:rsidRPr="0087792D" w:rsidRDefault="0087792D" w:rsidP="0087792D">
      <w:pPr>
        <w:rPr>
          <w:rFonts w:ascii="Dubai" w:hAnsi="Dubai" w:cs="Dubai" w:hint="cs"/>
          <w:sz w:val="24"/>
          <w:szCs w:val="24"/>
        </w:rPr>
      </w:pPr>
    </w:p>
    <w:p w14:paraId="64A6461F" w14:textId="7DEB3044" w:rsidR="006A5B0F" w:rsidRDefault="006A5B0F" w:rsidP="0087792D">
      <w:pPr>
        <w:rPr>
          <w:rFonts w:ascii="Dubai" w:hAnsi="Dubai" w:cs="Dubai"/>
          <w:sz w:val="24"/>
          <w:szCs w:val="24"/>
        </w:rPr>
      </w:pPr>
    </w:p>
    <w:p w14:paraId="305F5DDD" w14:textId="77777777" w:rsidR="004A2316" w:rsidRPr="009868DD" w:rsidRDefault="004A2316" w:rsidP="0087792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098103D" w14:textId="4AB9C841" w:rsidR="006B2DDD" w:rsidRPr="006B2DDD" w:rsidRDefault="006B2DDD" w:rsidP="0013398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This image represents Tomb 11, in Kalavasos-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Ayios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Dhimitrios, wherein multiple young women, and children were buried</w:t>
      </w:r>
      <w:r w:rsidR="009278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throughout the tomb’s relatively short use-life during LCIIA (c. 1400-1375BC)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 The tomb itself has been described as unremarkable</w:t>
      </w:r>
      <w:r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"/>
      </w:r>
      <w:r w:rsidR="00C35C68">
        <w:rPr>
          <w:rFonts w:ascii="Times New Roman" w:hAnsi="Times New Roman" w:cs="Times New Roman"/>
          <w:color w:val="000000" w:themeColor="text1"/>
          <w:sz w:val="24"/>
          <w:szCs w:val="24"/>
        </w:rPr>
        <w:t>, comprised of</w:t>
      </w:r>
      <w:r w:rsidR="006D60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5C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6D6013">
        <w:rPr>
          <w:rFonts w:ascii="Times New Roman" w:hAnsi="Times New Roman" w:cs="Times New Roman"/>
          <w:color w:val="000000" w:themeColor="text1"/>
          <w:sz w:val="24"/>
          <w:szCs w:val="24"/>
        </w:rPr>
        <w:t>rectangular entrance pit lead</w:t>
      </w:r>
      <w:r w:rsidR="00743A0B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6D60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F57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into two chambers, each measuring approximately 4.39m wide, 2.81m long, and 1.78m tall. The </w:t>
      </w:r>
      <w:r w:rsidR="001138FF">
        <w:rPr>
          <w:rFonts w:ascii="Times New Roman" w:hAnsi="Times New Roman" w:cs="Times New Roman"/>
          <w:color w:val="000000" w:themeColor="text1"/>
          <w:sz w:val="24"/>
          <w:szCs w:val="24"/>
        </w:rPr>
        <w:t>1m height</w:t>
      </w:r>
      <w:r w:rsidR="003F57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entrance shaft, along with </w:t>
      </w:r>
      <w:r w:rsidR="00743A0B">
        <w:rPr>
          <w:rFonts w:ascii="Times New Roman" w:hAnsi="Times New Roman" w:cs="Times New Roman"/>
          <w:color w:val="000000" w:themeColor="text1"/>
          <w:sz w:val="24"/>
          <w:szCs w:val="24"/>
        </w:rPr>
        <w:t>its</w:t>
      </w:r>
      <w:r w:rsidR="003F57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three crude steps, indicate visitation was not a consideration of the tomb’s construction</w:t>
      </w:r>
      <w:r w:rsidR="003F579E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2"/>
      </w:r>
      <w:r w:rsidR="003F579E">
        <w:rPr>
          <w:rFonts w:ascii="Times New Roman" w:hAnsi="Times New Roman" w:cs="Times New Roman"/>
          <w:color w:val="000000" w:themeColor="text1"/>
          <w:sz w:val="24"/>
          <w:szCs w:val="24"/>
        </w:rPr>
        <w:t>, and therefore regular visitation seems unlikely. Inside</w:t>
      </w:r>
      <w:r w:rsidR="00743A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F579E">
        <w:rPr>
          <w:rFonts w:ascii="Times New Roman" w:hAnsi="Times New Roman" w:cs="Times New Roman"/>
          <w:color w:val="000000" w:themeColor="text1"/>
          <w:sz w:val="24"/>
          <w:szCs w:val="24"/>
        </w:rPr>
        <w:t>the tomb</w:t>
      </w:r>
      <w:r w:rsidR="00743A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benches</w:t>
      </w:r>
      <w:r w:rsidR="003F579E">
        <w:rPr>
          <w:rFonts w:ascii="Times New Roman" w:hAnsi="Times New Roman" w:cs="Times New Roman"/>
          <w:color w:val="000000" w:themeColor="text1"/>
          <w:sz w:val="24"/>
          <w:szCs w:val="24"/>
        </w:rPr>
        <w:t>, cut into the</w:t>
      </w:r>
      <w:r w:rsidR="00743A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F579E">
        <w:rPr>
          <w:rFonts w:ascii="Times New Roman" w:hAnsi="Times New Roman" w:cs="Times New Roman"/>
          <w:color w:val="000000" w:themeColor="text1"/>
          <w:sz w:val="24"/>
          <w:szCs w:val="24"/>
        </w:rPr>
        <w:t>east and west walls. While both benches are roughly the same height</w:t>
      </w:r>
      <w:r w:rsidR="00133987">
        <w:rPr>
          <w:rFonts w:ascii="Times New Roman" w:hAnsi="Times New Roman" w:cs="Times New Roman"/>
          <w:color w:val="000000" w:themeColor="text1"/>
          <w:sz w:val="24"/>
          <w:szCs w:val="24"/>
        </w:rPr>
        <w:t>, the west appears significantly wider and longer, which may carry implication for status, or different uses.</w:t>
      </w:r>
      <w:r w:rsidR="00133987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3"/>
      </w:r>
    </w:p>
    <w:p w14:paraId="35FA46E2" w14:textId="0356A1CF" w:rsidR="009B0A59" w:rsidRPr="00743A0B" w:rsidRDefault="009B0A59" w:rsidP="009F2D9A">
      <w:pPr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The remains of two adult female</w:t>
      </w:r>
      <w:r w:rsidR="008F18A0">
        <w:rPr>
          <w:rFonts w:ascii="Times New Roman" w:hAnsi="Times New Roman" w:cs="Times New Roman"/>
          <w:color w:val="000000" w:themeColor="text1"/>
          <w:sz w:val="24"/>
          <w:szCs w:val="24"/>
        </w:rPr>
        <w:t>s lay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atop the eastern bench, one of which being a woman </w:t>
      </w:r>
      <w:r w:rsidR="008F18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aged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roughly </w:t>
      </w:r>
      <w:r w:rsidR="008F18A0">
        <w:rPr>
          <w:rFonts w:ascii="Times New Roman" w:hAnsi="Times New Roman" w:cs="Times New Roman"/>
          <w:color w:val="000000" w:themeColor="text1"/>
          <w:sz w:val="24"/>
          <w:szCs w:val="24"/>
        </w:rPr>
        <w:t>21-24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the time of her death. </w:t>
      </w:r>
      <w:r w:rsidR="00743A0B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D20D71">
        <w:rPr>
          <w:rFonts w:ascii="Times New Roman" w:hAnsi="Times New Roman" w:cs="Times New Roman"/>
          <w:color w:val="000000" w:themeColor="text1"/>
          <w:sz w:val="24"/>
          <w:szCs w:val="24"/>
        </w:rPr>
        <w:t>he cranium, a</w:t>
      </w:r>
      <w:r w:rsidR="008F18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nd a </w:t>
      </w:r>
      <w:r w:rsidR="00D20D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few vertebrae </w:t>
      </w:r>
      <w:r w:rsidR="008F18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were </w:t>
      </w:r>
      <w:r w:rsidR="00D20D71">
        <w:rPr>
          <w:rFonts w:ascii="Times New Roman" w:hAnsi="Times New Roman" w:cs="Times New Roman"/>
          <w:color w:val="000000" w:themeColor="text1"/>
          <w:sz w:val="24"/>
          <w:szCs w:val="24"/>
        </w:rPr>
        <w:t>the only bones left undisturbed, at the northernmost end of the bench.</w:t>
      </w:r>
      <w:r w:rsidR="00785B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</w:t>
      </w:r>
      <w:r w:rsidR="00D20D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8F18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incomplete state of the </w:t>
      </w:r>
      <w:r w:rsidR="00D20D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skeleton </w:t>
      </w:r>
      <w:r w:rsidR="008F18A0">
        <w:rPr>
          <w:rFonts w:ascii="Times New Roman" w:hAnsi="Times New Roman" w:cs="Times New Roman"/>
          <w:color w:val="000000" w:themeColor="text1"/>
          <w:sz w:val="24"/>
          <w:szCs w:val="24"/>
        </w:rPr>
        <w:t>could be reflective of</w:t>
      </w:r>
      <w:r w:rsidR="00743A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non-requirement </w:t>
      </w:r>
      <w:r w:rsidR="00785B1E">
        <w:rPr>
          <w:rFonts w:ascii="Times New Roman" w:hAnsi="Times New Roman" w:cs="Times New Roman"/>
          <w:color w:val="000000" w:themeColor="text1"/>
          <w:sz w:val="24"/>
          <w:szCs w:val="24"/>
        </w:rPr>
        <w:t>of complete articulation in the representation of the body in Late Bronze Age Cyprus</w:t>
      </w:r>
      <w:r w:rsidR="009F2D9A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4"/>
      </w:r>
      <w:r w:rsidR="00785B1E">
        <w:rPr>
          <w:rFonts w:ascii="Times New Roman" w:hAnsi="Times New Roman" w:cs="Times New Roman"/>
          <w:color w:val="000000" w:themeColor="text1"/>
          <w:sz w:val="24"/>
          <w:szCs w:val="24"/>
        </w:rPr>
        <w:t>; t</w:t>
      </w:r>
      <w:r w:rsidR="00D20D71">
        <w:rPr>
          <w:rFonts w:ascii="Times New Roman" w:hAnsi="Times New Roman" w:cs="Times New Roman"/>
          <w:color w:val="000000" w:themeColor="text1"/>
          <w:sz w:val="24"/>
          <w:szCs w:val="24"/>
        </w:rPr>
        <w:t>he absence of certain bones is a presence in itself</w:t>
      </w:r>
      <w:r w:rsidR="00785B1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43A0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743A0B">
        <w:rPr>
          <w:rFonts w:ascii="Times New Roman" w:hAnsi="Times New Roman" w:cs="Times New Roman"/>
          <w:color w:val="000000" w:themeColor="text1"/>
          <w:sz w:val="24"/>
          <w:szCs w:val="24"/>
        </w:rPr>
        <w:t>The second female was roughly 17, and b</w:t>
      </w:r>
      <w:r w:rsidR="000B62B6">
        <w:rPr>
          <w:rFonts w:ascii="Times New Roman" w:hAnsi="Times New Roman" w:cs="Times New Roman"/>
          <w:color w:val="000000" w:themeColor="text1"/>
          <w:sz w:val="24"/>
          <w:szCs w:val="24"/>
        </w:rPr>
        <w:t>oth</w:t>
      </w:r>
      <w:r w:rsidR="009F2D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</w:t>
      </w:r>
      <w:r w:rsidR="000B62B6">
        <w:rPr>
          <w:rFonts w:ascii="Times New Roman" w:hAnsi="Times New Roman" w:cs="Times New Roman"/>
          <w:color w:val="000000" w:themeColor="text1"/>
          <w:sz w:val="24"/>
          <w:szCs w:val="24"/>
        </w:rPr>
        <w:t>ere c</w:t>
      </w:r>
      <w:r w:rsidR="009F2D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omingled. </w:t>
      </w:r>
      <w:r w:rsidR="00B673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18061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F2D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keletal positioning </w:t>
      </w:r>
      <w:r w:rsidR="00B673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the </w:t>
      </w:r>
      <w:r w:rsidR="009F2D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second woman is particularly intriguing, as the disarticulated bones appear to have been thrown </w:t>
      </w:r>
      <w:r w:rsidR="009F2D9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together in</w:t>
      </w:r>
      <w:r w:rsidR="001806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B6857">
        <w:rPr>
          <w:rFonts w:ascii="Times New Roman" w:hAnsi="Times New Roman" w:cs="Times New Roman"/>
          <w:color w:val="000000" w:themeColor="text1"/>
          <w:sz w:val="24"/>
          <w:szCs w:val="24"/>
        </w:rPr>
        <w:t>‘an unusual manner’</w:t>
      </w:r>
      <w:r w:rsidR="007B6857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5"/>
      </w:r>
      <w:r w:rsidR="007B68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0B62B6">
        <w:rPr>
          <w:rFonts w:ascii="Times New Roman" w:hAnsi="Times New Roman" w:cs="Times New Roman"/>
          <w:color w:val="000000" w:themeColor="text1"/>
          <w:sz w:val="24"/>
          <w:szCs w:val="24"/>
        </w:rPr>
        <w:t>suggesting</w:t>
      </w:r>
      <w:r w:rsidR="007B68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8061C">
        <w:rPr>
          <w:rFonts w:ascii="Times New Roman" w:hAnsi="Times New Roman" w:cs="Times New Roman"/>
          <w:color w:val="000000" w:themeColor="text1"/>
          <w:sz w:val="24"/>
          <w:szCs w:val="24"/>
        </w:rPr>
        <w:t>little</w:t>
      </w:r>
      <w:r w:rsidR="007B68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consideration </w:t>
      </w:r>
      <w:r w:rsidR="000B62B6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7B68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503ADA">
        <w:rPr>
          <w:rFonts w:ascii="Times New Roman" w:hAnsi="Times New Roman" w:cs="Times New Roman"/>
          <w:color w:val="000000" w:themeColor="text1"/>
          <w:sz w:val="24"/>
          <w:szCs w:val="24"/>
        </w:rPr>
        <w:t>remains’ integrity.</w:t>
      </w:r>
      <w:r w:rsidR="007B68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Upon further examination however, </w:t>
      </w:r>
      <w:r w:rsidR="00240C42">
        <w:rPr>
          <w:rFonts w:ascii="Times New Roman" w:hAnsi="Times New Roman" w:cs="Times New Roman"/>
          <w:color w:val="000000" w:themeColor="text1"/>
          <w:sz w:val="24"/>
          <w:szCs w:val="24"/>
        </w:rPr>
        <w:t>intentionality</w:t>
      </w:r>
      <w:r w:rsidR="00902A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</w:t>
      </w:r>
      <w:r w:rsidR="000B62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become apparent</w:t>
      </w:r>
      <w:r w:rsidR="007B68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While the smaller bones </w:t>
      </w:r>
      <w:r w:rsidR="00503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 appear 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scattered, the </w:t>
      </w:r>
      <w:r w:rsidR="00902AB0">
        <w:rPr>
          <w:rFonts w:ascii="Times New Roman" w:hAnsi="Times New Roman" w:cs="Times New Roman"/>
          <w:color w:val="000000" w:themeColor="text1"/>
          <w:sz w:val="24"/>
          <w:szCs w:val="24"/>
        </w:rPr>
        <w:t>arrangement of the long bones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demonstr</w:t>
      </w:r>
      <w:r w:rsidR="00902AB0">
        <w:rPr>
          <w:rFonts w:ascii="Times New Roman" w:hAnsi="Times New Roman" w:cs="Times New Roman"/>
          <w:color w:val="000000" w:themeColor="text1"/>
          <w:sz w:val="24"/>
          <w:szCs w:val="24"/>
        </w:rPr>
        <w:t>ates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03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>lack of anatomical knowledge</w:t>
      </w:r>
      <w:r w:rsidR="00203A75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6"/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should </w:t>
      </w:r>
      <w:r w:rsidR="00902AB0">
        <w:rPr>
          <w:rFonts w:ascii="Times New Roman" w:hAnsi="Times New Roman" w:cs="Times New Roman"/>
          <w:color w:val="000000" w:themeColor="text1"/>
          <w:sz w:val="24"/>
          <w:szCs w:val="24"/>
        </w:rPr>
        <w:t>intentionality be assumed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>. Thi</w:t>
      </w:r>
      <w:r w:rsidR="00902A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>interpretatio</w:t>
      </w:r>
      <w:r w:rsidR="00CB37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suggests 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902AB0">
        <w:rPr>
          <w:rFonts w:ascii="Times New Roman" w:hAnsi="Times New Roman" w:cs="Times New Roman"/>
          <w:color w:val="000000" w:themeColor="text1"/>
          <w:sz w:val="24"/>
          <w:szCs w:val="24"/>
        </w:rPr>
        <w:t>skeletal completeness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</w:t>
      </w:r>
      <w:r w:rsidR="00503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unnecessary 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>for proper internment and acceptance into the afterlife, a</w:t>
      </w:r>
      <w:r w:rsidR="00902AB0"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r w:rsidR="007A74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bodies were not required to appear as they did in life.</w:t>
      </w:r>
      <w:r w:rsidR="003850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If this were</w:t>
      </w:r>
      <w:r w:rsidR="00503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85056">
        <w:rPr>
          <w:rFonts w:ascii="Times New Roman" w:hAnsi="Times New Roman" w:cs="Times New Roman"/>
          <w:color w:val="000000" w:themeColor="text1"/>
          <w:sz w:val="24"/>
          <w:szCs w:val="24"/>
        </w:rPr>
        <w:t>accidental</w:t>
      </w:r>
      <w:r w:rsidR="00CB37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however</w:t>
      </w:r>
      <w:r w:rsidR="003850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503ADA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r w:rsidR="003850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have been a product of displacement,</w:t>
      </w:r>
      <w:r w:rsidR="002C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</w:t>
      </w:r>
      <w:r w:rsidR="003850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transference </w:t>
      </w:r>
      <w:r w:rsidR="002C363F">
        <w:rPr>
          <w:rFonts w:ascii="Times New Roman" w:hAnsi="Times New Roman" w:cs="Times New Roman"/>
          <w:color w:val="000000" w:themeColor="text1"/>
          <w:sz w:val="24"/>
          <w:szCs w:val="24"/>
        </w:rPr>
        <w:t>from another bench.</w:t>
      </w:r>
    </w:p>
    <w:p w14:paraId="39EB8E96" w14:textId="4C37F8FD" w:rsidR="00DF2560" w:rsidRPr="00894287" w:rsidRDefault="00444F0E" w:rsidP="0089428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In contrast</w:t>
      </w:r>
      <w:r w:rsidR="002C363F">
        <w:rPr>
          <w:rFonts w:ascii="Times New Roman" w:hAnsi="Times New Roman" w:cs="Times New Roman"/>
          <w:color w:val="000000" w:themeColor="text1"/>
          <w:sz w:val="24"/>
          <w:szCs w:val="24"/>
        </w:rPr>
        <w:t>, the west bench hosted a single skeleton</w:t>
      </w:r>
      <w:r w:rsidR="00895C3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a woman aged 19-20, whose remains were perfectly undisturbed, and articulated. </w:t>
      </w:r>
      <w:r w:rsidR="00E844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She lay extended on her back, with her upper body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at an</w:t>
      </w:r>
      <w:r w:rsidR="00E844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unnaturally high angle,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her arms</w:t>
      </w:r>
      <w:r w:rsidR="00E844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extended outwards - </w:t>
      </w:r>
      <w:r w:rsidR="00E844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likely a result of having been placed while in a state of rigor mortis. </w:t>
      </w:r>
      <w:r w:rsidR="002C363F">
        <w:rPr>
          <w:rFonts w:ascii="Times New Roman" w:hAnsi="Times New Roman" w:cs="Times New Roman"/>
          <w:color w:val="000000" w:themeColor="text1"/>
          <w:sz w:val="24"/>
          <w:szCs w:val="24"/>
        </w:rPr>
        <w:t>Logic</w:t>
      </w:r>
      <w:r w:rsidR="00EC092A">
        <w:rPr>
          <w:rFonts w:ascii="Times New Roman" w:hAnsi="Times New Roman" w:cs="Times New Roman"/>
          <w:color w:val="000000" w:themeColor="text1"/>
          <w:sz w:val="24"/>
          <w:szCs w:val="24"/>
        </w:rPr>
        <w:t>ally,</w:t>
      </w:r>
      <w:r w:rsidR="002C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larger</w:t>
      </w:r>
      <w:r w:rsidR="00EC092A">
        <w:rPr>
          <w:rFonts w:ascii="Times New Roman" w:hAnsi="Times New Roman" w:cs="Times New Roman"/>
          <w:color w:val="000000" w:themeColor="text1"/>
          <w:sz w:val="24"/>
          <w:szCs w:val="24"/>
        </w:rPr>
        <w:t>, west bench is more</w:t>
      </w:r>
      <w:r w:rsidR="002C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459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practical </w:t>
      </w:r>
      <w:r w:rsidR="002C363F">
        <w:rPr>
          <w:rFonts w:ascii="Times New Roman" w:hAnsi="Times New Roman" w:cs="Times New Roman"/>
          <w:color w:val="000000" w:themeColor="text1"/>
          <w:sz w:val="24"/>
          <w:szCs w:val="24"/>
        </w:rPr>
        <w:t>for the presentation of multiple bodies</w:t>
      </w:r>
      <w:r w:rsidR="00445956">
        <w:rPr>
          <w:rFonts w:ascii="Times New Roman" w:hAnsi="Times New Roman" w:cs="Times New Roman"/>
          <w:color w:val="000000" w:themeColor="text1"/>
          <w:sz w:val="24"/>
          <w:szCs w:val="24"/>
        </w:rPr>
        <w:t>, h</w:t>
      </w:r>
      <w:r w:rsidR="00170974">
        <w:rPr>
          <w:rFonts w:ascii="Times New Roman" w:hAnsi="Times New Roman" w:cs="Times New Roman"/>
          <w:color w:val="000000" w:themeColor="text1"/>
          <w:sz w:val="24"/>
          <w:szCs w:val="24"/>
        </w:rPr>
        <w:t>owever</w:t>
      </w:r>
      <w:r w:rsidR="00EC09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B65BC">
        <w:rPr>
          <w:rFonts w:ascii="Times New Roman" w:hAnsi="Times New Roman" w:cs="Times New Roman"/>
          <w:color w:val="000000" w:themeColor="text1"/>
          <w:sz w:val="24"/>
          <w:szCs w:val="24"/>
        </w:rPr>
        <w:t>the use, and allocation of space</w:t>
      </w:r>
      <w:r w:rsidR="004459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092A">
        <w:rPr>
          <w:rFonts w:ascii="Times New Roman" w:hAnsi="Times New Roman" w:cs="Times New Roman"/>
          <w:color w:val="000000" w:themeColor="text1"/>
          <w:sz w:val="24"/>
          <w:szCs w:val="24"/>
        </w:rPr>
        <w:t>may be symbolic</w:t>
      </w:r>
      <w:r w:rsidR="004459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09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0B65BC">
        <w:rPr>
          <w:rFonts w:ascii="Times New Roman" w:hAnsi="Times New Roman" w:cs="Times New Roman"/>
          <w:color w:val="000000" w:themeColor="text1"/>
          <w:sz w:val="24"/>
          <w:szCs w:val="24"/>
        </w:rPr>
        <w:t>status</w:t>
      </w:r>
      <w:r w:rsidR="007E2C41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7"/>
      </w:r>
      <w:r w:rsidR="00D610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A14E7">
        <w:rPr>
          <w:rFonts w:ascii="Times New Roman" w:hAnsi="Times New Roman" w:cs="Times New Roman"/>
          <w:color w:val="000000" w:themeColor="text1"/>
          <w:sz w:val="24"/>
          <w:szCs w:val="24"/>
        </w:rPr>
        <w:t>Her youth denotes</w:t>
      </w:r>
      <w:r w:rsidR="00D610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any status</w:t>
      </w:r>
      <w:r w:rsidR="002A14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610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not derived from </w:t>
      </w:r>
      <w:r w:rsidR="002A14E7">
        <w:rPr>
          <w:rFonts w:ascii="Times New Roman" w:hAnsi="Times New Roman" w:cs="Times New Roman"/>
          <w:color w:val="000000" w:themeColor="text1"/>
          <w:sz w:val="24"/>
          <w:szCs w:val="24"/>
        </w:rPr>
        <w:t>eldership</w:t>
      </w:r>
      <w:r w:rsidR="00D610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2A14E7">
        <w:rPr>
          <w:rFonts w:ascii="Times New Roman" w:hAnsi="Times New Roman" w:cs="Times New Roman"/>
          <w:color w:val="000000" w:themeColor="text1"/>
          <w:sz w:val="24"/>
          <w:szCs w:val="24"/>
        </w:rPr>
        <w:t>but</w:t>
      </w:r>
      <w:r w:rsidR="004459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could have been derived from wealth</w:t>
      </w:r>
      <w:r w:rsidR="00D610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which is also reflected in the tomb’s material culture. </w:t>
      </w:r>
      <w:r w:rsidR="00E844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3C04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tomb’s </w:t>
      </w:r>
      <w:r w:rsidR="00E844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four children rest on the floor, </w:t>
      </w:r>
      <w:r w:rsidR="003C0452">
        <w:rPr>
          <w:rFonts w:ascii="Times New Roman" w:hAnsi="Times New Roman" w:cs="Times New Roman"/>
          <w:color w:val="000000" w:themeColor="text1"/>
          <w:sz w:val="24"/>
          <w:szCs w:val="24"/>
        </w:rPr>
        <w:t>potentially</w:t>
      </w:r>
      <w:r w:rsidR="00E844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suggest</w:t>
      </w:r>
      <w:r w:rsidR="003C0452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E844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lowly status.</w:t>
      </w:r>
      <w:r w:rsidR="000700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E0B52">
        <w:rPr>
          <w:rFonts w:ascii="Times New Roman" w:hAnsi="Times New Roman" w:cs="Times New Roman"/>
          <w:color w:val="000000" w:themeColor="text1"/>
          <w:sz w:val="24"/>
          <w:szCs w:val="24"/>
        </w:rPr>
        <w:t>Comingled with the three infants beside the west bench, were the bones of fish and birds,</w:t>
      </w:r>
      <w:r w:rsidR="000700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could reflect lack of distinction</w:t>
      </w:r>
      <w:r w:rsidR="003C04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value</w:t>
      </w:r>
      <w:r w:rsidR="000700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between faunal, and human infant remains</w:t>
      </w:r>
      <w:r w:rsidR="003C0452">
        <w:rPr>
          <w:rFonts w:ascii="Times New Roman" w:hAnsi="Times New Roman" w:cs="Times New Roman"/>
          <w:color w:val="000000" w:themeColor="text1"/>
          <w:sz w:val="24"/>
          <w:szCs w:val="24"/>
        </w:rPr>
        <w:t>. This appears careless against our modern understandings of appropriate body treatment</w:t>
      </w:r>
      <w:r w:rsidR="00FE0B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- </w:t>
      </w:r>
      <w:r w:rsidR="003F1F4B">
        <w:rPr>
          <w:rFonts w:ascii="Times New Roman" w:hAnsi="Times New Roman" w:cs="Times New Roman"/>
          <w:color w:val="000000" w:themeColor="text1"/>
          <w:sz w:val="24"/>
          <w:szCs w:val="24"/>
        </w:rPr>
        <w:t>they do not appear to be recognised as individuals, and are not treated as such.</w:t>
      </w:r>
      <w:r w:rsidR="008C67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F2560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4F46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ir </w:t>
      </w:r>
      <w:r w:rsidR="00DF2560">
        <w:rPr>
          <w:rFonts w:ascii="Times New Roman" w:hAnsi="Times New Roman" w:cs="Times New Roman"/>
          <w:color w:val="000000" w:themeColor="text1"/>
          <w:sz w:val="24"/>
          <w:szCs w:val="24"/>
        </w:rPr>
        <w:t>internments</w:t>
      </w:r>
      <w:r w:rsidR="004F46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C04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likely </w:t>
      </w:r>
      <w:r w:rsidR="00DF2560">
        <w:rPr>
          <w:rFonts w:ascii="Times New Roman" w:hAnsi="Times New Roman" w:cs="Times New Roman"/>
          <w:color w:val="000000" w:themeColor="text1"/>
          <w:sz w:val="24"/>
          <w:szCs w:val="24"/>
        </w:rPr>
        <w:t>secondary,</w:t>
      </w:r>
      <w:r w:rsidR="008C67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F46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possibly </w:t>
      </w:r>
      <w:r w:rsidR="008C67B5">
        <w:rPr>
          <w:rFonts w:ascii="Times New Roman" w:hAnsi="Times New Roman" w:cs="Times New Roman"/>
          <w:color w:val="000000" w:themeColor="text1"/>
          <w:sz w:val="24"/>
          <w:szCs w:val="24"/>
        </w:rPr>
        <w:t>even tak</w:t>
      </w:r>
      <w:r w:rsidR="004F46F9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8C67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place years after death,</w:t>
      </w:r>
      <w:r w:rsidR="00DF25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C0452">
        <w:rPr>
          <w:rFonts w:ascii="Times New Roman" w:hAnsi="Times New Roman" w:cs="Times New Roman"/>
          <w:color w:val="000000" w:themeColor="text1"/>
          <w:sz w:val="24"/>
          <w:szCs w:val="24"/>
        </w:rPr>
        <w:t>but</w:t>
      </w:r>
      <w:r w:rsidR="00DF25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may have been involved in a primary funerary event before their </w:t>
      </w:r>
      <w:r w:rsidR="003C0452">
        <w:rPr>
          <w:rFonts w:ascii="Times New Roman" w:hAnsi="Times New Roman" w:cs="Times New Roman"/>
          <w:color w:val="000000" w:themeColor="text1"/>
          <w:sz w:val="24"/>
          <w:szCs w:val="24"/>
        </w:rPr>
        <w:t>internment</w:t>
      </w:r>
      <w:r w:rsidR="008C67B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8C67B5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8"/>
      </w:r>
    </w:p>
    <w:p w14:paraId="7C596646" w14:textId="14B042A0" w:rsidR="003F1F4B" w:rsidRDefault="000878EC" w:rsidP="0089428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Nearly all of the grave goods </w:t>
      </w:r>
      <w:r w:rsidR="000B57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Tomb 11 </w:t>
      </w:r>
      <w:r w:rsidR="000B5769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considered luxurious, consisting of materials such as gold, glass and </w:t>
      </w:r>
      <w:r w:rsidR="000B5769">
        <w:rPr>
          <w:rFonts w:ascii="Times New Roman" w:hAnsi="Times New Roman" w:cs="Times New Roman"/>
          <w:color w:val="000000" w:themeColor="text1"/>
          <w:sz w:val="24"/>
          <w:szCs w:val="24"/>
        </w:rPr>
        <w:t>Red Lustrous Ware</w:t>
      </w:r>
      <w:r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9"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3743B">
        <w:rPr>
          <w:rFonts w:ascii="Times New Roman" w:hAnsi="Times New Roman" w:cs="Times New Roman"/>
          <w:color w:val="000000" w:themeColor="text1"/>
          <w:sz w:val="24"/>
          <w:szCs w:val="24"/>
        </w:rPr>
        <w:t>This luxuriousness represents itself in the categorisation of grave goods; there are but few objects of a domestic function, therefore it can be concluded that the</w:t>
      </w:r>
      <w:r w:rsidR="006B2D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selection of</w:t>
      </w:r>
      <w:r w:rsidR="00F3743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B2DDD">
        <w:rPr>
          <w:rFonts w:ascii="Times New Roman" w:hAnsi="Times New Roman" w:cs="Times New Roman"/>
          <w:color w:val="000000" w:themeColor="text1"/>
          <w:sz w:val="24"/>
          <w:szCs w:val="24"/>
        </w:rPr>
        <w:t>grave goods was not motivated by a domestic necessity</w:t>
      </w:r>
      <w:r w:rsidR="0073255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B2DD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0"/>
      </w:r>
      <w:r w:rsidR="006B2D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3255B">
        <w:rPr>
          <w:rFonts w:ascii="Times New Roman" w:hAnsi="Times New Roman" w:cs="Times New Roman"/>
          <w:color w:val="000000" w:themeColor="text1"/>
          <w:sz w:val="24"/>
          <w:szCs w:val="24"/>
        </w:rPr>
        <w:t>Of t</w:t>
      </w:r>
      <w:r w:rsidR="00C717A5">
        <w:rPr>
          <w:rFonts w:ascii="Times New Roman" w:hAnsi="Times New Roman" w:cs="Times New Roman"/>
          <w:color w:val="000000" w:themeColor="text1"/>
          <w:sz w:val="24"/>
          <w:szCs w:val="24"/>
        </w:rPr>
        <w:t>he ‘remarkable’</w:t>
      </w:r>
      <w:r w:rsidR="00C717A5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1"/>
      </w:r>
      <w:r w:rsidR="007325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grave goods associated with the west bench</w:t>
      </w:r>
      <w:r w:rsidR="00C717A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A16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expansive jewellery set may be the most,</w:t>
      </w:r>
      <w:r w:rsidR="00C717A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consisting of six gold earrings, four gold spirals for either hair or ears, one necklace, two gold signet rings and two silver toe rings</w:t>
      </w:r>
      <w:r w:rsidR="00894287">
        <w:rPr>
          <w:rFonts w:ascii="Times New Roman" w:hAnsi="Times New Roman" w:cs="Times New Roman"/>
          <w:color w:val="000000" w:themeColor="text1"/>
          <w:sz w:val="24"/>
          <w:szCs w:val="24"/>
        </w:rPr>
        <w:t>; her burial is recognised as the ‘best-equipped single burial so far known from Late Bronze Age Cyprus’</w:t>
      </w:r>
      <w:r w:rsidR="00894287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2"/>
      </w:r>
      <w:r w:rsidR="008942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1318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 </w:t>
      </w:r>
      <w:r w:rsidR="008942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jewellery </w:t>
      </w:r>
      <w:r w:rsidR="001726DE">
        <w:rPr>
          <w:rFonts w:ascii="Times New Roman" w:hAnsi="Times New Roman" w:cs="Times New Roman"/>
          <w:color w:val="000000" w:themeColor="text1"/>
          <w:sz w:val="24"/>
          <w:szCs w:val="24"/>
        </w:rPr>
        <w:t>shows</w:t>
      </w:r>
      <w:r w:rsidR="00DA16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42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signs of wear </w:t>
      </w:r>
      <w:r w:rsidR="00D13182">
        <w:rPr>
          <w:rFonts w:ascii="Times New Roman" w:hAnsi="Times New Roman" w:cs="Times New Roman"/>
          <w:color w:val="000000" w:themeColor="text1"/>
          <w:sz w:val="24"/>
          <w:szCs w:val="24"/>
        </w:rPr>
        <w:t>indicating</w:t>
      </w:r>
      <w:r w:rsidR="008942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frequent use</w:t>
      </w:r>
      <w:r w:rsidR="00D1318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marking them as </w:t>
      </w:r>
      <w:r w:rsidR="00894287">
        <w:rPr>
          <w:rFonts w:ascii="Times New Roman" w:hAnsi="Times New Roman" w:cs="Times New Roman"/>
          <w:color w:val="000000" w:themeColor="text1"/>
          <w:sz w:val="24"/>
          <w:szCs w:val="24"/>
        </w:rPr>
        <w:t>personal possessions</w:t>
      </w:r>
      <w:r w:rsidR="00D1318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03DA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B1B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Interestingly, </w:t>
      </w:r>
      <w:r w:rsidR="00203DA5">
        <w:rPr>
          <w:rFonts w:ascii="Times New Roman" w:hAnsi="Times New Roman" w:cs="Times New Roman"/>
          <w:color w:val="000000" w:themeColor="text1"/>
          <w:sz w:val="24"/>
          <w:szCs w:val="24"/>
        </w:rPr>
        <w:t>none of the jewellery within Tomb 11 is reflective of the types known of Cyprus during this time.</w:t>
      </w:r>
    </w:p>
    <w:p w14:paraId="0905B0CF" w14:textId="77777777" w:rsidR="00D13182" w:rsidRDefault="00D13182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3BE37E" w14:textId="77777777" w:rsidR="00D13182" w:rsidRDefault="00D13182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D948190" w14:textId="77777777" w:rsidR="00D13182" w:rsidRDefault="00D13182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479CEA1" w14:textId="2DAFF0BF" w:rsidR="009D19A0" w:rsidRDefault="00D87622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The above image is an archaeological illustration of Tomb 11, in Kalavasos-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Ayios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Dhimitrios, Cyprus. Archaeological illustrations are ‘not just…an engaging image, but is an accurate measured drawing showing details of decoration, type, form and even the construction method of an object’</w:t>
      </w:r>
      <w:r w:rsidR="00D51EC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3"/>
      </w:r>
      <w:r w:rsidR="00D51E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Most illustrations are hand-drawn, as i</w:t>
      </w:r>
      <w:r w:rsidR="00656A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is </w:t>
      </w:r>
      <w:r w:rsidR="00D51E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here, however </w:t>
      </w:r>
      <w:r w:rsidR="00656A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colour incorporation </w:t>
      </w:r>
      <w:r w:rsidR="0045708B">
        <w:rPr>
          <w:rFonts w:ascii="Times New Roman" w:hAnsi="Times New Roman" w:cs="Times New Roman"/>
          <w:color w:val="000000" w:themeColor="text1"/>
          <w:sz w:val="24"/>
          <w:szCs w:val="24"/>
        </w:rPr>
        <w:t>is rare. By hand-drawing</w:t>
      </w:r>
      <w:r w:rsidR="00473A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5708B">
        <w:rPr>
          <w:rFonts w:ascii="Times New Roman" w:hAnsi="Times New Roman" w:cs="Times New Roman"/>
          <w:color w:val="000000" w:themeColor="text1"/>
          <w:sz w:val="24"/>
          <w:szCs w:val="24"/>
        </w:rPr>
        <w:t>archaeological finds, certain intricacies can be captured.</w:t>
      </w:r>
      <w:r w:rsidR="001044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illustration in particular, is drawn from a birds-eye perspective, allow</w:t>
      </w:r>
      <w:r w:rsidR="00473A6F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1044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viewer </w:t>
      </w:r>
      <w:r w:rsidR="00473A6F">
        <w:rPr>
          <w:rFonts w:ascii="Times New Roman" w:hAnsi="Times New Roman" w:cs="Times New Roman"/>
          <w:color w:val="000000" w:themeColor="text1"/>
          <w:sz w:val="24"/>
          <w:szCs w:val="24"/>
        </w:rPr>
        <w:t>a wide scope</w:t>
      </w:r>
      <w:r w:rsidR="001044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13182">
        <w:rPr>
          <w:rFonts w:ascii="Times New Roman" w:hAnsi="Times New Roman" w:cs="Times New Roman"/>
          <w:color w:val="000000" w:themeColor="text1"/>
          <w:sz w:val="24"/>
          <w:szCs w:val="24"/>
        </w:rPr>
        <w:t>Consequently</w:t>
      </w:r>
      <w:r w:rsidR="0010443E">
        <w:rPr>
          <w:rFonts w:ascii="Times New Roman" w:hAnsi="Times New Roman" w:cs="Times New Roman"/>
          <w:color w:val="000000" w:themeColor="text1"/>
          <w:sz w:val="24"/>
          <w:szCs w:val="24"/>
        </w:rPr>
        <w:t>, the illustration provides academic text wit</w:t>
      </w:r>
      <w:r w:rsidR="00AC4D90">
        <w:rPr>
          <w:rFonts w:ascii="Times New Roman" w:hAnsi="Times New Roman" w:cs="Times New Roman"/>
          <w:color w:val="000000" w:themeColor="text1"/>
          <w:sz w:val="24"/>
          <w:szCs w:val="24"/>
        </w:rPr>
        <w:t>h a detailed visualisation</w:t>
      </w:r>
      <w:r w:rsidR="00C473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305D05">
        <w:rPr>
          <w:rFonts w:ascii="Times New Roman" w:hAnsi="Times New Roman" w:cs="Times New Roman"/>
          <w:color w:val="000000" w:themeColor="text1"/>
          <w:sz w:val="24"/>
          <w:szCs w:val="24"/>
        </w:rPr>
        <w:t>communicates</w:t>
      </w:r>
      <w:r w:rsidR="00C473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physicality of the funerary landscape, and personalise</w:t>
      </w:r>
      <w:r w:rsidR="00305D05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473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those interred. </w:t>
      </w:r>
      <w:r w:rsidR="00187D79">
        <w:rPr>
          <w:rFonts w:ascii="Times New Roman" w:hAnsi="Times New Roman" w:cs="Times New Roman"/>
          <w:color w:val="000000" w:themeColor="text1"/>
          <w:sz w:val="24"/>
          <w:szCs w:val="24"/>
        </w:rPr>
        <w:t>These illustrations should be understood as ‘an art form that bridges the gap between the past and the present’</w:t>
      </w:r>
      <w:r w:rsidR="009D19A0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4"/>
      </w:r>
      <w:r w:rsidR="00187D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D19A0">
        <w:rPr>
          <w:rFonts w:ascii="Times New Roman" w:hAnsi="Times New Roman" w:cs="Times New Roman"/>
          <w:color w:val="000000" w:themeColor="text1"/>
          <w:sz w:val="24"/>
          <w:szCs w:val="24"/>
        </w:rPr>
        <w:t>as opposed to a sterile,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D19A0">
        <w:rPr>
          <w:rFonts w:ascii="Times New Roman" w:hAnsi="Times New Roman" w:cs="Times New Roman"/>
          <w:color w:val="000000" w:themeColor="text1"/>
          <w:sz w:val="24"/>
          <w:szCs w:val="24"/>
        </w:rPr>
        <w:t>superficial representation. Archaeological illustration blends artistic skill, scientific understanding, and archaeological context.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</w:t>
      </w:r>
      <w:r w:rsidR="009D19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require a level of interpretation and observation of the archaeological record. Th</w:t>
      </w:r>
      <w:r w:rsidR="00C42C47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9D19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been done in colour</w:t>
      </w:r>
      <w:r w:rsidR="00112E34">
        <w:rPr>
          <w:rFonts w:ascii="Times New Roman" w:hAnsi="Times New Roman" w:cs="Times New Roman"/>
          <w:color w:val="000000" w:themeColor="text1"/>
          <w:sz w:val="24"/>
          <w:szCs w:val="24"/>
        </w:rPr>
        <w:t>, w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hich </w:t>
      </w:r>
      <w:r w:rsidR="00112E34">
        <w:rPr>
          <w:rFonts w:ascii="Times New Roman" w:hAnsi="Times New Roman" w:cs="Times New Roman"/>
          <w:color w:val="000000" w:themeColor="text1"/>
          <w:sz w:val="24"/>
          <w:szCs w:val="24"/>
        </w:rPr>
        <w:t>enliven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>s the scene</w:t>
      </w:r>
      <w:r w:rsidR="009D19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>Furthermore, t</w:t>
      </w:r>
      <w:r w:rsidR="00E90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use of colour, and the intricacies of </w:t>
      </w:r>
      <w:r w:rsidR="00112E34">
        <w:rPr>
          <w:rFonts w:ascii="Times New Roman" w:hAnsi="Times New Roman" w:cs="Times New Roman"/>
          <w:color w:val="000000" w:themeColor="text1"/>
          <w:sz w:val="24"/>
          <w:szCs w:val="24"/>
        </w:rPr>
        <w:t>hand-</w:t>
      </w:r>
      <w:r w:rsidR="00E90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drawing create a deeper understanding of the scene as a real event, as sometimes descriptions of places, events, and objects can be naturally distancing or difficult to relate to. 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E90FF1">
        <w:rPr>
          <w:rFonts w:ascii="Times New Roman" w:hAnsi="Times New Roman" w:cs="Times New Roman"/>
          <w:color w:val="000000" w:themeColor="text1"/>
          <w:sz w:val="24"/>
          <w:szCs w:val="24"/>
        </w:rPr>
        <w:t>he colour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>s also</w:t>
      </w:r>
      <w:r w:rsidR="00E90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449E3">
        <w:rPr>
          <w:rFonts w:ascii="Times New Roman" w:hAnsi="Times New Roman" w:cs="Times New Roman"/>
          <w:color w:val="000000" w:themeColor="text1"/>
          <w:sz w:val="24"/>
          <w:szCs w:val="24"/>
        </w:rPr>
        <w:t>ha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>ve</w:t>
      </w:r>
      <w:r w:rsidR="007449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disarming effect </w:t>
      </w:r>
      <w:r w:rsidR="00134C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>death’s</w:t>
      </w:r>
      <w:r w:rsidR="00134C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‘morbidity’, and so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one might</w:t>
      </w:r>
      <w:r w:rsidR="00134C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2316">
        <w:rPr>
          <w:rFonts w:ascii="Times New Roman" w:hAnsi="Times New Roman" w:cs="Times New Roman"/>
          <w:color w:val="000000" w:themeColor="text1"/>
          <w:sz w:val="24"/>
          <w:szCs w:val="24"/>
        </w:rPr>
        <w:t>consider, and renegotiate Late Bronze Age cultural understandings of death.</w:t>
      </w:r>
      <w:r w:rsidR="00E90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summary, this illustration enrich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E90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reader’s comprehension of Tomb 11, and personalise</w:t>
      </w:r>
      <w:r w:rsidR="008B188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E90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deceased. </w:t>
      </w:r>
    </w:p>
    <w:p w14:paraId="11B8C126" w14:textId="77777777" w:rsidR="002800E3" w:rsidRDefault="002800E3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A516582" w14:textId="15CDC2D9" w:rsidR="002800E3" w:rsidRDefault="002800E3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BIBLIOGRAPHY</w:t>
      </w:r>
    </w:p>
    <w:p w14:paraId="388A04E1" w14:textId="701AB51C" w:rsidR="001853A6" w:rsidRDefault="001853A6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>‘Artefact and Publication Illustration’, Wessex Archaeology, n.d. https://www.wessexarch.co.uk/archaeological-services/artefact-publication-illustration [accessed 10 February 2025]</w:t>
      </w:r>
    </w:p>
    <w:p w14:paraId="79E3C640" w14:textId="79411866" w:rsidR="002800E3" w:rsidRDefault="001853A6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Goring</w:t>
      </w:r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Elizabeth</w:t>
      </w:r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‘Death in everyday life: aspects of burial practice in the Late Bronze Age’ in </w:t>
      </w:r>
      <w:r w:rsidRPr="001853A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Society in Cyprus</w:t>
      </w:r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ed. by Edgar </w:t>
      </w:r>
      <w:proofErr w:type="spellStart"/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>Peltenburg</w:t>
      </w:r>
      <w:proofErr w:type="spellEnd"/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(Edinburgh University Press, 1989) </w:t>
      </w:r>
    </w:p>
    <w:p w14:paraId="64CF38F3" w14:textId="23341B7E" w:rsidR="001853A6" w:rsidRDefault="001853A6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Goring</w:t>
      </w:r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Elizabeth</w:t>
      </w:r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‘</w:t>
      </w:r>
      <w:proofErr w:type="spellStart"/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>Jewelry</w:t>
      </w:r>
      <w:proofErr w:type="spellEnd"/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an Intact Tomb’ in </w:t>
      </w:r>
      <w:r w:rsidRPr="001853A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Ancient </w:t>
      </w:r>
      <w:proofErr w:type="spellStart"/>
      <w:r w:rsidRPr="001853A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Jewelry</w:t>
      </w:r>
      <w:proofErr w:type="spellEnd"/>
      <w:r w:rsidRPr="001853A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and Archaeology</w:t>
      </w:r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>, ed. by Adriana Calinescu (Indiana University Press, 1996)</w:t>
      </w:r>
    </w:p>
    <w:p w14:paraId="7D51A3EE" w14:textId="32EAB9E4" w:rsidR="001853A6" w:rsidRDefault="001853A6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853A6">
        <w:rPr>
          <w:rFonts w:ascii="Times New Roman" w:hAnsi="Times New Roman" w:cs="Times New Roman"/>
          <w:color w:val="000000" w:themeColor="text1"/>
          <w:sz w:val="24"/>
          <w:szCs w:val="24"/>
        </w:rPr>
        <w:t>‘An Introduction to Graphics and Archaeological Illustration’, Oxford Archaeology, March 15 2024 https://www.oxfordarchaeology.com/blog/illustration-and-graphics [accessed 11 February 2025]</w:t>
      </w:r>
    </w:p>
    <w:p w14:paraId="557A32C0" w14:textId="77777777" w:rsidR="001853A6" w:rsidRDefault="001853A6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F1C98B" w14:textId="77777777" w:rsidR="002800E3" w:rsidRPr="00A84ABC" w:rsidRDefault="002800E3" w:rsidP="00D916E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2800E3" w:rsidRPr="00A84A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F98A3B" w14:textId="77777777" w:rsidR="00621919" w:rsidRDefault="00621919" w:rsidP="009F2D9A">
      <w:pPr>
        <w:spacing w:after="0" w:line="240" w:lineRule="auto"/>
      </w:pPr>
      <w:r>
        <w:separator/>
      </w:r>
    </w:p>
  </w:endnote>
  <w:endnote w:type="continuationSeparator" w:id="0">
    <w:p w14:paraId="3D81CA7B" w14:textId="77777777" w:rsidR="00621919" w:rsidRDefault="00621919" w:rsidP="009F2D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ubai">
    <w:charset w:val="B2"/>
    <w:family w:val="swiss"/>
    <w:pitch w:val="variable"/>
    <w:sig w:usb0="80002067" w:usb1="80000000" w:usb2="00000008" w:usb3="00000000" w:csb0="0000004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4D58D6" w14:textId="77777777" w:rsidR="00621919" w:rsidRDefault="00621919" w:rsidP="009F2D9A">
      <w:pPr>
        <w:spacing w:after="0" w:line="240" w:lineRule="auto"/>
      </w:pPr>
      <w:r>
        <w:separator/>
      </w:r>
    </w:p>
  </w:footnote>
  <w:footnote w:type="continuationSeparator" w:id="0">
    <w:p w14:paraId="54007FB8" w14:textId="77777777" w:rsidR="00621919" w:rsidRDefault="00621919" w:rsidP="009F2D9A">
      <w:pPr>
        <w:spacing w:after="0" w:line="240" w:lineRule="auto"/>
      </w:pPr>
      <w:r>
        <w:continuationSeparator/>
      </w:r>
    </w:p>
  </w:footnote>
  <w:footnote w:id="1">
    <w:p w14:paraId="0AF5BD8A" w14:textId="4FA933C7" w:rsidR="006B2DDD" w:rsidRPr="006B2DDD" w:rsidRDefault="006B2DDD">
      <w:pPr>
        <w:pStyle w:val="FootnoteText"/>
        <w:rPr>
          <w:rFonts w:ascii="Times New Roman" w:hAnsi="Times New Roman" w:cs="Times New Roman"/>
        </w:rPr>
      </w:pPr>
      <w:r w:rsidRPr="006B2DDD">
        <w:rPr>
          <w:rStyle w:val="FootnoteReference"/>
          <w:rFonts w:ascii="Times New Roman" w:hAnsi="Times New Roman" w:cs="Times New Roman"/>
        </w:rPr>
        <w:footnoteRef/>
      </w:r>
      <w:r w:rsidRPr="006B2DDD">
        <w:rPr>
          <w:rFonts w:ascii="Times New Roman" w:hAnsi="Times New Roman" w:cs="Times New Roman"/>
        </w:rPr>
        <w:t xml:space="preserve"> </w:t>
      </w:r>
      <w:bookmarkStart w:id="0" w:name="_Hlk192693834"/>
      <w:r w:rsidRPr="006B2DDD">
        <w:rPr>
          <w:rFonts w:ascii="Times New Roman" w:hAnsi="Times New Roman" w:cs="Times New Roman"/>
        </w:rPr>
        <w:t xml:space="preserve">Elizabeth Goring, ‘Death in everyday life: aspects of burial practice in the Late Bronze Age’ in </w:t>
      </w:r>
      <w:r w:rsidRPr="006B2DDD">
        <w:rPr>
          <w:rFonts w:ascii="Times New Roman" w:hAnsi="Times New Roman" w:cs="Times New Roman"/>
          <w:i/>
          <w:iCs/>
        </w:rPr>
        <w:t>Early Society in Cyprus</w:t>
      </w:r>
      <w:r w:rsidRPr="006B2DDD">
        <w:rPr>
          <w:rFonts w:ascii="Times New Roman" w:hAnsi="Times New Roman" w:cs="Times New Roman"/>
        </w:rPr>
        <w:t xml:space="preserve">, ed. by Edgar </w:t>
      </w:r>
      <w:proofErr w:type="spellStart"/>
      <w:r w:rsidRPr="006B2DDD">
        <w:rPr>
          <w:rFonts w:ascii="Times New Roman" w:hAnsi="Times New Roman" w:cs="Times New Roman"/>
        </w:rPr>
        <w:t>Peltenburg</w:t>
      </w:r>
      <w:proofErr w:type="spellEnd"/>
      <w:r w:rsidRPr="006B2DDD">
        <w:rPr>
          <w:rFonts w:ascii="Times New Roman" w:hAnsi="Times New Roman" w:cs="Times New Roman"/>
        </w:rPr>
        <w:t xml:space="preserve"> (Edinburgh University Press, 1989) p. 100</w:t>
      </w:r>
    </w:p>
    <w:bookmarkEnd w:id="0"/>
  </w:footnote>
  <w:footnote w:id="2">
    <w:p w14:paraId="18ECB17F" w14:textId="513E67C5" w:rsidR="003F579E" w:rsidRPr="003F579E" w:rsidRDefault="003F579E">
      <w:pPr>
        <w:pStyle w:val="FootnoteText"/>
        <w:rPr>
          <w:rFonts w:ascii="Times New Roman" w:hAnsi="Times New Roman" w:cs="Times New Roman"/>
        </w:rPr>
      </w:pPr>
      <w:r w:rsidRPr="003F579E">
        <w:rPr>
          <w:rStyle w:val="FootnoteReference"/>
          <w:rFonts w:ascii="Times New Roman" w:hAnsi="Times New Roman" w:cs="Times New Roman"/>
        </w:rPr>
        <w:footnoteRef/>
      </w:r>
      <w:r w:rsidRPr="003F579E">
        <w:rPr>
          <w:rFonts w:ascii="Times New Roman" w:hAnsi="Times New Roman" w:cs="Times New Roman"/>
        </w:rPr>
        <w:t xml:space="preserve"> </w:t>
      </w:r>
      <w:bookmarkStart w:id="1" w:name="_Hlk192953345"/>
      <w:r w:rsidRPr="003F579E">
        <w:rPr>
          <w:rFonts w:ascii="Times New Roman" w:hAnsi="Times New Roman" w:cs="Times New Roman"/>
        </w:rPr>
        <w:t>Elizabeth Goring, ‘</w:t>
      </w:r>
      <w:proofErr w:type="spellStart"/>
      <w:r w:rsidRPr="003F579E">
        <w:rPr>
          <w:rFonts w:ascii="Times New Roman" w:hAnsi="Times New Roman" w:cs="Times New Roman"/>
        </w:rPr>
        <w:t>Jewelry</w:t>
      </w:r>
      <w:proofErr w:type="spellEnd"/>
      <w:r w:rsidRPr="003F579E">
        <w:rPr>
          <w:rFonts w:ascii="Times New Roman" w:hAnsi="Times New Roman" w:cs="Times New Roman"/>
        </w:rPr>
        <w:t xml:space="preserve"> from an Intact Tomb’ in </w:t>
      </w:r>
      <w:r w:rsidRPr="003F579E">
        <w:rPr>
          <w:rFonts w:ascii="Times New Roman" w:hAnsi="Times New Roman" w:cs="Times New Roman"/>
          <w:i/>
          <w:iCs/>
        </w:rPr>
        <w:t xml:space="preserve">Ancient </w:t>
      </w:r>
      <w:proofErr w:type="spellStart"/>
      <w:r w:rsidRPr="003F579E">
        <w:rPr>
          <w:rFonts w:ascii="Times New Roman" w:hAnsi="Times New Roman" w:cs="Times New Roman"/>
          <w:i/>
          <w:iCs/>
        </w:rPr>
        <w:t>Jewelry</w:t>
      </w:r>
      <w:proofErr w:type="spellEnd"/>
      <w:r w:rsidRPr="003F579E">
        <w:rPr>
          <w:rFonts w:ascii="Times New Roman" w:hAnsi="Times New Roman" w:cs="Times New Roman"/>
          <w:i/>
          <w:iCs/>
        </w:rPr>
        <w:t xml:space="preserve"> and Archaeology</w:t>
      </w:r>
      <w:r w:rsidRPr="003F579E">
        <w:rPr>
          <w:rFonts w:ascii="Times New Roman" w:hAnsi="Times New Roman" w:cs="Times New Roman"/>
        </w:rPr>
        <w:t xml:space="preserve">, ed. by Adriana Calinescu (Indiana University Press, 1996), p. </w:t>
      </w:r>
      <w:r w:rsidRPr="003F579E">
        <w:rPr>
          <w:rFonts w:ascii="Times New Roman" w:hAnsi="Times New Roman" w:cs="Times New Roman"/>
        </w:rPr>
        <w:t>28</w:t>
      </w:r>
      <w:bookmarkEnd w:id="1"/>
    </w:p>
  </w:footnote>
  <w:footnote w:id="3">
    <w:p w14:paraId="4BAD2320" w14:textId="016B0B06" w:rsidR="00133987" w:rsidRPr="009868DD" w:rsidRDefault="00133987">
      <w:pPr>
        <w:pStyle w:val="FootnoteText"/>
        <w:rPr>
          <w:rFonts w:ascii="Times New Roman" w:hAnsi="Times New Roman" w:cs="Times New Roman"/>
        </w:rPr>
      </w:pPr>
      <w:r w:rsidRPr="009868DD">
        <w:rPr>
          <w:rStyle w:val="FootnoteReference"/>
          <w:rFonts w:ascii="Times New Roman" w:hAnsi="Times New Roman" w:cs="Times New Roman"/>
        </w:rPr>
        <w:footnoteRef/>
      </w:r>
      <w:r w:rsidRPr="009868DD">
        <w:rPr>
          <w:rFonts w:ascii="Times New Roman" w:hAnsi="Times New Roman" w:cs="Times New Roman"/>
        </w:rPr>
        <w:t xml:space="preserve"> </w:t>
      </w:r>
      <w:r w:rsidRPr="009868DD">
        <w:rPr>
          <w:rFonts w:ascii="Times New Roman" w:hAnsi="Times New Roman" w:cs="Times New Roman"/>
        </w:rPr>
        <w:t xml:space="preserve">Elizabeth Goring, ‘Death in everyday life: aspects of burial practice in the Late Bronze Age’ in </w:t>
      </w:r>
      <w:r w:rsidRPr="009868DD">
        <w:rPr>
          <w:rFonts w:ascii="Times New Roman" w:hAnsi="Times New Roman" w:cs="Times New Roman"/>
          <w:i/>
          <w:iCs/>
        </w:rPr>
        <w:t>Early Society in Cyprus,</w:t>
      </w:r>
      <w:r w:rsidRPr="009868DD">
        <w:rPr>
          <w:rFonts w:ascii="Times New Roman" w:hAnsi="Times New Roman" w:cs="Times New Roman"/>
        </w:rPr>
        <w:t xml:space="preserve"> ed. by Edgar </w:t>
      </w:r>
      <w:proofErr w:type="spellStart"/>
      <w:r w:rsidRPr="009868DD">
        <w:rPr>
          <w:rFonts w:ascii="Times New Roman" w:hAnsi="Times New Roman" w:cs="Times New Roman"/>
        </w:rPr>
        <w:t>Peltenburg</w:t>
      </w:r>
      <w:proofErr w:type="spellEnd"/>
      <w:r w:rsidRPr="009868DD">
        <w:rPr>
          <w:rFonts w:ascii="Times New Roman" w:hAnsi="Times New Roman" w:cs="Times New Roman"/>
        </w:rPr>
        <w:t xml:space="preserve"> (Edinburgh University Press, 1989) p. 100</w:t>
      </w:r>
    </w:p>
  </w:footnote>
  <w:footnote w:id="4">
    <w:p w14:paraId="6EE9A7A3" w14:textId="1B26793E" w:rsidR="009F2D9A" w:rsidRPr="009F2D9A" w:rsidRDefault="009F2D9A">
      <w:pPr>
        <w:pStyle w:val="FootnoteText"/>
        <w:rPr>
          <w:rFonts w:ascii="Times New Roman" w:hAnsi="Times New Roman" w:cs="Times New Roman"/>
        </w:rPr>
      </w:pPr>
      <w:r w:rsidRPr="009F2D9A">
        <w:rPr>
          <w:rStyle w:val="FootnoteReference"/>
          <w:rFonts w:ascii="Times New Roman" w:hAnsi="Times New Roman" w:cs="Times New Roman"/>
        </w:rPr>
        <w:footnoteRef/>
      </w:r>
      <w:r w:rsidRPr="009F2D9A">
        <w:rPr>
          <w:rFonts w:ascii="Times New Roman" w:hAnsi="Times New Roman" w:cs="Times New Roman"/>
        </w:rPr>
        <w:t xml:space="preserve"> </w:t>
      </w:r>
      <w:r w:rsidR="009868DD">
        <w:rPr>
          <w:rFonts w:ascii="Times New Roman" w:hAnsi="Times New Roman" w:cs="Times New Roman"/>
        </w:rPr>
        <w:t>Ibid.</w:t>
      </w:r>
    </w:p>
  </w:footnote>
  <w:footnote w:id="5">
    <w:p w14:paraId="3DFCFB46" w14:textId="2A03F8D0" w:rsidR="007B6857" w:rsidRPr="007B6857" w:rsidRDefault="007B6857">
      <w:pPr>
        <w:pStyle w:val="FootnoteText"/>
        <w:rPr>
          <w:rFonts w:ascii="Times New Roman" w:hAnsi="Times New Roman" w:cs="Times New Roman"/>
        </w:rPr>
      </w:pPr>
      <w:r w:rsidRPr="007B6857">
        <w:rPr>
          <w:rStyle w:val="FootnoteReference"/>
          <w:rFonts w:ascii="Times New Roman" w:hAnsi="Times New Roman" w:cs="Times New Roman"/>
        </w:rPr>
        <w:footnoteRef/>
      </w:r>
      <w:r w:rsidRPr="007B6857">
        <w:rPr>
          <w:rFonts w:ascii="Times New Roman" w:hAnsi="Times New Roman" w:cs="Times New Roman"/>
        </w:rPr>
        <w:t xml:space="preserve"> Ibid. </w:t>
      </w:r>
    </w:p>
  </w:footnote>
  <w:footnote w:id="6">
    <w:p w14:paraId="341A3B43" w14:textId="7198B7CD" w:rsidR="00203A75" w:rsidRPr="00203A75" w:rsidRDefault="00203A75">
      <w:pPr>
        <w:pStyle w:val="FootnoteText"/>
        <w:rPr>
          <w:rFonts w:ascii="Times New Roman" w:hAnsi="Times New Roman" w:cs="Times New Roman"/>
        </w:rPr>
      </w:pPr>
      <w:r w:rsidRPr="00203A75">
        <w:rPr>
          <w:rStyle w:val="FootnoteReference"/>
          <w:rFonts w:ascii="Times New Roman" w:hAnsi="Times New Roman" w:cs="Times New Roman"/>
        </w:rPr>
        <w:footnoteRef/>
      </w:r>
      <w:r w:rsidRPr="00203A75">
        <w:rPr>
          <w:rFonts w:ascii="Times New Roman" w:hAnsi="Times New Roman" w:cs="Times New Roman"/>
        </w:rPr>
        <w:t xml:space="preserve"> Ibid.</w:t>
      </w:r>
    </w:p>
  </w:footnote>
  <w:footnote w:id="7">
    <w:p w14:paraId="20CEC23E" w14:textId="6187C386" w:rsidR="007E2C41" w:rsidRPr="007E2C41" w:rsidRDefault="007E2C41">
      <w:pPr>
        <w:pStyle w:val="FootnoteText"/>
        <w:rPr>
          <w:rFonts w:ascii="Times New Roman" w:hAnsi="Times New Roman" w:cs="Times New Roman"/>
        </w:rPr>
      </w:pPr>
      <w:r w:rsidRPr="007E2C41">
        <w:rPr>
          <w:rStyle w:val="FootnoteReference"/>
          <w:rFonts w:ascii="Times New Roman" w:hAnsi="Times New Roman" w:cs="Times New Roman"/>
        </w:rPr>
        <w:footnoteRef/>
      </w:r>
      <w:r w:rsidRPr="007E2C41">
        <w:rPr>
          <w:rFonts w:ascii="Times New Roman" w:hAnsi="Times New Roman" w:cs="Times New Roman"/>
        </w:rPr>
        <w:t xml:space="preserve"> </w:t>
      </w:r>
      <w:r w:rsidRPr="007E2C41">
        <w:rPr>
          <w:rFonts w:ascii="Times New Roman" w:hAnsi="Times New Roman" w:cs="Times New Roman"/>
        </w:rPr>
        <w:t xml:space="preserve">Elizabeth Goring, ‘Death in everyday life: aspects of burial practice in the Late Bronze Age’ in </w:t>
      </w:r>
      <w:r w:rsidRPr="00C717A5">
        <w:rPr>
          <w:rFonts w:ascii="Times New Roman" w:hAnsi="Times New Roman" w:cs="Times New Roman"/>
          <w:i/>
          <w:iCs/>
        </w:rPr>
        <w:t>Early Society in Cyprus</w:t>
      </w:r>
      <w:r w:rsidRPr="007E2C41">
        <w:rPr>
          <w:rFonts w:ascii="Times New Roman" w:hAnsi="Times New Roman" w:cs="Times New Roman"/>
        </w:rPr>
        <w:t xml:space="preserve">, ed. by Edgar </w:t>
      </w:r>
      <w:proofErr w:type="spellStart"/>
      <w:r w:rsidRPr="007E2C41">
        <w:rPr>
          <w:rFonts w:ascii="Times New Roman" w:hAnsi="Times New Roman" w:cs="Times New Roman"/>
        </w:rPr>
        <w:t>Peltenburg</w:t>
      </w:r>
      <w:proofErr w:type="spellEnd"/>
      <w:r w:rsidRPr="007E2C41">
        <w:rPr>
          <w:rFonts w:ascii="Times New Roman" w:hAnsi="Times New Roman" w:cs="Times New Roman"/>
        </w:rPr>
        <w:t xml:space="preserve"> (Edinburgh University Press, 1989) p. 10</w:t>
      </w:r>
      <w:r w:rsidRPr="007E2C41">
        <w:rPr>
          <w:rFonts w:ascii="Times New Roman" w:hAnsi="Times New Roman" w:cs="Times New Roman"/>
        </w:rPr>
        <w:t>1</w:t>
      </w:r>
    </w:p>
  </w:footnote>
  <w:footnote w:id="8">
    <w:p w14:paraId="175357DE" w14:textId="566BB4C4" w:rsidR="008C67B5" w:rsidRPr="008C67B5" w:rsidRDefault="008C67B5">
      <w:pPr>
        <w:pStyle w:val="FootnoteText"/>
        <w:rPr>
          <w:rFonts w:ascii="Times New Roman" w:hAnsi="Times New Roman" w:cs="Times New Roman"/>
        </w:rPr>
      </w:pPr>
      <w:r w:rsidRPr="008C67B5">
        <w:rPr>
          <w:rStyle w:val="FootnoteReference"/>
          <w:rFonts w:ascii="Times New Roman" w:hAnsi="Times New Roman" w:cs="Times New Roman"/>
        </w:rPr>
        <w:footnoteRef/>
      </w:r>
      <w:r w:rsidRPr="008C67B5">
        <w:rPr>
          <w:rFonts w:ascii="Times New Roman" w:hAnsi="Times New Roman" w:cs="Times New Roman"/>
        </w:rPr>
        <w:t xml:space="preserve"> Ibid, p.104</w:t>
      </w:r>
    </w:p>
  </w:footnote>
  <w:footnote w:id="9">
    <w:p w14:paraId="3374A575" w14:textId="15112C89" w:rsidR="000878EC" w:rsidRPr="000878EC" w:rsidRDefault="000878EC">
      <w:pPr>
        <w:pStyle w:val="FootnoteText"/>
        <w:rPr>
          <w:rFonts w:ascii="Times New Roman" w:hAnsi="Times New Roman" w:cs="Times New Roman"/>
        </w:rPr>
      </w:pPr>
      <w:r w:rsidRPr="000878EC">
        <w:rPr>
          <w:rStyle w:val="FootnoteReference"/>
          <w:rFonts w:ascii="Times New Roman" w:hAnsi="Times New Roman" w:cs="Times New Roman"/>
        </w:rPr>
        <w:footnoteRef/>
      </w:r>
      <w:r w:rsidRPr="000878EC">
        <w:rPr>
          <w:rFonts w:ascii="Times New Roman" w:hAnsi="Times New Roman" w:cs="Times New Roman"/>
        </w:rPr>
        <w:t xml:space="preserve"> Ibid, p.102</w:t>
      </w:r>
    </w:p>
  </w:footnote>
  <w:footnote w:id="10">
    <w:p w14:paraId="7A450E6E" w14:textId="5689DD49" w:rsidR="006B2DDD" w:rsidRPr="006B2DDD" w:rsidRDefault="006B2DDD">
      <w:pPr>
        <w:pStyle w:val="FootnoteText"/>
        <w:rPr>
          <w:rFonts w:ascii="Times New Roman" w:hAnsi="Times New Roman" w:cs="Times New Roman"/>
        </w:rPr>
      </w:pPr>
      <w:r w:rsidRPr="006B2DDD">
        <w:rPr>
          <w:rStyle w:val="FootnoteReference"/>
          <w:rFonts w:ascii="Times New Roman" w:hAnsi="Times New Roman" w:cs="Times New Roman"/>
        </w:rPr>
        <w:footnoteRef/>
      </w:r>
      <w:r w:rsidRPr="006B2DDD">
        <w:rPr>
          <w:rFonts w:ascii="Times New Roman" w:hAnsi="Times New Roman" w:cs="Times New Roman"/>
        </w:rPr>
        <w:t xml:space="preserve"> Ibid, p.103</w:t>
      </w:r>
    </w:p>
  </w:footnote>
  <w:footnote w:id="11">
    <w:p w14:paraId="58D91B5C" w14:textId="674568D6" w:rsidR="00C717A5" w:rsidRPr="00C717A5" w:rsidRDefault="00C717A5">
      <w:pPr>
        <w:pStyle w:val="FootnoteText"/>
        <w:rPr>
          <w:rFonts w:ascii="Times New Roman" w:hAnsi="Times New Roman" w:cs="Times New Roman"/>
        </w:rPr>
      </w:pPr>
      <w:r w:rsidRPr="00C717A5">
        <w:rPr>
          <w:rStyle w:val="FootnoteReference"/>
          <w:rFonts w:ascii="Times New Roman" w:hAnsi="Times New Roman" w:cs="Times New Roman"/>
        </w:rPr>
        <w:footnoteRef/>
      </w:r>
      <w:r w:rsidRPr="00C717A5">
        <w:rPr>
          <w:rFonts w:ascii="Times New Roman" w:hAnsi="Times New Roman" w:cs="Times New Roman"/>
        </w:rPr>
        <w:t xml:space="preserve"> </w:t>
      </w:r>
      <w:bookmarkStart w:id="2" w:name="_Hlk192689620"/>
      <w:bookmarkStart w:id="3" w:name="_Hlk192693811"/>
      <w:r w:rsidRPr="00C717A5">
        <w:rPr>
          <w:rFonts w:ascii="Times New Roman" w:hAnsi="Times New Roman" w:cs="Times New Roman"/>
        </w:rPr>
        <w:t>Elizabeth Goring, ‘</w:t>
      </w:r>
      <w:proofErr w:type="spellStart"/>
      <w:r w:rsidRPr="00C717A5">
        <w:rPr>
          <w:rFonts w:ascii="Times New Roman" w:hAnsi="Times New Roman" w:cs="Times New Roman"/>
        </w:rPr>
        <w:t>Jewelry</w:t>
      </w:r>
      <w:proofErr w:type="spellEnd"/>
      <w:r w:rsidRPr="00C717A5">
        <w:rPr>
          <w:rFonts w:ascii="Times New Roman" w:hAnsi="Times New Roman" w:cs="Times New Roman"/>
        </w:rPr>
        <w:t xml:space="preserve"> from an Intact Tomb’ in </w:t>
      </w:r>
      <w:r w:rsidRPr="00C717A5">
        <w:rPr>
          <w:rFonts w:ascii="Times New Roman" w:hAnsi="Times New Roman" w:cs="Times New Roman"/>
          <w:i/>
          <w:iCs/>
        </w:rPr>
        <w:t xml:space="preserve">Ancient </w:t>
      </w:r>
      <w:proofErr w:type="spellStart"/>
      <w:r w:rsidRPr="00C717A5">
        <w:rPr>
          <w:rFonts w:ascii="Times New Roman" w:hAnsi="Times New Roman" w:cs="Times New Roman"/>
          <w:i/>
          <w:iCs/>
        </w:rPr>
        <w:t>Jewelry</w:t>
      </w:r>
      <w:proofErr w:type="spellEnd"/>
      <w:r w:rsidRPr="00C717A5">
        <w:rPr>
          <w:rFonts w:ascii="Times New Roman" w:hAnsi="Times New Roman" w:cs="Times New Roman"/>
          <w:i/>
          <w:iCs/>
        </w:rPr>
        <w:t xml:space="preserve"> and Archaeology</w:t>
      </w:r>
      <w:r w:rsidRPr="00C717A5">
        <w:rPr>
          <w:rFonts w:ascii="Times New Roman" w:hAnsi="Times New Roman" w:cs="Times New Roman"/>
        </w:rPr>
        <w:t>, ed. by Adriana Calinescu (Indiana University Press, 1996), p. 31</w:t>
      </w:r>
      <w:bookmarkEnd w:id="3"/>
    </w:p>
    <w:bookmarkEnd w:id="2"/>
  </w:footnote>
  <w:footnote w:id="12">
    <w:p w14:paraId="1A0A1E75" w14:textId="57CD6978" w:rsidR="00894287" w:rsidRPr="00894287" w:rsidRDefault="00894287">
      <w:pPr>
        <w:pStyle w:val="FootnoteText"/>
        <w:rPr>
          <w:rFonts w:ascii="Times New Roman" w:hAnsi="Times New Roman" w:cs="Times New Roman"/>
        </w:rPr>
      </w:pPr>
      <w:r w:rsidRPr="00894287">
        <w:rPr>
          <w:rStyle w:val="FootnoteReference"/>
          <w:rFonts w:ascii="Times New Roman" w:hAnsi="Times New Roman" w:cs="Times New Roman"/>
        </w:rPr>
        <w:footnoteRef/>
      </w:r>
      <w:r w:rsidRPr="00894287">
        <w:rPr>
          <w:rFonts w:ascii="Times New Roman" w:hAnsi="Times New Roman" w:cs="Times New Roman"/>
        </w:rPr>
        <w:t xml:space="preserve"> Ibid.</w:t>
      </w:r>
    </w:p>
  </w:footnote>
  <w:footnote w:id="13">
    <w:p w14:paraId="3AB17ACA" w14:textId="61434A93" w:rsidR="00D87622" w:rsidRPr="00D51EC8" w:rsidRDefault="00D87622">
      <w:pPr>
        <w:pStyle w:val="FootnoteText"/>
        <w:rPr>
          <w:rFonts w:ascii="Times New Roman" w:hAnsi="Times New Roman" w:cs="Times New Roman"/>
        </w:rPr>
      </w:pPr>
      <w:r w:rsidRPr="00D51EC8">
        <w:rPr>
          <w:rStyle w:val="FootnoteReference"/>
          <w:rFonts w:ascii="Times New Roman" w:hAnsi="Times New Roman" w:cs="Times New Roman"/>
        </w:rPr>
        <w:footnoteRef/>
      </w:r>
      <w:r w:rsidRPr="00D51EC8">
        <w:rPr>
          <w:rFonts w:ascii="Times New Roman" w:hAnsi="Times New Roman" w:cs="Times New Roman"/>
        </w:rPr>
        <w:t xml:space="preserve"> </w:t>
      </w:r>
      <w:bookmarkStart w:id="4" w:name="_Hlk192953409"/>
      <w:r w:rsidRPr="00D51EC8">
        <w:rPr>
          <w:rFonts w:ascii="Times New Roman" w:hAnsi="Times New Roman" w:cs="Times New Roman"/>
        </w:rPr>
        <w:t>‘Artefact and Publication Illustration</w:t>
      </w:r>
      <w:r w:rsidR="00D51EC8" w:rsidRPr="00D51EC8">
        <w:rPr>
          <w:rFonts w:ascii="Times New Roman" w:hAnsi="Times New Roman" w:cs="Times New Roman"/>
        </w:rPr>
        <w:t xml:space="preserve">’, Wessex Archaeology, n.d. </w:t>
      </w:r>
      <w:hyperlink r:id="rId1" w:history="1">
        <w:r w:rsidR="00D51EC8" w:rsidRPr="00D51EC8">
          <w:rPr>
            <w:rStyle w:val="Hyperlink"/>
            <w:rFonts w:ascii="Times New Roman" w:hAnsi="Times New Roman" w:cs="Times New Roman"/>
          </w:rPr>
          <w:t>https://www.wessexarch.co.uk/archaeological-services/artefact-publication-illustration</w:t>
        </w:r>
      </w:hyperlink>
      <w:r w:rsidR="00D51EC8" w:rsidRPr="00D51EC8">
        <w:rPr>
          <w:rFonts w:ascii="Times New Roman" w:hAnsi="Times New Roman" w:cs="Times New Roman"/>
        </w:rPr>
        <w:t xml:space="preserve"> [accessed 10 February 2025]</w:t>
      </w:r>
      <w:bookmarkEnd w:id="4"/>
    </w:p>
  </w:footnote>
  <w:footnote w:id="14">
    <w:p w14:paraId="5D13420D" w14:textId="321A95EA" w:rsidR="009D19A0" w:rsidRPr="004A2316" w:rsidRDefault="009D19A0">
      <w:pPr>
        <w:pStyle w:val="FootnoteText"/>
        <w:rPr>
          <w:rFonts w:ascii="Times New Roman" w:hAnsi="Times New Roman" w:cs="Times New Roman"/>
        </w:rPr>
      </w:pPr>
      <w:r w:rsidRPr="004A2316">
        <w:rPr>
          <w:rStyle w:val="FootnoteReference"/>
          <w:rFonts w:ascii="Times New Roman" w:hAnsi="Times New Roman" w:cs="Times New Roman"/>
        </w:rPr>
        <w:footnoteRef/>
      </w:r>
      <w:r w:rsidRPr="004A2316">
        <w:rPr>
          <w:rFonts w:ascii="Times New Roman" w:hAnsi="Times New Roman" w:cs="Times New Roman"/>
        </w:rPr>
        <w:t xml:space="preserve"> </w:t>
      </w:r>
      <w:bookmarkStart w:id="5" w:name="_Hlk192953459"/>
      <w:r w:rsidR="004A2316" w:rsidRPr="004A2316">
        <w:rPr>
          <w:rFonts w:ascii="Times New Roman" w:hAnsi="Times New Roman" w:cs="Times New Roman"/>
        </w:rPr>
        <w:t xml:space="preserve">‘An Introduction to Graphics and Archaeological Illustration’, Oxford Archaeology, March 15 2024 </w:t>
      </w:r>
      <w:hyperlink r:id="rId2" w:history="1">
        <w:r w:rsidR="004A2316" w:rsidRPr="004A2316">
          <w:rPr>
            <w:rStyle w:val="Hyperlink"/>
            <w:rFonts w:ascii="Times New Roman" w:hAnsi="Times New Roman" w:cs="Times New Roman"/>
          </w:rPr>
          <w:t>https://www.oxfordarchaeology.com/blog/illustration-and-graphics</w:t>
        </w:r>
      </w:hyperlink>
      <w:r w:rsidR="004A2316" w:rsidRPr="004A2316">
        <w:rPr>
          <w:rFonts w:ascii="Times New Roman" w:hAnsi="Times New Roman" w:cs="Times New Roman"/>
        </w:rPr>
        <w:t xml:space="preserve"> [accessed 11 February 2025]</w:t>
      </w:r>
      <w:bookmarkEnd w:id="5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792D"/>
    <w:rsid w:val="000700E9"/>
    <w:rsid w:val="000878EC"/>
    <w:rsid w:val="000B5769"/>
    <w:rsid w:val="000B62B6"/>
    <w:rsid w:val="000B65BC"/>
    <w:rsid w:val="0010443E"/>
    <w:rsid w:val="001047DE"/>
    <w:rsid w:val="00112E34"/>
    <w:rsid w:val="001138FF"/>
    <w:rsid w:val="00133987"/>
    <w:rsid w:val="00134C14"/>
    <w:rsid w:val="00170974"/>
    <w:rsid w:val="001726DE"/>
    <w:rsid w:val="0018061C"/>
    <w:rsid w:val="001853A6"/>
    <w:rsid w:val="00187D79"/>
    <w:rsid w:val="001E1E73"/>
    <w:rsid w:val="001E4A76"/>
    <w:rsid w:val="00203A75"/>
    <w:rsid w:val="00203DA5"/>
    <w:rsid w:val="00233359"/>
    <w:rsid w:val="00240C42"/>
    <w:rsid w:val="002800E3"/>
    <w:rsid w:val="002A102E"/>
    <w:rsid w:val="002A14E7"/>
    <w:rsid w:val="002C363F"/>
    <w:rsid w:val="00305D05"/>
    <w:rsid w:val="00384E4F"/>
    <w:rsid w:val="00385056"/>
    <w:rsid w:val="003A6C2A"/>
    <w:rsid w:val="003C0452"/>
    <w:rsid w:val="003F1F4B"/>
    <w:rsid w:val="003F579E"/>
    <w:rsid w:val="00444F0E"/>
    <w:rsid w:val="00445956"/>
    <w:rsid w:val="00450B8D"/>
    <w:rsid w:val="0045708B"/>
    <w:rsid w:val="00473A6F"/>
    <w:rsid w:val="004A2316"/>
    <w:rsid w:val="004F46F9"/>
    <w:rsid w:val="00503ADA"/>
    <w:rsid w:val="0054749E"/>
    <w:rsid w:val="005D06B0"/>
    <w:rsid w:val="00621919"/>
    <w:rsid w:val="00656AFB"/>
    <w:rsid w:val="006610E5"/>
    <w:rsid w:val="006A5B0F"/>
    <w:rsid w:val="006A7C12"/>
    <w:rsid w:val="006B2DDD"/>
    <w:rsid w:val="006D6013"/>
    <w:rsid w:val="0073171A"/>
    <w:rsid w:val="0073255B"/>
    <w:rsid w:val="00743A0B"/>
    <w:rsid w:val="007449E3"/>
    <w:rsid w:val="00755BBC"/>
    <w:rsid w:val="00771B2C"/>
    <w:rsid w:val="00785464"/>
    <w:rsid w:val="00785B1E"/>
    <w:rsid w:val="007A74C3"/>
    <w:rsid w:val="007B6857"/>
    <w:rsid w:val="007E2C41"/>
    <w:rsid w:val="00833925"/>
    <w:rsid w:val="0087792D"/>
    <w:rsid w:val="008939EA"/>
    <w:rsid w:val="00894287"/>
    <w:rsid w:val="00895C3B"/>
    <w:rsid w:val="008979CF"/>
    <w:rsid w:val="008B188F"/>
    <w:rsid w:val="008C67B5"/>
    <w:rsid w:val="008F18A0"/>
    <w:rsid w:val="00902AB0"/>
    <w:rsid w:val="00927845"/>
    <w:rsid w:val="009868DD"/>
    <w:rsid w:val="009B0A59"/>
    <w:rsid w:val="009D19A0"/>
    <w:rsid w:val="009E0512"/>
    <w:rsid w:val="009F2D9A"/>
    <w:rsid w:val="00A634FD"/>
    <w:rsid w:val="00A84ABC"/>
    <w:rsid w:val="00A9007B"/>
    <w:rsid w:val="00AB1BA1"/>
    <w:rsid w:val="00AC4D90"/>
    <w:rsid w:val="00B6734B"/>
    <w:rsid w:val="00C26189"/>
    <w:rsid w:val="00C35C68"/>
    <w:rsid w:val="00C42C47"/>
    <w:rsid w:val="00C47314"/>
    <w:rsid w:val="00C66304"/>
    <w:rsid w:val="00C717A5"/>
    <w:rsid w:val="00CA57A4"/>
    <w:rsid w:val="00CB374A"/>
    <w:rsid w:val="00CF1C91"/>
    <w:rsid w:val="00D05A5B"/>
    <w:rsid w:val="00D13182"/>
    <w:rsid w:val="00D20D71"/>
    <w:rsid w:val="00D51EC8"/>
    <w:rsid w:val="00D61038"/>
    <w:rsid w:val="00D83C89"/>
    <w:rsid w:val="00D87622"/>
    <w:rsid w:val="00D916EE"/>
    <w:rsid w:val="00DA16D5"/>
    <w:rsid w:val="00DF2560"/>
    <w:rsid w:val="00E8444F"/>
    <w:rsid w:val="00E84ABC"/>
    <w:rsid w:val="00E90FF1"/>
    <w:rsid w:val="00EC092A"/>
    <w:rsid w:val="00EF5B75"/>
    <w:rsid w:val="00F12F3D"/>
    <w:rsid w:val="00F3743B"/>
    <w:rsid w:val="00F52AA8"/>
    <w:rsid w:val="00FA45B8"/>
    <w:rsid w:val="00FE0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1E0FAE"/>
  <w15:chartTrackingRefBased/>
  <w15:docId w15:val="{224BEDD7-7029-4A8A-B6F9-36588995D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9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79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792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79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792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79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79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79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79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792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79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792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792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792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79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79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79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79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79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79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79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79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79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79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79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792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792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792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792D"/>
    <w:rPr>
      <w:b/>
      <w:bCs/>
      <w:smallCaps/>
      <w:color w:val="2F5496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F2D9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F2D9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F2D9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51E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E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oxfordarchaeology.com/blog/illustration-and-graphics" TargetMode="External"/><Relationship Id="rId1" Type="http://schemas.openxmlformats.org/officeDocument/2006/relationships/hyperlink" Target="https://www.wessexarch.co.uk/archaeological-services/artefact-publication-illustr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CCD2B7-4996-4FB9-B30B-156E8B358B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9703</TotalTime>
  <Pages>3</Pages>
  <Words>998</Words>
  <Characters>5690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francesca quieros</dc:creator>
  <cp:keywords/>
  <dc:description/>
  <cp:lastModifiedBy>francesca quieros</cp:lastModifiedBy>
  <cp:revision>58</cp:revision>
  <dcterms:created xsi:type="dcterms:W3CDTF">2025-03-08T22:14:00Z</dcterms:created>
  <dcterms:modified xsi:type="dcterms:W3CDTF">2025-03-15T17:51:00Z</dcterms:modified>
</cp:coreProperties>
</file>