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235C8" w14:textId="47144C99" w:rsidR="005A6FC8" w:rsidRDefault="005A6FC8" w:rsidP="00D86163">
      <w:pPr>
        <w:ind w:firstLine="720"/>
      </w:pPr>
      <w:r>
        <w:t>Ben Jonson was a 17</w:t>
      </w:r>
      <w:r w:rsidRPr="005A6FC8">
        <w:rPr>
          <w:vertAlign w:val="superscript"/>
        </w:rPr>
        <w:t>th</w:t>
      </w:r>
      <w:r>
        <w:t xml:space="preserve"> century </w:t>
      </w:r>
      <w:proofErr w:type="spellStart"/>
      <w:r>
        <w:t>playwrite</w:t>
      </w:r>
      <w:proofErr w:type="spellEnd"/>
      <w:r>
        <w:t xml:space="preserve"> and author, he is somewhat overshadowed by Shakespear in the modern </w:t>
      </w:r>
      <w:r w:rsidR="00894952">
        <w:t>pop culture view. His most famous and well known work is a comedic play called “The Alchemist.”</w:t>
      </w:r>
      <w:r w:rsidR="009E00B4">
        <w:t xml:space="preserve"> The play is about </w:t>
      </w:r>
      <w:r w:rsidR="00C52370">
        <w:t xml:space="preserve">a trio of </w:t>
      </w:r>
      <w:r w:rsidR="00F87CA2">
        <w:t xml:space="preserve">conmen, </w:t>
      </w:r>
      <w:r w:rsidR="007871B8">
        <w:t xml:space="preserve">Face, </w:t>
      </w:r>
      <w:r w:rsidR="00C75C1A">
        <w:t xml:space="preserve">Subtle, and Dol. </w:t>
      </w:r>
      <w:r w:rsidR="00F87CA2">
        <w:t xml:space="preserve">who through various methods persuade their victims that they are </w:t>
      </w:r>
      <w:r w:rsidR="00AE5952">
        <w:t>alchemists</w:t>
      </w:r>
      <w:r w:rsidR="00F87CA2">
        <w:t>, capable of magic</w:t>
      </w:r>
      <w:r w:rsidR="0072443E">
        <w:t xml:space="preserve">, through the course of the play they </w:t>
      </w:r>
      <w:r w:rsidR="007871B8">
        <w:t>dupe a series of characters with their schemes.</w:t>
      </w:r>
      <w:r w:rsidR="00F51299">
        <w:rPr>
          <w:rStyle w:val="FootnoteReference"/>
        </w:rPr>
        <w:footnoteReference w:id="1"/>
      </w:r>
      <w:r w:rsidR="00F87CA2">
        <w:t xml:space="preserve"> </w:t>
      </w:r>
      <w:r w:rsidR="00894952">
        <w:t xml:space="preserve"> </w:t>
      </w:r>
      <w:r w:rsidR="00265245">
        <w:t xml:space="preserve">The early history of this publication is interesting and it illuminates the way that plays were preformed and published in the </w:t>
      </w:r>
      <w:r w:rsidR="007B4599">
        <w:t>1600s. This is a</w:t>
      </w:r>
      <w:r w:rsidR="00894952">
        <w:t>n overview of the work and its early publication in the early part of the 17</w:t>
      </w:r>
      <w:r w:rsidR="00894952" w:rsidRPr="00894952">
        <w:rPr>
          <w:vertAlign w:val="superscript"/>
        </w:rPr>
        <w:t>th</w:t>
      </w:r>
      <w:r w:rsidR="00894952">
        <w:t xml:space="preserve"> </w:t>
      </w:r>
      <w:r w:rsidR="002C06E3">
        <w:t>century</w:t>
      </w:r>
      <w:r w:rsidR="007B4599">
        <w:t xml:space="preserve"> using primary source evidence.</w:t>
      </w:r>
      <w:r w:rsidR="009E00B4">
        <w:t xml:space="preserve"> </w:t>
      </w:r>
      <w:r w:rsidR="002C06E3">
        <w:t xml:space="preserve"> </w:t>
      </w:r>
    </w:p>
    <w:p w14:paraId="06E3DB44" w14:textId="041640B5" w:rsidR="005A6FC8" w:rsidRDefault="00EE4214" w:rsidP="00BF6E06">
      <w:r>
        <w:t xml:space="preserve">One of the key parts of understanding a book from this period is its </w:t>
      </w:r>
      <w:r w:rsidR="009E70A5">
        <w:t>first page. This is Bibliographic description of the first printing of “The Alchemist” from 1612</w:t>
      </w:r>
      <w:r w:rsidR="009F147A">
        <w:t xml:space="preserve">. Although the play was first </w:t>
      </w:r>
      <w:r w:rsidR="001C4ACF">
        <w:t>performed</w:t>
      </w:r>
      <w:r w:rsidR="009F147A">
        <w:t xml:space="preserve"> in 1610 it was not printed until two years after the initial performance. </w:t>
      </w:r>
    </w:p>
    <w:p w14:paraId="4862E0E6" w14:textId="104E2CD5" w:rsidR="00FF1028" w:rsidRDefault="00FF1028" w:rsidP="00BF6E06">
      <w:r>
        <w:t xml:space="preserve">The play was originally preformed by the Kings </w:t>
      </w:r>
      <w:r w:rsidR="00AE1961">
        <w:t>M</w:t>
      </w:r>
      <w:r>
        <w:t>en</w:t>
      </w:r>
      <w:r w:rsidR="00AE1961">
        <w:t xml:space="preserve">, a noted </w:t>
      </w:r>
      <w:r w:rsidR="000E584B">
        <w:t>theatre</w:t>
      </w:r>
      <w:r w:rsidR="00AE1961">
        <w:t xml:space="preserve"> production company whic</w:t>
      </w:r>
      <w:r w:rsidR="000E584B">
        <w:t xml:space="preserve">h preformed many of the plays of Ben Jonson, and William Shakespear. </w:t>
      </w:r>
    </w:p>
    <w:p w14:paraId="4278488C" w14:textId="079235B9" w:rsidR="001C4ACF" w:rsidRDefault="001C4ACF" w:rsidP="00BF6E06">
      <w:r>
        <w:t>Bibliographic Description:</w:t>
      </w:r>
    </w:p>
    <w:p w14:paraId="291AAAE9" w14:textId="4FF156C0" w:rsidR="00BF6E06" w:rsidRPr="00BF6E06" w:rsidRDefault="00774931" w:rsidP="00BF6E06">
      <w:r>
        <w:t>|THE|ALCHEMIST.|</w:t>
      </w:r>
      <w:proofErr w:type="spellStart"/>
      <w:r>
        <w:t>VVritten|by|Ben</w:t>
      </w:r>
      <w:proofErr w:type="spellEnd"/>
      <w:r>
        <w:t xml:space="preserve">. </w:t>
      </w:r>
      <w:proofErr w:type="spellStart"/>
      <w:r w:rsidRPr="00774931">
        <w:rPr>
          <w:lang w:val="fr-FR"/>
        </w:rPr>
        <w:t>Ionson</w:t>
      </w:r>
      <w:proofErr w:type="spellEnd"/>
      <w:r w:rsidRPr="00774931">
        <w:rPr>
          <w:lang w:val="fr-FR"/>
        </w:rPr>
        <w:t>.|-----</w:t>
      </w:r>
      <w:proofErr w:type="spellStart"/>
      <w:r w:rsidRPr="00774931">
        <w:rPr>
          <w:i/>
          <w:iCs/>
          <w:lang w:val="fr-FR"/>
        </w:rPr>
        <w:t>Neque</w:t>
      </w:r>
      <w:proofErr w:type="spellEnd"/>
      <w:r w:rsidRPr="00774931">
        <w:rPr>
          <w:i/>
          <w:iCs/>
          <w:lang w:val="fr-FR"/>
        </w:rPr>
        <w:t xml:space="preserve">, me, vt </w:t>
      </w:r>
      <w:proofErr w:type="spellStart"/>
      <w:r w:rsidRPr="00774931">
        <w:rPr>
          <w:i/>
          <w:iCs/>
          <w:lang w:val="fr-FR"/>
        </w:rPr>
        <w:t>miretur</w:t>
      </w:r>
      <w:proofErr w:type="spellEnd"/>
      <w:r w:rsidRPr="00774931">
        <w:rPr>
          <w:i/>
          <w:iCs/>
          <w:lang w:val="fr-FR"/>
        </w:rPr>
        <w:t xml:space="preserve"> </w:t>
      </w:r>
      <w:proofErr w:type="spellStart"/>
      <w:r w:rsidRPr="00774931">
        <w:rPr>
          <w:i/>
          <w:iCs/>
          <w:lang w:val="fr-FR"/>
        </w:rPr>
        <w:t>turba</w:t>
      </w:r>
      <w:proofErr w:type="spellEnd"/>
      <w:r w:rsidRPr="00774931">
        <w:rPr>
          <w:i/>
          <w:iCs/>
          <w:lang w:val="fr-FR"/>
        </w:rPr>
        <w:t xml:space="preserve">, </w:t>
      </w:r>
      <w:proofErr w:type="spellStart"/>
      <w:r w:rsidRPr="00774931">
        <w:rPr>
          <w:i/>
          <w:iCs/>
          <w:lang w:val="fr-FR"/>
        </w:rPr>
        <w:t>laboro</w:t>
      </w:r>
      <w:proofErr w:type="spellEnd"/>
      <w:r w:rsidRPr="00774931">
        <w:rPr>
          <w:i/>
          <w:iCs/>
          <w:lang w:val="fr-FR"/>
        </w:rPr>
        <w:t xml:space="preserve">:| </w:t>
      </w:r>
      <w:proofErr w:type="spellStart"/>
      <w:r w:rsidRPr="00774931">
        <w:rPr>
          <w:i/>
          <w:iCs/>
          <w:lang w:val="fr-FR"/>
        </w:rPr>
        <w:t>Contentus</w:t>
      </w:r>
      <w:proofErr w:type="spellEnd"/>
      <w:r w:rsidRPr="00774931">
        <w:rPr>
          <w:i/>
          <w:iCs/>
          <w:lang w:val="fr-FR"/>
        </w:rPr>
        <w:t xml:space="preserve"> </w:t>
      </w:r>
      <w:proofErr w:type="spellStart"/>
      <w:r w:rsidRPr="00774931">
        <w:rPr>
          <w:i/>
          <w:iCs/>
          <w:lang w:val="fr-FR"/>
        </w:rPr>
        <w:t>paucis</w:t>
      </w:r>
      <w:proofErr w:type="spellEnd"/>
      <w:r w:rsidRPr="00774931">
        <w:rPr>
          <w:i/>
          <w:iCs/>
          <w:lang w:val="fr-FR"/>
        </w:rPr>
        <w:t xml:space="preserve"> </w:t>
      </w:r>
      <w:proofErr w:type="spellStart"/>
      <w:r w:rsidRPr="00774931">
        <w:rPr>
          <w:i/>
          <w:iCs/>
          <w:lang w:val="fr-FR"/>
        </w:rPr>
        <w:t>lectoribus</w:t>
      </w:r>
      <w:proofErr w:type="spellEnd"/>
      <w:r>
        <w:rPr>
          <w:lang w:val="fr-FR"/>
        </w:rPr>
        <w:t xml:space="preserve">.| </w:t>
      </w:r>
      <w:r w:rsidR="00833331" w:rsidRPr="00833331">
        <w:t>[r</w:t>
      </w:r>
      <w:r w:rsidR="00833331">
        <w:t xml:space="preserve">ule] </w:t>
      </w:r>
      <w:r w:rsidR="004B5818">
        <w:t xml:space="preserve">| </w:t>
      </w:r>
      <w:r w:rsidRPr="00BF6E06">
        <w:t xml:space="preserve">London,| Printed by </w:t>
      </w:r>
      <w:r w:rsidRPr="00BF6E06">
        <w:rPr>
          <w:i/>
          <w:iCs/>
        </w:rPr>
        <w:t xml:space="preserve">Thomas </w:t>
      </w:r>
      <w:proofErr w:type="spellStart"/>
      <w:r w:rsidRPr="00BF6E06">
        <w:rPr>
          <w:i/>
          <w:iCs/>
        </w:rPr>
        <w:t>Snodham</w:t>
      </w:r>
      <w:proofErr w:type="spellEnd"/>
      <w:r w:rsidRPr="00BF6E06">
        <w:t xml:space="preserve">, for </w:t>
      </w:r>
      <w:r w:rsidRPr="00BF6E06">
        <w:rPr>
          <w:i/>
          <w:iCs/>
        </w:rPr>
        <w:t>Walter Burre</w:t>
      </w:r>
      <w:r w:rsidRPr="00BF6E06">
        <w:t>,|</w:t>
      </w:r>
      <w:r w:rsidR="00BF6E06" w:rsidRPr="00BF6E06">
        <w:t xml:space="preserve"> and are t</w:t>
      </w:r>
      <w:r w:rsidR="00BF6E06">
        <w:t xml:space="preserve">o be </w:t>
      </w:r>
      <w:proofErr w:type="spellStart"/>
      <w:r w:rsidR="00BF6E06" w:rsidRPr="00BF6E06">
        <w:t>ſ</w:t>
      </w:r>
      <w:r w:rsidR="00BF6E06">
        <w:t>old</w:t>
      </w:r>
      <w:proofErr w:type="spellEnd"/>
      <w:r w:rsidR="00BF6E06">
        <w:t xml:space="preserve"> by </w:t>
      </w:r>
      <w:proofErr w:type="spellStart"/>
      <w:r w:rsidR="00BF6E06">
        <w:t>Iohn</w:t>
      </w:r>
      <w:proofErr w:type="spellEnd"/>
      <w:r w:rsidR="00BF6E06">
        <w:t xml:space="preserve"> </w:t>
      </w:r>
      <w:proofErr w:type="spellStart"/>
      <w:r w:rsidR="00BF6E06">
        <w:t>Stepneth</w:t>
      </w:r>
      <w:proofErr w:type="spellEnd"/>
      <w:r w:rsidR="00BF6E06">
        <w:t xml:space="preserve">, at the| </w:t>
      </w:r>
      <w:proofErr w:type="spellStart"/>
      <w:r w:rsidR="00BF6E06">
        <w:t>We</w:t>
      </w:r>
      <w:r w:rsidR="00BF6E06" w:rsidRPr="00BF6E06">
        <w:t>ſ</w:t>
      </w:r>
      <w:r w:rsidR="00BF6E06">
        <w:t>t</w:t>
      </w:r>
      <w:proofErr w:type="spellEnd"/>
      <w:r w:rsidR="00BF6E06">
        <w:t>-end of Paules.| 1612.|</w:t>
      </w:r>
    </w:p>
    <w:p w14:paraId="10170C35" w14:textId="1002094E" w:rsidR="009622A0" w:rsidRDefault="00796CFD">
      <w:r>
        <w:t>The book is made of paper folded in a</w:t>
      </w:r>
      <w:r w:rsidR="00BF6E06">
        <w:t xml:space="preserve"> 4to (Quatro)</w:t>
      </w:r>
      <w:r>
        <w:t xml:space="preserve">, that is a full sheet of paper folded to form eight pages, four </w:t>
      </w:r>
      <w:proofErr w:type="spellStart"/>
      <w:r>
        <w:t>leafs</w:t>
      </w:r>
      <w:proofErr w:type="spellEnd"/>
      <w:r>
        <w:t xml:space="preserve">, of paper. </w:t>
      </w:r>
    </w:p>
    <w:p w14:paraId="7FD87546" w14:textId="495462F7" w:rsidR="00EC3B36" w:rsidRDefault="005F3A7D">
      <w:r>
        <w:t>The First appearance of “The Alchemist” by Ben Jonson was when it was entered into the Station</w:t>
      </w:r>
      <w:r w:rsidR="00742400">
        <w:t>ers’ Register in 1610. The play was entered into the register by Walter Burre on the 3</w:t>
      </w:r>
      <w:r w:rsidR="00742400" w:rsidRPr="00742400">
        <w:rPr>
          <w:vertAlign w:val="superscript"/>
        </w:rPr>
        <w:t>rd</w:t>
      </w:r>
      <w:r w:rsidR="00742400">
        <w:t xml:space="preserve"> of </w:t>
      </w:r>
      <w:proofErr w:type="spellStart"/>
      <w:r w:rsidR="00742400">
        <w:t>Octob</w:t>
      </w:r>
      <w:r w:rsidR="00E34D84">
        <w:t>ris</w:t>
      </w:r>
      <w:proofErr w:type="spellEnd"/>
      <w:r w:rsidR="00E34D84">
        <w:t xml:space="preserve"> (October)</w:t>
      </w:r>
      <w:r w:rsidR="00E34D84">
        <w:rPr>
          <w:rStyle w:val="FootnoteReference"/>
        </w:rPr>
        <w:footnoteReference w:id="2"/>
      </w:r>
      <w:r w:rsidR="00742400">
        <w:t xml:space="preserve"> of that year. It was entered into the register as “The </w:t>
      </w:r>
      <w:proofErr w:type="spellStart"/>
      <w:r w:rsidR="00742400">
        <w:t>Alchymist</w:t>
      </w:r>
      <w:proofErr w:type="spellEnd"/>
      <w:r w:rsidR="00742400">
        <w:t>”</w:t>
      </w:r>
      <w:r w:rsidR="001B6AE1">
        <w:t xml:space="preserve"> Walter Burre</w:t>
      </w:r>
      <w:r w:rsidR="00467A53">
        <w:t>. He</w:t>
      </w:r>
      <w:r w:rsidR="00C8617D">
        <w:t xml:space="preserve"> </w:t>
      </w:r>
      <w:r w:rsidR="00467A53">
        <w:t xml:space="preserve">was </w:t>
      </w:r>
      <w:r w:rsidR="00C8617D">
        <w:t>entered</w:t>
      </w:r>
      <w:r w:rsidR="00467A53">
        <w:t xml:space="preserve"> by Sir George Bucke</w:t>
      </w:r>
      <w:r w:rsidR="00BE6542">
        <w:t xml:space="preserve">. </w:t>
      </w:r>
    </w:p>
    <w:p w14:paraId="0ECCDF5C" w14:textId="1F94E8A0" w:rsidR="00E232E5" w:rsidRDefault="00E232E5">
      <w:r>
        <w:t>Although the book was entered into the Stationer’s register in 1610.</w:t>
      </w:r>
      <w:r>
        <w:rPr>
          <w:rStyle w:val="FootnoteReference"/>
        </w:rPr>
        <w:footnoteReference w:id="3"/>
      </w:r>
      <w:r>
        <w:t xml:space="preserve"> It was not actually printed for sale until 1612</w:t>
      </w:r>
      <w:r>
        <w:rPr>
          <w:rStyle w:val="FootnoteReference"/>
        </w:rPr>
        <w:footnoteReference w:id="4"/>
      </w:r>
      <w:r>
        <w:t xml:space="preserve">. </w:t>
      </w:r>
      <w:r w:rsidR="00DF4C55">
        <w:t xml:space="preserve">It was sold by Walter Burre a London based Bookseller and member of the Stationer’s </w:t>
      </w:r>
      <w:r w:rsidR="00180351">
        <w:t>Company.</w:t>
      </w:r>
    </w:p>
    <w:p w14:paraId="003C63CE" w14:textId="5E14E6EE" w:rsidR="00925C60" w:rsidRDefault="00E34D84">
      <w:r w:rsidRPr="00386213">
        <w:t xml:space="preserve">Walter Burre was an important </w:t>
      </w:r>
      <w:r w:rsidR="00386213" w:rsidRPr="00386213">
        <w:t>boo</w:t>
      </w:r>
      <w:r w:rsidR="00386213">
        <w:t xml:space="preserve">kseller </w:t>
      </w:r>
      <w:r w:rsidR="00925C60">
        <w:t xml:space="preserve">who had how shop in St. Paul’s Cross Churchyard. In the Sign of the Crane. He occupied this store at the time he entered this work into the Stationer’s register. He </w:t>
      </w:r>
      <w:r w:rsidR="002758D3">
        <w:t>was the sole occupier of this show from 1603-1621.</w:t>
      </w:r>
      <w:r w:rsidR="005A33A0">
        <w:rPr>
          <w:rStyle w:val="FootnoteReference"/>
        </w:rPr>
        <w:footnoteReference w:id="5"/>
      </w:r>
      <w:r w:rsidR="002758D3">
        <w:t xml:space="preserve"> </w:t>
      </w:r>
      <w:r w:rsidR="00EF7E40">
        <w:t xml:space="preserve">Prior to this he had his shop in the </w:t>
      </w:r>
      <w:r w:rsidR="005A33A0">
        <w:t>Flour-de-</w:t>
      </w:r>
      <w:proofErr w:type="spellStart"/>
      <w:r w:rsidR="005A33A0">
        <w:t>lis</w:t>
      </w:r>
      <w:proofErr w:type="spellEnd"/>
      <w:r w:rsidR="005A33A0">
        <w:t xml:space="preserve"> (and Crown)</w:t>
      </w:r>
      <w:r w:rsidR="00AF428B">
        <w:t>.</w:t>
      </w:r>
      <w:r w:rsidR="005A33A0">
        <w:rPr>
          <w:rStyle w:val="FootnoteReference"/>
        </w:rPr>
        <w:footnoteReference w:id="6"/>
      </w:r>
      <w:r w:rsidR="00AF428B">
        <w:t xml:space="preserve"> </w:t>
      </w:r>
    </w:p>
    <w:p w14:paraId="22EB7406" w14:textId="2414687F" w:rsidR="006C1475" w:rsidRDefault="006C1475">
      <w:r>
        <w:lastRenderedPageBreak/>
        <w:t xml:space="preserve">Walter Burre held exclusive selling rights </w:t>
      </w:r>
      <w:r w:rsidR="002C6DDD">
        <w:t xml:space="preserve">and the original run of print was done by Thomas </w:t>
      </w:r>
      <w:proofErr w:type="spellStart"/>
      <w:r w:rsidR="002C6DDD">
        <w:t>Snodham</w:t>
      </w:r>
      <w:proofErr w:type="spellEnd"/>
      <w:r w:rsidR="002C6DDD">
        <w:t>, a printer who specialised in music printing</w:t>
      </w:r>
      <w:r w:rsidR="00787EB7">
        <w:t>, although he did print other works.</w:t>
      </w:r>
      <w:r w:rsidR="000A1F96">
        <w:rPr>
          <w:rStyle w:val="FootnoteReference"/>
        </w:rPr>
        <w:footnoteReference w:id="7"/>
      </w:r>
      <w:r w:rsidR="009F3AF8">
        <w:t xml:space="preserve"> Thomas </w:t>
      </w:r>
      <w:proofErr w:type="spellStart"/>
      <w:r w:rsidR="009F3AF8">
        <w:t>Snodham</w:t>
      </w:r>
      <w:proofErr w:type="spellEnd"/>
      <w:r w:rsidR="009F3AF8">
        <w:t xml:space="preserve"> </w:t>
      </w:r>
      <w:r w:rsidR="00252809">
        <w:t xml:space="preserve">printed with a device he probably inherited from his uncle Thomas East. </w:t>
      </w:r>
      <w:proofErr w:type="spellStart"/>
      <w:r w:rsidR="00252809">
        <w:t>Snodham</w:t>
      </w:r>
      <w:r w:rsidR="00EE7420">
        <w:t>’s</w:t>
      </w:r>
      <w:proofErr w:type="spellEnd"/>
      <w:r w:rsidR="00EE7420">
        <w:t xml:space="preserve"> device is as follows.</w:t>
      </w:r>
    </w:p>
    <w:p w14:paraId="298860B5" w14:textId="6644EE2D" w:rsidR="00EE7420" w:rsidRDefault="00EE7420" w:rsidP="00A52A76">
      <w:pPr>
        <w:ind w:left="720"/>
      </w:pPr>
      <w:r>
        <w:t>(41x35mm.) Device of a Swan Standing on a wreath</w:t>
      </w:r>
      <w:r w:rsidR="00A52A76">
        <w:t xml:space="preserve"> within a border of intertwined snakes : a man’s head below. The motto: God is my Helper.</w:t>
      </w:r>
      <w:r w:rsidR="00764233">
        <w:rPr>
          <w:rStyle w:val="FootnoteReference"/>
        </w:rPr>
        <w:footnoteReference w:id="8"/>
      </w:r>
    </w:p>
    <w:p w14:paraId="0F64A144" w14:textId="3D15098C" w:rsidR="0033612F" w:rsidRDefault="0033612F" w:rsidP="0033612F">
      <w:r>
        <w:t xml:space="preserve">Thomas </w:t>
      </w:r>
      <w:proofErr w:type="spellStart"/>
      <w:r>
        <w:t>snodham</w:t>
      </w:r>
      <w:proofErr w:type="spellEnd"/>
      <w:r>
        <w:t xml:space="preserve"> would have used the device a number of times. While it wasn’t  used in the 1612 copy of ‘The </w:t>
      </w:r>
      <w:proofErr w:type="spellStart"/>
      <w:r>
        <w:t>Alchemis</w:t>
      </w:r>
      <w:proofErr w:type="spellEnd"/>
      <w:r>
        <w:t xml:space="preserve">’ it was used in the 1612 printing of </w:t>
      </w:r>
      <w:r w:rsidR="007D49EB">
        <w:t>‘Works</w:t>
      </w:r>
      <w:r w:rsidR="00E529AB">
        <w:t>’ by W. Welby.</w:t>
      </w:r>
      <w:r w:rsidR="00E003B7">
        <w:t xml:space="preserve"> </w:t>
      </w:r>
    </w:p>
    <w:p w14:paraId="1080B70F" w14:textId="0A64A56A" w:rsidR="008A79A6" w:rsidRDefault="0078795E">
      <w:r>
        <w:t>The play proved to be a success as can be seen by the number of reprints and new sellers.</w:t>
      </w:r>
      <w:r>
        <w:rPr>
          <w:rStyle w:val="FootnoteReference"/>
        </w:rPr>
        <w:footnoteReference w:id="9"/>
      </w:r>
      <w:r w:rsidR="00A36F07">
        <w:t xml:space="preserve"> Greg records a large number of reprints during this period. The stationers’ register records </w:t>
      </w:r>
      <w:r w:rsidR="00056F2A">
        <w:t>prints from 1616</w:t>
      </w:r>
      <w:r w:rsidR="00440995">
        <w:t xml:space="preserve"> through to </w:t>
      </w:r>
      <w:r w:rsidR="00A82A8D">
        <w:t>16</w:t>
      </w:r>
      <w:r w:rsidR="008A79A6">
        <w:t xml:space="preserve">92. </w:t>
      </w:r>
    </w:p>
    <w:p w14:paraId="1BB2D59B" w14:textId="3004C712" w:rsidR="003073E5" w:rsidRDefault="00CE33EA" w:rsidP="001F5750">
      <w:r>
        <w:t xml:space="preserve">Upon the death of Walter Burre in 1622 the </w:t>
      </w:r>
      <w:r w:rsidR="00797BE0">
        <w:t xml:space="preserve">a number of the books entered into the register under his name were </w:t>
      </w:r>
      <w:r w:rsidR="000C30CB">
        <w:t>transferred</w:t>
      </w:r>
      <w:r w:rsidR="00797BE0">
        <w:t xml:space="preserve"> into another mans name. </w:t>
      </w:r>
      <w:r w:rsidR="000C30CB">
        <w:t xml:space="preserve">Master </w:t>
      </w:r>
      <w:proofErr w:type="spellStart"/>
      <w:r w:rsidR="000C30CB">
        <w:t>Stansby</w:t>
      </w:r>
      <w:proofErr w:type="spellEnd"/>
      <w:r w:rsidR="000C30CB">
        <w:t xml:space="preserve"> of the guild acquire the rights to a number of the works, </w:t>
      </w:r>
      <w:r w:rsidR="00B15821">
        <w:t xml:space="preserve">including </w:t>
      </w:r>
      <w:r w:rsidR="00847534">
        <w:t xml:space="preserve">Every Man in his </w:t>
      </w:r>
      <w:proofErr w:type="spellStart"/>
      <w:r w:rsidR="00847534">
        <w:t>Humor</w:t>
      </w:r>
      <w:proofErr w:type="spellEnd"/>
      <w:r w:rsidR="00847534">
        <w:t xml:space="preserve">, CINTHIAs </w:t>
      </w:r>
      <w:proofErr w:type="spellStart"/>
      <w:r w:rsidR="00847534">
        <w:t>Reuells</w:t>
      </w:r>
      <w:proofErr w:type="spellEnd"/>
      <w:r w:rsidR="00847534">
        <w:t xml:space="preserve"> and others. A</w:t>
      </w:r>
      <w:r w:rsidR="000C30CB">
        <w:t>mong them was the Alchemist by Ben Jonson.</w:t>
      </w:r>
    </w:p>
    <w:p w14:paraId="70EFA485" w14:textId="0C9865FA" w:rsidR="00C55B38" w:rsidRDefault="00C55B38" w:rsidP="001F5750">
      <w:r>
        <w:t xml:space="preserve">The early performance history of the play is just as interesting as the early printing history. The Play was preformed by “The Kings </w:t>
      </w:r>
      <w:r w:rsidR="0068135F">
        <w:t xml:space="preserve">Majesties Servants” </w:t>
      </w:r>
      <w:r w:rsidR="00BC154C">
        <w:t xml:space="preserve">this group of </w:t>
      </w:r>
      <w:r w:rsidR="00AB5169">
        <w:t>performers</w:t>
      </w:r>
      <w:r w:rsidR="00BC154C">
        <w:t xml:space="preserve"> is famous for preforming many of </w:t>
      </w:r>
      <w:r w:rsidR="00AB5169">
        <w:t>Shakespeare’s</w:t>
      </w:r>
      <w:r w:rsidR="00BC154C">
        <w:t xml:space="preserve"> plays, The Alchemist </w:t>
      </w:r>
      <w:r w:rsidR="004058CB">
        <w:t>was preformed sometime in the year 1610, however there were a number of events that took place that prevented</w:t>
      </w:r>
      <w:r w:rsidR="00AB5169">
        <w:t xml:space="preserve"> </w:t>
      </w:r>
      <w:r w:rsidR="004074FE">
        <w:t>performances from occurring.</w:t>
      </w:r>
      <w:r w:rsidR="001F5D31">
        <w:rPr>
          <w:rStyle w:val="FootnoteReference"/>
        </w:rPr>
        <w:footnoteReference w:id="10"/>
      </w:r>
      <w:r w:rsidR="00215CD7">
        <w:t xml:space="preserve"> The playhouses and theatres</w:t>
      </w:r>
      <w:r w:rsidR="001E59DB">
        <w:t xml:space="preserve"> of London were closed from between </w:t>
      </w:r>
      <w:r w:rsidR="00CF65F5">
        <w:t>June and December because of an outbreak of the plague.</w:t>
      </w:r>
      <w:r w:rsidR="005E49F5">
        <w:t xml:space="preserve"> In the latter part of the year, perhaps as early as </w:t>
      </w:r>
      <w:r w:rsidR="0050354E">
        <w:t xml:space="preserve">November the Kings Men </w:t>
      </w:r>
      <w:r w:rsidR="00AB7D1F">
        <w:t>performers</w:t>
      </w:r>
      <w:r w:rsidR="0050354E">
        <w:t xml:space="preserve"> were hosting plays in their </w:t>
      </w:r>
      <w:proofErr w:type="spellStart"/>
      <w:r w:rsidR="00AB7D1F">
        <w:t>B</w:t>
      </w:r>
      <w:r w:rsidR="0050354E">
        <w:t>lackfiers</w:t>
      </w:r>
      <w:proofErr w:type="spellEnd"/>
      <w:r w:rsidR="0050354E">
        <w:t xml:space="preserve"> playhouse.</w:t>
      </w:r>
    </w:p>
    <w:p w14:paraId="53AE5C5F" w14:textId="588895E3" w:rsidR="00125F20" w:rsidRDefault="00DE7DB9" w:rsidP="001F5750">
      <w:r>
        <w:t xml:space="preserve">The play was well received by the general public although it was not without its critics. In a letter to a friend Henry </w:t>
      </w:r>
      <w:r w:rsidR="00642A78">
        <w:t>Jackson writes about the play.</w:t>
      </w:r>
    </w:p>
    <w:p w14:paraId="2AA455DC" w14:textId="3A3EDC36" w:rsidR="00F125D2" w:rsidRPr="00F125D2" w:rsidRDefault="00F125D2" w:rsidP="00F125D2">
      <w:pPr>
        <w:ind w:left="720"/>
      </w:pPr>
      <w:r w:rsidRPr="00F125D2">
        <w:t xml:space="preserve">Recently the king’s stage actors were here. They performed to great applause, the theatre being full. But they rightly seemed impious to pious and learned men because, not being content to injure alchemists, they most foully sullied the Holy Scriptures themselves. Of course they carped at Anabaptists so that (their own) audacity would hide under this mask. … our theologians … I’m sorry to say, gathered (there) very eagerly … our stage has never sounded with greater applause than when that masked scoundrel </w:t>
      </w:r>
      <w:r w:rsidRPr="00F125D2">
        <w:lastRenderedPageBreak/>
        <w:t>entered, who impiously and extravagantly defiled the Scriptures so as to place the Anabaptists’ feigned sanctity before the spectators to be derided[.]</w:t>
      </w:r>
      <w:r>
        <w:rPr>
          <w:rStyle w:val="FootnoteReference"/>
        </w:rPr>
        <w:footnoteReference w:id="11"/>
      </w:r>
    </w:p>
    <w:p w14:paraId="55BC98E4" w14:textId="7FB3DEFC" w:rsidR="00F125D2" w:rsidRPr="00386213" w:rsidRDefault="00F125D2" w:rsidP="001F5750"/>
    <w:p w14:paraId="359F4817" w14:textId="42C464A0" w:rsidR="00F4341D" w:rsidRPr="00386213" w:rsidRDefault="00642A78" w:rsidP="001F5750">
      <w:r>
        <w:t>The</w:t>
      </w:r>
      <w:r w:rsidR="000D2C4F">
        <w:t xml:space="preserve"> play, regardless of Henry Jackson’s dislike of it became an icon of the early seventeenth century </w:t>
      </w:r>
      <w:r w:rsidR="00A047FD">
        <w:t xml:space="preserve">stage. </w:t>
      </w:r>
      <w:r w:rsidR="00433049">
        <w:t>The play was Jonson’s most successful work, and is still preformed on modern stages.</w:t>
      </w:r>
      <w:r w:rsidR="00F4341D">
        <w:t xml:space="preserve"> The play remains an Icon of the early seventeenth century, and is remembered as Ben Jonson’s most well-know work. It has been preformed many times since its original performance sometime in 1610.</w:t>
      </w:r>
    </w:p>
    <w:p w14:paraId="5B77A2BE" w14:textId="77777777" w:rsidR="003073E5" w:rsidRPr="00386213" w:rsidRDefault="003073E5" w:rsidP="001F5750"/>
    <w:p w14:paraId="37DB5EAE" w14:textId="77777777" w:rsidR="001F5750" w:rsidRDefault="001F5750"/>
    <w:p w14:paraId="1387206C" w14:textId="77777777" w:rsidR="003321C8" w:rsidRDefault="003321C8"/>
    <w:p w14:paraId="3554D884" w14:textId="77777777" w:rsidR="003321C8" w:rsidRDefault="003321C8"/>
    <w:p w14:paraId="768EAE9C" w14:textId="77777777" w:rsidR="003321C8" w:rsidRDefault="003321C8"/>
    <w:p w14:paraId="18B80871" w14:textId="77777777" w:rsidR="003321C8" w:rsidRDefault="003321C8"/>
    <w:p w14:paraId="18575A3A" w14:textId="77777777" w:rsidR="003321C8" w:rsidRDefault="003321C8"/>
    <w:p w14:paraId="61EE8630" w14:textId="77777777" w:rsidR="003321C8" w:rsidRDefault="003321C8"/>
    <w:p w14:paraId="66D4154F" w14:textId="77777777" w:rsidR="003321C8" w:rsidRDefault="003321C8"/>
    <w:p w14:paraId="1D101554" w14:textId="77777777" w:rsidR="003321C8" w:rsidRDefault="003321C8"/>
    <w:p w14:paraId="0FCFEA28" w14:textId="77777777" w:rsidR="003321C8" w:rsidRDefault="003321C8"/>
    <w:p w14:paraId="381938D4" w14:textId="77777777" w:rsidR="003321C8" w:rsidRDefault="003321C8"/>
    <w:p w14:paraId="0C357EA6" w14:textId="77777777" w:rsidR="003321C8" w:rsidRDefault="003321C8"/>
    <w:p w14:paraId="20BD69EF" w14:textId="77777777" w:rsidR="003321C8" w:rsidRDefault="003321C8"/>
    <w:p w14:paraId="16218BE2" w14:textId="77777777" w:rsidR="003321C8" w:rsidRDefault="003321C8"/>
    <w:p w14:paraId="3E7484D5" w14:textId="77777777" w:rsidR="003321C8" w:rsidRDefault="003321C8"/>
    <w:p w14:paraId="2B8EDF1F" w14:textId="77777777" w:rsidR="003321C8" w:rsidRDefault="003321C8"/>
    <w:p w14:paraId="12F16C5A" w14:textId="77777777" w:rsidR="003321C8" w:rsidRDefault="003321C8"/>
    <w:p w14:paraId="0814993F" w14:textId="77777777" w:rsidR="003321C8" w:rsidRDefault="003321C8"/>
    <w:p w14:paraId="6DC1CBEC" w14:textId="77777777" w:rsidR="003321C8" w:rsidRDefault="003321C8"/>
    <w:p w14:paraId="79D86571" w14:textId="77777777" w:rsidR="003321C8" w:rsidRDefault="003321C8"/>
    <w:p w14:paraId="081FA48C" w14:textId="77777777" w:rsidR="006B083F" w:rsidRDefault="006B083F"/>
    <w:p w14:paraId="3008226E" w14:textId="77777777" w:rsidR="003321C8" w:rsidRDefault="003321C8"/>
    <w:p w14:paraId="61A6C2E8" w14:textId="6E547913" w:rsidR="003321C8" w:rsidRDefault="003321C8">
      <w:r>
        <w:lastRenderedPageBreak/>
        <w:t>Bibliography</w:t>
      </w:r>
    </w:p>
    <w:p w14:paraId="690187C9" w14:textId="33043A76" w:rsidR="000604A0" w:rsidRDefault="000604A0" w:rsidP="000604A0">
      <w:pPr>
        <w:pStyle w:val="FootnoteText"/>
      </w:pPr>
      <w:r w:rsidRPr="006A047C">
        <w:t>Arber,</w:t>
      </w:r>
      <w:r>
        <w:t xml:space="preserve"> </w:t>
      </w:r>
      <w:r w:rsidRPr="006A047C">
        <w:t>Edward</w:t>
      </w:r>
      <w:r>
        <w:t xml:space="preserve">. </w:t>
      </w:r>
      <w:r w:rsidRPr="006A047C">
        <w:rPr>
          <w:i/>
          <w:iCs/>
        </w:rPr>
        <w:t>A Transcript of the Registers of the Company of Stationers of London</w:t>
      </w:r>
      <w:r w:rsidRPr="006A047C">
        <w:rPr>
          <w:rFonts w:ascii="Arial" w:hAnsi="Arial" w:cs="Arial"/>
          <w:i/>
          <w:iCs/>
        </w:rPr>
        <w:t> </w:t>
      </w:r>
      <w:r w:rsidRPr="006A047C">
        <w:rPr>
          <w:i/>
          <w:iCs/>
        </w:rPr>
        <w:t>: 1554-1640 A.D.</w:t>
      </w:r>
      <w:r w:rsidRPr="006A047C">
        <w:t xml:space="preserve"> (Peter Smith, 1967)</w:t>
      </w:r>
      <w:r>
        <w:t xml:space="preserve"> p.303 </w:t>
      </w:r>
    </w:p>
    <w:p w14:paraId="1B4D80ED" w14:textId="77777777" w:rsidR="00C63158" w:rsidRDefault="00C63158" w:rsidP="000604A0">
      <w:pPr>
        <w:pStyle w:val="FootnoteText"/>
      </w:pPr>
    </w:p>
    <w:p w14:paraId="296DBA88" w14:textId="2C5DFC2E" w:rsidR="00C63158" w:rsidRDefault="000604A0" w:rsidP="000604A0">
      <w:r w:rsidRPr="00D51272">
        <w:t xml:space="preserve">Blayney, Peter W. M, and Bibliographical Society, </w:t>
      </w:r>
      <w:r w:rsidRPr="00D51272">
        <w:rPr>
          <w:i/>
          <w:iCs/>
        </w:rPr>
        <w:t>The Bookshops in Paul’s Cross Churchyard</w:t>
      </w:r>
      <w:r w:rsidRPr="00D51272">
        <w:t xml:space="preserve"> (Bibliographical Society, 1990)</w:t>
      </w:r>
    </w:p>
    <w:p w14:paraId="2DBD602D" w14:textId="6CB63B00" w:rsidR="00614EE1" w:rsidRDefault="00614EE1" w:rsidP="000604A0">
      <w:r w:rsidRPr="00614EE1">
        <w:t xml:space="preserve">Ben, Jonson. 2025. ‘The Alchemist’, </w:t>
      </w:r>
      <w:r w:rsidRPr="00614EE1">
        <w:rPr>
          <w:i/>
          <w:iCs/>
        </w:rPr>
        <w:t>Gutenberg.org</w:t>
      </w:r>
      <w:r w:rsidRPr="00614EE1">
        <w:t xml:space="preserve"> &lt;https://www.gutenberg.org/cache/epub/4081/pg4081-images.html&gt; [accessed </w:t>
      </w:r>
      <w:r>
        <w:t>7</w:t>
      </w:r>
      <w:r w:rsidRPr="00614EE1">
        <w:t xml:space="preserve"> April 2025]</w:t>
      </w:r>
    </w:p>
    <w:p w14:paraId="29FC9591" w14:textId="2502D74D" w:rsidR="00C310E8" w:rsidRDefault="00C310E8" w:rsidP="000604A0">
      <w:r w:rsidRPr="00D51272">
        <w:t xml:space="preserve">McKerrow, R. B. (Ronald </w:t>
      </w:r>
      <w:proofErr w:type="spellStart"/>
      <w:r w:rsidRPr="00D51272">
        <w:t>Brunlees</w:t>
      </w:r>
      <w:proofErr w:type="spellEnd"/>
      <w:r w:rsidRPr="00D51272">
        <w:t xml:space="preserve">), and Bibliographical Society, </w:t>
      </w:r>
      <w:r w:rsidRPr="00D51272">
        <w:rPr>
          <w:i/>
          <w:iCs/>
        </w:rPr>
        <w:t>Printers’ and Publishers’ Devices in England and Scotland 1485-1640</w:t>
      </w:r>
      <w:r w:rsidRPr="00D51272">
        <w:t xml:space="preserve"> (Bibliographical Society, 1949)</w:t>
      </w:r>
    </w:p>
    <w:p w14:paraId="1279F268" w14:textId="252B2656" w:rsidR="000604A0" w:rsidRDefault="000604A0" w:rsidP="00C63158">
      <w:pPr>
        <w:pStyle w:val="FootnoteText"/>
      </w:pPr>
      <w:proofErr w:type="spellStart"/>
      <w:r w:rsidRPr="00FE1C7C">
        <w:t>Morehen</w:t>
      </w:r>
      <w:proofErr w:type="spellEnd"/>
      <w:r w:rsidRPr="00FE1C7C">
        <w:t>,</w:t>
      </w:r>
      <w:r w:rsidR="00C63158">
        <w:t xml:space="preserve"> </w:t>
      </w:r>
      <w:r w:rsidR="00C63158" w:rsidRPr="00FE1C7C">
        <w:t>John</w:t>
      </w:r>
      <w:r w:rsidRPr="00FE1C7C">
        <w:t xml:space="preserve"> ‘Thomas </w:t>
      </w:r>
      <w:proofErr w:type="spellStart"/>
      <w:r w:rsidRPr="00FE1C7C">
        <w:t>Snodham</w:t>
      </w:r>
      <w:proofErr w:type="spellEnd"/>
      <w:r w:rsidRPr="00FE1C7C">
        <w:t xml:space="preserve">, and the Printing of William Byrd’s </w:t>
      </w:r>
      <w:proofErr w:type="spellStart"/>
      <w:r w:rsidRPr="00FE1C7C">
        <w:rPr>
          <w:i/>
          <w:iCs/>
        </w:rPr>
        <w:t>Psalmes</w:t>
      </w:r>
      <w:proofErr w:type="spellEnd"/>
      <w:r w:rsidRPr="00FE1C7C">
        <w:rPr>
          <w:i/>
          <w:iCs/>
        </w:rPr>
        <w:t>, Songs, and Sonnets</w:t>
      </w:r>
      <w:r w:rsidRPr="00FE1C7C">
        <w:t xml:space="preserve"> (1611)’, </w:t>
      </w:r>
      <w:r w:rsidRPr="00FE1C7C">
        <w:rPr>
          <w:i/>
          <w:iCs/>
        </w:rPr>
        <w:t>Transactions of the Cambridge Bibliographical Society</w:t>
      </w:r>
      <w:r w:rsidRPr="00FE1C7C">
        <w:t xml:space="preserve">, 12.2 (2001), 91–131 </w:t>
      </w:r>
      <w:hyperlink r:id="rId6" w:tgtFrame="_new" w:history="1">
        <w:r w:rsidRPr="00FE1C7C">
          <w:rPr>
            <w:rStyle w:val="Hyperlink"/>
          </w:rPr>
          <w:t>http://www.jstor.org/stable/41154903</w:t>
        </w:r>
      </w:hyperlink>
      <w:r w:rsidRPr="00FE1C7C">
        <w:t xml:space="preserve"> [accessed 4 April 2025].</w:t>
      </w:r>
    </w:p>
    <w:p w14:paraId="25D45F6E" w14:textId="77777777" w:rsidR="00C63158" w:rsidRDefault="00C63158" w:rsidP="00C63158">
      <w:pPr>
        <w:pStyle w:val="FootnoteText"/>
      </w:pPr>
    </w:p>
    <w:p w14:paraId="57A8C489" w14:textId="77777777" w:rsidR="000604A0" w:rsidRPr="00D51272" w:rsidRDefault="000604A0" w:rsidP="000604A0">
      <w:r w:rsidRPr="00D51272">
        <w:t xml:space="preserve">Munro, Lucy. 2025. ‘The Alchemist: Stage History | the Cambridge Works of Ben Jonson’, </w:t>
      </w:r>
      <w:r w:rsidRPr="00D51272">
        <w:rPr>
          <w:i/>
          <w:iCs/>
        </w:rPr>
        <w:t>Universitypublishingonline.org</w:t>
      </w:r>
      <w:r w:rsidRPr="00D51272">
        <w:t xml:space="preserve"> &lt;https://universitypublishingonline.org/cambridge/benjonson/k/essays/stage_history_Alchemist/2/&gt; [accessed 4 April 2025]</w:t>
      </w:r>
    </w:p>
    <w:p w14:paraId="0088A69F" w14:textId="77777777" w:rsidR="000604A0" w:rsidRDefault="000604A0" w:rsidP="000604A0"/>
    <w:p w14:paraId="7AC3CF18" w14:textId="77777777" w:rsidR="000604A0" w:rsidRPr="00386213" w:rsidRDefault="000604A0"/>
    <w:sectPr w:rsidR="000604A0" w:rsidRPr="003862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13B9A" w14:textId="77777777" w:rsidR="00F51299" w:rsidRDefault="00F51299" w:rsidP="00F51299">
      <w:pPr>
        <w:spacing w:after="0" w:line="240" w:lineRule="auto"/>
      </w:pPr>
      <w:r>
        <w:separator/>
      </w:r>
    </w:p>
  </w:endnote>
  <w:endnote w:type="continuationSeparator" w:id="0">
    <w:p w14:paraId="581B6BBA" w14:textId="77777777" w:rsidR="00F51299" w:rsidRDefault="00F51299" w:rsidP="00F51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A0DCE" w14:textId="77777777" w:rsidR="00F51299" w:rsidRDefault="00F51299" w:rsidP="00F51299">
      <w:pPr>
        <w:spacing w:after="0" w:line="240" w:lineRule="auto"/>
      </w:pPr>
      <w:r>
        <w:separator/>
      </w:r>
    </w:p>
  </w:footnote>
  <w:footnote w:type="continuationSeparator" w:id="0">
    <w:p w14:paraId="3865D3E3" w14:textId="77777777" w:rsidR="00F51299" w:rsidRDefault="00F51299" w:rsidP="00F51299">
      <w:pPr>
        <w:spacing w:after="0" w:line="240" w:lineRule="auto"/>
      </w:pPr>
      <w:r>
        <w:continuationSeparator/>
      </w:r>
    </w:p>
  </w:footnote>
  <w:footnote w:id="1">
    <w:p w14:paraId="70CB64FE" w14:textId="4E47F218" w:rsidR="00F51299" w:rsidRDefault="00F51299">
      <w:pPr>
        <w:pStyle w:val="FootnoteText"/>
      </w:pPr>
      <w:r>
        <w:rPr>
          <w:rStyle w:val="FootnoteReference"/>
        </w:rPr>
        <w:footnoteRef/>
      </w:r>
      <w:r>
        <w:t xml:space="preserve"> </w:t>
      </w:r>
      <w:r w:rsidR="004968A5" w:rsidRPr="004968A5">
        <w:t xml:space="preserve">Ben, Jonson. 2025. ‘The Alchemist’, </w:t>
      </w:r>
      <w:r w:rsidR="004968A5" w:rsidRPr="004968A5">
        <w:rPr>
          <w:i/>
          <w:iCs/>
        </w:rPr>
        <w:t>Gutenberg.org</w:t>
      </w:r>
      <w:r w:rsidR="004968A5" w:rsidRPr="004968A5">
        <w:t xml:space="preserve"> </w:t>
      </w:r>
      <w:hyperlink r:id="rId1" w:history="1">
        <w:r w:rsidR="004968A5" w:rsidRPr="00E7156E">
          <w:rPr>
            <w:rStyle w:val="Hyperlink"/>
          </w:rPr>
          <w:t>https://www.gutenberg.org/cache/epub/4081/pg4081-images.html</w:t>
        </w:r>
      </w:hyperlink>
      <w:r w:rsidR="004968A5">
        <w:t xml:space="preserve"> </w:t>
      </w:r>
      <w:r w:rsidR="004968A5" w:rsidRPr="004968A5">
        <w:t xml:space="preserve"> [accessed </w:t>
      </w:r>
      <w:r w:rsidR="004968A5">
        <w:t>7</w:t>
      </w:r>
      <w:r w:rsidR="004968A5" w:rsidRPr="004968A5">
        <w:t xml:space="preserve"> April 2025]</w:t>
      </w:r>
    </w:p>
  </w:footnote>
  <w:footnote w:id="2">
    <w:p w14:paraId="456585A8" w14:textId="547BCCD2" w:rsidR="00E34D84" w:rsidRDefault="00E34D84">
      <w:pPr>
        <w:pStyle w:val="FootnoteText"/>
      </w:pPr>
      <w:r>
        <w:rPr>
          <w:rStyle w:val="FootnoteReference"/>
        </w:rPr>
        <w:footnoteRef/>
      </w:r>
      <w:r>
        <w:t xml:space="preserve"> </w:t>
      </w:r>
      <w:r w:rsidR="006A047C" w:rsidRPr="006A047C">
        <w:t>Edward</w:t>
      </w:r>
      <w:r w:rsidR="006A047C">
        <w:t xml:space="preserve"> </w:t>
      </w:r>
      <w:r w:rsidR="006A047C" w:rsidRPr="006A047C">
        <w:t xml:space="preserve">Arber, </w:t>
      </w:r>
      <w:r w:rsidR="006A047C" w:rsidRPr="006A047C">
        <w:rPr>
          <w:i/>
          <w:iCs/>
        </w:rPr>
        <w:t>A Transcript of the Registers of the Company of Stationers of London</w:t>
      </w:r>
      <w:r w:rsidR="006A047C" w:rsidRPr="006A047C">
        <w:rPr>
          <w:rFonts w:ascii="Arial" w:hAnsi="Arial" w:cs="Arial"/>
          <w:i/>
          <w:iCs/>
        </w:rPr>
        <w:t> </w:t>
      </w:r>
      <w:r w:rsidR="006A047C" w:rsidRPr="006A047C">
        <w:rPr>
          <w:i/>
          <w:iCs/>
        </w:rPr>
        <w:t>: 1554-1640 A.D.</w:t>
      </w:r>
      <w:r w:rsidR="006A047C" w:rsidRPr="006A047C">
        <w:t xml:space="preserve"> (Peter Smith, 1967)</w:t>
      </w:r>
      <w:r w:rsidR="006A047C">
        <w:t xml:space="preserve"> p.303</w:t>
      </w:r>
      <w:r>
        <w:t xml:space="preserve"> </w:t>
      </w:r>
    </w:p>
  </w:footnote>
  <w:footnote w:id="3">
    <w:p w14:paraId="1BFD9B1F" w14:textId="7F17F1FF" w:rsidR="00E232E5" w:rsidRDefault="00E232E5">
      <w:pPr>
        <w:pStyle w:val="FootnoteText"/>
      </w:pPr>
      <w:r>
        <w:rPr>
          <w:rStyle w:val="FootnoteReference"/>
        </w:rPr>
        <w:footnoteRef/>
      </w:r>
      <w:r>
        <w:t xml:space="preserve"> </w:t>
      </w:r>
      <w:r w:rsidR="00620C9A" w:rsidRPr="006A047C">
        <w:t xml:space="preserve">Arber, </w:t>
      </w:r>
      <w:r w:rsidR="00620C9A" w:rsidRPr="006A047C">
        <w:rPr>
          <w:i/>
          <w:iCs/>
        </w:rPr>
        <w:t>Transcript of the Registers</w:t>
      </w:r>
      <w:r w:rsidR="00620C9A" w:rsidRPr="006A047C">
        <w:t xml:space="preserve">, </w:t>
      </w:r>
      <w:r w:rsidR="005665BC">
        <w:t>(</w:t>
      </w:r>
      <w:r w:rsidR="00620C9A" w:rsidRPr="006A047C">
        <w:t>1967)</w:t>
      </w:r>
      <w:r w:rsidR="00620C9A">
        <w:t xml:space="preserve"> p.303 </w:t>
      </w:r>
    </w:p>
  </w:footnote>
  <w:footnote w:id="4">
    <w:p w14:paraId="0441D9F1" w14:textId="164B360D" w:rsidR="00E232E5" w:rsidRDefault="00E232E5">
      <w:pPr>
        <w:pStyle w:val="FootnoteText"/>
      </w:pPr>
      <w:r>
        <w:rPr>
          <w:rStyle w:val="FootnoteReference"/>
        </w:rPr>
        <w:footnoteRef/>
      </w:r>
      <w:r>
        <w:t xml:space="preserve"> </w:t>
      </w:r>
      <w:r w:rsidR="00426CE6" w:rsidRPr="006A047C">
        <w:t xml:space="preserve">Arber, </w:t>
      </w:r>
      <w:r w:rsidR="00426CE6" w:rsidRPr="006A047C">
        <w:rPr>
          <w:i/>
          <w:iCs/>
        </w:rPr>
        <w:t>Transcript of the Registers</w:t>
      </w:r>
      <w:r w:rsidR="00426CE6" w:rsidRPr="006A047C">
        <w:t xml:space="preserve">, </w:t>
      </w:r>
      <w:r w:rsidR="00426CE6">
        <w:t>(</w:t>
      </w:r>
      <w:r w:rsidR="00426CE6" w:rsidRPr="006A047C">
        <w:t>1967)</w:t>
      </w:r>
      <w:r w:rsidR="00426CE6">
        <w:t xml:space="preserve"> p.303 </w:t>
      </w:r>
    </w:p>
  </w:footnote>
  <w:footnote w:id="5">
    <w:p w14:paraId="02ECF67D" w14:textId="48071D4A" w:rsidR="005A33A0" w:rsidRDefault="005A33A0">
      <w:pPr>
        <w:pStyle w:val="FootnoteText"/>
      </w:pPr>
      <w:r>
        <w:rPr>
          <w:rStyle w:val="FootnoteReference"/>
        </w:rPr>
        <w:footnoteRef/>
      </w:r>
      <w:r>
        <w:t xml:space="preserve"> </w:t>
      </w:r>
      <w:r w:rsidR="003E6CCD" w:rsidRPr="003E6CCD">
        <w:t xml:space="preserve">Blayney, Peter W. M, and Bibliographical Society, </w:t>
      </w:r>
      <w:r w:rsidR="003E6CCD" w:rsidRPr="003E6CCD">
        <w:rPr>
          <w:i/>
          <w:iCs/>
        </w:rPr>
        <w:t>The Bookshops in Paul’s Cross Churchyard</w:t>
      </w:r>
      <w:r w:rsidR="003E6CCD" w:rsidRPr="003E6CCD">
        <w:t xml:space="preserve"> (Bibliographical Society, 1990)</w:t>
      </w:r>
      <w:r w:rsidR="003E6CCD">
        <w:t xml:space="preserve"> p.</w:t>
      </w:r>
      <w:r>
        <w:t>27</w:t>
      </w:r>
    </w:p>
  </w:footnote>
  <w:footnote w:id="6">
    <w:p w14:paraId="2F712055" w14:textId="34FA0DC7" w:rsidR="005A33A0" w:rsidRDefault="005A33A0">
      <w:pPr>
        <w:pStyle w:val="FootnoteText"/>
      </w:pPr>
      <w:r>
        <w:rPr>
          <w:rStyle w:val="FootnoteReference"/>
        </w:rPr>
        <w:footnoteRef/>
      </w:r>
      <w:r>
        <w:t xml:space="preserve"> </w:t>
      </w:r>
      <w:r w:rsidR="00182BF4">
        <w:t xml:space="preserve"> </w:t>
      </w:r>
      <w:r w:rsidR="003E6CCD" w:rsidRPr="003E6CCD">
        <w:t xml:space="preserve">Blayney, Peter W. M, and Bibliographical Society, </w:t>
      </w:r>
      <w:r w:rsidR="003E6CCD" w:rsidRPr="003E6CCD">
        <w:rPr>
          <w:i/>
          <w:iCs/>
        </w:rPr>
        <w:t>The Bookshops in Paul’s Cross Churchyard</w:t>
      </w:r>
      <w:r w:rsidR="003E6CCD" w:rsidRPr="003E6CCD">
        <w:t xml:space="preserve"> (Bibliographical Society, 1990)</w:t>
      </w:r>
      <w:r w:rsidR="00387744">
        <w:t xml:space="preserve"> p. </w:t>
      </w:r>
      <w:r w:rsidR="00182BF4">
        <w:t>68</w:t>
      </w:r>
    </w:p>
  </w:footnote>
  <w:footnote w:id="7">
    <w:p w14:paraId="2D5D9A23" w14:textId="57BF4CF9" w:rsidR="000A1F96" w:rsidRDefault="000A1F96">
      <w:pPr>
        <w:pStyle w:val="FootnoteText"/>
      </w:pPr>
      <w:r>
        <w:rPr>
          <w:rStyle w:val="FootnoteReference"/>
        </w:rPr>
        <w:footnoteRef/>
      </w:r>
      <w:r>
        <w:t xml:space="preserve"> </w:t>
      </w:r>
      <w:r w:rsidR="00FE1C7C" w:rsidRPr="00FE1C7C">
        <w:t xml:space="preserve">John </w:t>
      </w:r>
      <w:proofErr w:type="spellStart"/>
      <w:r w:rsidR="00FE1C7C" w:rsidRPr="00FE1C7C">
        <w:t>Morehen</w:t>
      </w:r>
      <w:proofErr w:type="spellEnd"/>
      <w:r w:rsidR="00FE1C7C" w:rsidRPr="00FE1C7C">
        <w:t xml:space="preserve">, ‘Thomas </w:t>
      </w:r>
      <w:proofErr w:type="spellStart"/>
      <w:r w:rsidR="00FE1C7C" w:rsidRPr="00FE1C7C">
        <w:t>Snodham</w:t>
      </w:r>
      <w:proofErr w:type="spellEnd"/>
      <w:r w:rsidR="00FE1C7C" w:rsidRPr="00FE1C7C">
        <w:t xml:space="preserve">, and the Printing of William Byrd’s </w:t>
      </w:r>
      <w:proofErr w:type="spellStart"/>
      <w:r w:rsidR="00FE1C7C" w:rsidRPr="00FE1C7C">
        <w:rPr>
          <w:i/>
          <w:iCs/>
        </w:rPr>
        <w:t>Psalmes</w:t>
      </w:r>
      <w:proofErr w:type="spellEnd"/>
      <w:r w:rsidR="00FE1C7C" w:rsidRPr="00FE1C7C">
        <w:rPr>
          <w:i/>
          <w:iCs/>
        </w:rPr>
        <w:t>, Songs, and Sonnets</w:t>
      </w:r>
      <w:r w:rsidR="00FE1C7C" w:rsidRPr="00FE1C7C">
        <w:t xml:space="preserve"> (1611)’, </w:t>
      </w:r>
      <w:r w:rsidR="00FE1C7C" w:rsidRPr="00FE1C7C">
        <w:rPr>
          <w:i/>
          <w:iCs/>
        </w:rPr>
        <w:t>Transactions of the Cambridge Bibliographical Society</w:t>
      </w:r>
      <w:r w:rsidR="00FE1C7C" w:rsidRPr="00FE1C7C">
        <w:t xml:space="preserve">, 12.2 (2001), 91–131 </w:t>
      </w:r>
      <w:hyperlink r:id="rId2" w:tgtFrame="_new" w:history="1">
        <w:r w:rsidR="00FE1C7C" w:rsidRPr="00FE1C7C">
          <w:rPr>
            <w:rStyle w:val="Hyperlink"/>
          </w:rPr>
          <w:t>http://www.jstor.org/stable/41154903</w:t>
        </w:r>
      </w:hyperlink>
      <w:r w:rsidR="00FE1C7C" w:rsidRPr="00FE1C7C">
        <w:t xml:space="preserve"> [accessed 4 April 2025].</w:t>
      </w:r>
    </w:p>
  </w:footnote>
  <w:footnote w:id="8">
    <w:p w14:paraId="7D721EE4" w14:textId="77BB81D8" w:rsidR="00764233" w:rsidRDefault="00764233">
      <w:pPr>
        <w:pStyle w:val="FootnoteText"/>
      </w:pPr>
      <w:r>
        <w:rPr>
          <w:rStyle w:val="FootnoteReference"/>
        </w:rPr>
        <w:footnoteRef/>
      </w:r>
      <w:r>
        <w:t xml:space="preserve"> </w:t>
      </w:r>
      <w:r w:rsidR="00817F8B" w:rsidRPr="00817F8B">
        <w:t xml:space="preserve">McKerrow, R. B. (Ronald </w:t>
      </w:r>
      <w:proofErr w:type="spellStart"/>
      <w:r w:rsidR="00817F8B" w:rsidRPr="00817F8B">
        <w:t>Brunlees</w:t>
      </w:r>
      <w:proofErr w:type="spellEnd"/>
      <w:r w:rsidR="00817F8B" w:rsidRPr="00817F8B">
        <w:t xml:space="preserve">), and Bibliographical Society, </w:t>
      </w:r>
      <w:r w:rsidR="00817F8B" w:rsidRPr="00817F8B">
        <w:rPr>
          <w:i/>
          <w:iCs/>
        </w:rPr>
        <w:t>Printers’ and Publishers’ Devices in England and Scotland 1485-1640</w:t>
      </w:r>
      <w:r w:rsidR="00817F8B" w:rsidRPr="00817F8B">
        <w:t xml:space="preserve"> (Bibliographical Society, 1949)</w:t>
      </w:r>
      <w:r w:rsidR="00817F8B">
        <w:t xml:space="preserve"> p.87</w:t>
      </w:r>
    </w:p>
  </w:footnote>
  <w:footnote w:id="9">
    <w:p w14:paraId="0FC4EA83" w14:textId="088DD812" w:rsidR="0078795E" w:rsidRDefault="0078795E">
      <w:pPr>
        <w:pStyle w:val="FootnoteText"/>
      </w:pPr>
      <w:r>
        <w:rPr>
          <w:rStyle w:val="FootnoteReference"/>
        </w:rPr>
        <w:footnoteRef/>
      </w:r>
      <w:r>
        <w:t xml:space="preserve"> </w:t>
      </w:r>
      <w:r w:rsidR="00A0476A" w:rsidRPr="00A0476A">
        <w:t xml:space="preserve">Greg, W. W. (Walter Wilson), Bibliographical Society, and Worshipful Company of Stationers and Newspaper Makers., </w:t>
      </w:r>
      <w:r w:rsidR="00A0476A" w:rsidRPr="00A0476A">
        <w:rPr>
          <w:i/>
          <w:iCs/>
        </w:rPr>
        <w:t>A Bibliography of the English Printed Drama to the Restoration</w:t>
      </w:r>
      <w:r w:rsidR="00A0476A" w:rsidRPr="00A0476A">
        <w:t xml:space="preserve"> (Bibliographical Society, 1939)</w:t>
      </w:r>
      <w:r w:rsidR="00A0476A">
        <w:t xml:space="preserve"> p.303</w:t>
      </w:r>
    </w:p>
  </w:footnote>
  <w:footnote w:id="10">
    <w:p w14:paraId="67D9B14F" w14:textId="593827C0" w:rsidR="001F5D31" w:rsidRDefault="001F5D31">
      <w:pPr>
        <w:pStyle w:val="FootnoteText"/>
      </w:pPr>
      <w:r>
        <w:rPr>
          <w:rStyle w:val="FootnoteReference"/>
        </w:rPr>
        <w:footnoteRef/>
      </w:r>
      <w:r>
        <w:t xml:space="preserve"> </w:t>
      </w:r>
      <w:r w:rsidR="008E19A8" w:rsidRPr="008E19A8">
        <w:t>Lucy</w:t>
      </w:r>
      <w:r w:rsidR="000D5B93">
        <w:t xml:space="preserve"> </w:t>
      </w:r>
      <w:r w:rsidR="000D5B93" w:rsidRPr="008E19A8">
        <w:t xml:space="preserve">Munro, </w:t>
      </w:r>
      <w:r w:rsidR="008E19A8" w:rsidRPr="008E19A8">
        <w:t xml:space="preserve"> 2025. ‘The Alchemist: Stage History | the Cambridge Works of Ben Jonson’, </w:t>
      </w:r>
      <w:r w:rsidR="008E19A8" w:rsidRPr="008E19A8">
        <w:rPr>
          <w:i/>
          <w:iCs/>
        </w:rPr>
        <w:t>Universitypublishingonline.org</w:t>
      </w:r>
      <w:r w:rsidR="008E19A8" w:rsidRPr="008E19A8">
        <w:t xml:space="preserve"> &lt;https://universitypublishingonline.org/cambridge/benjonson/k/essays/stage_history_Alchemist/2/&gt; [accessed </w:t>
      </w:r>
      <w:r w:rsidR="00BF51AB">
        <w:t>6</w:t>
      </w:r>
      <w:r w:rsidR="008E19A8" w:rsidRPr="008E19A8">
        <w:t xml:space="preserve"> April 2025]</w:t>
      </w:r>
    </w:p>
  </w:footnote>
  <w:footnote w:id="11">
    <w:p w14:paraId="1892E301" w14:textId="1A112A5B" w:rsidR="00F125D2" w:rsidRDefault="00F125D2" w:rsidP="00F125D2">
      <w:r>
        <w:rPr>
          <w:rStyle w:val="FootnoteReference"/>
        </w:rPr>
        <w:footnoteRef/>
      </w:r>
      <w:r w:rsidR="00E112D5">
        <w:t xml:space="preserve"> </w:t>
      </w:r>
      <w:r w:rsidR="00E112D5" w:rsidRPr="008E19A8">
        <w:rPr>
          <w:sz w:val="20"/>
          <w:szCs w:val="20"/>
        </w:rPr>
        <w:t>Lucy</w:t>
      </w:r>
      <w:r w:rsidR="00E112D5">
        <w:t xml:space="preserve"> </w:t>
      </w:r>
      <w:r w:rsidR="00E112D5" w:rsidRPr="008E19A8">
        <w:rPr>
          <w:sz w:val="20"/>
          <w:szCs w:val="20"/>
        </w:rPr>
        <w:t>Munro,  2025. ‘The Alchemist: Stage History | the Cambridge Works of Ben Jonson’,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3BC"/>
    <w:rsid w:val="000477E0"/>
    <w:rsid w:val="00056F2A"/>
    <w:rsid w:val="000604A0"/>
    <w:rsid w:val="000A1F96"/>
    <w:rsid w:val="000C13BC"/>
    <w:rsid w:val="000C30CB"/>
    <w:rsid w:val="000D2C4F"/>
    <w:rsid w:val="000D5B93"/>
    <w:rsid w:val="000E584B"/>
    <w:rsid w:val="00125F20"/>
    <w:rsid w:val="00180351"/>
    <w:rsid w:val="00182BF4"/>
    <w:rsid w:val="001B6AE1"/>
    <w:rsid w:val="001C4ACF"/>
    <w:rsid w:val="001E59DB"/>
    <w:rsid w:val="001F03B7"/>
    <w:rsid w:val="001F5750"/>
    <w:rsid w:val="001F5D31"/>
    <w:rsid w:val="00204DEB"/>
    <w:rsid w:val="00215CD7"/>
    <w:rsid w:val="00252809"/>
    <w:rsid w:val="00265245"/>
    <w:rsid w:val="002758D3"/>
    <w:rsid w:val="002C06E3"/>
    <w:rsid w:val="002C508F"/>
    <w:rsid w:val="002C6DDD"/>
    <w:rsid w:val="003073E5"/>
    <w:rsid w:val="00322AA6"/>
    <w:rsid w:val="003321C8"/>
    <w:rsid w:val="0033612F"/>
    <w:rsid w:val="00343C50"/>
    <w:rsid w:val="003644FC"/>
    <w:rsid w:val="00386213"/>
    <w:rsid w:val="00387744"/>
    <w:rsid w:val="00393D57"/>
    <w:rsid w:val="003E6CCD"/>
    <w:rsid w:val="004058CB"/>
    <w:rsid w:val="004074FE"/>
    <w:rsid w:val="00426CE6"/>
    <w:rsid w:val="00433049"/>
    <w:rsid w:val="00440995"/>
    <w:rsid w:val="00467A53"/>
    <w:rsid w:val="00480833"/>
    <w:rsid w:val="004968A5"/>
    <w:rsid w:val="004B5818"/>
    <w:rsid w:val="0050354E"/>
    <w:rsid w:val="005665BC"/>
    <w:rsid w:val="005A33A0"/>
    <w:rsid w:val="005A6FC8"/>
    <w:rsid w:val="005A7C58"/>
    <w:rsid w:val="005E49F5"/>
    <w:rsid w:val="005F3A7D"/>
    <w:rsid w:val="0060666C"/>
    <w:rsid w:val="006077C4"/>
    <w:rsid w:val="00614EE1"/>
    <w:rsid w:val="00620C9A"/>
    <w:rsid w:val="00626916"/>
    <w:rsid w:val="00642A78"/>
    <w:rsid w:val="0068135F"/>
    <w:rsid w:val="006A047C"/>
    <w:rsid w:val="006B083F"/>
    <w:rsid w:val="006C1475"/>
    <w:rsid w:val="006E683C"/>
    <w:rsid w:val="0072443E"/>
    <w:rsid w:val="00742400"/>
    <w:rsid w:val="00764233"/>
    <w:rsid w:val="00774931"/>
    <w:rsid w:val="007871B8"/>
    <w:rsid w:val="0078795E"/>
    <w:rsid w:val="00787EB7"/>
    <w:rsid w:val="00796CFD"/>
    <w:rsid w:val="00797BE0"/>
    <w:rsid w:val="00797FAE"/>
    <w:rsid w:val="007B2ED4"/>
    <w:rsid w:val="007B4599"/>
    <w:rsid w:val="007D49EB"/>
    <w:rsid w:val="00817F8B"/>
    <w:rsid w:val="00833331"/>
    <w:rsid w:val="00847534"/>
    <w:rsid w:val="00894952"/>
    <w:rsid w:val="008A79A6"/>
    <w:rsid w:val="008E19A8"/>
    <w:rsid w:val="008F2052"/>
    <w:rsid w:val="00925C60"/>
    <w:rsid w:val="009304A4"/>
    <w:rsid w:val="00944C45"/>
    <w:rsid w:val="009622A0"/>
    <w:rsid w:val="009E00B4"/>
    <w:rsid w:val="009E70A5"/>
    <w:rsid w:val="009F147A"/>
    <w:rsid w:val="009F3AF8"/>
    <w:rsid w:val="00A0476A"/>
    <w:rsid w:val="00A047FD"/>
    <w:rsid w:val="00A31B6E"/>
    <w:rsid w:val="00A36F07"/>
    <w:rsid w:val="00A52A76"/>
    <w:rsid w:val="00A82A8D"/>
    <w:rsid w:val="00A964C2"/>
    <w:rsid w:val="00AB5169"/>
    <w:rsid w:val="00AB7D1F"/>
    <w:rsid w:val="00AE1961"/>
    <w:rsid w:val="00AE5952"/>
    <w:rsid w:val="00AF428B"/>
    <w:rsid w:val="00B15821"/>
    <w:rsid w:val="00B50ED5"/>
    <w:rsid w:val="00BC154C"/>
    <w:rsid w:val="00BE6542"/>
    <w:rsid w:val="00BF51AB"/>
    <w:rsid w:val="00BF6E06"/>
    <w:rsid w:val="00C302BE"/>
    <w:rsid w:val="00C310E8"/>
    <w:rsid w:val="00C52370"/>
    <w:rsid w:val="00C55B38"/>
    <w:rsid w:val="00C63158"/>
    <w:rsid w:val="00C75C1A"/>
    <w:rsid w:val="00C8617D"/>
    <w:rsid w:val="00CE33EA"/>
    <w:rsid w:val="00CF65F5"/>
    <w:rsid w:val="00D010EB"/>
    <w:rsid w:val="00D33CFF"/>
    <w:rsid w:val="00D47358"/>
    <w:rsid w:val="00D6287F"/>
    <w:rsid w:val="00D86163"/>
    <w:rsid w:val="00DB66B7"/>
    <w:rsid w:val="00DE19D0"/>
    <w:rsid w:val="00DE7DB9"/>
    <w:rsid w:val="00DF4C55"/>
    <w:rsid w:val="00E003B7"/>
    <w:rsid w:val="00E112D5"/>
    <w:rsid w:val="00E232E5"/>
    <w:rsid w:val="00E34D84"/>
    <w:rsid w:val="00E529AB"/>
    <w:rsid w:val="00E82908"/>
    <w:rsid w:val="00EC0169"/>
    <w:rsid w:val="00EC3B36"/>
    <w:rsid w:val="00EE4214"/>
    <w:rsid w:val="00EE7420"/>
    <w:rsid w:val="00EF3523"/>
    <w:rsid w:val="00EF7E40"/>
    <w:rsid w:val="00F125D2"/>
    <w:rsid w:val="00F4341D"/>
    <w:rsid w:val="00F51299"/>
    <w:rsid w:val="00F83601"/>
    <w:rsid w:val="00F87CA2"/>
    <w:rsid w:val="00FB4FA9"/>
    <w:rsid w:val="00FE1C7C"/>
    <w:rsid w:val="00FF1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1B58"/>
  <w15:chartTrackingRefBased/>
  <w15:docId w15:val="{853D8720-D4A2-4E12-AA73-7788B4E21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ED4"/>
  </w:style>
  <w:style w:type="paragraph" w:styleId="Heading1">
    <w:name w:val="heading 1"/>
    <w:basedOn w:val="Normal"/>
    <w:next w:val="Normal"/>
    <w:link w:val="Heading1Char"/>
    <w:uiPriority w:val="9"/>
    <w:qFormat/>
    <w:rsid w:val="000C13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13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3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3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3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3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3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3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3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3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13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3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3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3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3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3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3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3BC"/>
    <w:rPr>
      <w:rFonts w:eastAsiaTheme="majorEastAsia" w:cstheme="majorBidi"/>
      <w:color w:val="272727" w:themeColor="text1" w:themeTint="D8"/>
    </w:rPr>
  </w:style>
  <w:style w:type="paragraph" w:styleId="Title">
    <w:name w:val="Title"/>
    <w:basedOn w:val="Normal"/>
    <w:next w:val="Normal"/>
    <w:link w:val="TitleChar"/>
    <w:uiPriority w:val="10"/>
    <w:qFormat/>
    <w:rsid w:val="000C13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3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3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3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3BC"/>
    <w:pPr>
      <w:spacing w:before="160"/>
      <w:jc w:val="center"/>
    </w:pPr>
    <w:rPr>
      <w:i/>
      <w:iCs/>
      <w:color w:val="404040" w:themeColor="text1" w:themeTint="BF"/>
    </w:rPr>
  </w:style>
  <w:style w:type="character" w:customStyle="1" w:styleId="QuoteChar">
    <w:name w:val="Quote Char"/>
    <w:basedOn w:val="DefaultParagraphFont"/>
    <w:link w:val="Quote"/>
    <w:uiPriority w:val="29"/>
    <w:rsid w:val="000C13BC"/>
    <w:rPr>
      <w:i/>
      <w:iCs/>
      <w:color w:val="404040" w:themeColor="text1" w:themeTint="BF"/>
    </w:rPr>
  </w:style>
  <w:style w:type="paragraph" w:styleId="ListParagraph">
    <w:name w:val="List Paragraph"/>
    <w:basedOn w:val="Normal"/>
    <w:uiPriority w:val="34"/>
    <w:qFormat/>
    <w:rsid w:val="000C13BC"/>
    <w:pPr>
      <w:ind w:left="720"/>
      <w:contextualSpacing/>
    </w:pPr>
  </w:style>
  <w:style w:type="character" w:styleId="IntenseEmphasis">
    <w:name w:val="Intense Emphasis"/>
    <w:basedOn w:val="DefaultParagraphFont"/>
    <w:uiPriority w:val="21"/>
    <w:qFormat/>
    <w:rsid w:val="000C13BC"/>
    <w:rPr>
      <w:i/>
      <w:iCs/>
      <w:color w:val="0F4761" w:themeColor="accent1" w:themeShade="BF"/>
    </w:rPr>
  </w:style>
  <w:style w:type="paragraph" w:styleId="IntenseQuote">
    <w:name w:val="Intense Quote"/>
    <w:basedOn w:val="Normal"/>
    <w:next w:val="Normal"/>
    <w:link w:val="IntenseQuoteChar"/>
    <w:uiPriority w:val="30"/>
    <w:qFormat/>
    <w:rsid w:val="000C13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3BC"/>
    <w:rPr>
      <w:i/>
      <w:iCs/>
      <w:color w:val="0F4761" w:themeColor="accent1" w:themeShade="BF"/>
    </w:rPr>
  </w:style>
  <w:style w:type="character" w:styleId="IntenseReference">
    <w:name w:val="Intense Reference"/>
    <w:basedOn w:val="DefaultParagraphFont"/>
    <w:uiPriority w:val="32"/>
    <w:qFormat/>
    <w:rsid w:val="000C13BC"/>
    <w:rPr>
      <w:b/>
      <w:bCs/>
      <w:smallCaps/>
      <w:color w:val="0F4761" w:themeColor="accent1" w:themeShade="BF"/>
      <w:spacing w:val="5"/>
    </w:rPr>
  </w:style>
  <w:style w:type="paragraph" w:styleId="FootnoteText">
    <w:name w:val="footnote text"/>
    <w:basedOn w:val="Normal"/>
    <w:link w:val="FootnoteTextChar"/>
    <w:uiPriority w:val="99"/>
    <w:unhideWhenUsed/>
    <w:rsid w:val="00F51299"/>
    <w:pPr>
      <w:spacing w:after="0" w:line="240" w:lineRule="auto"/>
    </w:pPr>
    <w:rPr>
      <w:sz w:val="20"/>
      <w:szCs w:val="20"/>
    </w:rPr>
  </w:style>
  <w:style w:type="character" w:customStyle="1" w:styleId="FootnoteTextChar">
    <w:name w:val="Footnote Text Char"/>
    <w:basedOn w:val="DefaultParagraphFont"/>
    <w:link w:val="FootnoteText"/>
    <w:uiPriority w:val="99"/>
    <w:rsid w:val="00F51299"/>
    <w:rPr>
      <w:sz w:val="20"/>
      <w:szCs w:val="20"/>
    </w:rPr>
  </w:style>
  <w:style w:type="character" w:styleId="FootnoteReference">
    <w:name w:val="footnote reference"/>
    <w:basedOn w:val="DefaultParagraphFont"/>
    <w:uiPriority w:val="99"/>
    <w:semiHidden/>
    <w:unhideWhenUsed/>
    <w:rsid w:val="00F51299"/>
    <w:rPr>
      <w:vertAlign w:val="superscript"/>
    </w:rPr>
  </w:style>
  <w:style w:type="character" w:styleId="Hyperlink">
    <w:name w:val="Hyperlink"/>
    <w:basedOn w:val="DefaultParagraphFont"/>
    <w:uiPriority w:val="99"/>
    <w:unhideWhenUsed/>
    <w:rsid w:val="00FE1C7C"/>
    <w:rPr>
      <w:color w:val="467886" w:themeColor="hyperlink"/>
      <w:u w:val="single"/>
    </w:rPr>
  </w:style>
  <w:style w:type="character" w:styleId="UnresolvedMention">
    <w:name w:val="Unresolved Mention"/>
    <w:basedOn w:val="DefaultParagraphFont"/>
    <w:uiPriority w:val="99"/>
    <w:semiHidden/>
    <w:unhideWhenUsed/>
    <w:rsid w:val="00FE1C7C"/>
    <w:rPr>
      <w:color w:val="605E5C"/>
      <w:shd w:val="clear" w:color="auto" w:fill="E1DFDD"/>
    </w:rPr>
  </w:style>
  <w:style w:type="paragraph" w:styleId="NormalWeb">
    <w:name w:val="Normal (Web)"/>
    <w:basedOn w:val="Normal"/>
    <w:uiPriority w:val="99"/>
    <w:semiHidden/>
    <w:unhideWhenUsed/>
    <w:rsid w:val="008E19A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271171">
      <w:bodyDiv w:val="1"/>
      <w:marLeft w:val="0"/>
      <w:marRight w:val="0"/>
      <w:marTop w:val="0"/>
      <w:marBottom w:val="0"/>
      <w:divBdr>
        <w:top w:val="none" w:sz="0" w:space="0" w:color="auto"/>
        <w:left w:val="none" w:sz="0" w:space="0" w:color="auto"/>
        <w:bottom w:val="none" w:sz="0" w:space="0" w:color="auto"/>
        <w:right w:val="none" w:sz="0" w:space="0" w:color="auto"/>
      </w:divBdr>
      <w:divsChild>
        <w:div w:id="1173909736">
          <w:marLeft w:val="-720"/>
          <w:marRight w:val="0"/>
          <w:marTop w:val="0"/>
          <w:marBottom w:val="0"/>
          <w:divBdr>
            <w:top w:val="none" w:sz="0" w:space="0" w:color="auto"/>
            <w:left w:val="none" w:sz="0" w:space="0" w:color="auto"/>
            <w:bottom w:val="none" w:sz="0" w:space="0" w:color="auto"/>
            <w:right w:val="none" w:sz="0" w:space="0" w:color="auto"/>
          </w:divBdr>
        </w:div>
      </w:divsChild>
    </w:div>
    <w:div w:id="338046750">
      <w:bodyDiv w:val="1"/>
      <w:marLeft w:val="0"/>
      <w:marRight w:val="0"/>
      <w:marTop w:val="0"/>
      <w:marBottom w:val="0"/>
      <w:divBdr>
        <w:top w:val="none" w:sz="0" w:space="0" w:color="auto"/>
        <w:left w:val="none" w:sz="0" w:space="0" w:color="auto"/>
        <w:bottom w:val="none" w:sz="0" w:space="0" w:color="auto"/>
        <w:right w:val="none" w:sz="0" w:space="0" w:color="auto"/>
      </w:divBdr>
      <w:divsChild>
        <w:div w:id="236865858">
          <w:marLeft w:val="0"/>
          <w:marRight w:val="0"/>
          <w:marTop w:val="0"/>
          <w:marBottom w:val="0"/>
          <w:divBdr>
            <w:top w:val="none" w:sz="0" w:space="0" w:color="auto"/>
            <w:left w:val="none" w:sz="0" w:space="0" w:color="auto"/>
            <w:bottom w:val="none" w:sz="0" w:space="0" w:color="auto"/>
            <w:right w:val="none" w:sz="0" w:space="0" w:color="auto"/>
          </w:divBdr>
          <w:divsChild>
            <w:div w:id="151402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795652">
      <w:bodyDiv w:val="1"/>
      <w:marLeft w:val="0"/>
      <w:marRight w:val="0"/>
      <w:marTop w:val="0"/>
      <w:marBottom w:val="0"/>
      <w:divBdr>
        <w:top w:val="none" w:sz="0" w:space="0" w:color="auto"/>
        <w:left w:val="none" w:sz="0" w:space="0" w:color="auto"/>
        <w:bottom w:val="none" w:sz="0" w:space="0" w:color="auto"/>
        <w:right w:val="none" w:sz="0" w:space="0" w:color="auto"/>
      </w:divBdr>
      <w:divsChild>
        <w:div w:id="653139971">
          <w:blockQuote w:val="1"/>
          <w:marLeft w:val="360"/>
          <w:marRight w:val="360"/>
          <w:marTop w:val="0"/>
          <w:marBottom w:val="0"/>
          <w:divBdr>
            <w:top w:val="none" w:sz="0" w:space="0" w:color="auto"/>
            <w:left w:val="none" w:sz="0" w:space="0" w:color="auto"/>
            <w:bottom w:val="none" w:sz="0" w:space="0" w:color="auto"/>
            <w:right w:val="none" w:sz="0" w:space="0" w:color="auto"/>
          </w:divBdr>
        </w:div>
      </w:divsChild>
    </w:div>
    <w:div w:id="578830216">
      <w:bodyDiv w:val="1"/>
      <w:marLeft w:val="0"/>
      <w:marRight w:val="0"/>
      <w:marTop w:val="0"/>
      <w:marBottom w:val="0"/>
      <w:divBdr>
        <w:top w:val="none" w:sz="0" w:space="0" w:color="auto"/>
        <w:left w:val="none" w:sz="0" w:space="0" w:color="auto"/>
        <w:bottom w:val="none" w:sz="0" w:space="0" w:color="auto"/>
        <w:right w:val="none" w:sz="0" w:space="0" w:color="auto"/>
      </w:divBdr>
      <w:divsChild>
        <w:div w:id="96483176">
          <w:marLeft w:val="0"/>
          <w:marRight w:val="0"/>
          <w:marTop w:val="0"/>
          <w:marBottom w:val="0"/>
          <w:divBdr>
            <w:top w:val="none" w:sz="0" w:space="0" w:color="auto"/>
            <w:left w:val="none" w:sz="0" w:space="0" w:color="auto"/>
            <w:bottom w:val="none" w:sz="0" w:space="0" w:color="auto"/>
            <w:right w:val="none" w:sz="0" w:space="0" w:color="auto"/>
          </w:divBdr>
          <w:divsChild>
            <w:div w:id="161162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335238">
      <w:bodyDiv w:val="1"/>
      <w:marLeft w:val="0"/>
      <w:marRight w:val="0"/>
      <w:marTop w:val="0"/>
      <w:marBottom w:val="0"/>
      <w:divBdr>
        <w:top w:val="none" w:sz="0" w:space="0" w:color="auto"/>
        <w:left w:val="none" w:sz="0" w:space="0" w:color="auto"/>
        <w:bottom w:val="none" w:sz="0" w:space="0" w:color="auto"/>
        <w:right w:val="none" w:sz="0" w:space="0" w:color="auto"/>
      </w:divBdr>
      <w:divsChild>
        <w:div w:id="1241478390">
          <w:marLeft w:val="0"/>
          <w:marRight w:val="0"/>
          <w:marTop w:val="0"/>
          <w:marBottom w:val="0"/>
          <w:divBdr>
            <w:top w:val="none" w:sz="0" w:space="0" w:color="auto"/>
            <w:left w:val="none" w:sz="0" w:space="0" w:color="auto"/>
            <w:bottom w:val="none" w:sz="0" w:space="0" w:color="auto"/>
            <w:right w:val="none" w:sz="0" w:space="0" w:color="auto"/>
          </w:divBdr>
        </w:div>
        <w:div w:id="1051462975">
          <w:marLeft w:val="0"/>
          <w:marRight w:val="0"/>
          <w:marTop w:val="0"/>
          <w:marBottom w:val="0"/>
          <w:divBdr>
            <w:top w:val="none" w:sz="0" w:space="0" w:color="auto"/>
            <w:left w:val="none" w:sz="0" w:space="0" w:color="auto"/>
            <w:bottom w:val="none" w:sz="0" w:space="0" w:color="auto"/>
            <w:right w:val="none" w:sz="0" w:space="0" w:color="auto"/>
          </w:divBdr>
        </w:div>
      </w:divsChild>
    </w:div>
    <w:div w:id="702094808">
      <w:bodyDiv w:val="1"/>
      <w:marLeft w:val="0"/>
      <w:marRight w:val="0"/>
      <w:marTop w:val="0"/>
      <w:marBottom w:val="0"/>
      <w:divBdr>
        <w:top w:val="none" w:sz="0" w:space="0" w:color="auto"/>
        <w:left w:val="none" w:sz="0" w:space="0" w:color="auto"/>
        <w:bottom w:val="none" w:sz="0" w:space="0" w:color="auto"/>
        <w:right w:val="none" w:sz="0" w:space="0" w:color="auto"/>
      </w:divBdr>
      <w:divsChild>
        <w:div w:id="1917745852">
          <w:marLeft w:val="-720"/>
          <w:marRight w:val="0"/>
          <w:marTop w:val="0"/>
          <w:marBottom w:val="0"/>
          <w:divBdr>
            <w:top w:val="none" w:sz="0" w:space="0" w:color="auto"/>
            <w:left w:val="none" w:sz="0" w:space="0" w:color="auto"/>
            <w:bottom w:val="none" w:sz="0" w:space="0" w:color="auto"/>
            <w:right w:val="none" w:sz="0" w:space="0" w:color="auto"/>
          </w:divBdr>
        </w:div>
      </w:divsChild>
    </w:div>
    <w:div w:id="767237846">
      <w:bodyDiv w:val="1"/>
      <w:marLeft w:val="0"/>
      <w:marRight w:val="0"/>
      <w:marTop w:val="0"/>
      <w:marBottom w:val="0"/>
      <w:divBdr>
        <w:top w:val="none" w:sz="0" w:space="0" w:color="auto"/>
        <w:left w:val="none" w:sz="0" w:space="0" w:color="auto"/>
        <w:bottom w:val="none" w:sz="0" w:space="0" w:color="auto"/>
        <w:right w:val="none" w:sz="0" w:space="0" w:color="auto"/>
      </w:divBdr>
    </w:div>
    <w:div w:id="843865205">
      <w:bodyDiv w:val="1"/>
      <w:marLeft w:val="0"/>
      <w:marRight w:val="0"/>
      <w:marTop w:val="0"/>
      <w:marBottom w:val="0"/>
      <w:divBdr>
        <w:top w:val="none" w:sz="0" w:space="0" w:color="auto"/>
        <w:left w:val="none" w:sz="0" w:space="0" w:color="auto"/>
        <w:bottom w:val="none" w:sz="0" w:space="0" w:color="auto"/>
        <w:right w:val="none" w:sz="0" w:space="0" w:color="auto"/>
      </w:divBdr>
      <w:divsChild>
        <w:div w:id="1577208301">
          <w:marLeft w:val="-720"/>
          <w:marRight w:val="0"/>
          <w:marTop w:val="0"/>
          <w:marBottom w:val="0"/>
          <w:divBdr>
            <w:top w:val="none" w:sz="0" w:space="0" w:color="auto"/>
            <w:left w:val="none" w:sz="0" w:space="0" w:color="auto"/>
            <w:bottom w:val="none" w:sz="0" w:space="0" w:color="auto"/>
            <w:right w:val="none" w:sz="0" w:space="0" w:color="auto"/>
          </w:divBdr>
        </w:div>
      </w:divsChild>
    </w:div>
    <w:div w:id="859471219">
      <w:bodyDiv w:val="1"/>
      <w:marLeft w:val="0"/>
      <w:marRight w:val="0"/>
      <w:marTop w:val="0"/>
      <w:marBottom w:val="0"/>
      <w:divBdr>
        <w:top w:val="none" w:sz="0" w:space="0" w:color="auto"/>
        <w:left w:val="none" w:sz="0" w:space="0" w:color="auto"/>
        <w:bottom w:val="none" w:sz="0" w:space="0" w:color="auto"/>
        <w:right w:val="none" w:sz="0" w:space="0" w:color="auto"/>
      </w:divBdr>
      <w:divsChild>
        <w:div w:id="1121727439">
          <w:marLeft w:val="0"/>
          <w:marRight w:val="0"/>
          <w:marTop w:val="0"/>
          <w:marBottom w:val="0"/>
          <w:divBdr>
            <w:top w:val="none" w:sz="0" w:space="0" w:color="auto"/>
            <w:left w:val="none" w:sz="0" w:space="0" w:color="auto"/>
            <w:bottom w:val="none" w:sz="0" w:space="0" w:color="auto"/>
            <w:right w:val="none" w:sz="0" w:space="0" w:color="auto"/>
          </w:divBdr>
          <w:divsChild>
            <w:div w:id="165907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553467">
      <w:bodyDiv w:val="1"/>
      <w:marLeft w:val="0"/>
      <w:marRight w:val="0"/>
      <w:marTop w:val="0"/>
      <w:marBottom w:val="0"/>
      <w:divBdr>
        <w:top w:val="none" w:sz="0" w:space="0" w:color="auto"/>
        <w:left w:val="none" w:sz="0" w:space="0" w:color="auto"/>
        <w:bottom w:val="none" w:sz="0" w:space="0" w:color="auto"/>
        <w:right w:val="none" w:sz="0" w:space="0" w:color="auto"/>
      </w:divBdr>
    </w:div>
    <w:div w:id="942685262">
      <w:bodyDiv w:val="1"/>
      <w:marLeft w:val="0"/>
      <w:marRight w:val="0"/>
      <w:marTop w:val="0"/>
      <w:marBottom w:val="0"/>
      <w:divBdr>
        <w:top w:val="none" w:sz="0" w:space="0" w:color="auto"/>
        <w:left w:val="none" w:sz="0" w:space="0" w:color="auto"/>
        <w:bottom w:val="none" w:sz="0" w:space="0" w:color="auto"/>
        <w:right w:val="none" w:sz="0" w:space="0" w:color="auto"/>
      </w:divBdr>
      <w:divsChild>
        <w:div w:id="454250903">
          <w:marLeft w:val="0"/>
          <w:marRight w:val="0"/>
          <w:marTop w:val="0"/>
          <w:marBottom w:val="0"/>
          <w:divBdr>
            <w:top w:val="none" w:sz="0" w:space="0" w:color="auto"/>
            <w:left w:val="none" w:sz="0" w:space="0" w:color="auto"/>
            <w:bottom w:val="none" w:sz="0" w:space="0" w:color="auto"/>
            <w:right w:val="none" w:sz="0" w:space="0" w:color="auto"/>
          </w:divBdr>
          <w:divsChild>
            <w:div w:id="163028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207512">
      <w:bodyDiv w:val="1"/>
      <w:marLeft w:val="0"/>
      <w:marRight w:val="0"/>
      <w:marTop w:val="0"/>
      <w:marBottom w:val="0"/>
      <w:divBdr>
        <w:top w:val="none" w:sz="0" w:space="0" w:color="auto"/>
        <w:left w:val="none" w:sz="0" w:space="0" w:color="auto"/>
        <w:bottom w:val="none" w:sz="0" w:space="0" w:color="auto"/>
        <w:right w:val="none" w:sz="0" w:space="0" w:color="auto"/>
      </w:divBdr>
      <w:divsChild>
        <w:div w:id="277416835">
          <w:marLeft w:val="-720"/>
          <w:marRight w:val="0"/>
          <w:marTop w:val="0"/>
          <w:marBottom w:val="0"/>
          <w:divBdr>
            <w:top w:val="none" w:sz="0" w:space="0" w:color="auto"/>
            <w:left w:val="none" w:sz="0" w:space="0" w:color="auto"/>
            <w:bottom w:val="none" w:sz="0" w:space="0" w:color="auto"/>
            <w:right w:val="none" w:sz="0" w:space="0" w:color="auto"/>
          </w:divBdr>
        </w:div>
      </w:divsChild>
    </w:div>
    <w:div w:id="980966458">
      <w:bodyDiv w:val="1"/>
      <w:marLeft w:val="0"/>
      <w:marRight w:val="0"/>
      <w:marTop w:val="0"/>
      <w:marBottom w:val="0"/>
      <w:divBdr>
        <w:top w:val="none" w:sz="0" w:space="0" w:color="auto"/>
        <w:left w:val="none" w:sz="0" w:space="0" w:color="auto"/>
        <w:bottom w:val="none" w:sz="0" w:space="0" w:color="auto"/>
        <w:right w:val="none" w:sz="0" w:space="0" w:color="auto"/>
      </w:divBdr>
      <w:divsChild>
        <w:div w:id="1108164657">
          <w:blockQuote w:val="1"/>
          <w:marLeft w:val="360"/>
          <w:marRight w:val="360"/>
          <w:marTop w:val="0"/>
          <w:marBottom w:val="0"/>
          <w:divBdr>
            <w:top w:val="none" w:sz="0" w:space="0" w:color="auto"/>
            <w:left w:val="none" w:sz="0" w:space="0" w:color="auto"/>
            <w:bottom w:val="none" w:sz="0" w:space="0" w:color="auto"/>
            <w:right w:val="none" w:sz="0" w:space="0" w:color="auto"/>
          </w:divBdr>
        </w:div>
      </w:divsChild>
    </w:div>
    <w:div w:id="1076049248">
      <w:bodyDiv w:val="1"/>
      <w:marLeft w:val="0"/>
      <w:marRight w:val="0"/>
      <w:marTop w:val="0"/>
      <w:marBottom w:val="0"/>
      <w:divBdr>
        <w:top w:val="none" w:sz="0" w:space="0" w:color="auto"/>
        <w:left w:val="none" w:sz="0" w:space="0" w:color="auto"/>
        <w:bottom w:val="none" w:sz="0" w:space="0" w:color="auto"/>
        <w:right w:val="none" w:sz="0" w:space="0" w:color="auto"/>
      </w:divBdr>
      <w:divsChild>
        <w:div w:id="1897618810">
          <w:marLeft w:val="0"/>
          <w:marRight w:val="0"/>
          <w:marTop w:val="0"/>
          <w:marBottom w:val="0"/>
          <w:divBdr>
            <w:top w:val="none" w:sz="0" w:space="0" w:color="auto"/>
            <w:left w:val="none" w:sz="0" w:space="0" w:color="auto"/>
            <w:bottom w:val="none" w:sz="0" w:space="0" w:color="auto"/>
            <w:right w:val="none" w:sz="0" w:space="0" w:color="auto"/>
          </w:divBdr>
          <w:divsChild>
            <w:div w:id="105397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404132">
      <w:bodyDiv w:val="1"/>
      <w:marLeft w:val="0"/>
      <w:marRight w:val="0"/>
      <w:marTop w:val="0"/>
      <w:marBottom w:val="0"/>
      <w:divBdr>
        <w:top w:val="none" w:sz="0" w:space="0" w:color="auto"/>
        <w:left w:val="none" w:sz="0" w:space="0" w:color="auto"/>
        <w:bottom w:val="none" w:sz="0" w:space="0" w:color="auto"/>
        <w:right w:val="none" w:sz="0" w:space="0" w:color="auto"/>
      </w:divBdr>
      <w:divsChild>
        <w:div w:id="1612130559">
          <w:marLeft w:val="-720"/>
          <w:marRight w:val="0"/>
          <w:marTop w:val="0"/>
          <w:marBottom w:val="0"/>
          <w:divBdr>
            <w:top w:val="none" w:sz="0" w:space="0" w:color="auto"/>
            <w:left w:val="none" w:sz="0" w:space="0" w:color="auto"/>
            <w:bottom w:val="none" w:sz="0" w:space="0" w:color="auto"/>
            <w:right w:val="none" w:sz="0" w:space="0" w:color="auto"/>
          </w:divBdr>
        </w:div>
      </w:divsChild>
    </w:div>
    <w:div w:id="1133324821">
      <w:bodyDiv w:val="1"/>
      <w:marLeft w:val="0"/>
      <w:marRight w:val="0"/>
      <w:marTop w:val="0"/>
      <w:marBottom w:val="0"/>
      <w:divBdr>
        <w:top w:val="none" w:sz="0" w:space="0" w:color="auto"/>
        <w:left w:val="none" w:sz="0" w:space="0" w:color="auto"/>
        <w:bottom w:val="none" w:sz="0" w:space="0" w:color="auto"/>
        <w:right w:val="none" w:sz="0" w:space="0" w:color="auto"/>
      </w:divBdr>
      <w:divsChild>
        <w:div w:id="565797376">
          <w:marLeft w:val="0"/>
          <w:marRight w:val="0"/>
          <w:marTop w:val="0"/>
          <w:marBottom w:val="0"/>
          <w:divBdr>
            <w:top w:val="none" w:sz="0" w:space="0" w:color="auto"/>
            <w:left w:val="none" w:sz="0" w:space="0" w:color="auto"/>
            <w:bottom w:val="none" w:sz="0" w:space="0" w:color="auto"/>
            <w:right w:val="none" w:sz="0" w:space="0" w:color="auto"/>
          </w:divBdr>
          <w:divsChild>
            <w:div w:id="178850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84876">
      <w:bodyDiv w:val="1"/>
      <w:marLeft w:val="0"/>
      <w:marRight w:val="0"/>
      <w:marTop w:val="0"/>
      <w:marBottom w:val="0"/>
      <w:divBdr>
        <w:top w:val="none" w:sz="0" w:space="0" w:color="auto"/>
        <w:left w:val="none" w:sz="0" w:space="0" w:color="auto"/>
        <w:bottom w:val="none" w:sz="0" w:space="0" w:color="auto"/>
        <w:right w:val="none" w:sz="0" w:space="0" w:color="auto"/>
      </w:divBdr>
      <w:divsChild>
        <w:div w:id="1290432201">
          <w:marLeft w:val="0"/>
          <w:marRight w:val="0"/>
          <w:marTop w:val="0"/>
          <w:marBottom w:val="0"/>
          <w:divBdr>
            <w:top w:val="none" w:sz="0" w:space="0" w:color="auto"/>
            <w:left w:val="none" w:sz="0" w:space="0" w:color="auto"/>
            <w:bottom w:val="none" w:sz="0" w:space="0" w:color="auto"/>
            <w:right w:val="none" w:sz="0" w:space="0" w:color="auto"/>
          </w:divBdr>
          <w:divsChild>
            <w:div w:id="158907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591019">
      <w:bodyDiv w:val="1"/>
      <w:marLeft w:val="0"/>
      <w:marRight w:val="0"/>
      <w:marTop w:val="0"/>
      <w:marBottom w:val="0"/>
      <w:divBdr>
        <w:top w:val="none" w:sz="0" w:space="0" w:color="auto"/>
        <w:left w:val="none" w:sz="0" w:space="0" w:color="auto"/>
        <w:bottom w:val="none" w:sz="0" w:space="0" w:color="auto"/>
        <w:right w:val="none" w:sz="0" w:space="0" w:color="auto"/>
      </w:divBdr>
      <w:divsChild>
        <w:div w:id="1300694033">
          <w:marLeft w:val="0"/>
          <w:marRight w:val="0"/>
          <w:marTop w:val="0"/>
          <w:marBottom w:val="0"/>
          <w:divBdr>
            <w:top w:val="none" w:sz="0" w:space="0" w:color="auto"/>
            <w:left w:val="none" w:sz="0" w:space="0" w:color="auto"/>
            <w:bottom w:val="none" w:sz="0" w:space="0" w:color="auto"/>
            <w:right w:val="none" w:sz="0" w:space="0" w:color="auto"/>
          </w:divBdr>
        </w:div>
        <w:div w:id="70084450">
          <w:marLeft w:val="0"/>
          <w:marRight w:val="0"/>
          <w:marTop w:val="0"/>
          <w:marBottom w:val="0"/>
          <w:divBdr>
            <w:top w:val="none" w:sz="0" w:space="0" w:color="auto"/>
            <w:left w:val="none" w:sz="0" w:space="0" w:color="auto"/>
            <w:bottom w:val="none" w:sz="0" w:space="0" w:color="auto"/>
            <w:right w:val="none" w:sz="0" w:space="0" w:color="auto"/>
          </w:divBdr>
        </w:div>
      </w:divsChild>
    </w:div>
    <w:div w:id="1622683776">
      <w:bodyDiv w:val="1"/>
      <w:marLeft w:val="0"/>
      <w:marRight w:val="0"/>
      <w:marTop w:val="0"/>
      <w:marBottom w:val="0"/>
      <w:divBdr>
        <w:top w:val="none" w:sz="0" w:space="0" w:color="auto"/>
        <w:left w:val="none" w:sz="0" w:space="0" w:color="auto"/>
        <w:bottom w:val="none" w:sz="0" w:space="0" w:color="auto"/>
        <w:right w:val="none" w:sz="0" w:space="0" w:color="auto"/>
      </w:divBdr>
      <w:divsChild>
        <w:div w:id="825904222">
          <w:marLeft w:val="0"/>
          <w:marRight w:val="0"/>
          <w:marTop w:val="0"/>
          <w:marBottom w:val="0"/>
          <w:divBdr>
            <w:top w:val="none" w:sz="0" w:space="0" w:color="auto"/>
            <w:left w:val="none" w:sz="0" w:space="0" w:color="auto"/>
            <w:bottom w:val="none" w:sz="0" w:space="0" w:color="auto"/>
            <w:right w:val="none" w:sz="0" w:space="0" w:color="auto"/>
          </w:divBdr>
          <w:divsChild>
            <w:div w:id="11732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417376">
      <w:bodyDiv w:val="1"/>
      <w:marLeft w:val="0"/>
      <w:marRight w:val="0"/>
      <w:marTop w:val="0"/>
      <w:marBottom w:val="0"/>
      <w:divBdr>
        <w:top w:val="none" w:sz="0" w:space="0" w:color="auto"/>
        <w:left w:val="none" w:sz="0" w:space="0" w:color="auto"/>
        <w:bottom w:val="none" w:sz="0" w:space="0" w:color="auto"/>
        <w:right w:val="none" w:sz="0" w:space="0" w:color="auto"/>
      </w:divBdr>
      <w:divsChild>
        <w:div w:id="775636973">
          <w:marLeft w:val="-720"/>
          <w:marRight w:val="0"/>
          <w:marTop w:val="0"/>
          <w:marBottom w:val="0"/>
          <w:divBdr>
            <w:top w:val="none" w:sz="0" w:space="0" w:color="auto"/>
            <w:left w:val="none" w:sz="0" w:space="0" w:color="auto"/>
            <w:bottom w:val="none" w:sz="0" w:space="0" w:color="auto"/>
            <w:right w:val="none" w:sz="0" w:space="0" w:color="auto"/>
          </w:divBdr>
        </w:div>
      </w:divsChild>
    </w:div>
    <w:div w:id="2132481141">
      <w:bodyDiv w:val="1"/>
      <w:marLeft w:val="0"/>
      <w:marRight w:val="0"/>
      <w:marTop w:val="0"/>
      <w:marBottom w:val="0"/>
      <w:divBdr>
        <w:top w:val="none" w:sz="0" w:space="0" w:color="auto"/>
        <w:left w:val="none" w:sz="0" w:space="0" w:color="auto"/>
        <w:bottom w:val="none" w:sz="0" w:space="0" w:color="auto"/>
        <w:right w:val="none" w:sz="0" w:space="0" w:color="auto"/>
      </w:divBdr>
      <w:divsChild>
        <w:div w:id="189227909">
          <w:marLeft w:val="0"/>
          <w:marRight w:val="0"/>
          <w:marTop w:val="0"/>
          <w:marBottom w:val="0"/>
          <w:divBdr>
            <w:top w:val="none" w:sz="0" w:space="0" w:color="auto"/>
            <w:left w:val="none" w:sz="0" w:space="0" w:color="auto"/>
            <w:bottom w:val="none" w:sz="0" w:space="0" w:color="auto"/>
            <w:right w:val="none" w:sz="0" w:space="0" w:color="auto"/>
          </w:divBdr>
          <w:divsChild>
            <w:div w:id="203236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942681">
      <w:bodyDiv w:val="1"/>
      <w:marLeft w:val="0"/>
      <w:marRight w:val="0"/>
      <w:marTop w:val="0"/>
      <w:marBottom w:val="0"/>
      <w:divBdr>
        <w:top w:val="none" w:sz="0" w:space="0" w:color="auto"/>
        <w:left w:val="none" w:sz="0" w:space="0" w:color="auto"/>
        <w:bottom w:val="none" w:sz="0" w:space="0" w:color="auto"/>
        <w:right w:val="none" w:sz="0" w:space="0" w:color="auto"/>
      </w:divBdr>
      <w:divsChild>
        <w:div w:id="236788915">
          <w:marLeft w:val="0"/>
          <w:marRight w:val="0"/>
          <w:marTop w:val="0"/>
          <w:marBottom w:val="0"/>
          <w:divBdr>
            <w:top w:val="none" w:sz="0" w:space="0" w:color="auto"/>
            <w:left w:val="none" w:sz="0" w:space="0" w:color="auto"/>
            <w:bottom w:val="none" w:sz="0" w:space="0" w:color="auto"/>
            <w:right w:val="none" w:sz="0" w:space="0" w:color="auto"/>
          </w:divBdr>
          <w:divsChild>
            <w:div w:id="160900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41154903"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www.jstor.org/stable/41154903" TargetMode="External"/><Relationship Id="rId1" Type="http://schemas.openxmlformats.org/officeDocument/2006/relationships/hyperlink" Target="https://www.gutenberg.org/cache/epub/4081/pg4081-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979</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G</dc:creator>
  <cp:keywords/>
  <dc:description/>
  <cp:lastModifiedBy>Agne G</cp:lastModifiedBy>
  <cp:revision>2</cp:revision>
  <dcterms:created xsi:type="dcterms:W3CDTF">2025-04-08T17:08:00Z</dcterms:created>
  <dcterms:modified xsi:type="dcterms:W3CDTF">2025-04-08T17:08:00Z</dcterms:modified>
</cp:coreProperties>
</file>