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32F9728">
      <w:pPr>
        <w:bidi w:val="0"/>
        <w:rPr>
          <w:rFonts w:hint="default" w:ascii="Arial" w:hAnsi="Arial" w:cs="Arial"/>
        </w:rPr>
      </w:pPr>
      <w:r>
        <w:rPr>
          <w:rFonts w:hint="default" w:ascii="Arial" w:hAnsi="Arial" w:cs="Arial"/>
        </w:rPr>
        <w:drawing>
          <wp:anchor distT="0" distB="0" distL="114300" distR="114300" simplePos="0" relativeHeight="251659264" behindDoc="0" locked="0" layoutInCell="1" allowOverlap="1">
            <wp:simplePos x="0" y="0"/>
            <wp:positionH relativeFrom="column">
              <wp:posOffset>-320040</wp:posOffset>
            </wp:positionH>
            <wp:positionV relativeFrom="paragraph">
              <wp:posOffset>-228600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a:xfrm>
                      <a:off x="0" y="0"/>
                      <a:ext cx="1809750" cy="723900"/>
                    </a:xfrm>
                    <a:prstGeom prst="rect">
                      <a:avLst/>
                    </a:prstGeom>
                    <a:noFill/>
                    <a:ln>
                      <a:noFill/>
                    </a:ln>
                  </pic:spPr>
                </pic:pic>
              </a:graphicData>
            </a:graphic>
          </wp:anchor>
        </w:drawing>
      </w:r>
    </w:p>
    <w:p w14:paraId="1DE88B28">
      <w:pPr>
        <w:bidi w:val="0"/>
        <w:rPr>
          <w:rFonts w:hint="default" w:ascii="Arial" w:hAnsi="Arial" w:cs="Arial"/>
        </w:rPr>
      </w:pPr>
    </w:p>
    <w:p w14:paraId="2D30CB8B">
      <w:pPr>
        <w:bidi w:val="0"/>
        <w:rPr>
          <w:rFonts w:hint="default" w:ascii="Arial" w:hAnsi="Arial" w:cs="Arial"/>
        </w:rPr>
      </w:pPr>
    </w:p>
    <w:p w14:paraId="132F9729">
      <w:pPr>
        <w:pStyle w:val="2"/>
        <w:bidi w:val="0"/>
        <w:jc w:val="center"/>
        <w:rPr>
          <w:rFonts w:hint="default" w:ascii="Arial" w:hAnsi="Arial" w:cs="Arial"/>
          <w:sz w:val="44"/>
          <w:szCs w:val="44"/>
        </w:rPr>
      </w:pPr>
      <w:bookmarkStart w:id="0" w:name="_Toc23348"/>
      <w:bookmarkStart w:id="1" w:name="_Toc8643"/>
      <w:r>
        <w:rPr>
          <w:rFonts w:hint="default" w:ascii="Arial" w:hAnsi="Arial" w:cs="Arial"/>
          <w:sz w:val="44"/>
          <w:szCs w:val="44"/>
        </w:rPr>
        <w:t>MARKETING ENVIRONMENT ANALYSIS</w:t>
      </w:r>
      <w:bookmarkEnd w:id="0"/>
      <w:bookmarkEnd w:id="1"/>
    </w:p>
    <w:p w14:paraId="132F972A">
      <w:pPr>
        <w:bidi w:val="0"/>
        <w:jc w:val="center"/>
        <w:rPr>
          <w:rFonts w:hint="default" w:ascii="Arial" w:hAnsi="Arial" w:cs="Arial"/>
          <w:sz w:val="36"/>
          <w:szCs w:val="36"/>
        </w:rPr>
      </w:pPr>
      <w:r>
        <w:rPr>
          <w:rFonts w:hint="default" w:ascii="Arial" w:hAnsi="Arial" w:cs="Arial"/>
          <w:sz w:val="36"/>
          <w:szCs w:val="36"/>
        </w:rPr>
        <w:t>Rio Tinto and the lower-carbon transition</w:t>
      </w:r>
    </w:p>
    <w:tbl>
      <w:tblPr>
        <w:tblStyle w:val="38"/>
        <w:tblW w:w="0" w:type="auto"/>
        <w:jc w:val="cente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Layout w:type="autofit"/>
        <w:tblCellMar>
          <w:top w:w="0" w:type="dxa"/>
          <w:left w:w="108" w:type="dxa"/>
          <w:bottom w:w="0" w:type="dxa"/>
          <w:right w:w="108" w:type="dxa"/>
        </w:tblCellMar>
      </w:tblPr>
      <w:tblGrid>
        <w:gridCol w:w="2232"/>
        <w:gridCol w:w="7056"/>
      </w:tblGrid>
      <w:tr w14:paraId="132F972D">
        <w:tblPrEx>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PrEx>
        <w:trPr>
          <w:cantSplit/>
          <w:tblHeader/>
          <w:jc w:val="center"/>
        </w:trPr>
        <w:tc>
          <w:tcPr>
            <w:tcW w:w="2232" w:type="dxa"/>
            <w:tcBorders>
              <w:top w:val="single" w:color="auto" w:sz="4" w:space="0"/>
              <w:left w:val="single" w:color="auto" w:sz="4" w:space="0"/>
              <w:bottom w:val="single" w:color="auto" w:sz="4" w:space="0"/>
              <w:right w:val="single" w:color="auto" w:sz="4" w:space="0"/>
            </w:tcBorders>
            <w:tcMar>
              <w:top w:w="90" w:type="dxa"/>
              <w:left w:w="100" w:type="dxa"/>
              <w:bottom w:w="90" w:type="dxa"/>
              <w:right w:w="100" w:type="dxa"/>
            </w:tcMar>
            <w:vAlign w:val="center"/>
          </w:tcPr>
          <w:p w14:paraId="132F972B">
            <w:pPr>
              <w:bidi w:val="0"/>
              <w:rPr>
                <w:rFonts w:hint="default" w:ascii="Arial" w:hAnsi="Arial" w:cs="Arial"/>
                <w:sz w:val="24"/>
                <w:szCs w:val="24"/>
              </w:rPr>
            </w:pPr>
            <w:r>
              <w:rPr>
                <w:rFonts w:hint="default" w:ascii="Arial" w:hAnsi="Arial" w:cs="Arial"/>
                <w:sz w:val="24"/>
                <w:szCs w:val="24"/>
              </w:rPr>
              <w:t>Programme:</w:t>
            </w:r>
          </w:p>
        </w:tc>
        <w:tc>
          <w:tcPr>
            <w:tcW w:w="7056" w:type="dxa"/>
            <w:tcBorders>
              <w:top w:val="single" w:color="auto" w:sz="4" w:space="0"/>
              <w:left w:val="single" w:color="auto" w:sz="4" w:space="0"/>
              <w:bottom w:val="single" w:color="auto" w:sz="4" w:space="0"/>
              <w:right w:val="single" w:color="auto" w:sz="4" w:space="0"/>
            </w:tcBorders>
            <w:tcMar>
              <w:top w:w="90" w:type="dxa"/>
              <w:left w:w="100" w:type="dxa"/>
              <w:bottom w:w="90" w:type="dxa"/>
              <w:right w:w="100" w:type="dxa"/>
            </w:tcMar>
            <w:vAlign w:val="center"/>
          </w:tcPr>
          <w:p w14:paraId="132F972C">
            <w:pPr>
              <w:bidi w:val="0"/>
              <w:rPr>
                <w:rFonts w:hint="default" w:ascii="Arial" w:hAnsi="Arial" w:cs="Arial"/>
                <w:sz w:val="24"/>
                <w:szCs w:val="24"/>
              </w:rPr>
            </w:pPr>
            <w:r>
              <w:rPr>
                <w:rFonts w:hint="default" w:ascii="Arial" w:hAnsi="Arial" w:cs="Arial"/>
                <w:sz w:val="24"/>
                <w:szCs w:val="24"/>
              </w:rPr>
              <w:t>Master of Business Administration</w:t>
            </w:r>
          </w:p>
        </w:tc>
      </w:tr>
      <w:tr w14:paraId="132F9730">
        <w:tblPrEx>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top w:w="0" w:type="dxa"/>
            <w:left w:w="108" w:type="dxa"/>
            <w:bottom w:w="0" w:type="dxa"/>
            <w:right w:w="108" w:type="dxa"/>
          </w:tblCellMar>
        </w:tblPrEx>
        <w:trPr>
          <w:cantSplit/>
          <w:jc w:val="center"/>
        </w:trPr>
        <w:tc>
          <w:tcPr>
            <w:tcW w:w="2232" w:type="dxa"/>
            <w:tcBorders>
              <w:top w:val="single" w:color="auto" w:sz="4" w:space="0"/>
              <w:left w:val="single" w:color="auto" w:sz="4" w:space="0"/>
              <w:bottom w:val="single" w:color="auto" w:sz="4" w:space="0"/>
              <w:right w:val="single" w:color="auto" w:sz="4" w:space="0"/>
            </w:tcBorders>
            <w:tcMar>
              <w:top w:w="90" w:type="dxa"/>
              <w:left w:w="100" w:type="dxa"/>
              <w:bottom w:w="90" w:type="dxa"/>
              <w:right w:w="100" w:type="dxa"/>
            </w:tcMar>
            <w:vAlign w:val="center"/>
          </w:tcPr>
          <w:p w14:paraId="132F972E">
            <w:pPr>
              <w:bidi w:val="0"/>
              <w:rPr>
                <w:rFonts w:hint="default" w:ascii="Arial" w:hAnsi="Arial" w:cs="Arial"/>
                <w:sz w:val="24"/>
                <w:szCs w:val="24"/>
              </w:rPr>
            </w:pPr>
            <w:r>
              <w:rPr>
                <w:rFonts w:hint="default" w:ascii="Arial" w:hAnsi="Arial" w:cs="Arial"/>
                <w:sz w:val="24"/>
                <w:szCs w:val="24"/>
              </w:rPr>
              <w:t>Module:</w:t>
            </w:r>
          </w:p>
        </w:tc>
        <w:tc>
          <w:tcPr>
            <w:tcW w:w="7056" w:type="dxa"/>
            <w:tcBorders>
              <w:top w:val="single" w:color="auto" w:sz="4" w:space="0"/>
              <w:left w:val="single" w:color="auto" w:sz="4" w:space="0"/>
              <w:bottom w:val="single" w:color="auto" w:sz="4" w:space="0"/>
              <w:right w:val="single" w:color="auto" w:sz="4" w:space="0"/>
            </w:tcBorders>
            <w:tcMar>
              <w:top w:w="90" w:type="dxa"/>
              <w:left w:w="100" w:type="dxa"/>
              <w:bottom w:w="90" w:type="dxa"/>
              <w:right w:w="100" w:type="dxa"/>
            </w:tcMar>
            <w:vAlign w:val="center"/>
          </w:tcPr>
          <w:p w14:paraId="132F972F">
            <w:pPr>
              <w:bidi w:val="0"/>
              <w:rPr>
                <w:rFonts w:hint="default" w:ascii="Arial" w:hAnsi="Arial" w:cs="Arial"/>
                <w:sz w:val="24"/>
                <w:szCs w:val="24"/>
              </w:rPr>
            </w:pPr>
            <w:r>
              <w:rPr>
                <w:rFonts w:hint="default" w:ascii="Arial" w:hAnsi="Arial" w:cs="Arial"/>
                <w:sz w:val="24"/>
                <w:szCs w:val="24"/>
              </w:rPr>
              <w:t>Marketing Management (LCMB7024)</w:t>
            </w:r>
          </w:p>
        </w:tc>
      </w:tr>
      <w:tr w14:paraId="132F9733">
        <w:tblPrEx>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top w:w="0" w:type="dxa"/>
            <w:left w:w="108" w:type="dxa"/>
            <w:bottom w:w="0" w:type="dxa"/>
            <w:right w:w="108" w:type="dxa"/>
          </w:tblCellMar>
        </w:tblPrEx>
        <w:trPr>
          <w:cantSplit/>
          <w:jc w:val="center"/>
        </w:trPr>
        <w:tc>
          <w:tcPr>
            <w:tcW w:w="2232" w:type="dxa"/>
            <w:tcBorders>
              <w:top w:val="single" w:color="auto" w:sz="4" w:space="0"/>
              <w:left w:val="single" w:color="auto" w:sz="4" w:space="0"/>
              <w:bottom w:val="single" w:color="auto" w:sz="4" w:space="0"/>
              <w:right w:val="single" w:color="auto" w:sz="4" w:space="0"/>
            </w:tcBorders>
            <w:tcMar>
              <w:top w:w="90" w:type="dxa"/>
              <w:left w:w="100" w:type="dxa"/>
              <w:bottom w:w="90" w:type="dxa"/>
              <w:right w:w="100" w:type="dxa"/>
            </w:tcMar>
            <w:vAlign w:val="center"/>
          </w:tcPr>
          <w:p w14:paraId="132F9731">
            <w:pPr>
              <w:bidi w:val="0"/>
              <w:rPr>
                <w:rFonts w:hint="default" w:ascii="Arial" w:hAnsi="Arial" w:cs="Arial"/>
                <w:sz w:val="24"/>
                <w:szCs w:val="24"/>
              </w:rPr>
            </w:pPr>
            <w:r>
              <w:rPr>
                <w:rFonts w:hint="default" w:ascii="Arial" w:hAnsi="Arial" w:cs="Arial"/>
                <w:sz w:val="24"/>
                <w:szCs w:val="24"/>
              </w:rPr>
              <w:t>Assessment</w:t>
            </w:r>
          </w:p>
        </w:tc>
        <w:tc>
          <w:tcPr>
            <w:tcW w:w="7056" w:type="dxa"/>
            <w:tcBorders>
              <w:top w:val="single" w:color="auto" w:sz="4" w:space="0"/>
              <w:left w:val="single" w:color="auto" w:sz="4" w:space="0"/>
              <w:bottom w:val="single" w:color="auto" w:sz="4" w:space="0"/>
              <w:right w:val="single" w:color="auto" w:sz="4" w:space="0"/>
            </w:tcBorders>
            <w:tcMar>
              <w:top w:w="90" w:type="dxa"/>
              <w:left w:w="100" w:type="dxa"/>
              <w:bottom w:w="90" w:type="dxa"/>
              <w:right w:w="100" w:type="dxa"/>
            </w:tcMar>
            <w:vAlign w:val="center"/>
          </w:tcPr>
          <w:p w14:paraId="132F9732">
            <w:pPr>
              <w:bidi w:val="0"/>
              <w:rPr>
                <w:rFonts w:hint="default" w:ascii="Arial" w:hAnsi="Arial" w:cs="Arial"/>
                <w:sz w:val="24"/>
                <w:szCs w:val="24"/>
              </w:rPr>
            </w:pPr>
            <w:r>
              <w:rPr>
                <w:rFonts w:hint="default" w:ascii="Arial" w:hAnsi="Arial" w:cs="Arial"/>
                <w:sz w:val="24"/>
                <w:szCs w:val="24"/>
              </w:rPr>
              <w:t>Assessment Component 1: Marketing Environment Analysis</w:t>
            </w:r>
          </w:p>
        </w:tc>
      </w:tr>
      <w:tr w14:paraId="132F9736">
        <w:tblPrEx>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top w:w="0" w:type="dxa"/>
            <w:left w:w="108" w:type="dxa"/>
            <w:bottom w:w="0" w:type="dxa"/>
            <w:right w:w="108" w:type="dxa"/>
          </w:tblCellMar>
        </w:tblPrEx>
        <w:trPr>
          <w:cantSplit/>
          <w:jc w:val="center"/>
        </w:trPr>
        <w:tc>
          <w:tcPr>
            <w:tcW w:w="2232" w:type="dxa"/>
            <w:tcBorders>
              <w:top w:val="single" w:color="auto" w:sz="4" w:space="0"/>
              <w:left w:val="single" w:color="auto" w:sz="4" w:space="0"/>
              <w:bottom w:val="single" w:color="auto" w:sz="4" w:space="0"/>
              <w:right w:val="single" w:color="auto" w:sz="4" w:space="0"/>
            </w:tcBorders>
            <w:tcMar>
              <w:top w:w="90" w:type="dxa"/>
              <w:left w:w="100" w:type="dxa"/>
              <w:bottom w:w="90" w:type="dxa"/>
              <w:right w:w="100" w:type="dxa"/>
            </w:tcMar>
            <w:vAlign w:val="center"/>
          </w:tcPr>
          <w:p w14:paraId="132F9734">
            <w:pPr>
              <w:bidi w:val="0"/>
              <w:rPr>
                <w:rFonts w:hint="default" w:ascii="Arial" w:hAnsi="Arial" w:cs="Arial"/>
                <w:sz w:val="24"/>
                <w:szCs w:val="24"/>
              </w:rPr>
            </w:pPr>
            <w:r>
              <w:rPr>
                <w:rFonts w:hint="default" w:ascii="Arial" w:hAnsi="Arial" w:cs="Arial"/>
                <w:sz w:val="24"/>
                <w:szCs w:val="24"/>
              </w:rPr>
              <w:t>Student</w:t>
            </w:r>
          </w:p>
        </w:tc>
        <w:tc>
          <w:tcPr>
            <w:tcW w:w="7056" w:type="dxa"/>
            <w:tcBorders>
              <w:top w:val="single" w:color="auto" w:sz="4" w:space="0"/>
              <w:left w:val="single" w:color="auto" w:sz="4" w:space="0"/>
              <w:bottom w:val="single" w:color="auto" w:sz="4" w:space="0"/>
              <w:right w:val="single" w:color="auto" w:sz="4" w:space="0"/>
            </w:tcBorders>
            <w:tcMar>
              <w:top w:w="90" w:type="dxa"/>
              <w:left w:w="100" w:type="dxa"/>
              <w:bottom w:w="90" w:type="dxa"/>
              <w:right w:w="100" w:type="dxa"/>
            </w:tcMar>
            <w:vAlign w:val="center"/>
          </w:tcPr>
          <w:p w14:paraId="132F9735">
            <w:pPr>
              <w:bidi w:val="0"/>
              <w:rPr>
                <w:rFonts w:hint="default" w:ascii="Arial" w:hAnsi="Arial" w:cs="Arial"/>
                <w:sz w:val="24"/>
                <w:szCs w:val="24"/>
              </w:rPr>
            </w:pPr>
            <w:r>
              <w:rPr>
                <w:rFonts w:hint="default" w:ascii="Arial" w:hAnsi="Arial" w:cs="Arial"/>
                <w:sz w:val="24"/>
                <w:szCs w:val="24"/>
              </w:rPr>
              <w:t>Tchewebe Alain Hoola</w:t>
            </w:r>
          </w:p>
        </w:tc>
      </w:tr>
      <w:tr w14:paraId="132F9739">
        <w:tblPrEx>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top w:w="0" w:type="dxa"/>
            <w:left w:w="108" w:type="dxa"/>
            <w:bottom w:w="0" w:type="dxa"/>
            <w:right w:w="108" w:type="dxa"/>
          </w:tblCellMar>
        </w:tblPrEx>
        <w:trPr>
          <w:cantSplit/>
          <w:jc w:val="center"/>
        </w:trPr>
        <w:tc>
          <w:tcPr>
            <w:tcW w:w="2232" w:type="dxa"/>
            <w:tcBorders>
              <w:top w:val="single" w:color="auto" w:sz="4" w:space="0"/>
              <w:left w:val="single" w:color="auto" w:sz="4" w:space="0"/>
              <w:bottom w:val="single" w:color="auto" w:sz="4" w:space="0"/>
              <w:right w:val="single" w:color="auto" w:sz="4" w:space="0"/>
            </w:tcBorders>
            <w:tcMar>
              <w:top w:w="90" w:type="dxa"/>
              <w:left w:w="100" w:type="dxa"/>
              <w:bottom w:w="90" w:type="dxa"/>
              <w:right w:w="100" w:type="dxa"/>
            </w:tcMar>
            <w:vAlign w:val="center"/>
          </w:tcPr>
          <w:p w14:paraId="132F9737">
            <w:pPr>
              <w:bidi w:val="0"/>
              <w:rPr>
                <w:rFonts w:hint="default" w:ascii="Arial" w:hAnsi="Arial" w:cs="Arial"/>
                <w:sz w:val="24"/>
                <w:szCs w:val="24"/>
              </w:rPr>
            </w:pPr>
            <w:r>
              <w:rPr>
                <w:rFonts w:hint="default" w:ascii="Arial" w:hAnsi="Arial" w:cs="Arial"/>
                <w:sz w:val="24"/>
                <w:szCs w:val="24"/>
              </w:rPr>
              <w:t>Student ID</w:t>
            </w:r>
          </w:p>
        </w:tc>
        <w:tc>
          <w:tcPr>
            <w:tcW w:w="7056" w:type="dxa"/>
            <w:tcBorders>
              <w:top w:val="single" w:color="auto" w:sz="4" w:space="0"/>
              <w:left w:val="single" w:color="auto" w:sz="4" w:space="0"/>
              <w:bottom w:val="single" w:color="auto" w:sz="4" w:space="0"/>
              <w:right w:val="single" w:color="auto" w:sz="4" w:space="0"/>
            </w:tcBorders>
            <w:tcMar>
              <w:top w:w="90" w:type="dxa"/>
              <w:left w:w="100" w:type="dxa"/>
              <w:bottom w:w="90" w:type="dxa"/>
              <w:right w:w="100" w:type="dxa"/>
            </w:tcMar>
            <w:vAlign w:val="center"/>
          </w:tcPr>
          <w:p w14:paraId="132F9738">
            <w:pPr>
              <w:bidi w:val="0"/>
              <w:rPr>
                <w:rFonts w:hint="default" w:ascii="Arial" w:hAnsi="Arial" w:cs="Arial"/>
                <w:sz w:val="24"/>
                <w:szCs w:val="24"/>
              </w:rPr>
            </w:pPr>
            <w:r>
              <w:rPr>
                <w:rFonts w:hint="default" w:ascii="Arial" w:hAnsi="Arial" w:cs="Arial"/>
                <w:sz w:val="24"/>
                <w:szCs w:val="24"/>
              </w:rPr>
              <w:t>2520485</w:t>
            </w:r>
          </w:p>
        </w:tc>
      </w:tr>
      <w:tr w14:paraId="132F973C">
        <w:tblPrEx>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top w:w="0" w:type="dxa"/>
            <w:left w:w="108" w:type="dxa"/>
            <w:bottom w:w="0" w:type="dxa"/>
            <w:right w:w="108" w:type="dxa"/>
          </w:tblCellMar>
        </w:tblPrEx>
        <w:trPr>
          <w:cantSplit/>
          <w:jc w:val="center"/>
        </w:trPr>
        <w:tc>
          <w:tcPr>
            <w:tcW w:w="2232" w:type="dxa"/>
            <w:tcBorders>
              <w:top w:val="single" w:color="auto" w:sz="4" w:space="0"/>
              <w:left w:val="single" w:color="auto" w:sz="4" w:space="0"/>
              <w:bottom w:val="single" w:color="auto" w:sz="4" w:space="0"/>
              <w:right w:val="single" w:color="auto" w:sz="4" w:space="0"/>
            </w:tcBorders>
            <w:tcMar>
              <w:top w:w="90" w:type="dxa"/>
              <w:left w:w="100" w:type="dxa"/>
              <w:bottom w:w="90" w:type="dxa"/>
              <w:right w:w="100" w:type="dxa"/>
            </w:tcMar>
            <w:vAlign w:val="center"/>
          </w:tcPr>
          <w:p w14:paraId="132F973A">
            <w:pPr>
              <w:bidi w:val="0"/>
              <w:rPr>
                <w:rFonts w:hint="default" w:ascii="Arial" w:hAnsi="Arial" w:cs="Arial"/>
                <w:sz w:val="24"/>
                <w:szCs w:val="24"/>
              </w:rPr>
            </w:pPr>
            <w:r>
              <w:rPr>
                <w:rFonts w:hint="default" w:ascii="Arial" w:hAnsi="Arial" w:cs="Arial"/>
                <w:sz w:val="24"/>
                <w:szCs w:val="24"/>
              </w:rPr>
              <w:t>Lecturer</w:t>
            </w:r>
          </w:p>
        </w:tc>
        <w:tc>
          <w:tcPr>
            <w:tcW w:w="7056" w:type="dxa"/>
            <w:tcBorders>
              <w:top w:val="single" w:color="auto" w:sz="4" w:space="0"/>
              <w:left w:val="single" w:color="auto" w:sz="4" w:space="0"/>
              <w:bottom w:val="single" w:color="auto" w:sz="4" w:space="0"/>
              <w:right w:val="single" w:color="auto" w:sz="4" w:space="0"/>
            </w:tcBorders>
            <w:tcMar>
              <w:top w:w="90" w:type="dxa"/>
              <w:left w:w="100" w:type="dxa"/>
              <w:bottom w:w="90" w:type="dxa"/>
              <w:right w:w="100" w:type="dxa"/>
            </w:tcMar>
            <w:vAlign w:val="center"/>
          </w:tcPr>
          <w:p w14:paraId="132F973B">
            <w:pPr>
              <w:bidi w:val="0"/>
              <w:rPr>
                <w:rFonts w:hint="default" w:ascii="Arial" w:hAnsi="Arial" w:cs="Arial"/>
                <w:sz w:val="24"/>
                <w:szCs w:val="24"/>
              </w:rPr>
            </w:pPr>
            <w:r>
              <w:rPr>
                <w:rFonts w:hint="default" w:ascii="Arial" w:hAnsi="Arial" w:cs="Arial"/>
                <w:sz w:val="24"/>
                <w:szCs w:val="24"/>
              </w:rPr>
              <w:t>Taonga Kaonga Sobere-Snithers</w:t>
            </w:r>
          </w:p>
        </w:tc>
      </w:tr>
      <w:tr w14:paraId="132F973F">
        <w:tblPrEx>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top w:w="0" w:type="dxa"/>
            <w:left w:w="108" w:type="dxa"/>
            <w:bottom w:w="0" w:type="dxa"/>
            <w:right w:w="108" w:type="dxa"/>
          </w:tblCellMar>
        </w:tblPrEx>
        <w:trPr>
          <w:cantSplit/>
          <w:jc w:val="center"/>
        </w:trPr>
        <w:tc>
          <w:tcPr>
            <w:tcW w:w="2232" w:type="dxa"/>
            <w:tcBorders>
              <w:top w:val="single" w:color="auto" w:sz="4" w:space="0"/>
              <w:left w:val="single" w:color="auto" w:sz="4" w:space="0"/>
              <w:bottom w:val="single" w:color="auto" w:sz="4" w:space="0"/>
              <w:right w:val="single" w:color="auto" w:sz="4" w:space="0"/>
            </w:tcBorders>
            <w:tcMar>
              <w:top w:w="90" w:type="dxa"/>
              <w:left w:w="100" w:type="dxa"/>
              <w:bottom w:w="90" w:type="dxa"/>
              <w:right w:w="100" w:type="dxa"/>
            </w:tcMar>
            <w:vAlign w:val="center"/>
          </w:tcPr>
          <w:p w14:paraId="132F973D">
            <w:pPr>
              <w:bidi w:val="0"/>
              <w:rPr>
                <w:rFonts w:hint="default" w:ascii="Arial" w:hAnsi="Arial" w:cs="Arial"/>
                <w:sz w:val="24"/>
                <w:szCs w:val="24"/>
              </w:rPr>
            </w:pPr>
            <w:r>
              <w:rPr>
                <w:rFonts w:hint="default" w:ascii="Arial" w:hAnsi="Arial" w:cs="Arial"/>
                <w:sz w:val="24"/>
                <w:szCs w:val="24"/>
              </w:rPr>
              <w:t>Submission date</w:t>
            </w:r>
          </w:p>
        </w:tc>
        <w:tc>
          <w:tcPr>
            <w:tcW w:w="7056" w:type="dxa"/>
            <w:tcBorders>
              <w:top w:val="single" w:color="auto" w:sz="4" w:space="0"/>
              <w:left w:val="single" w:color="auto" w:sz="4" w:space="0"/>
              <w:bottom w:val="single" w:color="auto" w:sz="4" w:space="0"/>
              <w:right w:val="single" w:color="auto" w:sz="4" w:space="0"/>
            </w:tcBorders>
            <w:tcMar>
              <w:top w:w="90" w:type="dxa"/>
              <w:left w:w="100" w:type="dxa"/>
              <w:bottom w:w="90" w:type="dxa"/>
              <w:right w:w="100" w:type="dxa"/>
            </w:tcMar>
            <w:vAlign w:val="center"/>
          </w:tcPr>
          <w:p w14:paraId="132F973E">
            <w:pPr>
              <w:bidi w:val="0"/>
              <w:rPr>
                <w:rFonts w:hint="default" w:ascii="Arial" w:hAnsi="Arial" w:cs="Arial"/>
                <w:sz w:val="24"/>
                <w:szCs w:val="24"/>
              </w:rPr>
            </w:pPr>
            <w:r>
              <w:rPr>
                <w:rFonts w:hint="default" w:ascii="Arial" w:hAnsi="Arial" w:cs="Arial"/>
                <w:sz w:val="24"/>
                <w:szCs w:val="24"/>
              </w:rPr>
              <w:t>22 October 2026</w:t>
            </w:r>
          </w:p>
        </w:tc>
      </w:tr>
      <w:tr w14:paraId="132F9742">
        <w:tblPrEx>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top w:w="0" w:type="dxa"/>
            <w:left w:w="108" w:type="dxa"/>
            <w:bottom w:w="0" w:type="dxa"/>
            <w:right w:w="108" w:type="dxa"/>
          </w:tblCellMar>
        </w:tblPrEx>
        <w:trPr>
          <w:cantSplit/>
          <w:jc w:val="center"/>
        </w:trPr>
        <w:tc>
          <w:tcPr>
            <w:tcW w:w="2232" w:type="dxa"/>
            <w:tcBorders>
              <w:top w:val="single" w:color="auto" w:sz="4" w:space="0"/>
              <w:left w:val="single" w:color="auto" w:sz="4" w:space="0"/>
              <w:bottom w:val="single" w:color="auto" w:sz="4" w:space="0"/>
              <w:right w:val="single" w:color="auto" w:sz="4" w:space="0"/>
            </w:tcBorders>
            <w:tcMar>
              <w:top w:w="90" w:type="dxa"/>
              <w:left w:w="100" w:type="dxa"/>
              <w:bottom w:w="90" w:type="dxa"/>
              <w:right w:w="100" w:type="dxa"/>
            </w:tcMar>
            <w:vAlign w:val="center"/>
          </w:tcPr>
          <w:p w14:paraId="132F9740">
            <w:pPr>
              <w:bidi w:val="0"/>
              <w:rPr>
                <w:rFonts w:hint="default" w:ascii="Arial" w:hAnsi="Arial" w:cs="Arial"/>
                <w:sz w:val="24"/>
                <w:szCs w:val="24"/>
              </w:rPr>
            </w:pPr>
            <w:r>
              <w:rPr>
                <w:rFonts w:hint="default" w:ascii="Arial" w:hAnsi="Arial" w:cs="Arial"/>
                <w:sz w:val="24"/>
                <w:szCs w:val="24"/>
              </w:rPr>
              <w:t>Final word count</w:t>
            </w:r>
          </w:p>
        </w:tc>
        <w:tc>
          <w:tcPr>
            <w:tcW w:w="7056" w:type="dxa"/>
            <w:tcBorders>
              <w:top w:val="single" w:color="auto" w:sz="4" w:space="0"/>
              <w:left w:val="single" w:color="auto" w:sz="4" w:space="0"/>
              <w:bottom w:val="single" w:color="auto" w:sz="4" w:space="0"/>
              <w:right w:val="single" w:color="auto" w:sz="4" w:space="0"/>
            </w:tcBorders>
            <w:tcMar>
              <w:top w:w="90" w:type="dxa"/>
              <w:left w:w="100" w:type="dxa"/>
              <w:bottom w:w="90" w:type="dxa"/>
              <w:right w:w="100" w:type="dxa"/>
            </w:tcMar>
            <w:vAlign w:val="center"/>
          </w:tcPr>
          <w:p w14:paraId="5098772A">
            <w:pPr>
              <w:rPr>
                <w:rFonts w:hint="default" w:ascii="Arial" w:hAnsi="Arial" w:cs="Arial"/>
              </w:rPr>
            </w:pPr>
            <w:r>
              <w:rPr>
                <w:rFonts w:hint="default" w:ascii="Arial" w:hAnsi="Arial" w:cs="Arial"/>
              </w:rPr>
              <w:t>2,723 words</w:t>
            </w:r>
          </w:p>
        </w:tc>
      </w:tr>
    </w:tbl>
    <w:p w14:paraId="132F9743">
      <w:pPr>
        <w:bidi w:val="0"/>
        <w:rPr>
          <w:rFonts w:hint="default" w:ascii="Arial" w:hAnsi="Arial" w:cs="Arial"/>
        </w:rPr>
      </w:pPr>
    </w:p>
    <w:p w14:paraId="132F9744">
      <w:pPr>
        <w:rPr>
          <w:rFonts w:hint="default" w:ascii="Arial" w:hAnsi="Arial" w:cs="Arial"/>
        </w:rPr>
      </w:pPr>
      <w:r>
        <w:rPr>
          <w:rFonts w:hint="default" w:ascii="Arial" w:hAnsi="Arial" w:cs="Arial"/>
        </w:rPr>
        <w:br w:type="page"/>
      </w:r>
    </w:p>
    <w:p w14:paraId="5F37D225">
      <w:pPr>
        <w:pStyle w:val="40"/>
        <w:keepNext/>
        <w:tabs>
          <w:tab w:val="right" w:leader="dot" w:pos="9792"/>
        </w:tabs>
        <w:rPr>
          <w:rFonts w:hint="default" w:ascii="Arial" w:hAnsi="Arial" w:cs="Arial"/>
          <w:b/>
          <w:bCs/>
          <w:lang w:val="en-GB"/>
        </w:rPr>
      </w:pPr>
      <w:r>
        <w:rPr>
          <w:rFonts w:hint="default" w:ascii="Arial" w:hAnsi="Arial" w:cs="Arial"/>
          <w:b/>
          <w:bCs/>
          <w:lang w:val="en-GB"/>
        </w:rPr>
        <w:t>Table of Contents</w:t>
      </w:r>
    </w:p>
    <w:p w14:paraId="638EDFE1">
      <w:pPr>
        <w:pStyle w:val="40"/>
        <w:tabs>
          <w:tab w:val="right" w:leader="dot" w:pos="9792"/>
        </w:tabs>
      </w:pPr>
      <w:r>
        <w:rPr>
          <w:rFonts w:hint="default" w:ascii="Arial" w:hAnsi="Arial" w:cs="Arial"/>
        </w:rPr>
        <w:fldChar w:fldCharType="begin"/>
      </w:r>
      <w:r>
        <w:rPr>
          <w:rFonts w:hint="default" w:ascii="Arial" w:hAnsi="Arial" w:cs="Arial"/>
        </w:rPr>
        <w:instrText xml:space="preserve">TOC \o "1-3" \h \u </w:instrText>
      </w:r>
      <w:r>
        <w:rPr>
          <w:rFonts w:hint="default" w:ascii="Arial" w:hAnsi="Arial" w:cs="Arial"/>
        </w:rPr>
        <w:fldChar w:fldCharType="separate"/>
      </w:r>
      <w:r>
        <w:rPr>
          <w:rFonts w:hint="default" w:ascii="Arial" w:hAnsi="Arial" w:cs="Arial"/>
        </w:rPr>
        <w:fldChar w:fldCharType="begin"/>
      </w:r>
      <w:r>
        <w:rPr>
          <w:rFonts w:hint="default" w:ascii="Arial" w:hAnsi="Arial" w:cs="Arial"/>
        </w:rPr>
        <w:instrText xml:space="preserve"> HYPERLINK \l _Toc8643 </w:instrText>
      </w:r>
      <w:r>
        <w:rPr>
          <w:rFonts w:hint="default" w:ascii="Arial" w:hAnsi="Arial" w:cs="Arial"/>
        </w:rPr>
        <w:fldChar w:fldCharType="separate"/>
      </w:r>
      <w:r>
        <w:rPr>
          <w:rFonts w:hint="default" w:ascii="Arial" w:hAnsi="Arial" w:cs="Arial"/>
          <w:szCs w:val="52"/>
        </w:rPr>
        <w:t>MARKETING ENVIRONMENT ANALYSIS</w:t>
      </w:r>
      <w:r>
        <w:tab/>
      </w:r>
      <w:r>
        <w:fldChar w:fldCharType="begin"/>
      </w:r>
      <w:r>
        <w:instrText xml:space="preserve"> PAGEREF _Toc8643 \h </w:instrText>
      </w:r>
      <w:r>
        <w:fldChar w:fldCharType="separate"/>
      </w:r>
      <w:r>
        <w:t>1</w:t>
      </w:r>
      <w:r>
        <w:fldChar w:fldCharType="end"/>
      </w:r>
      <w:r>
        <w:rPr>
          <w:rFonts w:hint="default" w:ascii="Arial" w:hAnsi="Arial" w:cs="Arial"/>
        </w:rPr>
        <w:fldChar w:fldCharType="end"/>
      </w:r>
    </w:p>
    <w:p w14:paraId="23ED5883">
      <w:pPr>
        <w:pStyle w:val="40"/>
        <w:tabs>
          <w:tab w:val="right" w:leader="dot" w:pos="9792"/>
        </w:tabs>
      </w:pPr>
      <w:r>
        <w:rPr>
          <w:rFonts w:hint="default" w:ascii="Arial" w:hAnsi="Arial" w:cs="Arial"/>
        </w:rPr>
        <w:fldChar w:fldCharType="begin"/>
      </w:r>
      <w:r>
        <w:rPr>
          <w:rFonts w:hint="default" w:ascii="Arial" w:hAnsi="Arial" w:cs="Arial"/>
        </w:rPr>
        <w:instrText xml:space="preserve"> HYPERLINK \l _Toc14230 </w:instrText>
      </w:r>
      <w:r>
        <w:rPr>
          <w:rFonts w:hint="default" w:ascii="Arial" w:hAnsi="Arial" w:cs="Arial"/>
        </w:rPr>
        <w:fldChar w:fldCharType="separate"/>
      </w:r>
      <w:r>
        <w:rPr>
          <w:rFonts w:hint="default"/>
        </w:rPr>
        <w:t>List of Abbreviations</w:t>
      </w:r>
      <w:r>
        <w:tab/>
      </w:r>
      <w:r>
        <w:fldChar w:fldCharType="begin"/>
      </w:r>
      <w:r>
        <w:instrText xml:space="preserve"> PAGEREF _Toc14230 \h </w:instrText>
      </w:r>
      <w:r>
        <w:fldChar w:fldCharType="separate"/>
      </w:r>
      <w:r>
        <w:t>3</w:t>
      </w:r>
      <w:r>
        <w:fldChar w:fldCharType="end"/>
      </w:r>
      <w:r>
        <w:rPr>
          <w:rFonts w:hint="default" w:ascii="Arial" w:hAnsi="Arial" w:cs="Arial"/>
        </w:rPr>
        <w:fldChar w:fldCharType="end"/>
      </w:r>
    </w:p>
    <w:p w14:paraId="21A3E9DE">
      <w:pPr>
        <w:pStyle w:val="40"/>
        <w:tabs>
          <w:tab w:val="right" w:leader="dot" w:pos="9792"/>
        </w:tabs>
      </w:pPr>
      <w:r>
        <w:rPr>
          <w:rFonts w:hint="default" w:ascii="Arial" w:hAnsi="Arial" w:cs="Arial"/>
        </w:rPr>
        <w:fldChar w:fldCharType="begin"/>
      </w:r>
      <w:r>
        <w:rPr>
          <w:rFonts w:hint="default" w:ascii="Arial" w:hAnsi="Arial" w:cs="Arial"/>
        </w:rPr>
        <w:instrText xml:space="preserve"> HYPERLINK \l _Toc23854 </w:instrText>
      </w:r>
      <w:r>
        <w:rPr>
          <w:rFonts w:hint="default" w:ascii="Arial" w:hAnsi="Arial" w:cs="Arial"/>
        </w:rPr>
        <w:fldChar w:fldCharType="separate"/>
      </w:r>
      <w:r>
        <w:rPr>
          <w:rFonts w:hint="default" w:ascii="Arial" w:hAnsi="Arial" w:cs="Arial"/>
        </w:rPr>
        <w:t>1 Introduction</w:t>
      </w:r>
      <w:r>
        <w:tab/>
      </w:r>
      <w:r>
        <w:fldChar w:fldCharType="begin"/>
      </w:r>
      <w:r>
        <w:instrText xml:space="preserve"> PAGEREF _Toc23854 \h </w:instrText>
      </w:r>
      <w:r>
        <w:fldChar w:fldCharType="separate"/>
      </w:r>
      <w:r>
        <w:t>4</w:t>
      </w:r>
      <w:r>
        <w:fldChar w:fldCharType="end"/>
      </w:r>
      <w:r>
        <w:rPr>
          <w:rFonts w:hint="default" w:ascii="Arial" w:hAnsi="Arial" w:cs="Arial"/>
        </w:rPr>
        <w:fldChar w:fldCharType="end"/>
      </w:r>
    </w:p>
    <w:p w14:paraId="0124DAE1">
      <w:pPr>
        <w:pStyle w:val="40"/>
        <w:tabs>
          <w:tab w:val="right" w:leader="dot" w:pos="9792"/>
        </w:tabs>
      </w:pPr>
      <w:r>
        <w:rPr>
          <w:rFonts w:hint="default" w:ascii="Arial" w:hAnsi="Arial" w:cs="Arial"/>
        </w:rPr>
        <w:fldChar w:fldCharType="begin"/>
      </w:r>
      <w:r>
        <w:rPr>
          <w:rFonts w:hint="default" w:ascii="Arial" w:hAnsi="Arial" w:cs="Arial"/>
        </w:rPr>
        <w:instrText xml:space="preserve"> HYPERLINK \l _Toc13154 </w:instrText>
      </w:r>
      <w:r>
        <w:rPr>
          <w:rFonts w:hint="default" w:ascii="Arial" w:hAnsi="Arial" w:cs="Arial"/>
        </w:rPr>
        <w:fldChar w:fldCharType="separate"/>
      </w:r>
      <w:r>
        <w:rPr>
          <w:rFonts w:hint="default" w:ascii="Arial" w:hAnsi="Arial" w:cs="Arial"/>
        </w:rPr>
        <w:t>2 Task 1 Marketing Environment Analysis</w:t>
      </w:r>
      <w:r>
        <w:tab/>
      </w:r>
      <w:r>
        <w:fldChar w:fldCharType="begin"/>
      </w:r>
      <w:r>
        <w:instrText xml:space="preserve"> PAGEREF _Toc13154 \h </w:instrText>
      </w:r>
      <w:r>
        <w:fldChar w:fldCharType="separate"/>
      </w:r>
      <w:r>
        <w:t>4</w:t>
      </w:r>
      <w:r>
        <w:fldChar w:fldCharType="end"/>
      </w:r>
      <w:r>
        <w:rPr>
          <w:rFonts w:hint="default" w:ascii="Arial" w:hAnsi="Arial" w:cs="Arial"/>
        </w:rPr>
        <w:fldChar w:fldCharType="end"/>
      </w:r>
    </w:p>
    <w:p w14:paraId="4DA69897">
      <w:pPr>
        <w:pStyle w:val="41"/>
        <w:tabs>
          <w:tab w:val="right" w:leader="dot" w:pos="9792"/>
        </w:tabs>
      </w:pPr>
      <w:r>
        <w:rPr>
          <w:rFonts w:hint="default" w:ascii="Arial" w:hAnsi="Arial" w:cs="Arial"/>
        </w:rPr>
        <w:fldChar w:fldCharType="begin"/>
      </w:r>
      <w:r>
        <w:rPr>
          <w:rFonts w:hint="default" w:ascii="Arial" w:hAnsi="Arial" w:cs="Arial"/>
        </w:rPr>
        <w:instrText xml:space="preserve"> HYPERLINK \l _Toc10049 </w:instrText>
      </w:r>
      <w:r>
        <w:rPr>
          <w:rFonts w:hint="default" w:ascii="Arial" w:hAnsi="Arial" w:cs="Arial"/>
        </w:rPr>
        <w:fldChar w:fldCharType="separate"/>
      </w:r>
      <w:r>
        <w:rPr>
          <w:rFonts w:hint="default" w:ascii="Arial" w:hAnsi="Arial" w:cs="Arial"/>
        </w:rPr>
        <w:t>2.1 Environmental Actor</w:t>
      </w:r>
      <w:r>
        <w:tab/>
      </w:r>
      <w:r>
        <w:fldChar w:fldCharType="begin"/>
      </w:r>
      <w:r>
        <w:instrText xml:space="preserve"> PAGEREF _Toc10049 \h </w:instrText>
      </w:r>
      <w:r>
        <w:fldChar w:fldCharType="separate"/>
      </w:r>
      <w:r>
        <w:t>4</w:t>
      </w:r>
      <w:r>
        <w:fldChar w:fldCharType="end"/>
      </w:r>
      <w:r>
        <w:rPr>
          <w:rFonts w:hint="default" w:ascii="Arial" w:hAnsi="Arial" w:cs="Arial"/>
        </w:rPr>
        <w:fldChar w:fldCharType="end"/>
      </w:r>
    </w:p>
    <w:p w14:paraId="7DAC1AF8">
      <w:pPr>
        <w:pStyle w:val="41"/>
        <w:tabs>
          <w:tab w:val="right" w:leader="dot" w:pos="9792"/>
        </w:tabs>
      </w:pPr>
      <w:r>
        <w:rPr>
          <w:rFonts w:hint="default" w:ascii="Arial" w:hAnsi="Arial" w:cs="Arial"/>
        </w:rPr>
        <w:fldChar w:fldCharType="begin"/>
      </w:r>
      <w:r>
        <w:rPr>
          <w:rFonts w:hint="default" w:ascii="Arial" w:hAnsi="Arial" w:cs="Arial"/>
        </w:rPr>
        <w:instrText xml:space="preserve"> HYPERLINK \l _Toc17889 </w:instrText>
      </w:r>
      <w:r>
        <w:rPr>
          <w:rFonts w:hint="default" w:ascii="Arial" w:hAnsi="Arial" w:cs="Arial"/>
        </w:rPr>
        <w:fldChar w:fldCharType="separate"/>
      </w:r>
      <w:r>
        <w:rPr>
          <w:rFonts w:hint="default" w:ascii="Arial" w:hAnsi="Arial" w:cs="Arial"/>
        </w:rPr>
        <w:t>2.2 Political Actor</w:t>
      </w:r>
      <w:r>
        <w:tab/>
      </w:r>
      <w:r>
        <w:fldChar w:fldCharType="begin"/>
      </w:r>
      <w:r>
        <w:instrText xml:space="preserve"> PAGEREF _Toc17889 \h </w:instrText>
      </w:r>
      <w:r>
        <w:fldChar w:fldCharType="separate"/>
      </w:r>
      <w:r>
        <w:t>6</w:t>
      </w:r>
      <w:r>
        <w:fldChar w:fldCharType="end"/>
      </w:r>
      <w:r>
        <w:rPr>
          <w:rFonts w:hint="default" w:ascii="Arial" w:hAnsi="Arial" w:cs="Arial"/>
        </w:rPr>
        <w:fldChar w:fldCharType="end"/>
      </w:r>
    </w:p>
    <w:p w14:paraId="178E7D67">
      <w:pPr>
        <w:pStyle w:val="41"/>
        <w:tabs>
          <w:tab w:val="right" w:leader="dot" w:pos="9792"/>
        </w:tabs>
      </w:pPr>
      <w:r>
        <w:rPr>
          <w:rFonts w:hint="default" w:ascii="Arial" w:hAnsi="Arial" w:cs="Arial"/>
        </w:rPr>
        <w:fldChar w:fldCharType="begin"/>
      </w:r>
      <w:r>
        <w:rPr>
          <w:rFonts w:hint="default" w:ascii="Arial" w:hAnsi="Arial" w:cs="Arial"/>
        </w:rPr>
        <w:instrText xml:space="preserve"> HYPERLINK \l _Toc8762 </w:instrText>
      </w:r>
      <w:r>
        <w:rPr>
          <w:rFonts w:hint="default" w:ascii="Arial" w:hAnsi="Arial" w:cs="Arial"/>
        </w:rPr>
        <w:fldChar w:fldCharType="separate"/>
      </w:r>
      <w:r>
        <w:rPr>
          <w:rFonts w:hint="default" w:ascii="Arial" w:hAnsi="Arial" w:cs="Arial"/>
        </w:rPr>
        <w:t>2.3 Technological Actor</w:t>
      </w:r>
      <w:r>
        <w:tab/>
      </w:r>
      <w:r>
        <w:fldChar w:fldCharType="begin"/>
      </w:r>
      <w:r>
        <w:instrText xml:space="preserve"> PAGEREF _Toc8762 \h </w:instrText>
      </w:r>
      <w:r>
        <w:fldChar w:fldCharType="separate"/>
      </w:r>
      <w:r>
        <w:t>7</w:t>
      </w:r>
      <w:r>
        <w:fldChar w:fldCharType="end"/>
      </w:r>
      <w:r>
        <w:rPr>
          <w:rFonts w:hint="default" w:ascii="Arial" w:hAnsi="Arial" w:cs="Arial"/>
        </w:rPr>
        <w:fldChar w:fldCharType="end"/>
      </w:r>
    </w:p>
    <w:p w14:paraId="190EB82D">
      <w:pPr>
        <w:pStyle w:val="41"/>
        <w:tabs>
          <w:tab w:val="right" w:leader="dot" w:pos="9792"/>
        </w:tabs>
      </w:pPr>
      <w:r>
        <w:rPr>
          <w:rFonts w:hint="default" w:ascii="Arial" w:hAnsi="Arial" w:cs="Arial"/>
        </w:rPr>
        <w:fldChar w:fldCharType="begin"/>
      </w:r>
      <w:r>
        <w:rPr>
          <w:rFonts w:hint="default" w:ascii="Arial" w:hAnsi="Arial" w:cs="Arial"/>
        </w:rPr>
        <w:instrText xml:space="preserve"> HYPERLINK \l _Toc12210 </w:instrText>
      </w:r>
      <w:r>
        <w:rPr>
          <w:rFonts w:hint="default" w:ascii="Arial" w:hAnsi="Arial" w:cs="Arial"/>
        </w:rPr>
        <w:fldChar w:fldCharType="separate"/>
      </w:r>
      <w:r>
        <w:rPr>
          <w:rFonts w:hint="default" w:ascii="Arial" w:hAnsi="Arial" w:cs="Arial"/>
        </w:rPr>
        <w:t>2.4 Customer Behaviour, Brand and Competitor Implications</w:t>
      </w:r>
      <w:r>
        <w:tab/>
      </w:r>
      <w:r>
        <w:fldChar w:fldCharType="begin"/>
      </w:r>
      <w:r>
        <w:instrText xml:space="preserve"> PAGEREF _Toc12210 \h </w:instrText>
      </w:r>
      <w:r>
        <w:fldChar w:fldCharType="separate"/>
      </w:r>
      <w:r>
        <w:t>7</w:t>
      </w:r>
      <w:r>
        <w:fldChar w:fldCharType="end"/>
      </w:r>
      <w:r>
        <w:rPr>
          <w:rFonts w:hint="default" w:ascii="Arial" w:hAnsi="Arial" w:cs="Arial"/>
        </w:rPr>
        <w:fldChar w:fldCharType="end"/>
      </w:r>
    </w:p>
    <w:p w14:paraId="4A6D9AA3">
      <w:pPr>
        <w:pStyle w:val="41"/>
        <w:tabs>
          <w:tab w:val="right" w:leader="dot" w:pos="9792"/>
        </w:tabs>
      </w:pPr>
      <w:r>
        <w:rPr>
          <w:rFonts w:hint="default" w:ascii="Arial" w:hAnsi="Arial" w:cs="Arial"/>
        </w:rPr>
        <w:fldChar w:fldCharType="begin"/>
      </w:r>
      <w:r>
        <w:rPr>
          <w:rFonts w:hint="default" w:ascii="Arial" w:hAnsi="Arial" w:cs="Arial"/>
        </w:rPr>
        <w:instrText xml:space="preserve"> HYPERLINK \l _Toc32301 </w:instrText>
      </w:r>
      <w:r>
        <w:rPr>
          <w:rFonts w:hint="default" w:ascii="Arial" w:hAnsi="Arial" w:cs="Arial"/>
        </w:rPr>
        <w:fldChar w:fldCharType="separate"/>
      </w:r>
      <w:r>
        <w:rPr>
          <w:rFonts w:hint="default" w:ascii="Arial" w:hAnsi="Arial" w:cs="Arial"/>
        </w:rPr>
        <w:t>2.5 Porter’s Five Forces and Competitive Pressure</w:t>
      </w:r>
      <w:r>
        <w:tab/>
      </w:r>
      <w:r>
        <w:fldChar w:fldCharType="begin"/>
      </w:r>
      <w:r>
        <w:instrText xml:space="preserve"> PAGEREF _Toc32301 \h </w:instrText>
      </w:r>
      <w:r>
        <w:fldChar w:fldCharType="separate"/>
      </w:r>
      <w:r>
        <w:t>8</w:t>
      </w:r>
      <w:r>
        <w:fldChar w:fldCharType="end"/>
      </w:r>
      <w:r>
        <w:rPr>
          <w:rFonts w:hint="default" w:ascii="Arial" w:hAnsi="Arial" w:cs="Arial"/>
        </w:rPr>
        <w:fldChar w:fldCharType="end"/>
      </w:r>
    </w:p>
    <w:p w14:paraId="6DE38A6A">
      <w:pPr>
        <w:pStyle w:val="40"/>
        <w:tabs>
          <w:tab w:val="right" w:leader="dot" w:pos="9792"/>
        </w:tabs>
      </w:pPr>
      <w:r>
        <w:rPr>
          <w:rFonts w:hint="default" w:ascii="Arial" w:hAnsi="Arial" w:cs="Arial"/>
        </w:rPr>
        <w:fldChar w:fldCharType="begin"/>
      </w:r>
      <w:r>
        <w:rPr>
          <w:rFonts w:hint="default" w:ascii="Arial" w:hAnsi="Arial" w:cs="Arial"/>
        </w:rPr>
        <w:instrText xml:space="preserve"> HYPERLINK \l _Toc21192 </w:instrText>
      </w:r>
      <w:r>
        <w:rPr>
          <w:rFonts w:hint="default" w:ascii="Arial" w:hAnsi="Arial" w:cs="Arial"/>
        </w:rPr>
        <w:fldChar w:fldCharType="separate"/>
      </w:r>
      <w:r>
        <w:rPr>
          <w:rFonts w:hint="default" w:ascii="Arial" w:hAnsi="Arial" w:cs="Arial"/>
        </w:rPr>
        <w:t>3 Task 2 Strategic Growth and Competitive Positioning</w:t>
      </w:r>
      <w:r>
        <w:tab/>
      </w:r>
      <w:r>
        <w:fldChar w:fldCharType="begin"/>
      </w:r>
      <w:r>
        <w:instrText xml:space="preserve"> PAGEREF _Toc21192 \h </w:instrText>
      </w:r>
      <w:r>
        <w:fldChar w:fldCharType="separate"/>
      </w:r>
      <w:r>
        <w:t>8</w:t>
      </w:r>
      <w:r>
        <w:fldChar w:fldCharType="end"/>
      </w:r>
      <w:r>
        <w:rPr>
          <w:rFonts w:hint="default" w:ascii="Arial" w:hAnsi="Arial" w:cs="Arial"/>
        </w:rPr>
        <w:fldChar w:fldCharType="end"/>
      </w:r>
    </w:p>
    <w:p w14:paraId="306523A7">
      <w:pPr>
        <w:pStyle w:val="41"/>
        <w:tabs>
          <w:tab w:val="right" w:leader="dot" w:pos="9792"/>
        </w:tabs>
      </w:pPr>
      <w:r>
        <w:rPr>
          <w:rFonts w:hint="default" w:ascii="Arial" w:hAnsi="Arial" w:cs="Arial"/>
        </w:rPr>
        <w:fldChar w:fldCharType="begin"/>
      </w:r>
      <w:r>
        <w:rPr>
          <w:rFonts w:hint="default" w:ascii="Arial" w:hAnsi="Arial" w:cs="Arial"/>
        </w:rPr>
        <w:instrText xml:space="preserve"> HYPERLINK \l _Toc26306 </w:instrText>
      </w:r>
      <w:r>
        <w:rPr>
          <w:rFonts w:hint="default" w:ascii="Arial" w:hAnsi="Arial" w:cs="Arial"/>
        </w:rPr>
        <w:fldChar w:fldCharType="separate"/>
      </w:r>
      <w:r>
        <w:rPr>
          <w:rFonts w:hint="default" w:ascii="Arial" w:hAnsi="Arial" w:cs="Arial"/>
        </w:rPr>
        <w:t>3.1 Ansoff Matrix Applied to Rio Tinto</w:t>
      </w:r>
      <w:r>
        <w:tab/>
      </w:r>
      <w:r>
        <w:fldChar w:fldCharType="begin"/>
      </w:r>
      <w:r>
        <w:instrText xml:space="preserve"> PAGEREF _Toc26306 \h </w:instrText>
      </w:r>
      <w:r>
        <w:fldChar w:fldCharType="separate"/>
      </w:r>
      <w:r>
        <w:t>8</w:t>
      </w:r>
      <w:r>
        <w:fldChar w:fldCharType="end"/>
      </w:r>
      <w:r>
        <w:rPr>
          <w:rFonts w:hint="default" w:ascii="Arial" w:hAnsi="Arial" w:cs="Arial"/>
        </w:rPr>
        <w:fldChar w:fldCharType="end"/>
      </w:r>
    </w:p>
    <w:p w14:paraId="4C891721">
      <w:pPr>
        <w:pStyle w:val="41"/>
        <w:tabs>
          <w:tab w:val="right" w:leader="dot" w:pos="9792"/>
        </w:tabs>
      </w:pPr>
      <w:r>
        <w:rPr>
          <w:rFonts w:hint="default" w:ascii="Arial" w:hAnsi="Arial" w:cs="Arial"/>
        </w:rPr>
        <w:fldChar w:fldCharType="begin"/>
      </w:r>
      <w:r>
        <w:rPr>
          <w:rFonts w:hint="default" w:ascii="Arial" w:hAnsi="Arial" w:cs="Arial"/>
        </w:rPr>
        <w:instrText xml:space="preserve"> HYPERLINK \l _Toc16286 </w:instrText>
      </w:r>
      <w:r>
        <w:rPr>
          <w:rFonts w:hint="default" w:ascii="Arial" w:hAnsi="Arial" w:cs="Arial"/>
        </w:rPr>
        <w:fldChar w:fldCharType="separate"/>
      </w:r>
      <w:r>
        <w:rPr>
          <w:rFonts w:hint="default" w:ascii="Arial" w:hAnsi="Arial" w:cs="Arial"/>
        </w:rPr>
        <w:t>3.2 Recommended Growth Approach</w:t>
      </w:r>
      <w:r>
        <w:tab/>
      </w:r>
      <w:r>
        <w:fldChar w:fldCharType="begin"/>
      </w:r>
      <w:r>
        <w:instrText xml:space="preserve"> PAGEREF _Toc16286 \h </w:instrText>
      </w:r>
      <w:r>
        <w:fldChar w:fldCharType="separate"/>
      </w:r>
      <w:r>
        <w:t>9</w:t>
      </w:r>
      <w:r>
        <w:fldChar w:fldCharType="end"/>
      </w:r>
      <w:r>
        <w:rPr>
          <w:rFonts w:hint="default" w:ascii="Arial" w:hAnsi="Arial" w:cs="Arial"/>
        </w:rPr>
        <w:fldChar w:fldCharType="end"/>
      </w:r>
    </w:p>
    <w:p w14:paraId="608EFEF7">
      <w:pPr>
        <w:pStyle w:val="41"/>
        <w:tabs>
          <w:tab w:val="right" w:leader="dot" w:pos="9792"/>
        </w:tabs>
      </w:pPr>
      <w:r>
        <w:rPr>
          <w:rFonts w:hint="default" w:ascii="Arial" w:hAnsi="Arial" w:cs="Arial"/>
        </w:rPr>
        <w:fldChar w:fldCharType="begin"/>
      </w:r>
      <w:r>
        <w:rPr>
          <w:rFonts w:hint="default" w:ascii="Arial" w:hAnsi="Arial" w:cs="Arial"/>
        </w:rPr>
        <w:instrText xml:space="preserve"> HYPERLINK \l _Toc22559 </w:instrText>
      </w:r>
      <w:r>
        <w:rPr>
          <w:rFonts w:hint="default" w:ascii="Arial" w:hAnsi="Arial" w:cs="Arial"/>
        </w:rPr>
        <w:fldChar w:fldCharType="separate"/>
      </w:r>
      <w:r>
        <w:rPr>
          <w:rFonts w:hint="default" w:ascii="Arial" w:hAnsi="Arial" w:cs="Arial"/>
        </w:rPr>
        <w:t>3.3 Competitive Positioning and Implementation</w:t>
      </w:r>
      <w:r>
        <w:tab/>
      </w:r>
      <w:r>
        <w:fldChar w:fldCharType="begin"/>
      </w:r>
      <w:r>
        <w:instrText xml:space="preserve"> PAGEREF _Toc22559 \h </w:instrText>
      </w:r>
      <w:r>
        <w:fldChar w:fldCharType="separate"/>
      </w:r>
      <w:r>
        <w:t>10</w:t>
      </w:r>
      <w:r>
        <w:fldChar w:fldCharType="end"/>
      </w:r>
      <w:r>
        <w:rPr>
          <w:rFonts w:hint="default" w:ascii="Arial" w:hAnsi="Arial" w:cs="Arial"/>
        </w:rPr>
        <w:fldChar w:fldCharType="end"/>
      </w:r>
    </w:p>
    <w:p w14:paraId="15B5C5CF">
      <w:pPr>
        <w:pStyle w:val="40"/>
        <w:tabs>
          <w:tab w:val="right" w:leader="dot" w:pos="9792"/>
        </w:tabs>
      </w:pPr>
      <w:r>
        <w:rPr>
          <w:rFonts w:hint="default" w:ascii="Arial" w:hAnsi="Arial" w:cs="Arial"/>
        </w:rPr>
        <w:fldChar w:fldCharType="begin"/>
      </w:r>
      <w:r>
        <w:rPr>
          <w:rFonts w:hint="default" w:ascii="Arial" w:hAnsi="Arial" w:cs="Arial"/>
        </w:rPr>
        <w:instrText xml:space="preserve"> HYPERLINK \l _Toc16659 </w:instrText>
      </w:r>
      <w:r>
        <w:rPr>
          <w:rFonts w:hint="default" w:ascii="Arial" w:hAnsi="Arial" w:cs="Arial"/>
        </w:rPr>
        <w:fldChar w:fldCharType="separate"/>
      </w:r>
      <w:r>
        <w:rPr>
          <w:rFonts w:hint="default" w:ascii="Arial" w:hAnsi="Arial" w:cs="Arial"/>
        </w:rPr>
        <w:t>4 Task 3 Managerial and Professional Reflection</w:t>
      </w:r>
      <w:r>
        <w:tab/>
      </w:r>
      <w:r>
        <w:fldChar w:fldCharType="begin"/>
      </w:r>
      <w:r>
        <w:instrText xml:space="preserve"> PAGEREF _Toc16659 \h </w:instrText>
      </w:r>
      <w:r>
        <w:fldChar w:fldCharType="separate"/>
      </w:r>
      <w:r>
        <w:t>11</w:t>
      </w:r>
      <w:r>
        <w:fldChar w:fldCharType="end"/>
      </w:r>
      <w:r>
        <w:rPr>
          <w:rFonts w:hint="default" w:ascii="Arial" w:hAnsi="Arial" w:cs="Arial"/>
        </w:rPr>
        <w:fldChar w:fldCharType="end"/>
      </w:r>
    </w:p>
    <w:p w14:paraId="1E663929">
      <w:pPr>
        <w:pStyle w:val="40"/>
        <w:tabs>
          <w:tab w:val="right" w:leader="dot" w:pos="9792"/>
        </w:tabs>
      </w:pPr>
      <w:r>
        <w:rPr>
          <w:rFonts w:hint="default" w:ascii="Arial" w:hAnsi="Arial" w:cs="Arial"/>
        </w:rPr>
        <w:fldChar w:fldCharType="begin"/>
      </w:r>
      <w:r>
        <w:rPr>
          <w:rFonts w:hint="default" w:ascii="Arial" w:hAnsi="Arial" w:cs="Arial"/>
        </w:rPr>
        <w:instrText xml:space="preserve"> HYPERLINK \l _Toc23491 </w:instrText>
      </w:r>
      <w:r>
        <w:rPr>
          <w:rFonts w:hint="default" w:ascii="Arial" w:hAnsi="Arial" w:cs="Arial"/>
        </w:rPr>
        <w:fldChar w:fldCharType="separate"/>
      </w:r>
      <w:r>
        <w:rPr>
          <w:rFonts w:hint="default" w:ascii="Arial" w:hAnsi="Arial" w:cs="Arial"/>
        </w:rPr>
        <w:t>5 Conclusion</w:t>
      </w:r>
      <w:r>
        <w:tab/>
      </w:r>
      <w:r>
        <w:fldChar w:fldCharType="begin"/>
      </w:r>
      <w:r>
        <w:instrText xml:space="preserve"> PAGEREF _Toc23491 \h </w:instrText>
      </w:r>
      <w:r>
        <w:fldChar w:fldCharType="separate"/>
      </w:r>
      <w:r>
        <w:t>13</w:t>
      </w:r>
      <w:r>
        <w:fldChar w:fldCharType="end"/>
      </w:r>
      <w:r>
        <w:rPr>
          <w:rFonts w:hint="default" w:ascii="Arial" w:hAnsi="Arial" w:cs="Arial"/>
        </w:rPr>
        <w:fldChar w:fldCharType="end"/>
      </w:r>
    </w:p>
    <w:p w14:paraId="26732306">
      <w:pPr>
        <w:pStyle w:val="40"/>
        <w:tabs>
          <w:tab w:val="right" w:leader="dot" w:pos="9792"/>
        </w:tabs>
      </w:pPr>
      <w:r>
        <w:rPr>
          <w:rFonts w:hint="default" w:ascii="Arial" w:hAnsi="Arial" w:cs="Arial"/>
        </w:rPr>
        <w:fldChar w:fldCharType="begin"/>
      </w:r>
      <w:r>
        <w:rPr>
          <w:rFonts w:hint="default" w:ascii="Arial" w:hAnsi="Arial" w:cs="Arial"/>
        </w:rPr>
        <w:instrText xml:space="preserve"> HYPERLINK \l _Toc1084 </w:instrText>
      </w:r>
      <w:r>
        <w:rPr>
          <w:rFonts w:hint="default" w:ascii="Arial" w:hAnsi="Arial" w:cs="Arial"/>
        </w:rPr>
        <w:fldChar w:fldCharType="separate"/>
      </w:r>
      <w:r>
        <w:rPr>
          <w:rFonts w:hint="default" w:ascii="Arial" w:hAnsi="Arial" w:cs="Arial"/>
        </w:rPr>
        <w:t>6 Reference List</w:t>
      </w:r>
      <w:r>
        <w:tab/>
      </w:r>
      <w:r>
        <w:fldChar w:fldCharType="begin"/>
      </w:r>
      <w:r>
        <w:instrText xml:space="preserve"> PAGEREF _Toc1084 \h </w:instrText>
      </w:r>
      <w:r>
        <w:fldChar w:fldCharType="separate"/>
      </w:r>
      <w:r>
        <w:t>13</w:t>
      </w:r>
      <w:r>
        <w:fldChar w:fldCharType="end"/>
      </w:r>
      <w:r>
        <w:rPr>
          <w:rFonts w:hint="default" w:ascii="Arial" w:hAnsi="Arial" w:cs="Arial"/>
        </w:rPr>
        <w:fldChar w:fldCharType="end"/>
      </w:r>
    </w:p>
    <w:p w14:paraId="323A99D7">
      <w:pPr>
        <w:pStyle w:val="40"/>
        <w:tabs>
          <w:tab w:val="right" w:leader="dot" w:pos="9792"/>
        </w:tabs>
      </w:pPr>
      <w:r>
        <w:rPr>
          <w:rFonts w:hint="default" w:ascii="Arial" w:hAnsi="Arial" w:cs="Arial"/>
        </w:rPr>
        <w:fldChar w:fldCharType="begin"/>
      </w:r>
      <w:r>
        <w:rPr>
          <w:rFonts w:hint="default" w:ascii="Arial" w:hAnsi="Arial" w:cs="Arial"/>
        </w:rPr>
        <w:instrText xml:space="preserve"> HYPERLINK \l _Toc30115 </w:instrText>
      </w:r>
      <w:r>
        <w:rPr>
          <w:rFonts w:hint="default" w:ascii="Arial" w:hAnsi="Arial" w:cs="Arial"/>
        </w:rPr>
        <w:fldChar w:fldCharType="separate"/>
      </w:r>
      <w:r>
        <w:rPr>
          <w:rFonts w:hint="default" w:ascii="Arial" w:hAnsi="Arial" w:cs="Arial"/>
        </w:rPr>
        <w:t>7 Appendices</w:t>
      </w:r>
      <w:r>
        <w:tab/>
      </w:r>
      <w:r>
        <w:fldChar w:fldCharType="begin"/>
      </w:r>
      <w:r>
        <w:instrText xml:space="preserve"> PAGEREF _Toc30115 \h </w:instrText>
      </w:r>
      <w:r>
        <w:fldChar w:fldCharType="separate"/>
      </w:r>
      <w:r>
        <w:t>15</w:t>
      </w:r>
      <w:r>
        <w:fldChar w:fldCharType="end"/>
      </w:r>
      <w:r>
        <w:rPr>
          <w:rFonts w:hint="default" w:ascii="Arial" w:hAnsi="Arial" w:cs="Arial"/>
        </w:rPr>
        <w:fldChar w:fldCharType="end"/>
      </w:r>
    </w:p>
    <w:p w14:paraId="5C018821">
      <w:pPr>
        <w:pStyle w:val="41"/>
        <w:tabs>
          <w:tab w:val="right" w:leader="dot" w:pos="9792"/>
        </w:tabs>
      </w:pPr>
      <w:r>
        <w:rPr>
          <w:rFonts w:hint="default" w:ascii="Arial" w:hAnsi="Arial" w:cs="Arial"/>
        </w:rPr>
        <w:fldChar w:fldCharType="begin"/>
      </w:r>
      <w:r>
        <w:rPr>
          <w:rFonts w:hint="default" w:ascii="Arial" w:hAnsi="Arial" w:cs="Arial"/>
        </w:rPr>
        <w:instrText xml:space="preserve"> HYPERLINK \l _Toc9132 </w:instrText>
      </w:r>
      <w:r>
        <w:rPr>
          <w:rFonts w:hint="default" w:ascii="Arial" w:hAnsi="Arial" w:cs="Arial"/>
        </w:rPr>
        <w:fldChar w:fldCharType="separate"/>
      </w:r>
      <w:r>
        <w:rPr>
          <w:rFonts w:hint="default" w:ascii="Arial" w:hAnsi="Arial" w:cs="Arial"/>
        </w:rPr>
        <w:t>Appendix A Evidence and decision summary</w:t>
      </w:r>
      <w:r>
        <w:tab/>
      </w:r>
      <w:r>
        <w:fldChar w:fldCharType="begin"/>
      </w:r>
      <w:r>
        <w:instrText xml:space="preserve"> PAGEREF _Toc9132 \h </w:instrText>
      </w:r>
      <w:r>
        <w:fldChar w:fldCharType="separate"/>
      </w:r>
      <w:r>
        <w:t>15</w:t>
      </w:r>
      <w:r>
        <w:fldChar w:fldCharType="end"/>
      </w:r>
      <w:r>
        <w:rPr>
          <w:rFonts w:hint="default" w:ascii="Arial" w:hAnsi="Arial" w:cs="Arial"/>
        </w:rPr>
        <w:fldChar w:fldCharType="end"/>
      </w:r>
    </w:p>
    <w:p w14:paraId="05CA0713">
      <w:pPr>
        <w:pStyle w:val="41"/>
        <w:tabs>
          <w:tab w:val="right" w:leader="dot" w:pos="9792"/>
        </w:tabs>
      </w:pPr>
      <w:r>
        <w:rPr>
          <w:rFonts w:hint="default" w:ascii="Arial" w:hAnsi="Arial" w:cs="Arial"/>
        </w:rPr>
        <w:fldChar w:fldCharType="begin"/>
      </w:r>
      <w:r>
        <w:rPr>
          <w:rFonts w:hint="default" w:ascii="Arial" w:hAnsi="Arial" w:cs="Arial"/>
        </w:rPr>
        <w:instrText xml:space="preserve"> HYPERLINK \l _Toc2760 </w:instrText>
      </w:r>
      <w:r>
        <w:rPr>
          <w:rFonts w:hint="default" w:ascii="Arial" w:hAnsi="Arial" w:cs="Arial"/>
        </w:rPr>
        <w:fldChar w:fldCharType="separate"/>
      </w:r>
      <w:r>
        <w:rPr>
          <w:rFonts w:hint="default" w:ascii="Arial" w:hAnsi="Arial" w:cs="Arial"/>
        </w:rPr>
        <w:t>Appendix B Submission checks</w:t>
      </w:r>
      <w:r>
        <w:tab/>
      </w:r>
      <w:r>
        <w:fldChar w:fldCharType="begin"/>
      </w:r>
      <w:r>
        <w:instrText xml:space="preserve"> PAGEREF _Toc2760 \h </w:instrText>
      </w:r>
      <w:r>
        <w:fldChar w:fldCharType="separate"/>
      </w:r>
      <w:r>
        <w:t>15</w:t>
      </w:r>
      <w:r>
        <w:fldChar w:fldCharType="end"/>
      </w:r>
      <w:r>
        <w:rPr>
          <w:rFonts w:hint="default" w:ascii="Arial" w:hAnsi="Arial" w:cs="Arial"/>
        </w:rPr>
        <w:fldChar w:fldCharType="end"/>
      </w:r>
    </w:p>
    <w:p w14:paraId="06F4236F">
      <w:pPr>
        <w:bidi w:val="0"/>
        <w:rPr>
          <w:rFonts w:hint="default" w:ascii="Arial" w:hAnsi="Arial" w:cs="Arial"/>
        </w:rPr>
      </w:pPr>
      <w:r>
        <w:rPr>
          <w:rFonts w:hint="default" w:ascii="Arial" w:hAnsi="Arial" w:cs="Arial"/>
        </w:rPr>
        <w:fldChar w:fldCharType="end"/>
      </w:r>
    </w:p>
    <w:p w14:paraId="6F4507B6">
      <w:pPr>
        <w:bidi w:val="0"/>
        <w:rPr>
          <w:rFonts w:hint="default" w:ascii="Arial" w:hAnsi="Arial" w:cs="Arial"/>
        </w:rPr>
      </w:pPr>
    </w:p>
    <w:p w14:paraId="145E4BBA">
      <w:pPr>
        <w:bidi w:val="0"/>
        <w:rPr>
          <w:rFonts w:hint="default" w:ascii="Arial" w:hAnsi="Arial" w:cs="Arial"/>
        </w:rPr>
      </w:pPr>
    </w:p>
    <w:p w14:paraId="26EA7299">
      <w:pPr>
        <w:bidi w:val="0"/>
        <w:rPr>
          <w:rFonts w:hint="default" w:ascii="Arial" w:hAnsi="Arial" w:cs="Arial"/>
        </w:rPr>
      </w:pPr>
    </w:p>
    <w:p w14:paraId="526B1D89">
      <w:pPr>
        <w:bidi w:val="0"/>
        <w:rPr>
          <w:rFonts w:hint="default" w:ascii="Arial" w:hAnsi="Arial" w:cs="Arial"/>
        </w:rPr>
      </w:pPr>
    </w:p>
    <w:p w14:paraId="7A1EFA56">
      <w:pPr>
        <w:bidi w:val="0"/>
        <w:rPr>
          <w:rFonts w:hint="default" w:ascii="Arial" w:hAnsi="Arial" w:cs="Arial"/>
        </w:rPr>
      </w:pPr>
    </w:p>
    <w:p w14:paraId="77496C15">
      <w:pPr>
        <w:bidi w:val="0"/>
        <w:rPr>
          <w:rFonts w:hint="default" w:ascii="Arial" w:hAnsi="Arial" w:cs="Arial"/>
        </w:rPr>
      </w:pPr>
    </w:p>
    <w:p w14:paraId="6C3A0191">
      <w:pPr>
        <w:bidi w:val="0"/>
        <w:rPr>
          <w:rFonts w:hint="default" w:ascii="Arial" w:hAnsi="Arial" w:cs="Arial"/>
          <w:sz w:val="24"/>
          <w:szCs w:val="24"/>
        </w:rPr>
      </w:pPr>
      <w:r>
        <w:rPr>
          <w:rFonts w:hint="default" w:ascii="Arial" w:hAnsi="Arial" w:cs="Arial"/>
        </w:rPr>
        <w:br w:type="page"/>
      </w:r>
    </w:p>
    <w:p w14:paraId="132F9755">
      <w:pPr>
        <w:pStyle w:val="2"/>
        <w:bidi w:val="0"/>
        <w:rPr>
          <w:rFonts w:hint="default"/>
          <w:lang w:val="en-GB"/>
        </w:rPr>
      </w:pPr>
      <w:bookmarkStart w:id="2" w:name="_Toc14230"/>
      <w:bookmarkStart w:id="3" w:name="_Toc18864"/>
      <w:r>
        <w:rPr>
          <w:rFonts w:hint="default"/>
        </w:rPr>
        <w:t>List of Abbreviations</w:t>
      </w:r>
      <w:bookmarkEnd w:id="2"/>
      <w:bookmarkEnd w:id="3"/>
      <w:r>
        <w:rPr>
          <w:rFonts w:hint="default"/>
          <w:lang w:val="en-GB"/>
        </w:rPr>
        <w:t xml:space="preserve"> </w:t>
      </w:r>
    </w:p>
    <w:tbl>
      <w:tblPr>
        <w:tblStyle w:val="3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32"/>
        <w:gridCol w:w="6840"/>
      </w:tblGrid>
      <w:tr w14:paraId="132F97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blHeader/>
          <w:jc w:val="center"/>
        </w:trPr>
        <w:tc>
          <w:tcPr>
            <w:tcW w:w="2232" w:type="dxa"/>
            <w:tcBorders>
              <w:top w:val="single" w:color="auto" w:sz="4" w:space="0"/>
              <w:left w:val="single" w:color="auto" w:sz="4" w:space="0"/>
              <w:bottom w:val="single" w:color="auto" w:sz="4" w:space="0"/>
              <w:right w:val="single" w:color="auto" w:sz="4" w:space="0"/>
            </w:tcBorders>
            <w:tcMar>
              <w:top w:w="90" w:type="dxa"/>
              <w:left w:w="100" w:type="dxa"/>
              <w:bottom w:w="90" w:type="dxa"/>
              <w:right w:w="100" w:type="dxa"/>
            </w:tcMar>
            <w:vAlign w:val="center"/>
          </w:tcPr>
          <w:p w14:paraId="132F9756">
            <w:pPr>
              <w:bidi w:val="0"/>
              <w:rPr>
                <w:rFonts w:hint="default" w:ascii="Arial" w:hAnsi="Arial" w:cs="Arial"/>
                <w:sz w:val="24"/>
                <w:szCs w:val="24"/>
              </w:rPr>
            </w:pPr>
            <w:r>
              <w:rPr>
                <w:rFonts w:hint="default" w:ascii="Arial" w:hAnsi="Arial" w:cs="Arial"/>
                <w:sz w:val="24"/>
                <w:szCs w:val="24"/>
              </w:rPr>
              <w:t>Abbreviation</w:t>
            </w:r>
          </w:p>
        </w:tc>
        <w:tc>
          <w:tcPr>
            <w:tcW w:w="6840" w:type="dxa"/>
            <w:tcBorders>
              <w:top w:val="single" w:color="auto" w:sz="4" w:space="0"/>
              <w:left w:val="single" w:color="auto" w:sz="4" w:space="0"/>
              <w:bottom w:val="single" w:color="auto" w:sz="4" w:space="0"/>
              <w:right w:val="single" w:color="auto" w:sz="4" w:space="0"/>
            </w:tcBorders>
            <w:tcMar>
              <w:top w:w="90" w:type="dxa"/>
              <w:left w:w="100" w:type="dxa"/>
              <w:bottom w:w="90" w:type="dxa"/>
              <w:right w:w="100" w:type="dxa"/>
            </w:tcMar>
            <w:vAlign w:val="center"/>
          </w:tcPr>
          <w:p w14:paraId="132F9757">
            <w:pPr>
              <w:bidi w:val="0"/>
              <w:rPr>
                <w:rFonts w:hint="default" w:ascii="Arial" w:hAnsi="Arial" w:cs="Arial"/>
                <w:sz w:val="24"/>
                <w:szCs w:val="24"/>
              </w:rPr>
            </w:pPr>
            <w:r>
              <w:rPr>
                <w:rFonts w:hint="default" w:ascii="Arial" w:hAnsi="Arial" w:cs="Arial"/>
                <w:sz w:val="24"/>
                <w:szCs w:val="24"/>
              </w:rPr>
              <w:t>Meaning</w:t>
            </w:r>
          </w:p>
        </w:tc>
      </w:tr>
      <w:tr w14:paraId="132F97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232" w:type="dxa"/>
            <w:tcBorders>
              <w:top w:val="single" w:color="auto" w:sz="4" w:space="0"/>
              <w:left w:val="single" w:color="auto" w:sz="4" w:space="0"/>
              <w:bottom w:val="single" w:color="auto" w:sz="4" w:space="0"/>
              <w:right w:val="single" w:color="auto" w:sz="4" w:space="0"/>
            </w:tcBorders>
            <w:tcMar>
              <w:top w:w="90" w:type="dxa"/>
              <w:left w:w="100" w:type="dxa"/>
              <w:bottom w:w="90" w:type="dxa"/>
              <w:right w:w="100" w:type="dxa"/>
            </w:tcMar>
            <w:vAlign w:val="center"/>
          </w:tcPr>
          <w:p w14:paraId="132F9759">
            <w:pPr>
              <w:bidi w:val="0"/>
              <w:rPr>
                <w:rFonts w:hint="default" w:ascii="Arial" w:hAnsi="Arial" w:cs="Arial"/>
                <w:sz w:val="24"/>
                <w:szCs w:val="24"/>
              </w:rPr>
            </w:pPr>
            <w:r>
              <w:rPr>
                <w:rFonts w:hint="default" w:ascii="Arial" w:hAnsi="Arial" w:cs="Arial"/>
                <w:sz w:val="24"/>
                <w:szCs w:val="24"/>
              </w:rPr>
              <w:t>AI</w:t>
            </w:r>
          </w:p>
        </w:tc>
        <w:tc>
          <w:tcPr>
            <w:tcW w:w="6840" w:type="dxa"/>
            <w:tcBorders>
              <w:top w:val="single" w:color="auto" w:sz="4" w:space="0"/>
              <w:left w:val="single" w:color="auto" w:sz="4" w:space="0"/>
              <w:bottom w:val="single" w:color="auto" w:sz="4" w:space="0"/>
              <w:right w:val="single" w:color="auto" w:sz="4" w:space="0"/>
            </w:tcBorders>
            <w:tcMar>
              <w:top w:w="90" w:type="dxa"/>
              <w:left w:w="100" w:type="dxa"/>
              <w:bottom w:w="90" w:type="dxa"/>
              <w:right w:w="100" w:type="dxa"/>
            </w:tcMar>
            <w:vAlign w:val="center"/>
          </w:tcPr>
          <w:p w14:paraId="132F975A">
            <w:pPr>
              <w:bidi w:val="0"/>
              <w:rPr>
                <w:rFonts w:hint="default" w:ascii="Arial" w:hAnsi="Arial" w:cs="Arial"/>
                <w:sz w:val="24"/>
                <w:szCs w:val="24"/>
              </w:rPr>
            </w:pPr>
            <w:r>
              <w:rPr>
                <w:rFonts w:hint="default" w:ascii="Arial" w:hAnsi="Arial" w:cs="Arial"/>
                <w:sz w:val="24"/>
                <w:szCs w:val="24"/>
              </w:rPr>
              <w:t>Artificial intelligence</w:t>
            </w:r>
          </w:p>
        </w:tc>
      </w:tr>
      <w:tr w14:paraId="132F97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232" w:type="dxa"/>
            <w:tcBorders>
              <w:top w:val="single" w:color="auto" w:sz="4" w:space="0"/>
              <w:left w:val="single" w:color="auto" w:sz="4" w:space="0"/>
              <w:bottom w:val="single" w:color="auto" w:sz="4" w:space="0"/>
              <w:right w:val="single" w:color="auto" w:sz="4" w:space="0"/>
            </w:tcBorders>
            <w:tcMar>
              <w:top w:w="90" w:type="dxa"/>
              <w:left w:w="100" w:type="dxa"/>
              <w:bottom w:w="90" w:type="dxa"/>
              <w:right w:w="100" w:type="dxa"/>
            </w:tcMar>
            <w:vAlign w:val="center"/>
          </w:tcPr>
          <w:p w14:paraId="132F975C">
            <w:pPr>
              <w:bidi w:val="0"/>
              <w:rPr>
                <w:rFonts w:hint="default" w:ascii="Arial" w:hAnsi="Arial" w:cs="Arial"/>
                <w:sz w:val="24"/>
                <w:szCs w:val="24"/>
              </w:rPr>
            </w:pPr>
            <w:r>
              <w:rPr>
                <w:rFonts w:hint="default" w:ascii="Arial" w:hAnsi="Arial" w:cs="Arial"/>
                <w:sz w:val="24"/>
                <w:szCs w:val="24"/>
              </w:rPr>
              <w:t>BHP</w:t>
            </w:r>
          </w:p>
        </w:tc>
        <w:tc>
          <w:tcPr>
            <w:tcW w:w="6840" w:type="dxa"/>
            <w:tcBorders>
              <w:top w:val="single" w:color="auto" w:sz="4" w:space="0"/>
              <w:left w:val="single" w:color="auto" w:sz="4" w:space="0"/>
              <w:bottom w:val="single" w:color="auto" w:sz="4" w:space="0"/>
              <w:right w:val="single" w:color="auto" w:sz="4" w:space="0"/>
            </w:tcBorders>
            <w:tcMar>
              <w:top w:w="90" w:type="dxa"/>
              <w:left w:w="100" w:type="dxa"/>
              <w:bottom w:w="90" w:type="dxa"/>
              <w:right w:w="100" w:type="dxa"/>
            </w:tcMar>
            <w:vAlign w:val="center"/>
          </w:tcPr>
          <w:p w14:paraId="132F975D">
            <w:pPr>
              <w:bidi w:val="0"/>
              <w:rPr>
                <w:rFonts w:hint="default" w:ascii="Arial" w:hAnsi="Arial" w:cs="Arial"/>
                <w:sz w:val="24"/>
                <w:szCs w:val="24"/>
              </w:rPr>
            </w:pPr>
            <w:r>
              <w:rPr>
                <w:rFonts w:hint="default" w:ascii="Arial" w:hAnsi="Arial" w:cs="Arial"/>
                <w:sz w:val="24"/>
                <w:szCs w:val="24"/>
              </w:rPr>
              <w:t>BHP Group, a global resources company</w:t>
            </w:r>
          </w:p>
        </w:tc>
      </w:tr>
      <w:tr w14:paraId="132F97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232" w:type="dxa"/>
            <w:tcBorders>
              <w:top w:val="single" w:color="auto" w:sz="4" w:space="0"/>
              <w:left w:val="single" w:color="auto" w:sz="4" w:space="0"/>
              <w:bottom w:val="single" w:color="auto" w:sz="4" w:space="0"/>
              <w:right w:val="single" w:color="auto" w:sz="4" w:space="0"/>
            </w:tcBorders>
            <w:tcMar>
              <w:top w:w="90" w:type="dxa"/>
              <w:left w:w="100" w:type="dxa"/>
              <w:bottom w:w="90" w:type="dxa"/>
              <w:right w:w="100" w:type="dxa"/>
            </w:tcMar>
            <w:vAlign w:val="center"/>
          </w:tcPr>
          <w:p w14:paraId="132F975F">
            <w:pPr>
              <w:bidi w:val="0"/>
              <w:rPr>
                <w:rFonts w:hint="default" w:ascii="Arial" w:hAnsi="Arial" w:cs="Arial"/>
                <w:sz w:val="24"/>
                <w:szCs w:val="24"/>
              </w:rPr>
            </w:pPr>
            <w:r>
              <w:rPr>
                <w:rFonts w:hint="default" w:ascii="Arial" w:hAnsi="Arial" w:cs="Arial"/>
                <w:sz w:val="24"/>
                <w:szCs w:val="24"/>
              </w:rPr>
              <w:t>CBAM</w:t>
            </w:r>
          </w:p>
        </w:tc>
        <w:tc>
          <w:tcPr>
            <w:tcW w:w="6840" w:type="dxa"/>
            <w:tcBorders>
              <w:top w:val="single" w:color="auto" w:sz="4" w:space="0"/>
              <w:left w:val="single" w:color="auto" w:sz="4" w:space="0"/>
              <w:bottom w:val="single" w:color="auto" w:sz="4" w:space="0"/>
              <w:right w:val="single" w:color="auto" w:sz="4" w:space="0"/>
            </w:tcBorders>
            <w:tcMar>
              <w:top w:w="90" w:type="dxa"/>
              <w:left w:w="100" w:type="dxa"/>
              <w:bottom w:w="90" w:type="dxa"/>
              <w:right w:w="100" w:type="dxa"/>
            </w:tcMar>
            <w:vAlign w:val="center"/>
          </w:tcPr>
          <w:p w14:paraId="132F9760">
            <w:pPr>
              <w:bidi w:val="0"/>
              <w:rPr>
                <w:rFonts w:hint="default" w:ascii="Arial" w:hAnsi="Arial" w:cs="Arial"/>
                <w:sz w:val="24"/>
                <w:szCs w:val="24"/>
              </w:rPr>
            </w:pPr>
            <w:r>
              <w:rPr>
                <w:rFonts w:hint="default" w:ascii="Arial" w:hAnsi="Arial" w:cs="Arial"/>
                <w:sz w:val="24"/>
                <w:szCs w:val="24"/>
              </w:rPr>
              <w:t>Carbon Border Adjustment Mechanism</w:t>
            </w:r>
          </w:p>
        </w:tc>
      </w:tr>
      <w:tr w14:paraId="132F97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232" w:type="dxa"/>
            <w:tcBorders>
              <w:top w:val="single" w:color="auto" w:sz="4" w:space="0"/>
              <w:left w:val="single" w:color="auto" w:sz="4" w:space="0"/>
              <w:bottom w:val="single" w:color="auto" w:sz="4" w:space="0"/>
              <w:right w:val="single" w:color="auto" w:sz="4" w:space="0"/>
            </w:tcBorders>
            <w:tcMar>
              <w:top w:w="90" w:type="dxa"/>
              <w:left w:w="100" w:type="dxa"/>
              <w:bottom w:w="90" w:type="dxa"/>
              <w:right w:w="100" w:type="dxa"/>
            </w:tcMar>
            <w:vAlign w:val="center"/>
          </w:tcPr>
          <w:p w14:paraId="132F9762">
            <w:pPr>
              <w:bidi w:val="0"/>
              <w:rPr>
                <w:rFonts w:hint="default" w:ascii="Arial" w:hAnsi="Arial" w:cs="Arial"/>
                <w:sz w:val="24"/>
                <w:szCs w:val="24"/>
              </w:rPr>
            </w:pPr>
            <w:r>
              <w:rPr>
                <w:rFonts w:hint="default" w:ascii="Arial" w:hAnsi="Arial" w:cs="Arial"/>
                <w:sz w:val="24"/>
                <w:szCs w:val="24"/>
              </w:rPr>
              <w:t>CO₂e</w:t>
            </w:r>
          </w:p>
        </w:tc>
        <w:tc>
          <w:tcPr>
            <w:tcW w:w="6840" w:type="dxa"/>
            <w:tcBorders>
              <w:top w:val="single" w:color="auto" w:sz="4" w:space="0"/>
              <w:left w:val="single" w:color="auto" w:sz="4" w:space="0"/>
              <w:bottom w:val="single" w:color="auto" w:sz="4" w:space="0"/>
              <w:right w:val="single" w:color="auto" w:sz="4" w:space="0"/>
            </w:tcBorders>
            <w:tcMar>
              <w:top w:w="90" w:type="dxa"/>
              <w:left w:w="100" w:type="dxa"/>
              <w:bottom w:w="90" w:type="dxa"/>
              <w:right w:w="100" w:type="dxa"/>
            </w:tcMar>
            <w:vAlign w:val="center"/>
          </w:tcPr>
          <w:p w14:paraId="132F9763">
            <w:pPr>
              <w:bidi w:val="0"/>
              <w:rPr>
                <w:rFonts w:hint="default" w:ascii="Arial" w:hAnsi="Arial" w:cs="Arial"/>
                <w:sz w:val="24"/>
                <w:szCs w:val="24"/>
              </w:rPr>
            </w:pPr>
            <w:r>
              <w:rPr>
                <w:rFonts w:hint="default" w:ascii="Arial" w:hAnsi="Arial" w:cs="Arial"/>
                <w:sz w:val="24"/>
                <w:szCs w:val="24"/>
              </w:rPr>
              <w:t>Carbon dioxide equivalent</w:t>
            </w:r>
          </w:p>
        </w:tc>
      </w:tr>
      <w:tr w14:paraId="132F9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232" w:type="dxa"/>
            <w:tcBorders>
              <w:top w:val="single" w:color="auto" w:sz="4" w:space="0"/>
              <w:left w:val="single" w:color="auto" w:sz="4" w:space="0"/>
              <w:bottom w:val="single" w:color="auto" w:sz="4" w:space="0"/>
              <w:right w:val="single" w:color="auto" w:sz="4" w:space="0"/>
            </w:tcBorders>
            <w:tcMar>
              <w:top w:w="90" w:type="dxa"/>
              <w:left w:w="100" w:type="dxa"/>
              <w:bottom w:w="90" w:type="dxa"/>
              <w:right w:w="100" w:type="dxa"/>
            </w:tcMar>
            <w:vAlign w:val="center"/>
          </w:tcPr>
          <w:p w14:paraId="132F9765">
            <w:pPr>
              <w:bidi w:val="0"/>
              <w:rPr>
                <w:rFonts w:hint="default" w:ascii="Arial" w:hAnsi="Arial" w:cs="Arial"/>
                <w:sz w:val="24"/>
                <w:szCs w:val="24"/>
              </w:rPr>
            </w:pPr>
            <w:r>
              <w:rPr>
                <w:rFonts w:hint="default" w:ascii="Arial" w:hAnsi="Arial" w:cs="Arial"/>
                <w:sz w:val="24"/>
                <w:szCs w:val="24"/>
              </w:rPr>
              <w:t>IEA</w:t>
            </w:r>
          </w:p>
        </w:tc>
        <w:tc>
          <w:tcPr>
            <w:tcW w:w="6840" w:type="dxa"/>
            <w:tcBorders>
              <w:top w:val="single" w:color="auto" w:sz="4" w:space="0"/>
              <w:left w:val="single" w:color="auto" w:sz="4" w:space="0"/>
              <w:bottom w:val="single" w:color="auto" w:sz="4" w:space="0"/>
              <w:right w:val="single" w:color="auto" w:sz="4" w:space="0"/>
            </w:tcBorders>
            <w:tcMar>
              <w:top w:w="90" w:type="dxa"/>
              <w:left w:w="100" w:type="dxa"/>
              <w:bottom w:w="90" w:type="dxa"/>
              <w:right w:w="100" w:type="dxa"/>
            </w:tcMar>
            <w:vAlign w:val="center"/>
          </w:tcPr>
          <w:p w14:paraId="132F9766">
            <w:pPr>
              <w:bidi w:val="0"/>
              <w:rPr>
                <w:rFonts w:hint="default" w:ascii="Arial" w:hAnsi="Arial" w:cs="Arial"/>
                <w:sz w:val="24"/>
                <w:szCs w:val="24"/>
              </w:rPr>
            </w:pPr>
            <w:r>
              <w:rPr>
                <w:rFonts w:hint="default" w:ascii="Arial" w:hAnsi="Arial" w:cs="Arial"/>
                <w:sz w:val="24"/>
                <w:szCs w:val="24"/>
              </w:rPr>
              <w:t>International Energy Agency</w:t>
            </w:r>
          </w:p>
        </w:tc>
      </w:tr>
      <w:tr w14:paraId="132F97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232" w:type="dxa"/>
            <w:tcBorders>
              <w:top w:val="single" w:color="auto" w:sz="4" w:space="0"/>
              <w:left w:val="single" w:color="auto" w:sz="4" w:space="0"/>
              <w:bottom w:val="single" w:color="auto" w:sz="4" w:space="0"/>
              <w:right w:val="single" w:color="auto" w:sz="4" w:space="0"/>
            </w:tcBorders>
            <w:tcMar>
              <w:top w:w="90" w:type="dxa"/>
              <w:left w:w="100" w:type="dxa"/>
              <w:bottom w:w="90" w:type="dxa"/>
              <w:right w:w="100" w:type="dxa"/>
            </w:tcMar>
            <w:vAlign w:val="center"/>
          </w:tcPr>
          <w:p w14:paraId="132F9768">
            <w:pPr>
              <w:bidi w:val="0"/>
              <w:rPr>
                <w:rFonts w:hint="default" w:ascii="Arial" w:hAnsi="Arial" w:cs="Arial"/>
                <w:sz w:val="24"/>
                <w:szCs w:val="24"/>
              </w:rPr>
            </w:pPr>
            <w:r>
              <w:rPr>
                <w:rFonts w:hint="default" w:ascii="Arial" w:hAnsi="Arial" w:cs="Arial"/>
                <w:sz w:val="24"/>
                <w:szCs w:val="24"/>
              </w:rPr>
              <w:t>IPCC</w:t>
            </w:r>
          </w:p>
        </w:tc>
        <w:tc>
          <w:tcPr>
            <w:tcW w:w="6840" w:type="dxa"/>
            <w:tcBorders>
              <w:top w:val="single" w:color="auto" w:sz="4" w:space="0"/>
              <w:left w:val="single" w:color="auto" w:sz="4" w:space="0"/>
              <w:bottom w:val="single" w:color="auto" w:sz="4" w:space="0"/>
              <w:right w:val="single" w:color="auto" w:sz="4" w:space="0"/>
            </w:tcBorders>
            <w:tcMar>
              <w:top w:w="90" w:type="dxa"/>
              <w:left w:w="100" w:type="dxa"/>
              <w:bottom w:w="90" w:type="dxa"/>
              <w:right w:w="100" w:type="dxa"/>
            </w:tcMar>
            <w:vAlign w:val="center"/>
          </w:tcPr>
          <w:p w14:paraId="132F9769">
            <w:pPr>
              <w:bidi w:val="0"/>
              <w:rPr>
                <w:rFonts w:hint="default" w:ascii="Arial" w:hAnsi="Arial" w:cs="Arial"/>
                <w:sz w:val="24"/>
                <w:szCs w:val="24"/>
              </w:rPr>
            </w:pPr>
            <w:r>
              <w:rPr>
                <w:rFonts w:hint="default" w:ascii="Arial" w:hAnsi="Arial" w:cs="Arial"/>
                <w:sz w:val="24"/>
                <w:szCs w:val="24"/>
              </w:rPr>
              <w:t>Intergovernmental Panel on Climate Change</w:t>
            </w:r>
          </w:p>
        </w:tc>
      </w:tr>
      <w:tr w14:paraId="132F97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232" w:type="dxa"/>
            <w:tcBorders>
              <w:top w:val="single" w:color="auto" w:sz="4" w:space="0"/>
              <w:left w:val="single" w:color="auto" w:sz="4" w:space="0"/>
              <w:bottom w:val="single" w:color="auto" w:sz="4" w:space="0"/>
              <w:right w:val="single" w:color="auto" w:sz="4" w:space="0"/>
            </w:tcBorders>
            <w:tcMar>
              <w:top w:w="90" w:type="dxa"/>
              <w:left w:w="100" w:type="dxa"/>
              <w:bottom w:w="90" w:type="dxa"/>
              <w:right w:w="100" w:type="dxa"/>
            </w:tcMar>
            <w:vAlign w:val="center"/>
          </w:tcPr>
          <w:p w14:paraId="132F976B">
            <w:pPr>
              <w:bidi w:val="0"/>
              <w:rPr>
                <w:rFonts w:hint="default" w:ascii="Arial" w:hAnsi="Arial" w:cs="Arial"/>
                <w:sz w:val="24"/>
                <w:szCs w:val="24"/>
              </w:rPr>
            </w:pPr>
            <w:r>
              <w:rPr>
                <w:rFonts w:hint="default" w:ascii="Arial" w:hAnsi="Arial" w:cs="Arial"/>
                <w:sz w:val="24"/>
                <w:szCs w:val="24"/>
              </w:rPr>
              <w:t>LCMB7024</w:t>
            </w:r>
          </w:p>
        </w:tc>
        <w:tc>
          <w:tcPr>
            <w:tcW w:w="6840" w:type="dxa"/>
            <w:tcBorders>
              <w:top w:val="single" w:color="auto" w:sz="4" w:space="0"/>
              <w:left w:val="single" w:color="auto" w:sz="4" w:space="0"/>
              <w:bottom w:val="single" w:color="auto" w:sz="4" w:space="0"/>
              <w:right w:val="single" w:color="auto" w:sz="4" w:space="0"/>
            </w:tcBorders>
            <w:tcMar>
              <w:top w:w="90" w:type="dxa"/>
              <w:left w:w="100" w:type="dxa"/>
              <w:bottom w:w="90" w:type="dxa"/>
              <w:right w:w="100" w:type="dxa"/>
            </w:tcMar>
            <w:vAlign w:val="center"/>
          </w:tcPr>
          <w:p w14:paraId="132F976C">
            <w:pPr>
              <w:bidi w:val="0"/>
              <w:rPr>
                <w:rFonts w:hint="default" w:ascii="Arial" w:hAnsi="Arial" w:cs="Arial"/>
                <w:sz w:val="24"/>
                <w:szCs w:val="24"/>
              </w:rPr>
            </w:pPr>
            <w:r>
              <w:rPr>
                <w:rFonts w:hint="default" w:ascii="Arial" w:hAnsi="Arial" w:cs="Arial"/>
                <w:sz w:val="24"/>
                <w:szCs w:val="24"/>
              </w:rPr>
              <w:t>Marketing Management module code</w:t>
            </w:r>
          </w:p>
        </w:tc>
      </w:tr>
      <w:tr w14:paraId="132F97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232" w:type="dxa"/>
            <w:tcBorders>
              <w:top w:val="single" w:color="auto" w:sz="4" w:space="0"/>
              <w:left w:val="single" w:color="auto" w:sz="4" w:space="0"/>
              <w:bottom w:val="single" w:color="auto" w:sz="4" w:space="0"/>
              <w:right w:val="single" w:color="auto" w:sz="4" w:space="0"/>
            </w:tcBorders>
            <w:tcMar>
              <w:top w:w="90" w:type="dxa"/>
              <w:left w:w="100" w:type="dxa"/>
              <w:bottom w:w="90" w:type="dxa"/>
              <w:right w:w="100" w:type="dxa"/>
            </w:tcMar>
            <w:vAlign w:val="center"/>
          </w:tcPr>
          <w:p w14:paraId="132F976E">
            <w:pPr>
              <w:bidi w:val="0"/>
              <w:rPr>
                <w:rFonts w:hint="default" w:ascii="Arial" w:hAnsi="Arial" w:cs="Arial"/>
                <w:sz w:val="24"/>
                <w:szCs w:val="24"/>
              </w:rPr>
            </w:pPr>
            <w:r>
              <w:rPr>
                <w:rFonts w:hint="default" w:ascii="Arial" w:hAnsi="Arial" w:cs="Arial"/>
                <w:sz w:val="24"/>
                <w:szCs w:val="24"/>
              </w:rPr>
              <w:t>MBA</w:t>
            </w:r>
          </w:p>
        </w:tc>
        <w:tc>
          <w:tcPr>
            <w:tcW w:w="6840" w:type="dxa"/>
            <w:tcBorders>
              <w:top w:val="single" w:color="auto" w:sz="4" w:space="0"/>
              <w:left w:val="single" w:color="auto" w:sz="4" w:space="0"/>
              <w:bottom w:val="single" w:color="auto" w:sz="4" w:space="0"/>
              <w:right w:val="single" w:color="auto" w:sz="4" w:space="0"/>
            </w:tcBorders>
            <w:tcMar>
              <w:top w:w="90" w:type="dxa"/>
              <w:left w:w="100" w:type="dxa"/>
              <w:bottom w:w="90" w:type="dxa"/>
              <w:right w:w="100" w:type="dxa"/>
            </w:tcMar>
            <w:vAlign w:val="center"/>
          </w:tcPr>
          <w:p w14:paraId="132F976F">
            <w:pPr>
              <w:bidi w:val="0"/>
              <w:rPr>
                <w:rFonts w:hint="default" w:ascii="Arial" w:hAnsi="Arial" w:cs="Arial"/>
                <w:sz w:val="24"/>
                <w:szCs w:val="24"/>
              </w:rPr>
            </w:pPr>
            <w:r>
              <w:rPr>
                <w:rFonts w:hint="default" w:ascii="Arial" w:hAnsi="Arial" w:cs="Arial"/>
                <w:sz w:val="24"/>
                <w:szCs w:val="24"/>
              </w:rPr>
              <w:t>Master of Business Administration</w:t>
            </w:r>
          </w:p>
        </w:tc>
      </w:tr>
      <w:tr w14:paraId="132F97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232" w:type="dxa"/>
            <w:tcBorders>
              <w:top w:val="single" w:color="auto" w:sz="4" w:space="0"/>
              <w:left w:val="single" w:color="auto" w:sz="4" w:space="0"/>
              <w:bottom w:val="single" w:color="auto" w:sz="4" w:space="0"/>
              <w:right w:val="single" w:color="auto" w:sz="4" w:space="0"/>
            </w:tcBorders>
            <w:tcMar>
              <w:top w:w="90" w:type="dxa"/>
              <w:left w:w="100" w:type="dxa"/>
              <w:bottom w:w="90" w:type="dxa"/>
              <w:right w:w="100" w:type="dxa"/>
            </w:tcMar>
            <w:vAlign w:val="center"/>
          </w:tcPr>
          <w:p w14:paraId="132F9771">
            <w:pPr>
              <w:bidi w:val="0"/>
              <w:rPr>
                <w:rFonts w:hint="default" w:ascii="Arial" w:hAnsi="Arial" w:cs="Arial"/>
                <w:sz w:val="24"/>
                <w:szCs w:val="24"/>
              </w:rPr>
            </w:pPr>
            <w:r>
              <w:rPr>
                <w:rFonts w:hint="default" w:ascii="Arial" w:hAnsi="Arial" w:cs="Arial"/>
                <w:sz w:val="24"/>
                <w:szCs w:val="24"/>
              </w:rPr>
              <w:t>Mt</w:t>
            </w:r>
          </w:p>
        </w:tc>
        <w:tc>
          <w:tcPr>
            <w:tcW w:w="6840" w:type="dxa"/>
            <w:tcBorders>
              <w:top w:val="single" w:color="auto" w:sz="4" w:space="0"/>
              <w:left w:val="single" w:color="auto" w:sz="4" w:space="0"/>
              <w:bottom w:val="single" w:color="auto" w:sz="4" w:space="0"/>
              <w:right w:val="single" w:color="auto" w:sz="4" w:space="0"/>
            </w:tcBorders>
            <w:tcMar>
              <w:top w:w="90" w:type="dxa"/>
              <w:left w:w="100" w:type="dxa"/>
              <w:bottom w:w="90" w:type="dxa"/>
              <w:right w:w="100" w:type="dxa"/>
            </w:tcMar>
            <w:vAlign w:val="center"/>
          </w:tcPr>
          <w:p w14:paraId="132F9772">
            <w:pPr>
              <w:bidi w:val="0"/>
              <w:rPr>
                <w:rFonts w:hint="default" w:ascii="Arial" w:hAnsi="Arial" w:cs="Arial"/>
                <w:sz w:val="24"/>
                <w:szCs w:val="24"/>
              </w:rPr>
            </w:pPr>
            <w:r>
              <w:rPr>
                <w:rFonts w:hint="default" w:ascii="Arial" w:hAnsi="Arial" w:cs="Arial"/>
                <w:sz w:val="24"/>
                <w:szCs w:val="24"/>
              </w:rPr>
              <w:t>Million tonnes</w:t>
            </w:r>
          </w:p>
        </w:tc>
      </w:tr>
      <w:tr w14:paraId="132F97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232" w:type="dxa"/>
            <w:tcBorders>
              <w:top w:val="single" w:color="auto" w:sz="4" w:space="0"/>
              <w:left w:val="single" w:color="auto" w:sz="4" w:space="0"/>
              <w:bottom w:val="single" w:color="auto" w:sz="4" w:space="0"/>
              <w:right w:val="single" w:color="auto" w:sz="4" w:space="0"/>
            </w:tcBorders>
            <w:tcMar>
              <w:top w:w="90" w:type="dxa"/>
              <w:left w:w="100" w:type="dxa"/>
              <w:bottom w:w="90" w:type="dxa"/>
              <w:right w:w="100" w:type="dxa"/>
            </w:tcMar>
            <w:vAlign w:val="center"/>
          </w:tcPr>
          <w:p w14:paraId="132F9774">
            <w:pPr>
              <w:bidi w:val="0"/>
              <w:rPr>
                <w:rFonts w:hint="default" w:ascii="Arial" w:hAnsi="Arial" w:cs="Arial"/>
                <w:sz w:val="24"/>
                <w:szCs w:val="24"/>
              </w:rPr>
            </w:pPr>
            <w:r>
              <w:rPr>
                <w:rFonts w:hint="default" w:ascii="Arial" w:hAnsi="Arial" w:cs="Arial"/>
                <w:sz w:val="24"/>
                <w:szCs w:val="24"/>
              </w:rPr>
              <w:t>MW</w:t>
            </w:r>
          </w:p>
        </w:tc>
        <w:tc>
          <w:tcPr>
            <w:tcW w:w="6840" w:type="dxa"/>
            <w:tcBorders>
              <w:top w:val="single" w:color="auto" w:sz="4" w:space="0"/>
              <w:left w:val="single" w:color="auto" w:sz="4" w:space="0"/>
              <w:bottom w:val="single" w:color="auto" w:sz="4" w:space="0"/>
              <w:right w:val="single" w:color="auto" w:sz="4" w:space="0"/>
            </w:tcBorders>
            <w:tcMar>
              <w:top w:w="90" w:type="dxa"/>
              <w:left w:w="100" w:type="dxa"/>
              <w:bottom w:w="90" w:type="dxa"/>
              <w:right w:w="100" w:type="dxa"/>
            </w:tcMar>
            <w:vAlign w:val="center"/>
          </w:tcPr>
          <w:p w14:paraId="132F9775">
            <w:pPr>
              <w:bidi w:val="0"/>
              <w:rPr>
                <w:rFonts w:hint="default" w:ascii="Arial" w:hAnsi="Arial" w:cs="Arial"/>
                <w:sz w:val="24"/>
                <w:szCs w:val="24"/>
              </w:rPr>
            </w:pPr>
            <w:r>
              <w:rPr>
                <w:rFonts w:hint="default" w:ascii="Arial" w:hAnsi="Arial" w:cs="Arial"/>
                <w:sz w:val="24"/>
                <w:szCs w:val="24"/>
              </w:rPr>
              <w:t>Megawatt</w:t>
            </w:r>
          </w:p>
        </w:tc>
      </w:tr>
      <w:tr w14:paraId="132F97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232" w:type="dxa"/>
            <w:tcBorders>
              <w:top w:val="single" w:color="auto" w:sz="4" w:space="0"/>
              <w:left w:val="single" w:color="auto" w:sz="4" w:space="0"/>
              <w:bottom w:val="single" w:color="auto" w:sz="4" w:space="0"/>
              <w:right w:val="single" w:color="auto" w:sz="4" w:space="0"/>
            </w:tcBorders>
            <w:tcMar>
              <w:top w:w="90" w:type="dxa"/>
              <w:left w:w="100" w:type="dxa"/>
              <w:bottom w:w="90" w:type="dxa"/>
              <w:right w:w="100" w:type="dxa"/>
            </w:tcMar>
            <w:vAlign w:val="center"/>
          </w:tcPr>
          <w:p w14:paraId="132F9777">
            <w:pPr>
              <w:bidi w:val="0"/>
              <w:rPr>
                <w:rFonts w:hint="default" w:ascii="Arial" w:hAnsi="Arial" w:cs="Arial"/>
                <w:sz w:val="24"/>
                <w:szCs w:val="24"/>
              </w:rPr>
            </w:pPr>
            <w:r>
              <w:rPr>
                <w:rFonts w:hint="default" w:ascii="Arial" w:hAnsi="Arial" w:cs="Arial"/>
                <w:sz w:val="24"/>
                <w:szCs w:val="24"/>
              </w:rPr>
              <w:t>MWh</w:t>
            </w:r>
          </w:p>
        </w:tc>
        <w:tc>
          <w:tcPr>
            <w:tcW w:w="6840" w:type="dxa"/>
            <w:tcBorders>
              <w:top w:val="single" w:color="auto" w:sz="4" w:space="0"/>
              <w:left w:val="single" w:color="auto" w:sz="4" w:space="0"/>
              <w:bottom w:val="single" w:color="auto" w:sz="4" w:space="0"/>
              <w:right w:val="single" w:color="auto" w:sz="4" w:space="0"/>
            </w:tcBorders>
            <w:tcMar>
              <w:top w:w="90" w:type="dxa"/>
              <w:left w:w="100" w:type="dxa"/>
              <w:bottom w:w="90" w:type="dxa"/>
              <w:right w:w="100" w:type="dxa"/>
            </w:tcMar>
            <w:vAlign w:val="center"/>
          </w:tcPr>
          <w:p w14:paraId="132F9778">
            <w:pPr>
              <w:bidi w:val="0"/>
              <w:rPr>
                <w:rFonts w:hint="default" w:ascii="Arial" w:hAnsi="Arial" w:cs="Arial"/>
                <w:sz w:val="24"/>
                <w:szCs w:val="24"/>
              </w:rPr>
            </w:pPr>
            <w:r>
              <w:rPr>
                <w:rFonts w:hint="default" w:ascii="Arial" w:hAnsi="Arial" w:cs="Arial"/>
                <w:sz w:val="24"/>
                <w:szCs w:val="24"/>
              </w:rPr>
              <w:t>Megawatt-hour</w:t>
            </w:r>
          </w:p>
        </w:tc>
      </w:tr>
      <w:tr w14:paraId="132F97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232" w:type="dxa"/>
            <w:tcBorders>
              <w:top w:val="single" w:color="auto" w:sz="4" w:space="0"/>
              <w:left w:val="single" w:color="auto" w:sz="4" w:space="0"/>
              <w:bottom w:val="single" w:color="auto" w:sz="4" w:space="0"/>
              <w:right w:val="single" w:color="auto" w:sz="4" w:space="0"/>
            </w:tcBorders>
            <w:tcMar>
              <w:top w:w="90" w:type="dxa"/>
              <w:left w:w="100" w:type="dxa"/>
              <w:bottom w:w="90" w:type="dxa"/>
              <w:right w:w="100" w:type="dxa"/>
            </w:tcMar>
            <w:vAlign w:val="center"/>
          </w:tcPr>
          <w:p w14:paraId="132F977A">
            <w:pPr>
              <w:bidi w:val="0"/>
              <w:rPr>
                <w:rFonts w:hint="default" w:ascii="Arial" w:hAnsi="Arial" w:cs="Arial"/>
                <w:sz w:val="24"/>
                <w:szCs w:val="24"/>
              </w:rPr>
            </w:pPr>
            <w:r>
              <w:rPr>
                <w:rFonts w:hint="default" w:ascii="Arial" w:hAnsi="Arial" w:cs="Arial"/>
                <w:sz w:val="24"/>
                <w:szCs w:val="24"/>
              </w:rPr>
              <w:t>OECD</w:t>
            </w:r>
          </w:p>
        </w:tc>
        <w:tc>
          <w:tcPr>
            <w:tcW w:w="6840" w:type="dxa"/>
            <w:tcBorders>
              <w:top w:val="single" w:color="auto" w:sz="4" w:space="0"/>
              <w:left w:val="single" w:color="auto" w:sz="4" w:space="0"/>
              <w:bottom w:val="single" w:color="auto" w:sz="4" w:space="0"/>
              <w:right w:val="single" w:color="auto" w:sz="4" w:space="0"/>
            </w:tcBorders>
            <w:tcMar>
              <w:top w:w="90" w:type="dxa"/>
              <w:left w:w="100" w:type="dxa"/>
              <w:bottom w:w="90" w:type="dxa"/>
              <w:right w:w="100" w:type="dxa"/>
            </w:tcMar>
            <w:vAlign w:val="center"/>
          </w:tcPr>
          <w:p w14:paraId="132F977B">
            <w:pPr>
              <w:bidi w:val="0"/>
              <w:rPr>
                <w:rFonts w:hint="default" w:ascii="Arial" w:hAnsi="Arial" w:cs="Arial"/>
                <w:sz w:val="24"/>
                <w:szCs w:val="24"/>
              </w:rPr>
            </w:pPr>
            <w:r>
              <w:rPr>
                <w:rFonts w:hint="default" w:ascii="Arial" w:hAnsi="Arial" w:cs="Arial"/>
                <w:sz w:val="24"/>
                <w:szCs w:val="24"/>
              </w:rPr>
              <w:t>Organisation</w:t>
            </w:r>
            <w:bookmarkStart w:id="25" w:name="_GoBack"/>
            <w:bookmarkEnd w:id="25"/>
            <w:r>
              <w:rPr>
                <w:rFonts w:hint="default" w:ascii="Arial" w:hAnsi="Arial" w:cs="Arial"/>
                <w:sz w:val="24"/>
                <w:szCs w:val="24"/>
              </w:rPr>
              <w:t xml:space="preserve"> for Economic Co-operation and Development</w:t>
            </w:r>
          </w:p>
        </w:tc>
      </w:tr>
      <w:tr w14:paraId="132F97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232" w:type="dxa"/>
            <w:tcBorders>
              <w:top w:val="single" w:color="auto" w:sz="4" w:space="0"/>
              <w:left w:val="single" w:color="auto" w:sz="4" w:space="0"/>
              <w:bottom w:val="single" w:color="auto" w:sz="4" w:space="0"/>
              <w:right w:val="single" w:color="auto" w:sz="4" w:space="0"/>
            </w:tcBorders>
            <w:tcMar>
              <w:top w:w="90" w:type="dxa"/>
              <w:left w:w="100" w:type="dxa"/>
              <w:bottom w:w="90" w:type="dxa"/>
              <w:right w:w="100" w:type="dxa"/>
            </w:tcMar>
            <w:vAlign w:val="center"/>
          </w:tcPr>
          <w:p w14:paraId="132F977D">
            <w:pPr>
              <w:bidi w:val="0"/>
              <w:rPr>
                <w:rFonts w:hint="default" w:ascii="Arial" w:hAnsi="Arial" w:cs="Arial"/>
                <w:sz w:val="24"/>
                <w:szCs w:val="24"/>
              </w:rPr>
            </w:pPr>
            <w:r>
              <w:rPr>
                <w:rFonts w:hint="default" w:ascii="Arial" w:hAnsi="Arial" w:cs="Arial"/>
                <w:sz w:val="24"/>
                <w:szCs w:val="24"/>
              </w:rPr>
              <w:t>PESTLE</w:t>
            </w:r>
          </w:p>
        </w:tc>
        <w:tc>
          <w:tcPr>
            <w:tcW w:w="6840" w:type="dxa"/>
            <w:tcBorders>
              <w:top w:val="single" w:color="auto" w:sz="4" w:space="0"/>
              <w:left w:val="single" w:color="auto" w:sz="4" w:space="0"/>
              <w:bottom w:val="single" w:color="auto" w:sz="4" w:space="0"/>
              <w:right w:val="single" w:color="auto" w:sz="4" w:space="0"/>
            </w:tcBorders>
            <w:tcMar>
              <w:top w:w="90" w:type="dxa"/>
              <w:left w:w="100" w:type="dxa"/>
              <w:bottom w:w="90" w:type="dxa"/>
              <w:right w:w="100" w:type="dxa"/>
            </w:tcMar>
            <w:vAlign w:val="center"/>
          </w:tcPr>
          <w:p w14:paraId="132F977E">
            <w:pPr>
              <w:bidi w:val="0"/>
              <w:rPr>
                <w:rFonts w:hint="default" w:ascii="Arial" w:hAnsi="Arial" w:cs="Arial"/>
                <w:sz w:val="24"/>
                <w:szCs w:val="24"/>
              </w:rPr>
            </w:pPr>
            <w:r>
              <w:rPr>
                <w:rFonts w:hint="default" w:ascii="Arial" w:hAnsi="Arial" w:cs="Arial"/>
                <w:sz w:val="24"/>
                <w:szCs w:val="24"/>
              </w:rPr>
              <w:t>Political, economic, social, technological, legal and environmental analysis</w:t>
            </w:r>
          </w:p>
        </w:tc>
      </w:tr>
      <w:tr w14:paraId="132F97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232" w:type="dxa"/>
            <w:tcBorders>
              <w:top w:val="single" w:color="auto" w:sz="4" w:space="0"/>
              <w:left w:val="single" w:color="auto" w:sz="4" w:space="0"/>
              <w:bottom w:val="single" w:color="auto" w:sz="4" w:space="0"/>
              <w:right w:val="single" w:color="auto" w:sz="4" w:space="0"/>
            </w:tcBorders>
            <w:tcMar>
              <w:top w:w="90" w:type="dxa"/>
              <w:left w:w="100" w:type="dxa"/>
              <w:bottom w:w="90" w:type="dxa"/>
              <w:right w:w="100" w:type="dxa"/>
            </w:tcMar>
            <w:vAlign w:val="center"/>
          </w:tcPr>
          <w:p w14:paraId="132F9780">
            <w:pPr>
              <w:bidi w:val="0"/>
              <w:rPr>
                <w:rFonts w:hint="default" w:ascii="Arial" w:hAnsi="Arial" w:cs="Arial"/>
                <w:sz w:val="24"/>
                <w:szCs w:val="24"/>
              </w:rPr>
            </w:pPr>
            <w:r>
              <w:rPr>
                <w:rFonts w:hint="default" w:ascii="Arial" w:hAnsi="Arial" w:cs="Arial"/>
                <w:sz w:val="24"/>
                <w:szCs w:val="24"/>
              </w:rPr>
              <w:t>SWOT</w:t>
            </w:r>
          </w:p>
        </w:tc>
        <w:tc>
          <w:tcPr>
            <w:tcW w:w="6840" w:type="dxa"/>
            <w:tcBorders>
              <w:top w:val="single" w:color="auto" w:sz="4" w:space="0"/>
              <w:left w:val="single" w:color="auto" w:sz="4" w:space="0"/>
              <w:bottom w:val="single" w:color="auto" w:sz="4" w:space="0"/>
              <w:right w:val="single" w:color="auto" w:sz="4" w:space="0"/>
            </w:tcBorders>
            <w:tcMar>
              <w:top w:w="90" w:type="dxa"/>
              <w:left w:w="100" w:type="dxa"/>
              <w:bottom w:w="90" w:type="dxa"/>
              <w:right w:w="100" w:type="dxa"/>
            </w:tcMar>
            <w:vAlign w:val="center"/>
          </w:tcPr>
          <w:p w14:paraId="132F9781">
            <w:pPr>
              <w:bidi w:val="0"/>
              <w:rPr>
                <w:rFonts w:hint="default" w:ascii="Arial" w:hAnsi="Arial" w:cs="Arial"/>
                <w:sz w:val="24"/>
                <w:szCs w:val="24"/>
              </w:rPr>
            </w:pPr>
            <w:r>
              <w:rPr>
                <w:rFonts w:hint="default" w:ascii="Arial" w:hAnsi="Arial" w:cs="Arial"/>
                <w:sz w:val="24"/>
                <w:szCs w:val="24"/>
              </w:rPr>
              <w:t>Strengths, weaknesses, opportunities and threats analysis</w:t>
            </w:r>
          </w:p>
        </w:tc>
      </w:tr>
      <w:tr w14:paraId="132F97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232" w:type="dxa"/>
            <w:tcBorders>
              <w:top w:val="single" w:color="auto" w:sz="4" w:space="0"/>
              <w:left w:val="single" w:color="auto" w:sz="4" w:space="0"/>
              <w:bottom w:val="single" w:color="auto" w:sz="4" w:space="0"/>
              <w:right w:val="single" w:color="auto" w:sz="4" w:space="0"/>
            </w:tcBorders>
            <w:tcMar>
              <w:top w:w="90" w:type="dxa"/>
              <w:left w:w="100" w:type="dxa"/>
              <w:bottom w:w="90" w:type="dxa"/>
              <w:right w:w="100" w:type="dxa"/>
            </w:tcMar>
            <w:vAlign w:val="center"/>
          </w:tcPr>
          <w:p w14:paraId="132F9783">
            <w:pPr>
              <w:bidi w:val="0"/>
              <w:rPr>
                <w:rFonts w:hint="default" w:ascii="Arial" w:hAnsi="Arial" w:cs="Arial"/>
                <w:sz w:val="24"/>
                <w:szCs w:val="24"/>
              </w:rPr>
            </w:pPr>
            <w:r>
              <w:rPr>
                <w:rFonts w:hint="default" w:ascii="Arial" w:hAnsi="Arial" w:cs="Arial"/>
                <w:sz w:val="24"/>
                <w:szCs w:val="24"/>
              </w:rPr>
              <w:t>UNEP</w:t>
            </w:r>
          </w:p>
        </w:tc>
        <w:tc>
          <w:tcPr>
            <w:tcW w:w="6840" w:type="dxa"/>
            <w:tcBorders>
              <w:top w:val="single" w:color="auto" w:sz="4" w:space="0"/>
              <w:left w:val="single" w:color="auto" w:sz="4" w:space="0"/>
              <w:bottom w:val="single" w:color="auto" w:sz="4" w:space="0"/>
              <w:right w:val="single" w:color="auto" w:sz="4" w:space="0"/>
            </w:tcBorders>
            <w:tcMar>
              <w:top w:w="90" w:type="dxa"/>
              <w:left w:w="100" w:type="dxa"/>
              <w:bottom w:w="90" w:type="dxa"/>
              <w:right w:w="100" w:type="dxa"/>
            </w:tcMar>
            <w:vAlign w:val="center"/>
          </w:tcPr>
          <w:p w14:paraId="132F9784">
            <w:pPr>
              <w:bidi w:val="0"/>
              <w:rPr>
                <w:rFonts w:hint="default" w:ascii="Arial" w:hAnsi="Arial" w:cs="Arial"/>
                <w:sz w:val="24"/>
                <w:szCs w:val="24"/>
              </w:rPr>
            </w:pPr>
            <w:r>
              <w:rPr>
                <w:rFonts w:hint="default" w:ascii="Arial" w:hAnsi="Arial" w:cs="Arial"/>
                <w:sz w:val="24"/>
                <w:szCs w:val="24"/>
              </w:rPr>
              <w:t>United Nations Environment Programme</w:t>
            </w:r>
          </w:p>
        </w:tc>
      </w:tr>
      <w:tr w14:paraId="132F97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232" w:type="dxa"/>
            <w:tcBorders>
              <w:top w:val="single" w:color="auto" w:sz="4" w:space="0"/>
              <w:left w:val="single" w:color="auto" w:sz="4" w:space="0"/>
              <w:bottom w:val="single" w:color="auto" w:sz="4" w:space="0"/>
              <w:right w:val="single" w:color="auto" w:sz="4" w:space="0"/>
            </w:tcBorders>
            <w:tcMar>
              <w:top w:w="90" w:type="dxa"/>
              <w:left w:w="100" w:type="dxa"/>
              <w:bottom w:w="90" w:type="dxa"/>
              <w:right w:w="100" w:type="dxa"/>
            </w:tcMar>
            <w:vAlign w:val="center"/>
          </w:tcPr>
          <w:p w14:paraId="132F9786">
            <w:pPr>
              <w:bidi w:val="0"/>
              <w:rPr>
                <w:rFonts w:hint="default" w:ascii="Arial" w:hAnsi="Arial" w:cs="Arial"/>
                <w:sz w:val="24"/>
                <w:szCs w:val="24"/>
              </w:rPr>
            </w:pPr>
            <w:r>
              <w:rPr>
                <w:rFonts w:hint="default" w:ascii="Arial" w:hAnsi="Arial" w:cs="Arial"/>
                <w:sz w:val="24"/>
                <w:szCs w:val="24"/>
              </w:rPr>
              <w:t>UWTSD</w:t>
            </w:r>
          </w:p>
        </w:tc>
        <w:tc>
          <w:tcPr>
            <w:tcW w:w="6840" w:type="dxa"/>
            <w:tcBorders>
              <w:top w:val="single" w:color="auto" w:sz="4" w:space="0"/>
              <w:left w:val="single" w:color="auto" w:sz="4" w:space="0"/>
              <w:bottom w:val="single" w:color="auto" w:sz="4" w:space="0"/>
              <w:right w:val="single" w:color="auto" w:sz="4" w:space="0"/>
            </w:tcBorders>
            <w:tcMar>
              <w:top w:w="90" w:type="dxa"/>
              <w:left w:w="100" w:type="dxa"/>
              <w:bottom w:w="90" w:type="dxa"/>
              <w:right w:w="100" w:type="dxa"/>
            </w:tcMar>
            <w:vAlign w:val="center"/>
          </w:tcPr>
          <w:p w14:paraId="132F9787">
            <w:pPr>
              <w:bidi w:val="0"/>
              <w:rPr>
                <w:rFonts w:hint="default" w:ascii="Arial" w:hAnsi="Arial" w:cs="Arial"/>
                <w:sz w:val="24"/>
                <w:szCs w:val="24"/>
              </w:rPr>
            </w:pPr>
            <w:r>
              <w:rPr>
                <w:rFonts w:hint="default" w:ascii="Arial" w:hAnsi="Arial" w:cs="Arial"/>
                <w:sz w:val="24"/>
                <w:szCs w:val="24"/>
              </w:rPr>
              <w:t>University of Wales Trinity Saint David</w:t>
            </w:r>
          </w:p>
        </w:tc>
      </w:tr>
    </w:tbl>
    <w:p w14:paraId="144BD891">
      <w:pPr>
        <w:rPr>
          <w:rFonts w:hint="default" w:ascii="Arial" w:hAnsi="Arial" w:cs="Arial"/>
        </w:rPr>
      </w:pPr>
      <w:r>
        <w:rPr>
          <w:rFonts w:hint="default" w:ascii="Arial" w:hAnsi="Arial" w:cs="Arial"/>
        </w:rPr>
        <w:br w:type="page"/>
      </w:r>
    </w:p>
    <w:p w14:paraId="132F978B">
      <w:pPr>
        <w:pStyle w:val="2"/>
        <w:bidi w:val="0"/>
        <w:rPr>
          <w:rFonts w:hint="default" w:ascii="Arial" w:hAnsi="Arial" w:cs="Arial"/>
        </w:rPr>
      </w:pPr>
      <w:bookmarkStart w:id="4" w:name="_Toc23854"/>
      <w:bookmarkStart w:id="5" w:name="_Toc27172"/>
      <w:r>
        <w:rPr>
          <w:rFonts w:hint="default" w:ascii="Arial" w:hAnsi="Arial" w:cs="Arial"/>
        </w:rPr>
        <w:t>1 Introduction</w:t>
      </w:r>
      <w:bookmarkEnd w:id="4"/>
      <w:bookmarkEnd w:id="5"/>
    </w:p>
    <w:p w14:paraId="132F978C">
      <w:pPr>
        <w:bidi w:val="0"/>
        <w:rPr>
          <w:rFonts w:hint="default" w:ascii="Arial" w:hAnsi="Arial" w:cs="Arial"/>
          <w:sz w:val="24"/>
          <w:szCs w:val="24"/>
        </w:rPr>
      </w:pPr>
      <w:r>
        <w:rPr>
          <w:rFonts w:hint="default" w:ascii="Arial" w:hAnsi="Arial" w:cs="Arial"/>
          <w:sz w:val="24"/>
          <w:szCs w:val="24"/>
        </w:rPr>
        <w:t>Rio Tinto’s iron ore, aluminium, copper and lithium businesses operate in a marketing environment increasingly shaped by climate policy, environmental expectations, technology and industrial-customer requirements. Because external forces affect its ability to build customer relationships, the company must monitor and adapt to them (Kotler et al., 2020).</w:t>
      </w:r>
    </w:p>
    <w:p w14:paraId="132F978D">
      <w:pPr>
        <w:bidi w:val="0"/>
        <w:rPr>
          <w:rFonts w:hint="default" w:ascii="Arial" w:hAnsi="Arial" w:cs="Arial"/>
          <w:sz w:val="24"/>
          <w:szCs w:val="24"/>
        </w:rPr>
      </w:pPr>
      <w:r>
        <w:rPr>
          <w:rFonts w:hint="default" w:ascii="Arial" w:hAnsi="Arial" w:cs="Arial"/>
          <w:sz w:val="24"/>
          <w:szCs w:val="24"/>
        </w:rPr>
        <w:t>This report analyses three connected forces in Rio Tinto’s lower-carbon transition: environmental, political and technological. Environmental pressures receive greatest attention because they affect both mining’s legitimacy and demand for transition-critical materials. PESTLE and SWOT analysis, customer buying behaviour, branding, competitor analysis, Porter’s Five Forces and the Ansoff Matrix inform a recommendation for product development with selective market development.</w:t>
      </w:r>
    </w:p>
    <w:p w14:paraId="132F978E">
      <w:pPr>
        <w:bidi w:val="0"/>
        <w:rPr>
          <w:rFonts w:hint="default" w:ascii="Arial" w:hAnsi="Arial" w:cs="Arial"/>
          <w:sz w:val="24"/>
          <w:szCs w:val="24"/>
        </w:rPr>
      </w:pPr>
      <w:r>
        <w:rPr>
          <w:rFonts w:hint="default" w:ascii="Arial" w:hAnsi="Arial" w:cs="Arial"/>
          <w:sz w:val="24"/>
          <w:szCs w:val="24"/>
        </w:rPr>
        <w:t>The scale of the challenge is clear. Rio Tinto reports 2025 adjusted gross Scope 1 and 2 emissions of 31.5 Mt CO₂e, 14% below its 2018 baseline, while Scope 3 emissions were 575.7 Mt CO₂e (Rio Tinto, 2026a). Scope 3 is therefore around eighteen times larger than operational Scope 1 and 2 emissions. Rio Tinto’s lower-carbon transition is not only an operational matter: it is also a customer-value, brand-trust and market-positioning issue.</w:t>
      </w:r>
    </w:p>
    <w:p w14:paraId="132F978F">
      <w:pPr>
        <w:bidi w:val="0"/>
        <w:rPr>
          <w:rFonts w:hint="default" w:ascii="Arial" w:hAnsi="Arial" w:cs="Arial"/>
          <w:sz w:val="24"/>
          <w:szCs w:val="24"/>
        </w:rPr>
      </w:pPr>
      <w:r>
        <w:rPr>
          <w:rFonts w:hint="default" w:ascii="Arial" w:hAnsi="Arial" w:cs="Arial"/>
          <w:sz w:val="24"/>
          <w:szCs w:val="24"/>
        </w:rPr>
        <w:drawing>
          <wp:inline distT="0" distB="0" distL="114300" distR="114300">
            <wp:extent cx="5394960" cy="2928620"/>
            <wp:effectExtent l="0" t="0" r="15240" b="5080"/>
            <wp:docPr id="2" name="Picture 2" descr="University of Wales Trinity Saint David logo." title="University of Wales Trinity Saint Davi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University of Wales Trinity Saint David logo." title="University of Wales Trinity Saint David logo"/>
                    <pic:cNvPicPr>
                      <a:picLocks noChangeAspect="1"/>
                    </pic:cNvPicPr>
                  </pic:nvPicPr>
                  <pic:blipFill>
                    <a:blip r:embed="rId10"/>
                    <a:stretch>
                      <a:fillRect/>
                    </a:stretch>
                  </pic:blipFill>
                  <pic:spPr>
                    <a:xfrm>
                      <a:off x="0" y="0"/>
                      <a:ext cx="5394960" cy="2928693"/>
                    </a:xfrm>
                    <a:prstGeom prst="rect">
                      <a:avLst/>
                    </a:prstGeom>
                  </pic:spPr>
                </pic:pic>
              </a:graphicData>
            </a:graphic>
          </wp:inline>
        </w:drawing>
      </w:r>
    </w:p>
    <w:p w14:paraId="2AB8A777">
      <w:pPr>
        <w:keepNext/>
        <w:bidi w:val="0"/>
        <w:rPr>
          <w:rFonts w:hint="default" w:ascii="Arial" w:hAnsi="Arial" w:cs="Arial"/>
          <w:sz w:val="20"/>
          <w:szCs w:val="20"/>
          <w:lang w:val="en-GB"/>
        </w:rPr>
      </w:pPr>
      <w:r>
        <w:rPr>
          <w:rFonts w:hint="default" w:ascii="Arial" w:hAnsi="Arial" w:cs="Arial"/>
          <w:sz w:val="20"/>
          <w:szCs w:val="20"/>
        </w:rPr>
        <w:t>Figure 1: Rio Tinto greenhouse-gas emissions by boundary, 2025 (Mt CO₂e). Source: Rio Tinto (2026a).</w:t>
      </w:r>
    </w:p>
    <w:p w14:paraId="132F9791">
      <w:pPr>
        <w:pStyle w:val="2"/>
        <w:bidi w:val="0"/>
        <w:rPr>
          <w:rFonts w:hint="default" w:ascii="Arial" w:hAnsi="Arial" w:cs="Arial"/>
        </w:rPr>
      </w:pPr>
      <w:bookmarkStart w:id="6" w:name="_Toc13154"/>
      <w:r>
        <w:rPr>
          <w:rFonts w:hint="default" w:ascii="Arial" w:hAnsi="Arial" w:cs="Arial"/>
        </w:rPr>
        <w:t>2 Task 1 Marketing Environment Analysis</w:t>
      </w:r>
      <w:bookmarkEnd w:id="6"/>
    </w:p>
    <w:p w14:paraId="132F9792">
      <w:pPr>
        <w:pStyle w:val="3"/>
        <w:bidi w:val="0"/>
        <w:rPr>
          <w:rFonts w:hint="default" w:ascii="Arial" w:hAnsi="Arial" w:cs="Arial"/>
        </w:rPr>
      </w:pPr>
      <w:bookmarkStart w:id="7" w:name="_Toc10049"/>
      <w:r>
        <w:rPr>
          <w:rFonts w:hint="default" w:ascii="Arial" w:hAnsi="Arial" w:cs="Arial"/>
        </w:rPr>
        <w:t>2.1 Environmental Actor</w:t>
      </w:r>
      <w:bookmarkEnd w:id="7"/>
    </w:p>
    <w:p w14:paraId="132F9793">
      <w:pPr>
        <w:bidi w:val="0"/>
        <w:rPr>
          <w:rFonts w:hint="default" w:ascii="Arial" w:hAnsi="Arial" w:cs="Arial"/>
          <w:sz w:val="24"/>
          <w:szCs w:val="24"/>
        </w:rPr>
      </w:pPr>
      <w:r>
        <w:rPr>
          <w:rFonts w:hint="default" w:ascii="Arial" w:hAnsi="Arial" w:cs="Arial"/>
          <w:sz w:val="24"/>
          <w:szCs w:val="24"/>
        </w:rPr>
        <w:t>Environmental forces shape resource access, emissions, biodiversity and water impacts (Kotler et al., 2020). The central tension is that the energy transition needs more minerals, while extraction can intensify climate and community pressures. Growth is an opportunity only when supply is responsible and credible.</w:t>
      </w:r>
    </w:p>
    <w:p w14:paraId="132F9794">
      <w:pPr>
        <w:bidi w:val="0"/>
        <w:rPr>
          <w:rFonts w:hint="default" w:ascii="Arial" w:hAnsi="Arial" w:cs="Arial"/>
          <w:sz w:val="24"/>
          <w:szCs w:val="24"/>
        </w:rPr>
      </w:pPr>
      <w:r>
        <w:rPr>
          <w:rFonts w:hint="default" w:ascii="Arial" w:hAnsi="Arial" w:cs="Arial"/>
          <w:sz w:val="24"/>
          <w:szCs w:val="24"/>
        </w:rPr>
        <w:t>Demand for electrification minerals, particularly copper, is expected to grow (IEA, 2024). Rio Tinto’s portfolio offers exposure, but responsible growth is essential. Its 2030 target is a 50% Scope 1 and 2 reduction from 2018, with operational net zero by 2050 (Rio Tinto, 2026b). These targets do not address the much larger emissions from customers processing iron ore, bauxite and alumina.</w:t>
      </w:r>
    </w:p>
    <w:p w14:paraId="132F9795">
      <w:pPr>
        <w:bidi w:val="0"/>
        <w:rPr>
          <w:rFonts w:hint="default" w:ascii="Arial" w:hAnsi="Arial" w:cs="Arial"/>
          <w:sz w:val="24"/>
          <w:szCs w:val="24"/>
        </w:rPr>
      </w:pPr>
      <w:r>
        <w:rPr>
          <w:rFonts w:hint="default" w:ascii="Arial" w:hAnsi="Arial" w:cs="Arial"/>
          <w:sz w:val="24"/>
          <w:szCs w:val="24"/>
        </w:rPr>
        <w:t>Most of Rio Tinto’s Scope 3 emissions arise when customers process iron ore and bauxite/alumina (Rio Tinto, 2026a). Customer partnerships, product-level carbon data and process innovation can influence these emissions. Customers are therefore partners whose targets can shape specifications, supplier choice and contracts.</w:t>
      </w:r>
    </w:p>
    <w:p w14:paraId="132F9796">
      <w:pPr>
        <w:bidi w:val="0"/>
        <w:rPr>
          <w:rFonts w:hint="default" w:ascii="Arial" w:hAnsi="Arial" w:cs="Arial"/>
          <w:sz w:val="24"/>
          <w:szCs w:val="24"/>
        </w:rPr>
      </w:pPr>
      <w:r>
        <w:rPr>
          <w:rFonts w:hint="default" w:ascii="Arial" w:hAnsi="Arial" w:cs="Arial"/>
          <w:sz w:val="24"/>
          <w:szCs w:val="24"/>
        </w:rPr>
        <w:t>Higher-grade iron ore can support lower-emissions steelmaking when paired with suitable downstream technology; Rio Tinto’s first Simandou shipment left Guinea in December 2025 (Rio Tinto, 2025a). Copper and aluminium also serve electrification and renewable infrastructure (IEA, 2024). However, growth can increase land, water, waste and social pressures, so climate gains must be assessed alongside wider impacts (Negrete et al., 2024).</w:t>
      </w:r>
    </w:p>
    <w:p w14:paraId="132F9797">
      <w:pPr>
        <w:bidi w:val="0"/>
        <w:rPr>
          <w:rFonts w:hint="default" w:ascii="Arial" w:hAnsi="Arial" w:cs="Arial"/>
          <w:sz w:val="24"/>
          <w:szCs w:val="24"/>
        </w:rPr>
      </w:pPr>
      <w:r>
        <w:rPr>
          <w:rFonts w:hint="default" w:ascii="Arial" w:hAnsi="Arial" w:cs="Arial"/>
          <w:sz w:val="24"/>
          <w:szCs w:val="24"/>
        </w:rPr>
        <w:t>“Lower carbon” is a value proposition only when comparable measurement and credible boundaries show a meaningful difference customers value. Environmental due diligence affects trust among customers, investors, regulators and communities (OECD, 2023). It raises operating costs but can reward suppliers that substantiate lower-impact performance.</w:t>
      </w:r>
    </w:p>
    <w:p w14:paraId="36EE8904">
      <w:pPr>
        <w:bidi w:val="0"/>
        <w:rPr>
          <w:rFonts w:hint="default" w:ascii="Arial" w:hAnsi="Arial" w:cs="Arial"/>
          <w:b/>
          <w:bCs/>
          <w:sz w:val="24"/>
          <w:szCs w:val="24"/>
        </w:rPr>
      </w:pPr>
      <w:r>
        <w:rPr>
          <w:rFonts w:hint="default" w:ascii="Arial" w:hAnsi="Arial" w:cs="Arial"/>
          <w:b/>
          <w:bCs/>
          <w:sz w:val="24"/>
          <w:szCs w:val="24"/>
        </w:rPr>
        <w:t>Table 1: Environmental actor diagnosis using a marketing SWOT lens.</w:t>
      </w:r>
    </w:p>
    <w:tbl>
      <w:tblPr>
        <w:tblStyle w:val="38"/>
        <w:tblW w:w="0" w:type="auto"/>
        <w:jc w:val="cente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Layout w:type="autofit"/>
        <w:tblCellMar>
          <w:top w:w="0" w:type="dxa"/>
          <w:left w:w="108" w:type="dxa"/>
          <w:bottom w:w="0" w:type="dxa"/>
          <w:right w:w="108" w:type="dxa"/>
        </w:tblCellMar>
      </w:tblPr>
      <w:tblGrid>
        <w:gridCol w:w="2088"/>
        <w:gridCol w:w="2448"/>
        <w:gridCol w:w="2376"/>
        <w:gridCol w:w="2757"/>
      </w:tblGrid>
      <w:tr w14:paraId="132F979D">
        <w:tblPrEx>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top w:w="0" w:type="dxa"/>
            <w:left w:w="108" w:type="dxa"/>
            <w:bottom w:w="0" w:type="dxa"/>
            <w:right w:w="108" w:type="dxa"/>
          </w:tblCellMar>
        </w:tblPrEx>
        <w:trPr>
          <w:cantSplit/>
          <w:tblHeader/>
          <w:jc w:val="center"/>
        </w:trPr>
        <w:tc>
          <w:tcPr>
            <w:tcW w:w="2088" w:type="dxa"/>
            <w:tcBorders>
              <w:top w:val="single" w:color="auto" w:sz="4" w:space="0"/>
              <w:left w:val="single" w:color="auto" w:sz="4" w:space="0"/>
              <w:bottom w:val="single" w:color="auto" w:sz="4" w:space="0"/>
              <w:right w:val="single" w:color="auto" w:sz="4" w:space="0"/>
            </w:tcBorders>
            <w:tcMar>
              <w:top w:w="90" w:type="dxa"/>
              <w:left w:w="100" w:type="dxa"/>
              <w:bottom w:w="90" w:type="dxa"/>
              <w:right w:w="100" w:type="dxa"/>
            </w:tcMar>
            <w:vAlign w:val="center"/>
          </w:tcPr>
          <w:p w14:paraId="132F9799">
            <w:pPr>
              <w:bidi w:val="0"/>
              <w:rPr>
                <w:rFonts w:hint="default" w:ascii="Arial" w:hAnsi="Arial" w:cs="Arial"/>
                <w:b/>
                <w:bCs/>
                <w:sz w:val="24"/>
                <w:szCs w:val="24"/>
              </w:rPr>
            </w:pPr>
            <w:r>
              <w:rPr>
                <w:rFonts w:hint="default" w:ascii="Arial" w:hAnsi="Arial" w:cs="Arial"/>
                <w:b/>
                <w:bCs/>
                <w:sz w:val="24"/>
                <w:szCs w:val="24"/>
              </w:rPr>
              <w:t>Environmental pressure</w:t>
            </w:r>
          </w:p>
        </w:tc>
        <w:tc>
          <w:tcPr>
            <w:tcW w:w="2448" w:type="dxa"/>
            <w:tcBorders>
              <w:top w:val="single" w:color="auto" w:sz="4" w:space="0"/>
              <w:left w:val="single" w:color="auto" w:sz="4" w:space="0"/>
              <w:bottom w:val="single" w:color="auto" w:sz="4" w:space="0"/>
              <w:right w:val="single" w:color="auto" w:sz="4" w:space="0"/>
            </w:tcBorders>
            <w:tcMar>
              <w:top w:w="90" w:type="dxa"/>
              <w:left w:w="100" w:type="dxa"/>
              <w:bottom w:w="90" w:type="dxa"/>
              <w:right w:w="100" w:type="dxa"/>
            </w:tcMar>
            <w:vAlign w:val="center"/>
          </w:tcPr>
          <w:p w14:paraId="132F979A">
            <w:pPr>
              <w:bidi w:val="0"/>
              <w:rPr>
                <w:rFonts w:hint="default" w:ascii="Arial" w:hAnsi="Arial" w:cs="Arial"/>
                <w:b/>
                <w:bCs/>
                <w:sz w:val="24"/>
                <w:szCs w:val="24"/>
              </w:rPr>
            </w:pPr>
            <w:r>
              <w:rPr>
                <w:rFonts w:hint="default" w:ascii="Arial" w:hAnsi="Arial" w:cs="Arial"/>
                <w:b/>
                <w:bCs/>
                <w:sz w:val="24"/>
                <w:szCs w:val="24"/>
              </w:rPr>
              <w:t>Opportunity for Rio Tinto</w:t>
            </w:r>
          </w:p>
        </w:tc>
        <w:tc>
          <w:tcPr>
            <w:tcW w:w="2376" w:type="dxa"/>
            <w:tcBorders>
              <w:top w:val="single" w:color="auto" w:sz="4" w:space="0"/>
              <w:left w:val="single" w:color="auto" w:sz="4" w:space="0"/>
              <w:bottom w:val="single" w:color="auto" w:sz="4" w:space="0"/>
              <w:right w:val="single" w:color="auto" w:sz="4" w:space="0"/>
            </w:tcBorders>
            <w:tcMar>
              <w:top w:w="90" w:type="dxa"/>
              <w:left w:w="100" w:type="dxa"/>
              <w:bottom w:w="90" w:type="dxa"/>
              <w:right w:w="100" w:type="dxa"/>
            </w:tcMar>
            <w:vAlign w:val="center"/>
          </w:tcPr>
          <w:p w14:paraId="132F979B">
            <w:pPr>
              <w:bidi w:val="0"/>
              <w:rPr>
                <w:rFonts w:hint="default" w:ascii="Arial" w:hAnsi="Arial" w:cs="Arial"/>
                <w:b/>
                <w:bCs/>
                <w:sz w:val="24"/>
                <w:szCs w:val="24"/>
              </w:rPr>
            </w:pPr>
            <w:r>
              <w:rPr>
                <w:rFonts w:hint="default" w:ascii="Arial" w:hAnsi="Arial" w:cs="Arial"/>
                <w:b/>
                <w:bCs/>
                <w:sz w:val="24"/>
                <w:szCs w:val="24"/>
              </w:rPr>
              <w:t>Threat or constraint</w:t>
            </w:r>
          </w:p>
        </w:tc>
        <w:tc>
          <w:tcPr>
            <w:tcW w:w="2757" w:type="dxa"/>
            <w:tcBorders>
              <w:top w:val="single" w:color="auto" w:sz="4" w:space="0"/>
              <w:left w:val="single" w:color="auto" w:sz="4" w:space="0"/>
              <w:bottom w:val="single" w:color="auto" w:sz="4" w:space="0"/>
              <w:right w:val="single" w:color="auto" w:sz="4" w:space="0"/>
            </w:tcBorders>
            <w:tcMar>
              <w:top w:w="90" w:type="dxa"/>
              <w:left w:w="100" w:type="dxa"/>
              <w:bottom w:w="90" w:type="dxa"/>
              <w:right w:w="100" w:type="dxa"/>
            </w:tcMar>
            <w:vAlign w:val="center"/>
          </w:tcPr>
          <w:p w14:paraId="132F979C">
            <w:pPr>
              <w:bidi w:val="0"/>
              <w:rPr>
                <w:rFonts w:hint="default" w:ascii="Arial" w:hAnsi="Arial" w:cs="Arial"/>
                <w:b/>
                <w:bCs/>
                <w:sz w:val="24"/>
                <w:szCs w:val="24"/>
              </w:rPr>
            </w:pPr>
            <w:r>
              <w:rPr>
                <w:rFonts w:hint="default" w:ascii="Arial" w:hAnsi="Arial" w:cs="Arial"/>
                <w:b/>
                <w:bCs/>
                <w:sz w:val="24"/>
                <w:szCs w:val="24"/>
              </w:rPr>
              <w:t>Marketing implication</w:t>
            </w:r>
          </w:p>
        </w:tc>
      </w:tr>
      <w:tr w14:paraId="132F97A2">
        <w:tblPrEx>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top w:w="0" w:type="dxa"/>
            <w:left w:w="108" w:type="dxa"/>
            <w:bottom w:w="0" w:type="dxa"/>
            <w:right w:w="108" w:type="dxa"/>
          </w:tblCellMar>
        </w:tblPrEx>
        <w:trPr>
          <w:cantSplit/>
          <w:jc w:val="center"/>
        </w:trPr>
        <w:tc>
          <w:tcPr>
            <w:tcW w:w="2088" w:type="dxa"/>
            <w:tcBorders>
              <w:top w:val="single" w:color="auto" w:sz="4" w:space="0"/>
              <w:left w:val="single" w:color="auto" w:sz="4" w:space="0"/>
              <w:bottom w:val="single" w:color="auto" w:sz="4" w:space="0"/>
              <w:right w:val="single" w:color="auto" w:sz="4" w:space="0"/>
            </w:tcBorders>
            <w:tcMar>
              <w:top w:w="90" w:type="dxa"/>
              <w:left w:w="100" w:type="dxa"/>
              <w:bottom w:w="90" w:type="dxa"/>
              <w:right w:w="100" w:type="dxa"/>
            </w:tcMar>
            <w:vAlign w:val="center"/>
          </w:tcPr>
          <w:p w14:paraId="132F979E">
            <w:pPr>
              <w:bidi w:val="0"/>
              <w:rPr>
                <w:rFonts w:hint="default" w:ascii="Arial" w:hAnsi="Arial" w:cs="Arial"/>
                <w:sz w:val="24"/>
                <w:szCs w:val="24"/>
              </w:rPr>
            </w:pPr>
            <w:r>
              <w:rPr>
                <w:rFonts w:hint="default" w:ascii="Arial" w:hAnsi="Arial" w:cs="Arial"/>
                <w:sz w:val="24"/>
                <w:szCs w:val="24"/>
              </w:rPr>
              <w:t>Demand for copper, lithium and aluminium in electrification</w:t>
            </w:r>
          </w:p>
        </w:tc>
        <w:tc>
          <w:tcPr>
            <w:tcW w:w="2448" w:type="dxa"/>
            <w:tcBorders>
              <w:top w:val="single" w:color="auto" w:sz="4" w:space="0"/>
              <w:left w:val="single" w:color="auto" w:sz="4" w:space="0"/>
              <w:bottom w:val="single" w:color="auto" w:sz="4" w:space="0"/>
              <w:right w:val="single" w:color="auto" w:sz="4" w:space="0"/>
            </w:tcBorders>
            <w:tcMar>
              <w:top w:w="90" w:type="dxa"/>
              <w:left w:w="100" w:type="dxa"/>
              <w:bottom w:w="90" w:type="dxa"/>
              <w:right w:w="100" w:type="dxa"/>
            </w:tcMar>
            <w:vAlign w:val="center"/>
          </w:tcPr>
          <w:p w14:paraId="132F979F">
            <w:pPr>
              <w:bidi w:val="0"/>
              <w:rPr>
                <w:rFonts w:hint="default" w:ascii="Arial" w:hAnsi="Arial" w:cs="Arial"/>
                <w:sz w:val="24"/>
                <w:szCs w:val="24"/>
              </w:rPr>
            </w:pPr>
            <w:r>
              <w:rPr>
                <w:rFonts w:hint="default" w:ascii="Arial" w:hAnsi="Arial" w:cs="Arial"/>
                <w:sz w:val="24"/>
                <w:szCs w:val="24"/>
              </w:rPr>
              <w:t>Grow transition-linked commodities and partnerships</w:t>
            </w:r>
          </w:p>
        </w:tc>
        <w:tc>
          <w:tcPr>
            <w:tcW w:w="2376" w:type="dxa"/>
            <w:tcBorders>
              <w:top w:val="single" w:color="auto" w:sz="4" w:space="0"/>
              <w:left w:val="single" w:color="auto" w:sz="4" w:space="0"/>
              <w:bottom w:val="single" w:color="auto" w:sz="4" w:space="0"/>
              <w:right w:val="single" w:color="auto" w:sz="4" w:space="0"/>
            </w:tcBorders>
            <w:tcMar>
              <w:top w:w="90" w:type="dxa"/>
              <w:left w:w="100" w:type="dxa"/>
              <w:bottom w:w="90" w:type="dxa"/>
              <w:right w:w="100" w:type="dxa"/>
            </w:tcMar>
            <w:vAlign w:val="center"/>
          </w:tcPr>
          <w:p w14:paraId="132F97A0">
            <w:pPr>
              <w:bidi w:val="0"/>
              <w:rPr>
                <w:rFonts w:hint="default" w:ascii="Arial" w:hAnsi="Arial" w:cs="Arial"/>
                <w:sz w:val="24"/>
                <w:szCs w:val="24"/>
              </w:rPr>
            </w:pPr>
            <w:r>
              <w:rPr>
                <w:rFonts w:hint="default" w:ascii="Arial" w:hAnsi="Arial" w:cs="Arial"/>
                <w:sz w:val="24"/>
                <w:szCs w:val="24"/>
              </w:rPr>
              <w:t>Demand growth can increase ecological and social impacts</w:t>
            </w:r>
          </w:p>
        </w:tc>
        <w:tc>
          <w:tcPr>
            <w:tcW w:w="2757" w:type="dxa"/>
            <w:tcBorders>
              <w:top w:val="single" w:color="auto" w:sz="4" w:space="0"/>
              <w:left w:val="single" w:color="auto" w:sz="4" w:space="0"/>
              <w:bottom w:val="single" w:color="auto" w:sz="4" w:space="0"/>
              <w:right w:val="single" w:color="auto" w:sz="4" w:space="0"/>
            </w:tcBorders>
            <w:tcMar>
              <w:top w:w="90" w:type="dxa"/>
              <w:left w:w="100" w:type="dxa"/>
              <w:bottom w:w="90" w:type="dxa"/>
              <w:right w:w="100" w:type="dxa"/>
            </w:tcMar>
            <w:vAlign w:val="center"/>
          </w:tcPr>
          <w:p w14:paraId="132F97A1">
            <w:pPr>
              <w:bidi w:val="0"/>
              <w:rPr>
                <w:rFonts w:hint="default" w:ascii="Arial" w:hAnsi="Arial" w:cs="Arial"/>
                <w:sz w:val="24"/>
                <w:szCs w:val="24"/>
              </w:rPr>
            </w:pPr>
            <w:r>
              <w:rPr>
                <w:rFonts w:hint="default" w:ascii="Arial" w:hAnsi="Arial" w:cs="Arial"/>
                <w:sz w:val="24"/>
                <w:szCs w:val="24"/>
              </w:rPr>
              <w:t>Make responsible supply part of the customer proposition</w:t>
            </w:r>
          </w:p>
        </w:tc>
      </w:tr>
      <w:tr w14:paraId="132F97A7">
        <w:tblPrEx>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top w:w="0" w:type="dxa"/>
            <w:left w:w="108" w:type="dxa"/>
            <w:bottom w:w="0" w:type="dxa"/>
            <w:right w:w="108" w:type="dxa"/>
          </w:tblCellMar>
        </w:tblPrEx>
        <w:trPr>
          <w:cantSplit/>
          <w:jc w:val="center"/>
        </w:trPr>
        <w:tc>
          <w:tcPr>
            <w:tcW w:w="2088" w:type="dxa"/>
            <w:tcBorders>
              <w:top w:val="single" w:color="auto" w:sz="4" w:space="0"/>
              <w:left w:val="single" w:color="auto" w:sz="4" w:space="0"/>
              <w:bottom w:val="single" w:color="auto" w:sz="4" w:space="0"/>
              <w:right w:val="single" w:color="auto" w:sz="4" w:space="0"/>
            </w:tcBorders>
            <w:tcMar>
              <w:top w:w="90" w:type="dxa"/>
              <w:left w:w="100" w:type="dxa"/>
              <w:bottom w:w="90" w:type="dxa"/>
              <w:right w:w="100" w:type="dxa"/>
            </w:tcMar>
            <w:vAlign w:val="center"/>
          </w:tcPr>
          <w:p w14:paraId="132F97A3">
            <w:pPr>
              <w:bidi w:val="0"/>
              <w:rPr>
                <w:rFonts w:hint="default" w:ascii="Arial" w:hAnsi="Arial" w:cs="Arial"/>
                <w:sz w:val="24"/>
                <w:szCs w:val="24"/>
              </w:rPr>
            </w:pPr>
            <w:r>
              <w:rPr>
                <w:rFonts w:hint="default" w:ascii="Arial" w:hAnsi="Arial" w:cs="Arial"/>
                <w:sz w:val="24"/>
                <w:szCs w:val="24"/>
              </w:rPr>
              <w:t>Large downstream emissions from customer processing</w:t>
            </w:r>
          </w:p>
        </w:tc>
        <w:tc>
          <w:tcPr>
            <w:tcW w:w="2448" w:type="dxa"/>
            <w:tcBorders>
              <w:top w:val="single" w:color="auto" w:sz="4" w:space="0"/>
              <w:left w:val="single" w:color="auto" w:sz="4" w:space="0"/>
              <w:bottom w:val="single" w:color="auto" w:sz="4" w:space="0"/>
              <w:right w:val="single" w:color="auto" w:sz="4" w:space="0"/>
            </w:tcBorders>
            <w:tcMar>
              <w:top w:w="90" w:type="dxa"/>
              <w:left w:w="100" w:type="dxa"/>
              <w:bottom w:w="90" w:type="dxa"/>
              <w:right w:w="100" w:type="dxa"/>
            </w:tcMar>
            <w:vAlign w:val="center"/>
          </w:tcPr>
          <w:p w14:paraId="132F97A4">
            <w:pPr>
              <w:bidi w:val="0"/>
              <w:rPr>
                <w:rFonts w:hint="default" w:ascii="Arial" w:hAnsi="Arial" w:cs="Arial"/>
                <w:sz w:val="24"/>
                <w:szCs w:val="24"/>
              </w:rPr>
            </w:pPr>
            <w:r>
              <w:rPr>
                <w:rFonts w:hint="default" w:ascii="Arial" w:hAnsi="Arial" w:cs="Arial"/>
                <w:sz w:val="24"/>
                <w:szCs w:val="24"/>
              </w:rPr>
              <w:t>Co-develop lower-carbon value chains</w:t>
            </w:r>
          </w:p>
        </w:tc>
        <w:tc>
          <w:tcPr>
            <w:tcW w:w="2376" w:type="dxa"/>
            <w:tcBorders>
              <w:top w:val="single" w:color="auto" w:sz="4" w:space="0"/>
              <w:left w:val="single" w:color="auto" w:sz="4" w:space="0"/>
              <w:bottom w:val="single" w:color="auto" w:sz="4" w:space="0"/>
              <w:right w:val="single" w:color="auto" w:sz="4" w:space="0"/>
            </w:tcBorders>
            <w:tcMar>
              <w:top w:w="90" w:type="dxa"/>
              <w:left w:w="100" w:type="dxa"/>
              <w:bottom w:w="90" w:type="dxa"/>
              <w:right w:w="100" w:type="dxa"/>
            </w:tcMar>
            <w:vAlign w:val="center"/>
          </w:tcPr>
          <w:p w14:paraId="132F97A5">
            <w:pPr>
              <w:bidi w:val="0"/>
              <w:rPr>
                <w:rFonts w:hint="default" w:ascii="Arial" w:hAnsi="Arial" w:cs="Arial"/>
                <w:sz w:val="24"/>
                <w:szCs w:val="24"/>
              </w:rPr>
            </w:pPr>
            <w:r>
              <w:rPr>
                <w:rFonts w:hint="default" w:ascii="Arial" w:hAnsi="Arial" w:cs="Arial"/>
                <w:sz w:val="24"/>
                <w:szCs w:val="24"/>
              </w:rPr>
              <w:t>Rio Tinto cannot control all Scope 3 emissions</w:t>
            </w:r>
          </w:p>
        </w:tc>
        <w:tc>
          <w:tcPr>
            <w:tcW w:w="2757" w:type="dxa"/>
            <w:tcBorders>
              <w:top w:val="single" w:color="auto" w:sz="4" w:space="0"/>
              <w:left w:val="single" w:color="auto" w:sz="4" w:space="0"/>
              <w:bottom w:val="single" w:color="auto" w:sz="4" w:space="0"/>
              <w:right w:val="single" w:color="auto" w:sz="4" w:space="0"/>
            </w:tcBorders>
            <w:tcMar>
              <w:top w:w="90" w:type="dxa"/>
              <w:left w:w="100" w:type="dxa"/>
              <w:bottom w:w="90" w:type="dxa"/>
              <w:right w:w="100" w:type="dxa"/>
            </w:tcMar>
            <w:vAlign w:val="center"/>
          </w:tcPr>
          <w:p w14:paraId="132F97A6">
            <w:pPr>
              <w:bidi w:val="0"/>
              <w:rPr>
                <w:rFonts w:hint="default" w:ascii="Arial" w:hAnsi="Arial" w:cs="Arial"/>
                <w:sz w:val="24"/>
                <w:szCs w:val="24"/>
              </w:rPr>
            </w:pPr>
            <w:r>
              <w:rPr>
                <w:rFonts w:hint="default" w:ascii="Arial" w:hAnsi="Arial" w:cs="Arial"/>
                <w:sz w:val="24"/>
                <w:szCs w:val="24"/>
              </w:rPr>
              <w:t>Sell evidence, collaboration and transparency rather than a simple “green” claim</w:t>
            </w:r>
          </w:p>
        </w:tc>
      </w:tr>
      <w:tr w14:paraId="132F97AC">
        <w:tblPrEx>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top w:w="0" w:type="dxa"/>
            <w:left w:w="108" w:type="dxa"/>
            <w:bottom w:w="0" w:type="dxa"/>
            <w:right w:w="108" w:type="dxa"/>
          </w:tblCellMar>
        </w:tblPrEx>
        <w:trPr>
          <w:cantSplit/>
          <w:jc w:val="center"/>
        </w:trPr>
        <w:tc>
          <w:tcPr>
            <w:tcW w:w="2088" w:type="dxa"/>
            <w:tcBorders>
              <w:top w:val="single" w:color="auto" w:sz="4" w:space="0"/>
              <w:left w:val="single" w:color="auto" w:sz="4" w:space="0"/>
              <w:bottom w:val="single" w:color="auto" w:sz="4" w:space="0"/>
              <w:right w:val="single" w:color="auto" w:sz="4" w:space="0"/>
            </w:tcBorders>
            <w:tcMar>
              <w:top w:w="90" w:type="dxa"/>
              <w:left w:w="100" w:type="dxa"/>
              <w:bottom w:w="90" w:type="dxa"/>
              <w:right w:w="100" w:type="dxa"/>
            </w:tcMar>
            <w:vAlign w:val="center"/>
          </w:tcPr>
          <w:p w14:paraId="132F97A8">
            <w:pPr>
              <w:bidi w:val="0"/>
              <w:rPr>
                <w:rFonts w:hint="default" w:ascii="Arial" w:hAnsi="Arial" w:cs="Arial"/>
                <w:sz w:val="24"/>
                <w:szCs w:val="24"/>
              </w:rPr>
            </w:pPr>
            <w:r>
              <w:rPr>
                <w:rFonts w:hint="default" w:ascii="Arial" w:hAnsi="Arial" w:cs="Arial"/>
                <w:sz w:val="24"/>
                <w:szCs w:val="24"/>
              </w:rPr>
              <w:t>Climate and biodiversity scrutiny</w:t>
            </w:r>
          </w:p>
        </w:tc>
        <w:tc>
          <w:tcPr>
            <w:tcW w:w="2448" w:type="dxa"/>
            <w:tcBorders>
              <w:top w:val="single" w:color="auto" w:sz="4" w:space="0"/>
              <w:left w:val="single" w:color="auto" w:sz="4" w:space="0"/>
              <w:bottom w:val="single" w:color="auto" w:sz="4" w:space="0"/>
              <w:right w:val="single" w:color="auto" w:sz="4" w:space="0"/>
            </w:tcBorders>
            <w:tcMar>
              <w:top w:w="90" w:type="dxa"/>
              <w:left w:w="100" w:type="dxa"/>
              <w:bottom w:w="90" w:type="dxa"/>
              <w:right w:w="100" w:type="dxa"/>
            </w:tcMar>
            <w:vAlign w:val="center"/>
          </w:tcPr>
          <w:p w14:paraId="132F97A9">
            <w:pPr>
              <w:bidi w:val="0"/>
              <w:rPr>
                <w:rFonts w:hint="default" w:ascii="Arial" w:hAnsi="Arial" w:cs="Arial"/>
                <w:sz w:val="24"/>
                <w:szCs w:val="24"/>
              </w:rPr>
            </w:pPr>
            <w:r>
              <w:rPr>
                <w:rFonts w:hint="default" w:ascii="Arial" w:hAnsi="Arial" w:cs="Arial"/>
                <w:sz w:val="24"/>
                <w:szCs w:val="24"/>
              </w:rPr>
              <w:t>Differentiate through verified performance</w:t>
            </w:r>
          </w:p>
        </w:tc>
        <w:tc>
          <w:tcPr>
            <w:tcW w:w="2376" w:type="dxa"/>
            <w:tcBorders>
              <w:top w:val="single" w:color="auto" w:sz="4" w:space="0"/>
              <w:left w:val="single" w:color="auto" w:sz="4" w:space="0"/>
              <w:bottom w:val="single" w:color="auto" w:sz="4" w:space="0"/>
              <w:right w:val="single" w:color="auto" w:sz="4" w:space="0"/>
            </w:tcBorders>
            <w:tcMar>
              <w:top w:w="90" w:type="dxa"/>
              <w:left w:w="100" w:type="dxa"/>
              <w:bottom w:w="90" w:type="dxa"/>
              <w:right w:w="100" w:type="dxa"/>
            </w:tcMar>
            <w:vAlign w:val="center"/>
          </w:tcPr>
          <w:p w14:paraId="132F97AA">
            <w:pPr>
              <w:bidi w:val="0"/>
              <w:rPr>
                <w:rFonts w:hint="default" w:ascii="Arial" w:hAnsi="Arial" w:cs="Arial"/>
                <w:sz w:val="24"/>
                <w:szCs w:val="24"/>
              </w:rPr>
            </w:pPr>
            <w:r>
              <w:rPr>
                <w:rFonts w:hint="default" w:ascii="Arial" w:hAnsi="Arial" w:cs="Arial"/>
                <w:sz w:val="24"/>
                <w:szCs w:val="24"/>
              </w:rPr>
              <w:t>Greenwashing concerns and community opposition</w:t>
            </w:r>
          </w:p>
        </w:tc>
        <w:tc>
          <w:tcPr>
            <w:tcW w:w="2757" w:type="dxa"/>
            <w:tcBorders>
              <w:top w:val="single" w:color="auto" w:sz="4" w:space="0"/>
              <w:left w:val="single" w:color="auto" w:sz="4" w:space="0"/>
              <w:bottom w:val="single" w:color="auto" w:sz="4" w:space="0"/>
              <w:right w:val="single" w:color="auto" w:sz="4" w:space="0"/>
            </w:tcBorders>
            <w:tcMar>
              <w:top w:w="90" w:type="dxa"/>
              <w:left w:w="100" w:type="dxa"/>
              <w:bottom w:w="90" w:type="dxa"/>
              <w:right w:w="100" w:type="dxa"/>
            </w:tcMar>
            <w:vAlign w:val="center"/>
          </w:tcPr>
          <w:p w14:paraId="132F97AB">
            <w:pPr>
              <w:bidi w:val="0"/>
              <w:rPr>
                <w:rFonts w:hint="default" w:ascii="Arial" w:hAnsi="Arial" w:cs="Arial"/>
                <w:sz w:val="24"/>
                <w:szCs w:val="24"/>
              </w:rPr>
            </w:pPr>
            <w:r>
              <w:rPr>
                <w:rFonts w:hint="default" w:ascii="Arial" w:hAnsi="Arial" w:cs="Arial"/>
                <w:sz w:val="24"/>
                <w:szCs w:val="24"/>
              </w:rPr>
              <w:t>Use independent assurance, clear claims and stakeholder engagement</w:t>
            </w:r>
          </w:p>
        </w:tc>
      </w:tr>
      <w:tr w14:paraId="132F97B1">
        <w:tblPrEx>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top w:w="0" w:type="dxa"/>
            <w:left w:w="108" w:type="dxa"/>
            <w:bottom w:w="0" w:type="dxa"/>
            <w:right w:w="108" w:type="dxa"/>
          </w:tblCellMar>
        </w:tblPrEx>
        <w:trPr>
          <w:cantSplit/>
          <w:jc w:val="center"/>
        </w:trPr>
        <w:tc>
          <w:tcPr>
            <w:tcW w:w="2088" w:type="dxa"/>
            <w:tcBorders>
              <w:top w:val="single" w:color="auto" w:sz="4" w:space="0"/>
              <w:left w:val="single" w:color="auto" w:sz="4" w:space="0"/>
              <w:bottom w:val="single" w:color="auto" w:sz="4" w:space="0"/>
              <w:right w:val="single" w:color="auto" w:sz="4" w:space="0"/>
            </w:tcBorders>
            <w:tcMar>
              <w:top w:w="90" w:type="dxa"/>
              <w:left w:w="100" w:type="dxa"/>
              <w:bottom w:w="90" w:type="dxa"/>
              <w:right w:w="100" w:type="dxa"/>
            </w:tcMar>
            <w:vAlign w:val="center"/>
          </w:tcPr>
          <w:p w14:paraId="132F97AD">
            <w:pPr>
              <w:bidi w:val="0"/>
              <w:rPr>
                <w:rFonts w:hint="default" w:ascii="Arial" w:hAnsi="Arial" w:cs="Arial"/>
                <w:sz w:val="24"/>
                <w:szCs w:val="24"/>
              </w:rPr>
            </w:pPr>
            <w:r>
              <w:rPr>
                <w:rFonts w:hint="default" w:ascii="Arial" w:hAnsi="Arial" w:cs="Arial"/>
                <w:sz w:val="24"/>
                <w:szCs w:val="24"/>
              </w:rPr>
              <w:t>Resource scarcity and energy volatility</w:t>
            </w:r>
          </w:p>
        </w:tc>
        <w:tc>
          <w:tcPr>
            <w:tcW w:w="2448" w:type="dxa"/>
            <w:tcBorders>
              <w:top w:val="single" w:color="auto" w:sz="4" w:space="0"/>
              <w:left w:val="single" w:color="auto" w:sz="4" w:space="0"/>
              <w:bottom w:val="single" w:color="auto" w:sz="4" w:space="0"/>
              <w:right w:val="single" w:color="auto" w:sz="4" w:space="0"/>
            </w:tcBorders>
            <w:tcMar>
              <w:top w:w="90" w:type="dxa"/>
              <w:left w:w="100" w:type="dxa"/>
              <w:bottom w:w="90" w:type="dxa"/>
              <w:right w:w="100" w:type="dxa"/>
            </w:tcMar>
            <w:vAlign w:val="center"/>
          </w:tcPr>
          <w:p w14:paraId="132F97AE">
            <w:pPr>
              <w:bidi w:val="0"/>
              <w:rPr>
                <w:rFonts w:hint="default" w:ascii="Arial" w:hAnsi="Arial" w:cs="Arial"/>
                <w:sz w:val="24"/>
                <w:szCs w:val="24"/>
              </w:rPr>
            </w:pPr>
            <w:r>
              <w:rPr>
                <w:rFonts w:hint="default" w:ascii="Arial" w:hAnsi="Arial" w:cs="Arial"/>
                <w:sz w:val="24"/>
                <w:szCs w:val="24"/>
              </w:rPr>
              <w:t>Invest in efficient and renewable-powered operations</w:t>
            </w:r>
          </w:p>
        </w:tc>
        <w:tc>
          <w:tcPr>
            <w:tcW w:w="2376" w:type="dxa"/>
            <w:tcBorders>
              <w:top w:val="single" w:color="auto" w:sz="4" w:space="0"/>
              <w:left w:val="single" w:color="auto" w:sz="4" w:space="0"/>
              <w:bottom w:val="single" w:color="auto" w:sz="4" w:space="0"/>
              <w:right w:val="single" w:color="auto" w:sz="4" w:space="0"/>
            </w:tcBorders>
            <w:tcMar>
              <w:top w:w="90" w:type="dxa"/>
              <w:left w:w="100" w:type="dxa"/>
              <w:bottom w:w="90" w:type="dxa"/>
              <w:right w:w="100" w:type="dxa"/>
            </w:tcMar>
            <w:vAlign w:val="center"/>
          </w:tcPr>
          <w:p w14:paraId="132F97AF">
            <w:pPr>
              <w:bidi w:val="0"/>
              <w:rPr>
                <w:rFonts w:hint="default" w:ascii="Arial" w:hAnsi="Arial" w:cs="Arial"/>
                <w:sz w:val="24"/>
                <w:szCs w:val="24"/>
              </w:rPr>
            </w:pPr>
            <w:r>
              <w:rPr>
                <w:rFonts w:hint="default" w:ascii="Arial" w:hAnsi="Arial" w:cs="Arial"/>
                <w:sz w:val="24"/>
                <w:szCs w:val="24"/>
              </w:rPr>
              <w:t>High capital cost and technology uncertainty</w:t>
            </w:r>
          </w:p>
        </w:tc>
        <w:tc>
          <w:tcPr>
            <w:tcW w:w="2757" w:type="dxa"/>
            <w:tcBorders>
              <w:top w:val="single" w:color="auto" w:sz="4" w:space="0"/>
              <w:left w:val="single" w:color="auto" w:sz="4" w:space="0"/>
              <w:bottom w:val="single" w:color="auto" w:sz="4" w:space="0"/>
              <w:right w:val="single" w:color="auto" w:sz="4" w:space="0"/>
            </w:tcBorders>
            <w:tcMar>
              <w:top w:w="90" w:type="dxa"/>
              <w:left w:w="100" w:type="dxa"/>
              <w:bottom w:w="90" w:type="dxa"/>
              <w:right w:w="100" w:type="dxa"/>
            </w:tcMar>
            <w:vAlign w:val="center"/>
          </w:tcPr>
          <w:p w14:paraId="132F97B0">
            <w:pPr>
              <w:bidi w:val="0"/>
              <w:rPr>
                <w:rFonts w:hint="default" w:ascii="Arial" w:hAnsi="Arial" w:cs="Arial"/>
                <w:sz w:val="24"/>
                <w:szCs w:val="24"/>
              </w:rPr>
            </w:pPr>
            <w:r>
              <w:rPr>
                <w:rFonts w:hint="default" w:ascii="Arial" w:hAnsi="Arial" w:cs="Arial"/>
                <w:sz w:val="24"/>
                <w:szCs w:val="24"/>
              </w:rPr>
              <w:t>Stage investment and link projects to measurable customer value</w:t>
            </w:r>
          </w:p>
        </w:tc>
      </w:tr>
    </w:tbl>
    <w:p w14:paraId="13380E51">
      <w:pPr>
        <w:keepNext/>
        <w:bidi w:val="0"/>
        <w:rPr>
          <w:rFonts w:hint="default" w:ascii="Arial" w:hAnsi="Arial" w:cs="Arial"/>
          <w:sz w:val="20"/>
          <w:szCs w:val="20"/>
        </w:rPr>
      </w:pPr>
      <w:r>
        <w:rPr>
          <w:rFonts w:hint="default" w:ascii="Arial" w:hAnsi="Arial" w:cs="Arial"/>
          <w:sz w:val="20"/>
          <w:szCs w:val="20"/>
        </w:rPr>
        <w:t>Source: Author’s analysis, based on IEA (2024), OECD (2023), Rio Tinto (2026a) and UNEP (2024).</w:t>
      </w:r>
    </w:p>
    <w:p w14:paraId="132F97B3">
      <w:pPr>
        <w:bidi w:val="0"/>
        <w:rPr>
          <w:rFonts w:hint="default" w:ascii="Arial" w:hAnsi="Arial" w:cs="Arial"/>
          <w:sz w:val="24"/>
          <w:szCs w:val="24"/>
        </w:rPr>
      </w:pPr>
      <w:r>
        <w:rPr>
          <w:rFonts w:hint="default" w:ascii="Arial" w:hAnsi="Arial" w:cs="Arial"/>
          <w:sz w:val="24"/>
          <w:szCs w:val="24"/>
        </w:rPr>
        <w:drawing>
          <wp:inline distT="0" distB="0" distL="114300" distR="114300">
            <wp:extent cx="5394960" cy="1760220"/>
            <wp:effectExtent l="0" t="0" r="15240" b="11430"/>
            <wp:docPr id="3" name="Picture 3" descr="Bar chart comparing Rio Tinto 2025 Scope 1 and 2 emissions of 31.5 Mt CO2e with Scope 3 emissions of 575.7 Mt CO2e." title="Bar chart comparing Rio Tinto 2025 Scope 1 and 2 emissions of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Bar chart comparing Rio Tinto 2025 Scope 1 and 2 emissions of 31.5 Mt CO2e with Scope 3 emissions of 575.7 Mt CO2e." title="Bar chart comparing Rio Tinto 2025 Scope 1 and 2 emissions of 31"/>
                    <pic:cNvPicPr>
                      <a:picLocks noChangeAspect="1"/>
                    </pic:cNvPicPr>
                  </pic:nvPicPr>
                  <pic:blipFill>
                    <a:blip r:embed="rId11"/>
                    <a:stretch>
                      <a:fillRect/>
                    </a:stretch>
                  </pic:blipFill>
                  <pic:spPr>
                    <a:xfrm>
                      <a:off x="0" y="0"/>
                      <a:ext cx="5394960" cy="1760386"/>
                    </a:xfrm>
                    <a:prstGeom prst="rect">
                      <a:avLst/>
                    </a:prstGeom>
                  </pic:spPr>
                </pic:pic>
              </a:graphicData>
            </a:graphic>
          </wp:inline>
        </w:drawing>
      </w:r>
    </w:p>
    <w:p w14:paraId="349B2115">
      <w:pPr>
        <w:keepNext/>
        <w:bidi w:val="0"/>
        <w:rPr>
          <w:rFonts w:hint="default" w:ascii="Arial" w:hAnsi="Arial" w:cs="Arial"/>
          <w:sz w:val="20"/>
          <w:szCs w:val="20"/>
        </w:rPr>
      </w:pPr>
      <w:r>
        <w:rPr>
          <w:rFonts w:hint="default" w:ascii="Arial" w:hAnsi="Arial" w:cs="Arial"/>
          <w:sz w:val="20"/>
          <w:szCs w:val="20"/>
        </w:rPr>
        <w:t>Figure 2: Environmental actor: how pressure affects Rio Tinto. Source: Author’s diagram based on IEA (2024), OECD (2023), Rio Tinto (2026a) and UNEP (2024).</w:t>
      </w:r>
    </w:p>
    <w:p w14:paraId="045A406C">
      <w:pPr>
        <w:bidi w:val="0"/>
        <w:rPr>
          <w:rFonts w:hint="default" w:ascii="Arial" w:hAnsi="Arial" w:cs="Arial"/>
          <w:sz w:val="20"/>
          <w:szCs w:val="20"/>
        </w:rPr>
      </w:pPr>
    </w:p>
    <w:p w14:paraId="132F97B4">
      <w:pPr>
        <w:pStyle w:val="3"/>
        <w:bidi w:val="0"/>
        <w:rPr>
          <w:rFonts w:hint="default" w:ascii="Arial" w:hAnsi="Arial" w:cs="Arial"/>
        </w:rPr>
      </w:pPr>
      <w:bookmarkStart w:id="8" w:name="_Toc17889"/>
      <w:r>
        <w:rPr>
          <w:rFonts w:hint="default" w:ascii="Arial" w:hAnsi="Arial" w:cs="Arial"/>
        </w:rPr>
        <w:t>2.2 Political Actor</w:t>
      </w:r>
      <w:bookmarkEnd w:id="8"/>
    </w:p>
    <w:p w14:paraId="132F97B5">
      <w:pPr>
        <w:bidi w:val="0"/>
        <w:rPr>
          <w:rFonts w:hint="default" w:ascii="Arial" w:hAnsi="Arial" w:cs="Arial"/>
          <w:sz w:val="24"/>
          <w:szCs w:val="24"/>
        </w:rPr>
      </w:pPr>
      <w:r>
        <w:rPr>
          <w:rFonts w:hint="default" w:ascii="Arial" w:hAnsi="Arial" w:cs="Arial"/>
          <w:sz w:val="24"/>
          <w:szCs w:val="24"/>
        </w:rPr>
        <w:t>Political forces shape Rio Tinto through regulation, trade policy, permits, energy policy and political stability (Kotler et al., 2020). Because Rio Tinto operates in several countries, changes in government policy can affect project costs, approvals and customer requirements.</w:t>
      </w:r>
    </w:p>
    <w:p w14:paraId="132F97B6">
      <w:pPr>
        <w:bidi w:val="0"/>
        <w:rPr>
          <w:rFonts w:hint="default" w:ascii="Arial" w:hAnsi="Arial" w:cs="Arial"/>
          <w:sz w:val="24"/>
          <w:szCs w:val="24"/>
        </w:rPr>
      </w:pPr>
      <w:r>
        <w:rPr>
          <w:rFonts w:hint="default" w:ascii="Arial" w:hAnsi="Arial" w:cs="Arial"/>
          <w:sz w:val="24"/>
          <w:szCs w:val="24"/>
        </w:rPr>
        <w:t>The European Union Carbon Border Adjustment Mechanism (CBAM) illustrates the direction of travel. Its definitive regime applies from 1 January 2026 and includes iron and steel and aluminium among the covered sectors (European Commission, 2026). CBAM increases the importance of reliable embedded-emissions information across traded value chains. For Rio Tinto, this creates a potential advantage for transparent carbon data, but it also creates reporting, verification and customer-support costs. This may reward suppliers able to document embedded emissions, but the administrative burden falls across producers and importers and can disadvantage smaller suppliers. It is not a guarantee of premium pricing: buyers may choose compliant supply on cost, and CBAM covers only specified goods. The policy thus creates a market signal while leaving demand and margin uncertain.</w:t>
      </w:r>
    </w:p>
    <w:p w14:paraId="132F97B7">
      <w:pPr>
        <w:bidi w:val="0"/>
        <w:rPr>
          <w:rFonts w:hint="default" w:ascii="Arial" w:hAnsi="Arial" w:cs="Arial"/>
          <w:sz w:val="24"/>
          <w:szCs w:val="24"/>
        </w:rPr>
      </w:pPr>
      <w:r>
        <w:rPr>
          <w:rFonts w:hint="default" w:ascii="Arial" w:hAnsi="Arial" w:cs="Arial"/>
          <w:sz w:val="24"/>
          <w:szCs w:val="24"/>
        </w:rPr>
        <w:t>Political risk also affects Rio Tinto’s social licence to operate. Major projects require government approval, infrastructure agreements and constructive relationships with communities and public-interest groups. Environmental due diligence and sound resource governance support sustainable mining (OECD, 2023; Jin, 2023). Rio Tinto should therefore treat governments and publics as active stakeholders. Its corporate brand must be supported by responsible operations, transparent reporting and local engagement.</w:t>
      </w:r>
    </w:p>
    <w:p w14:paraId="132F97B8">
      <w:pPr>
        <w:bidi w:val="0"/>
        <w:rPr>
          <w:rFonts w:hint="default" w:ascii="Arial" w:hAnsi="Arial" w:cs="Arial"/>
          <w:sz w:val="24"/>
          <w:szCs w:val="24"/>
        </w:rPr>
      </w:pPr>
      <w:r>
        <w:rPr>
          <w:rFonts w:hint="default" w:ascii="Arial" w:hAnsi="Arial" w:cs="Arial"/>
          <w:sz w:val="24"/>
          <w:szCs w:val="24"/>
        </w:rPr>
        <w:drawing>
          <wp:inline distT="0" distB="0" distL="114300" distR="114300">
            <wp:extent cx="5394960" cy="1760220"/>
            <wp:effectExtent l="0" t="0" r="15240" b="11430"/>
            <wp:docPr id="4" name="Picture 4" descr="Three-part environmental actor diagram linking environmental pressures, Rio Tinto responses and market implications." title="Three-part environmental actor diagram linking environmental pressures, Rio Tinto responses and market implic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hree-part environmental actor diagram linking environmental pressures, Rio Tinto responses and market implications." title="Three-part environmental actor diagram linking environmental pressures, Rio Tinto responses and market implications"/>
                    <pic:cNvPicPr>
                      <a:picLocks noChangeAspect="1"/>
                    </pic:cNvPicPr>
                  </pic:nvPicPr>
                  <pic:blipFill>
                    <a:blip r:embed="rId12"/>
                    <a:stretch>
                      <a:fillRect/>
                    </a:stretch>
                  </pic:blipFill>
                  <pic:spPr>
                    <a:xfrm>
                      <a:off x="0" y="0"/>
                      <a:ext cx="5394960" cy="1760386"/>
                    </a:xfrm>
                    <a:prstGeom prst="rect">
                      <a:avLst/>
                    </a:prstGeom>
                  </pic:spPr>
                </pic:pic>
              </a:graphicData>
            </a:graphic>
          </wp:inline>
        </w:drawing>
      </w:r>
    </w:p>
    <w:p w14:paraId="5065FAD5">
      <w:pPr>
        <w:keepNext/>
        <w:bidi w:val="0"/>
        <w:rPr>
          <w:rFonts w:hint="default" w:ascii="Arial" w:hAnsi="Arial" w:cs="Arial"/>
          <w:sz w:val="20"/>
          <w:szCs w:val="20"/>
          <w:lang w:val="en-GB"/>
        </w:rPr>
      </w:pPr>
      <w:r>
        <w:rPr>
          <w:rFonts w:hint="default" w:ascii="Arial" w:hAnsi="Arial" w:cs="Arial"/>
          <w:sz w:val="20"/>
          <w:szCs w:val="20"/>
        </w:rPr>
        <w:t>Figure 3: Political actor: how policy affects Rio Tinto. Source: Author-created diagram based on Kotler et al. (2020), European Commission (2026), OECD (2023) and Jin (2023).</w:t>
      </w:r>
    </w:p>
    <w:p w14:paraId="132F97B9">
      <w:pPr>
        <w:pStyle w:val="3"/>
        <w:bidi w:val="0"/>
        <w:rPr>
          <w:rFonts w:hint="default" w:ascii="Arial" w:hAnsi="Arial" w:cs="Arial"/>
        </w:rPr>
      </w:pPr>
      <w:bookmarkStart w:id="9" w:name="_Toc8762"/>
      <w:r>
        <w:rPr>
          <w:rFonts w:hint="default" w:ascii="Arial" w:hAnsi="Arial" w:cs="Arial"/>
        </w:rPr>
        <w:t>2.3 Technological Actor</w:t>
      </w:r>
      <w:bookmarkEnd w:id="9"/>
    </w:p>
    <w:p w14:paraId="132F97BA">
      <w:pPr>
        <w:bidi w:val="0"/>
        <w:rPr>
          <w:rFonts w:hint="default" w:ascii="Arial" w:hAnsi="Arial" w:cs="Arial"/>
          <w:sz w:val="24"/>
          <w:szCs w:val="24"/>
        </w:rPr>
      </w:pPr>
      <w:r>
        <w:rPr>
          <w:rFonts w:hint="default" w:ascii="Arial" w:hAnsi="Arial" w:cs="Arial"/>
          <w:sz w:val="24"/>
          <w:szCs w:val="24"/>
        </w:rPr>
        <w:t>Technology affects Rio Tinto’s costs, productivity and ability to offer lower-carbon products. Automation, data, electrification, renewable power and process innovation can change how mining companies compete (Kotler et al., 2020).</w:t>
      </w:r>
    </w:p>
    <w:p w14:paraId="132F97BB">
      <w:pPr>
        <w:bidi w:val="0"/>
        <w:rPr>
          <w:rFonts w:hint="default" w:ascii="Arial" w:hAnsi="Arial" w:cs="Arial"/>
          <w:sz w:val="24"/>
          <w:szCs w:val="24"/>
        </w:rPr>
      </w:pPr>
      <w:r>
        <w:rPr>
          <w:rFonts w:hint="default" w:ascii="Arial" w:hAnsi="Arial" w:cs="Arial"/>
          <w:sz w:val="24"/>
          <w:szCs w:val="24"/>
        </w:rPr>
        <w:t>In 2025, Rio Tinto agreed to buy 90% of the power and storage from two planned solar and battery projects for its Gladstone operations. The projects are expected to provide 600 MW of solar power and 600 MW/2,400 MWh of battery storage for 20 years (Rio Tinto, 2025b). This could improve energy security and support lower-carbon aluminium, although it depends on partners, infrastructure and long-term contracts.</w:t>
      </w:r>
    </w:p>
    <w:p w14:paraId="132F97BC">
      <w:pPr>
        <w:bidi w:val="0"/>
        <w:rPr>
          <w:rFonts w:hint="default" w:ascii="Arial" w:hAnsi="Arial" w:cs="Arial"/>
          <w:sz w:val="24"/>
          <w:szCs w:val="24"/>
        </w:rPr>
      </w:pPr>
      <w:r>
        <w:rPr>
          <w:rFonts w:hint="default" w:ascii="Arial" w:hAnsi="Arial" w:cs="Arial"/>
          <w:sz w:val="24"/>
          <w:szCs w:val="24"/>
        </w:rPr>
        <w:t>Technology also involves risk. Its value depends on cost, maturity, reliability and scale. Research links innovation with better mining energy efficiency, but results depend on the organisation’s capabilities (Ma et al., 2024). Rio Tinto should therefore link technology to clear customer benefits, such as reliable supply, lower emissions and improved regulatory readiness, rather than treating new technology as valuable by itself. Benefits may accrue to customers through cleaner inputs and to Rio Tinto through energy security, while capital and reliability risks remain with the producer and its partners. If storage costs, grid constraints or process performance disappoint, the projected carbon benefit and the customer proposition weaken together.</w:t>
      </w:r>
    </w:p>
    <w:p w14:paraId="132F97BD">
      <w:pPr>
        <w:bidi w:val="0"/>
        <w:rPr>
          <w:rFonts w:hint="default" w:ascii="Arial" w:hAnsi="Arial" w:cs="Arial"/>
          <w:sz w:val="24"/>
          <w:szCs w:val="24"/>
        </w:rPr>
      </w:pPr>
      <w:r>
        <w:rPr>
          <w:rFonts w:hint="default" w:ascii="Arial" w:hAnsi="Arial" w:cs="Arial"/>
          <w:sz w:val="24"/>
          <w:szCs w:val="24"/>
        </w:rPr>
        <w:drawing>
          <wp:inline distT="0" distB="0" distL="114300" distR="114300">
            <wp:extent cx="5394960" cy="1760220"/>
            <wp:effectExtent l="0" t="0" r="15240" b="11430"/>
            <wp:docPr id="5" name="Picture 5" descr="Three-part political actor diagram linking government policy, carbon-border regulation and market effects." title="Three-part political actor diagram linking government policy, carbon-border regulation and market effec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hree-part political actor diagram linking government policy, carbon-border regulation and market effects." title="Three-part political actor diagram linking government policy, carbon-border regulation and market effects"/>
                    <pic:cNvPicPr>
                      <a:picLocks noChangeAspect="1"/>
                    </pic:cNvPicPr>
                  </pic:nvPicPr>
                  <pic:blipFill>
                    <a:blip r:embed="rId13"/>
                    <a:stretch>
                      <a:fillRect/>
                    </a:stretch>
                  </pic:blipFill>
                  <pic:spPr>
                    <a:xfrm>
                      <a:off x="0" y="0"/>
                      <a:ext cx="5394960" cy="1760386"/>
                    </a:xfrm>
                    <a:prstGeom prst="rect">
                      <a:avLst/>
                    </a:prstGeom>
                  </pic:spPr>
                </pic:pic>
              </a:graphicData>
            </a:graphic>
          </wp:inline>
        </w:drawing>
      </w:r>
    </w:p>
    <w:p w14:paraId="7CF0E99C">
      <w:pPr>
        <w:keepNext/>
        <w:bidi w:val="0"/>
        <w:rPr>
          <w:rFonts w:hint="default" w:ascii="Arial" w:hAnsi="Arial" w:cs="Arial"/>
          <w:sz w:val="20"/>
          <w:szCs w:val="20"/>
          <w:lang w:val="en-GB"/>
        </w:rPr>
      </w:pPr>
      <w:r>
        <w:rPr>
          <w:rFonts w:hint="default" w:ascii="Arial" w:hAnsi="Arial" w:cs="Arial"/>
          <w:sz w:val="20"/>
          <w:szCs w:val="20"/>
        </w:rPr>
        <w:t>Figure 4: Technological actor: how innovation creates value. Source: Author’s own image based on Rio Tinto (2025b) and Ma et al. (2024).</w:t>
      </w:r>
    </w:p>
    <w:p w14:paraId="132F97BE">
      <w:pPr>
        <w:pStyle w:val="3"/>
        <w:bidi w:val="0"/>
        <w:rPr>
          <w:rFonts w:hint="default" w:ascii="Arial" w:hAnsi="Arial" w:cs="Arial"/>
          <w:sz w:val="24"/>
          <w:szCs w:val="24"/>
        </w:rPr>
      </w:pPr>
      <w:bookmarkStart w:id="10" w:name="_Toc12210"/>
      <w:r>
        <w:rPr>
          <w:rFonts w:hint="default" w:ascii="Arial" w:hAnsi="Arial" w:cs="Arial"/>
        </w:rPr>
        <w:t>2.4 Customer Behaviour, Brand and Competitor Implications</w:t>
      </w:r>
      <w:bookmarkEnd w:id="10"/>
    </w:p>
    <w:p w14:paraId="132F97BF">
      <w:pPr>
        <w:bidi w:val="0"/>
        <w:rPr>
          <w:rFonts w:hint="default" w:ascii="Arial" w:hAnsi="Arial" w:cs="Arial"/>
          <w:sz w:val="24"/>
          <w:szCs w:val="24"/>
        </w:rPr>
      </w:pPr>
      <w:r>
        <w:rPr>
          <w:rFonts w:hint="default" w:ascii="Arial" w:hAnsi="Arial" w:cs="Arial"/>
          <w:sz w:val="24"/>
          <w:szCs w:val="24"/>
        </w:rPr>
        <w:t>Industrial customers still move through a buying process: need recognition, information search, evaluation of alternatives, purchase decision and post-purchase behaviour (Kotler, Keller and Chernev, 2021). The process is likely to be high-involvement because metals contracts affect cost, quality, supply continuity and regulatory exposure. Customer evaluation can be represented as a weighted-attribute decision: price, quality, reliability, carbon intensity, traceability and technical support each receive an importance weight, and suppliers are compared against those criteria. This helps explain why a lower-carbon claim alone will not win business if delivery performance or price is unacceptable.</w:t>
      </w:r>
    </w:p>
    <w:p w14:paraId="132F97C0">
      <w:pPr>
        <w:bidi w:val="0"/>
        <w:rPr>
          <w:rFonts w:hint="default" w:ascii="Arial" w:hAnsi="Arial" w:cs="Arial"/>
          <w:sz w:val="24"/>
          <w:szCs w:val="24"/>
        </w:rPr>
      </w:pPr>
      <w:r>
        <w:rPr>
          <w:rFonts w:hint="default" w:ascii="Arial" w:hAnsi="Arial" w:cs="Arial"/>
          <w:sz w:val="24"/>
          <w:szCs w:val="24"/>
        </w:rPr>
        <w:t>Branding matters because the Rio Tinto name is an intangible asset that must be created, maintained and protected over time (Kotler et al., 2020). The relevant positioning should operate at three levels: product attributes such as grade and verified carbon data; benefits such as efficiency, compliance and supply confidence; and beliefs and values such as responsible production (Kotler et al., 2020). A corporate brand can differentiate Rio Tinto from direct competitors, reinforce reputation and support customer loyalty, but only if internal training, customer experience, brand audits and public reporting are aligned with the promise.</w:t>
      </w:r>
    </w:p>
    <w:p w14:paraId="132F97C1">
      <w:pPr>
        <w:bidi w:val="0"/>
        <w:rPr>
          <w:rFonts w:hint="default" w:ascii="Arial" w:hAnsi="Arial" w:cs="Arial"/>
          <w:sz w:val="24"/>
          <w:szCs w:val="24"/>
        </w:rPr>
      </w:pPr>
      <w:r>
        <w:rPr>
          <w:rFonts w:hint="default" w:ascii="Arial" w:hAnsi="Arial" w:cs="Arial"/>
          <w:sz w:val="24"/>
          <w:szCs w:val="24"/>
        </w:rPr>
        <w:t>Competitor analysis should distinguish direct competitors, indirect alternatives and sources of advantage (Kotler et al., 2020). BHP is trialling hydrogen-based ironmaking with POSCO using Pilbara ore, while Vale is developing briquettes and customer partnerships to decarbonise steelmaking; Fortescue is pursuing green iron and argues that standards, low-cost renewables and procurement demand are needed to scale it (BHP, 2025; Vale, n.d.; Fortescue, n.d.). These initiatives show that lower-carbon offers are becoming a competitive arena rather than a unique Rio Tinto claim. Recycling and substitution add indirect pressure. Rio Tinto must combine ore quality, delivery, credible measurement and customer co-development in ways competitors cannot easily match. Customers may benefit from lower process emissions and compliance readiness; Rio Tinto bears investment and execution risk, while communities may bear local environmental costs if expansion is poorly governed.</w:t>
      </w:r>
    </w:p>
    <w:p w14:paraId="23F59ADF">
      <w:pPr>
        <w:pStyle w:val="3"/>
        <w:bidi w:val="0"/>
        <w:rPr>
          <w:rFonts w:hint="default" w:ascii="Arial" w:hAnsi="Arial" w:cs="Arial"/>
        </w:rPr>
      </w:pPr>
      <w:bookmarkStart w:id="11" w:name="_TocForces"/>
      <w:bookmarkStart w:id="12" w:name="_Toc32301"/>
      <w:r>
        <w:rPr>
          <w:rFonts w:hint="default" w:ascii="Arial" w:hAnsi="Arial" w:cs="Arial"/>
        </w:rPr>
        <w:t>2.5 Porter’s Five Forces and Competitive Pressure</w:t>
      </w:r>
      <w:bookmarkEnd w:id="11"/>
      <w:bookmarkEnd w:id="12"/>
    </w:p>
    <w:p w14:paraId="3F5A0191">
      <w:pPr>
        <w:bidi w:val="0"/>
        <w:rPr>
          <w:rFonts w:hint="default" w:ascii="Arial" w:hAnsi="Arial" w:cs="Arial"/>
          <w:sz w:val="24"/>
          <w:szCs w:val="24"/>
        </w:rPr>
      </w:pPr>
      <w:r>
        <w:rPr>
          <w:rFonts w:hint="default" w:ascii="Arial" w:hAnsi="Arial" w:cs="Arial"/>
          <w:sz w:val="24"/>
          <w:szCs w:val="24"/>
        </w:rPr>
        <w:t>Porter’s Five Forces shows how competition affects Rio Tinto’s profitability (Porter, 2008). Rio Tinto faces strong rivalry from BHP and Vale, while high costs and permit requirements limit new entrants (Rio Tinto, 2026a; OECD, 2023). Large customers can negotiate on price and emissions data, and recycled metals can reduce demand for mined materials (IEA, 2024). Rio Tinto should protect its position through reliable supply, quality and verified emissions information.</w:t>
      </w:r>
    </w:p>
    <w:p w14:paraId="132F97C2">
      <w:pPr>
        <w:pStyle w:val="2"/>
        <w:bidi w:val="0"/>
        <w:rPr>
          <w:rFonts w:hint="default" w:ascii="Arial" w:hAnsi="Arial" w:cs="Arial"/>
        </w:rPr>
      </w:pPr>
      <w:bookmarkStart w:id="13" w:name="_Toc21192"/>
      <w:r>
        <w:rPr>
          <w:rFonts w:hint="default" w:ascii="Arial" w:hAnsi="Arial" w:cs="Arial"/>
        </w:rPr>
        <w:t>3 Task 2 Strategic Growth and Competitive Positioning</w:t>
      </w:r>
      <w:bookmarkEnd w:id="13"/>
    </w:p>
    <w:p w14:paraId="132F97C3">
      <w:pPr>
        <w:pStyle w:val="3"/>
        <w:bidi w:val="0"/>
        <w:rPr>
          <w:rFonts w:hint="default" w:ascii="Arial" w:hAnsi="Arial" w:cs="Arial"/>
        </w:rPr>
      </w:pPr>
      <w:bookmarkStart w:id="14" w:name="_Toc26306"/>
      <w:r>
        <w:rPr>
          <w:rFonts w:hint="default" w:ascii="Arial" w:hAnsi="Arial" w:cs="Arial"/>
        </w:rPr>
        <w:t>3.1 Ansoff Matrix Applied to Rio Tinto</w:t>
      </w:r>
      <w:bookmarkEnd w:id="14"/>
    </w:p>
    <w:p w14:paraId="3FACF5E8">
      <w:pPr>
        <w:bidi w:val="0"/>
        <w:rPr>
          <w:rFonts w:hint="default" w:ascii="Arial" w:hAnsi="Arial" w:cs="Arial"/>
          <w:sz w:val="24"/>
          <w:szCs w:val="24"/>
        </w:rPr>
      </w:pPr>
      <w:r>
        <w:rPr>
          <w:rFonts w:hint="default" w:ascii="Arial" w:hAnsi="Arial" w:cs="Arial"/>
          <w:sz w:val="24"/>
          <w:szCs w:val="24"/>
        </w:rPr>
        <w:t>The Ansoff Matrix compares products and markets to identify four growth routes: market penetration, market development, product development and diversification (Ansoff, 1957). It is useful here because the lower-carbon transition is not simply a technology programme; it is a question of what Rio Tinto offers, to whom, and with what level of risk.</w:t>
      </w:r>
    </w:p>
    <w:p w14:paraId="132F97C4">
      <w:pPr>
        <w:rPr>
          <w:rFonts w:hint="default" w:ascii="Arial" w:hAnsi="Arial" w:cs="Arial"/>
          <w:sz w:val="24"/>
          <w:szCs w:val="24"/>
        </w:rPr>
      </w:pPr>
      <w:r>
        <w:rPr>
          <w:rFonts w:hint="default" w:ascii="Arial" w:hAnsi="Arial" w:cs="Arial"/>
          <w:sz w:val="24"/>
          <w:szCs w:val="24"/>
        </w:rPr>
        <w:br w:type="page"/>
      </w:r>
    </w:p>
    <w:p w14:paraId="031B0711">
      <w:pPr>
        <w:bidi w:val="0"/>
        <w:rPr>
          <w:rFonts w:hint="default" w:ascii="Arial" w:hAnsi="Arial" w:cs="Arial"/>
          <w:b/>
          <w:bCs/>
          <w:sz w:val="24"/>
          <w:szCs w:val="24"/>
        </w:rPr>
      </w:pPr>
      <w:r>
        <w:rPr>
          <w:rFonts w:hint="default" w:ascii="Arial" w:hAnsi="Arial" w:cs="Arial"/>
          <w:b/>
          <w:bCs/>
          <w:sz w:val="24"/>
          <w:szCs w:val="24"/>
        </w:rPr>
        <w:t>Table 2: Ansoff Matrix applied to Rio Tinto.</w:t>
      </w:r>
    </w:p>
    <w:tbl>
      <w:tblPr>
        <w:tblStyle w:val="38"/>
        <w:tblW w:w="0" w:type="auto"/>
        <w:jc w:val="cente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Layout w:type="autofit"/>
        <w:tblCellMar>
          <w:top w:w="0" w:type="dxa"/>
          <w:left w:w="108" w:type="dxa"/>
          <w:bottom w:w="0" w:type="dxa"/>
          <w:right w:w="108" w:type="dxa"/>
        </w:tblCellMar>
      </w:tblPr>
      <w:tblGrid>
        <w:gridCol w:w="1944"/>
        <w:gridCol w:w="3672"/>
        <w:gridCol w:w="3672"/>
      </w:tblGrid>
      <w:tr w14:paraId="132F97C9">
        <w:tblPrEx>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top w:w="0" w:type="dxa"/>
            <w:left w:w="108" w:type="dxa"/>
            <w:bottom w:w="0" w:type="dxa"/>
            <w:right w:w="108" w:type="dxa"/>
          </w:tblCellMar>
        </w:tblPrEx>
        <w:trPr>
          <w:cantSplit/>
          <w:tblHeader/>
          <w:jc w:val="center"/>
        </w:trPr>
        <w:tc>
          <w:tcPr>
            <w:tcW w:w="1944" w:type="dxa"/>
            <w:tcBorders>
              <w:top w:val="single" w:color="auto" w:sz="4" w:space="0"/>
              <w:left w:val="single" w:color="auto" w:sz="4" w:space="0"/>
              <w:bottom w:val="single" w:color="auto" w:sz="4" w:space="0"/>
              <w:right w:val="single" w:color="auto" w:sz="4" w:space="0"/>
            </w:tcBorders>
            <w:tcMar>
              <w:top w:w="90" w:type="dxa"/>
              <w:left w:w="100" w:type="dxa"/>
              <w:bottom w:w="90" w:type="dxa"/>
              <w:right w:w="100" w:type="dxa"/>
            </w:tcMar>
            <w:vAlign w:val="center"/>
          </w:tcPr>
          <w:p w14:paraId="132F97C6">
            <w:pPr>
              <w:bidi w:val="0"/>
              <w:rPr>
                <w:rFonts w:hint="default" w:ascii="Arial" w:hAnsi="Arial" w:cs="Arial"/>
                <w:sz w:val="24"/>
                <w:szCs w:val="24"/>
              </w:rPr>
            </w:pPr>
          </w:p>
        </w:tc>
        <w:tc>
          <w:tcPr>
            <w:tcW w:w="3672" w:type="dxa"/>
            <w:tcBorders>
              <w:top w:val="single" w:color="auto" w:sz="4" w:space="0"/>
              <w:left w:val="single" w:color="auto" w:sz="4" w:space="0"/>
              <w:bottom w:val="single" w:color="auto" w:sz="4" w:space="0"/>
              <w:right w:val="single" w:color="auto" w:sz="4" w:space="0"/>
            </w:tcBorders>
            <w:tcMar>
              <w:top w:w="90" w:type="dxa"/>
              <w:left w:w="100" w:type="dxa"/>
              <w:bottom w:w="90" w:type="dxa"/>
              <w:right w:w="100" w:type="dxa"/>
            </w:tcMar>
            <w:vAlign w:val="center"/>
          </w:tcPr>
          <w:p w14:paraId="132F97C7">
            <w:pPr>
              <w:bidi w:val="0"/>
              <w:rPr>
                <w:rFonts w:hint="default" w:ascii="Arial" w:hAnsi="Arial" w:cs="Arial"/>
                <w:sz w:val="24"/>
                <w:szCs w:val="24"/>
              </w:rPr>
            </w:pPr>
            <w:r>
              <w:rPr>
                <w:rFonts w:hint="default" w:ascii="Arial" w:hAnsi="Arial" w:cs="Arial"/>
                <w:b/>
                <w:bCs/>
                <w:sz w:val="24"/>
                <w:szCs w:val="24"/>
              </w:rPr>
              <w:t>Existing markets</w:t>
            </w:r>
          </w:p>
        </w:tc>
        <w:tc>
          <w:tcPr>
            <w:tcW w:w="3672" w:type="dxa"/>
            <w:tcBorders>
              <w:top w:val="single" w:color="auto" w:sz="4" w:space="0"/>
              <w:left w:val="single" w:color="auto" w:sz="4" w:space="0"/>
              <w:bottom w:val="single" w:color="auto" w:sz="4" w:space="0"/>
              <w:right w:val="single" w:color="auto" w:sz="4" w:space="0"/>
            </w:tcBorders>
            <w:tcMar>
              <w:top w:w="90" w:type="dxa"/>
              <w:left w:w="100" w:type="dxa"/>
              <w:bottom w:w="90" w:type="dxa"/>
              <w:right w:w="100" w:type="dxa"/>
            </w:tcMar>
            <w:vAlign w:val="center"/>
          </w:tcPr>
          <w:p w14:paraId="132F97C8">
            <w:pPr>
              <w:bidi w:val="0"/>
              <w:rPr>
                <w:rFonts w:hint="default" w:ascii="Arial" w:hAnsi="Arial" w:cs="Arial"/>
                <w:b/>
                <w:bCs/>
                <w:sz w:val="24"/>
                <w:szCs w:val="24"/>
              </w:rPr>
            </w:pPr>
            <w:r>
              <w:rPr>
                <w:rFonts w:hint="default" w:ascii="Arial" w:hAnsi="Arial" w:cs="Arial"/>
                <w:b/>
                <w:bCs/>
                <w:sz w:val="24"/>
                <w:szCs w:val="24"/>
              </w:rPr>
              <w:t>New markets</w:t>
            </w:r>
          </w:p>
        </w:tc>
      </w:tr>
      <w:tr w14:paraId="132F97CD">
        <w:tblPrEx>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top w:w="0" w:type="dxa"/>
            <w:left w:w="108" w:type="dxa"/>
            <w:bottom w:w="0" w:type="dxa"/>
            <w:right w:w="108" w:type="dxa"/>
          </w:tblCellMar>
        </w:tblPrEx>
        <w:trPr>
          <w:cantSplit/>
          <w:jc w:val="center"/>
        </w:trPr>
        <w:tc>
          <w:tcPr>
            <w:tcW w:w="1944" w:type="dxa"/>
            <w:tcBorders>
              <w:top w:val="single" w:color="auto" w:sz="4" w:space="0"/>
              <w:left w:val="single" w:color="auto" w:sz="4" w:space="0"/>
              <w:bottom w:val="single" w:color="auto" w:sz="4" w:space="0"/>
              <w:right w:val="single" w:color="auto" w:sz="4" w:space="0"/>
            </w:tcBorders>
            <w:tcMar>
              <w:top w:w="90" w:type="dxa"/>
              <w:left w:w="100" w:type="dxa"/>
              <w:bottom w:w="90" w:type="dxa"/>
              <w:right w:w="100" w:type="dxa"/>
            </w:tcMar>
            <w:vAlign w:val="center"/>
          </w:tcPr>
          <w:p w14:paraId="132F97CA">
            <w:pPr>
              <w:bidi w:val="0"/>
              <w:rPr>
                <w:rFonts w:hint="default" w:ascii="Arial" w:hAnsi="Arial" w:cs="Arial"/>
                <w:sz w:val="24"/>
                <w:szCs w:val="24"/>
              </w:rPr>
            </w:pPr>
            <w:r>
              <w:rPr>
                <w:rFonts w:hint="default" w:ascii="Arial" w:hAnsi="Arial" w:cs="Arial"/>
                <w:sz w:val="24"/>
                <w:szCs w:val="24"/>
              </w:rPr>
              <w:t>Existing products</w:t>
            </w:r>
          </w:p>
        </w:tc>
        <w:tc>
          <w:tcPr>
            <w:tcW w:w="3672" w:type="dxa"/>
            <w:tcBorders>
              <w:top w:val="single" w:color="auto" w:sz="4" w:space="0"/>
              <w:left w:val="single" w:color="auto" w:sz="4" w:space="0"/>
              <w:bottom w:val="single" w:color="auto" w:sz="4" w:space="0"/>
              <w:right w:val="single" w:color="auto" w:sz="4" w:space="0"/>
            </w:tcBorders>
            <w:tcMar>
              <w:top w:w="90" w:type="dxa"/>
              <w:left w:w="100" w:type="dxa"/>
              <w:bottom w:w="90" w:type="dxa"/>
              <w:right w:w="100" w:type="dxa"/>
            </w:tcMar>
            <w:vAlign w:val="center"/>
          </w:tcPr>
          <w:p w14:paraId="132F97CB">
            <w:pPr>
              <w:bidi w:val="0"/>
              <w:rPr>
                <w:rFonts w:hint="default" w:ascii="Arial" w:hAnsi="Arial" w:cs="Arial"/>
                <w:sz w:val="24"/>
                <w:szCs w:val="24"/>
              </w:rPr>
            </w:pPr>
            <w:r>
              <w:rPr>
                <w:rFonts w:hint="default" w:ascii="Arial" w:hAnsi="Arial" w:cs="Arial"/>
                <w:sz w:val="24"/>
                <w:szCs w:val="24"/>
              </w:rPr>
              <w:t>Market penetration: increase share with existing iron ore, aluminium, copper and lithium customers through stronger reliability, traceability and lower-carbon evidence.</w:t>
            </w:r>
          </w:p>
        </w:tc>
        <w:tc>
          <w:tcPr>
            <w:tcW w:w="3672" w:type="dxa"/>
            <w:tcBorders>
              <w:top w:val="single" w:color="auto" w:sz="4" w:space="0"/>
              <w:left w:val="single" w:color="auto" w:sz="4" w:space="0"/>
              <w:bottom w:val="single" w:color="auto" w:sz="4" w:space="0"/>
              <w:right w:val="single" w:color="auto" w:sz="4" w:space="0"/>
            </w:tcBorders>
            <w:tcMar>
              <w:top w:w="90" w:type="dxa"/>
              <w:left w:w="100" w:type="dxa"/>
              <w:bottom w:w="90" w:type="dxa"/>
              <w:right w:w="100" w:type="dxa"/>
            </w:tcMar>
            <w:vAlign w:val="center"/>
          </w:tcPr>
          <w:p w14:paraId="132F97CC">
            <w:pPr>
              <w:bidi w:val="0"/>
              <w:rPr>
                <w:rFonts w:hint="default" w:ascii="Arial" w:hAnsi="Arial" w:cs="Arial"/>
                <w:sz w:val="24"/>
                <w:szCs w:val="24"/>
              </w:rPr>
            </w:pPr>
            <w:r>
              <w:rPr>
                <w:rFonts w:hint="default" w:ascii="Arial" w:hAnsi="Arial" w:cs="Arial"/>
                <w:sz w:val="24"/>
                <w:szCs w:val="24"/>
              </w:rPr>
              <w:t>Market development: take existing commodities to new geographic or industrial customer segments whose procurement is shaped by the energy transition.</w:t>
            </w:r>
          </w:p>
        </w:tc>
      </w:tr>
      <w:tr w14:paraId="132F97D1">
        <w:tblPrEx>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top w:w="0" w:type="dxa"/>
            <w:left w:w="108" w:type="dxa"/>
            <w:bottom w:w="0" w:type="dxa"/>
            <w:right w:w="108" w:type="dxa"/>
          </w:tblCellMar>
        </w:tblPrEx>
        <w:trPr>
          <w:cantSplit/>
          <w:jc w:val="center"/>
        </w:trPr>
        <w:tc>
          <w:tcPr>
            <w:tcW w:w="1944" w:type="dxa"/>
            <w:tcBorders>
              <w:top w:val="single" w:color="auto" w:sz="4" w:space="0"/>
              <w:left w:val="single" w:color="auto" w:sz="4" w:space="0"/>
              <w:bottom w:val="single" w:color="auto" w:sz="4" w:space="0"/>
              <w:right w:val="single" w:color="auto" w:sz="4" w:space="0"/>
            </w:tcBorders>
            <w:tcMar>
              <w:top w:w="90" w:type="dxa"/>
              <w:left w:w="100" w:type="dxa"/>
              <w:bottom w:w="90" w:type="dxa"/>
              <w:right w:w="100" w:type="dxa"/>
            </w:tcMar>
            <w:vAlign w:val="center"/>
          </w:tcPr>
          <w:p w14:paraId="132F97CE">
            <w:pPr>
              <w:bidi w:val="0"/>
              <w:rPr>
                <w:rFonts w:hint="default" w:ascii="Arial" w:hAnsi="Arial" w:cs="Arial"/>
                <w:sz w:val="24"/>
                <w:szCs w:val="24"/>
              </w:rPr>
            </w:pPr>
            <w:r>
              <w:rPr>
                <w:rFonts w:hint="default" w:ascii="Arial" w:hAnsi="Arial" w:cs="Arial"/>
                <w:sz w:val="24"/>
                <w:szCs w:val="24"/>
              </w:rPr>
              <w:t>New or differentiated products</w:t>
            </w:r>
          </w:p>
        </w:tc>
        <w:tc>
          <w:tcPr>
            <w:tcW w:w="3672" w:type="dxa"/>
            <w:tcBorders>
              <w:top w:val="single" w:color="auto" w:sz="4" w:space="0"/>
              <w:left w:val="single" w:color="auto" w:sz="4" w:space="0"/>
              <w:bottom w:val="single" w:color="auto" w:sz="4" w:space="0"/>
              <w:right w:val="single" w:color="auto" w:sz="4" w:space="0"/>
            </w:tcBorders>
            <w:tcMar>
              <w:top w:w="90" w:type="dxa"/>
              <w:left w:w="100" w:type="dxa"/>
              <w:bottom w:w="90" w:type="dxa"/>
              <w:right w:w="100" w:type="dxa"/>
            </w:tcMar>
            <w:vAlign w:val="center"/>
          </w:tcPr>
          <w:p w14:paraId="132F97CF">
            <w:pPr>
              <w:bidi w:val="0"/>
              <w:rPr>
                <w:rFonts w:hint="default" w:ascii="Arial" w:hAnsi="Arial" w:cs="Arial"/>
                <w:sz w:val="24"/>
                <w:szCs w:val="24"/>
              </w:rPr>
            </w:pPr>
            <w:r>
              <w:rPr>
                <w:rFonts w:hint="default" w:ascii="Arial" w:hAnsi="Arial" w:cs="Arial"/>
                <w:sz w:val="24"/>
                <w:szCs w:val="24"/>
              </w:rPr>
              <w:t>Product development: develop lower-carbon product propositions, verified carbon information, customer solutions and co-designed transition contracts around existing commodities.</w:t>
            </w:r>
          </w:p>
        </w:tc>
        <w:tc>
          <w:tcPr>
            <w:tcW w:w="3672" w:type="dxa"/>
            <w:tcBorders>
              <w:top w:val="single" w:color="auto" w:sz="4" w:space="0"/>
              <w:left w:val="single" w:color="auto" w:sz="4" w:space="0"/>
              <w:bottom w:val="single" w:color="auto" w:sz="4" w:space="0"/>
              <w:right w:val="single" w:color="auto" w:sz="4" w:space="0"/>
            </w:tcBorders>
            <w:tcMar>
              <w:top w:w="90" w:type="dxa"/>
              <w:left w:w="100" w:type="dxa"/>
              <w:bottom w:w="90" w:type="dxa"/>
              <w:right w:w="100" w:type="dxa"/>
            </w:tcMar>
            <w:vAlign w:val="center"/>
          </w:tcPr>
          <w:p w14:paraId="132F97D0">
            <w:pPr>
              <w:bidi w:val="0"/>
              <w:rPr>
                <w:rFonts w:hint="default" w:ascii="Arial" w:hAnsi="Arial" w:cs="Arial"/>
                <w:sz w:val="24"/>
                <w:szCs w:val="24"/>
              </w:rPr>
            </w:pPr>
            <w:r>
              <w:rPr>
                <w:rFonts w:hint="default" w:ascii="Arial" w:hAnsi="Arial" w:cs="Arial"/>
                <w:sz w:val="24"/>
                <w:szCs w:val="24"/>
              </w:rPr>
              <w:t>Diversification: enter unrelated products or markets requiring capabilities substantially outside Rio Tinto’s current mining and metals base.</w:t>
            </w:r>
          </w:p>
        </w:tc>
      </w:tr>
    </w:tbl>
    <w:p w14:paraId="2FA23D48">
      <w:pPr>
        <w:keepNext/>
        <w:bidi w:val="0"/>
        <w:rPr>
          <w:rFonts w:hint="default" w:ascii="Arial" w:hAnsi="Arial" w:cs="Arial"/>
          <w:sz w:val="20"/>
          <w:szCs w:val="20"/>
        </w:rPr>
      </w:pPr>
      <w:r>
        <w:rPr>
          <w:rFonts w:hint="default" w:ascii="Arial" w:hAnsi="Arial" w:cs="Arial"/>
          <w:sz w:val="20"/>
          <w:szCs w:val="20"/>
        </w:rPr>
        <w:t xml:space="preserve"> Source: Adapted from Ansoff (1957) and Hooley et al. (2020).</w:t>
      </w:r>
    </w:p>
    <w:p w14:paraId="132F97D3">
      <w:pPr>
        <w:bidi w:val="0"/>
        <w:rPr>
          <w:rFonts w:hint="default" w:ascii="Arial" w:hAnsi="Arial" w:cs="Arial"/>
          <w:sz w:val="24"/>
          <w:szCs w:val="24"/>
        </w:rPr>
      </w:pPr>
      <w:r>
        <w:rPr>
          <w:rFonts w:hint="default" w:ascii="Arial" w:hAnsi="Arial" w:cs="Arial"/>
          <w:sz w:val="24"/>
          <w:szCs w:val="24"/>
        </w:rPr>
        <w:t>Market penetration is the lowest-risk route and can protect existing volume, but it does little by itself to reduce customer-processing emissions or create a distinct offer. Market development can reach buyers in clean-infrastructure markets, yet exposes Rio Tinto to unfamiliar regulation, logistics and political conditions. Diversification offers new growth but combines product and market uncertainty and may divert capital from mining capabilities (Hooley et al., 2020). Product development is the strongest fit because it adds customer-valued services and evidence to established commodities, although its advantage remains conditional on adoption and viable margins.</w:t>
      </w:r>
    </w:p>
    <w:p w14:paraId="132F97D4">
      <w:pPr>
        <w:pStyle w:val="3"/>
        <w:bidi w:val="0"/>
        <w:rPr>
          <w:rFonts w:hint="default" w:ascii="Arial" w:hAnsi="Arial" w:cs="Arial"/>
        </w:rPr>
      </w:pPr>
      <w:bookmarkStart w:id="15" w:name="_Toc16286"/>
      <w:r>
        <w:rPr>
          <w:rFonts w:hint="default" w:ascii="Arial" w:hAnsi="Arial" w:cs="Arial"/>
        </w:rPr>
        <w:t>3.2 Recommended Growth Approach</w:t>
      </w:r>
      <w:bookmarkEnd w:id="15"/>
    </w:p>
    <w:p w14:paraId="132F97D5">
      <w:pPr>
        <w:bidi w:val="0"/>
        <w:rPr>
          <w:rFonts w:hint="default" w:ascii="Arial" w:hAnsi="Arial" w:cs="Arial"/>
          <w:sz w:val="24"/>
          <w:szCs w:val="24"/>
        </w:rPr>
      </w:pPr>
      <w:r>
        <w:rPr>
          <w:rFonts w:hint="default" w:ascii="Arial" w:hAnsi="Arial" w:cs="Arial"/>
          <w:sz w:val="24"/>
          <w:szCs w:val="24"/>
        </w:rPr>
        <w:t>The recommended approach is product development supported by selective market development. Rio Tinto should develop differentiated lower-carbon commodity propositions, backed by product-level carbon data, renewable-energy sourcing, process innovation and customer partnerships. This uses capabilities the company already has while responding to the natural, regulatory and technological pressures identified above. It is more coherent than broad unrelated diversification and more transformative than simply promoting existing products more heavily.</w:t>
      </w:r>
    </w:p>
    <w:p w14:paraId="132F97D6">
      <w:pPr>
        <w:bidi w:val="0"/>
        <w:rPr>
          <w:rFonts w:hint="default" w:ascii="Arial" w:hAnsi="Arial" w:cs="Arial"/>
          <w:sz w:val="24"/>
          <w:szCs w:val="24"/>
        </w:rPr>
      </w:pPr>
      <w:r>
        <w:rPr>
          <w:rFonts w:hint="default" w:ascii="Arial" w:hAnsi="Arial" w:cs="Arial"/>
          <w:sz w:val="24"/>
          <w:szCs w:val="24"/>
        </w:rPr>
        <w:t>The customer case is promising but uncertain. Around 54% of Rio Tinto’s steel-producing customers by direct iron ore sales volume had public net-zero or carbon-neutral targets in 2025 (Rio Tinto, 2026a), signalling strategic alignment but not a purchase commitment. Buyers may pay for lower-carbon inputs when these help meet regulation, product standards or customer requirements; they may still reject a premium if it cannot be passed downstream. Lower-carbon production will not create a durable advantage unless customers value it enough to accept a possible price premium and longer-term contract conditions. Market evidence also points to the importance of common definitions and procurement rules (Fastmarkets, 2023). Rio Tinto should test both premium and non-premium offers through pilots and compare realised margins, conversion and contract duration before scaling.</w:t>
      </w:r>
    </w:p>
    <w:p w14:paraId="1DE8A75C">
      <w:pPr>
        <w:bidi w:val="0"/>
        <w:rPr>
          <w:rFonts w:hint="default" w:ascii="Arial" w:hAnsi="Arial" w:cs="Arial"/>
          <w:sz w:val="24"/>
          <w:szCs w:val="24"/>
        </w:rPr>
      </w:pPr>
      <w:r>
        <w:rPr>
          <w:rFonts w:hint="default" w:ascii="Arial" w:hAnsi="Arial" w:cs="Arial"/>
          <w:sz w:val="24"/>
          <w:szCs w:val="24"/>
        </w:rPr>
        <w:t>Selective market development can follow where customer demand and enabling infrastructure are clear. For example, renewable-powered aluminium in India could connect industrial growth with decarbonisation needs (Rio Tinto, 2025c). The proposal is selective because geographic expansion can expose Rio Tinto to political, energy, logistics and execution risk. The priority should be markets where Rio Tinto can show a real advantage in resource quality, low-carbon power, customer access or regulatory readiness.</w:t>
      </w:r>
    </w:p>
    <w:p w14:paraId="132F97D8">
      <w:pPr>
        <w:pStyle w:val="3"/>
        <w:bidi w:val="0"/>
        <w:rPr>
          <w:rFonts w:hint="default" w:ascii="Arial" w:hAnsi="Arial" w:cs="Arial"/>
        </w:rPr>
      </w:pPr>
      <w:bookmarkStart w:id="16" w:name="_Toc22559"/>
      <w:r>
        <w:rPr>
          <w:rFonts w:hint="default" w:ascii="Arial" w:hAnsi="Arial" w:cs="Arial"/>
        </w:rPr>
        <w:t>3.3 Competitive Positioning and Implementation</w:t>
      </w:r>
      <w:bookmarkEnd w:id="16"/>
    </w:p>
    <w:p w14:paraId="132F97D9">
      <w:pPr>
        <w:bidi w:val="0"/>
        <w:rPr>
          <w:rFonts w:hint="default" w:ascii="Arial" w:hAnsi="Arial" w:cs="Arial"/>
          <w:sz w:val="24"/>
          <w:szCs w:val="24"/>
        </w:rPr>
      </w:pPr>
      <w:r>
        <w:rPr>
          <w:rFonts w:hint="default" w:ascii="Arial" w:hAnsi="Arial" w:cs="Arial"/>
          <w:sz w:val="24"/>
          <w:szCs w:val="24"/>
        </w:rPr>
        <w:t>Porter’s Generic Strategies identify cost leadership, differentiation, cost focus and differentiation focus (Johnson et al., 2017). Rio Tinto should use focused differentiation for customers with demanding carbon, traceability and supply-security requirements. Cost leadership is an attractive alternative because metals are price-sensitive and scale can defend margins; however, a cost-only position leaves limited room to capture value from verified emissions performance and may invite direct price competition. Differentiation better matches customer needs where carbon evidence reduces regulatory or product risk, and it can build longer-term relationships. Its weakness is that rivals are investing in similar propositions and customers may refuse to pay more. Rio Tinto should therefore retain cost discipline as a condition of differentiation, not assume a green premium.</w:t>
      </w:r>
    </w:p>
    <w:p w14:paraId="132F97DA">
      <w:pPr>
        <w:bidi w:val="0"/>
        <w:rPr>
          <w:rFonts w:hint="default" w:ascii="Arial" w:hAnsi="Arial" w:cs="Arial"/>
          <w:sz w:val="24"/>
          <w:szCs w:val="24"/>
        </w:rPr>
      </w:pPr>
      <w:r>
        <w:rPr>
          <w:rFonts w:hint="default" w:ascii="Arial" w:hAnsi="Arial" w:cs="Arial"/>
          <w:sz w:val="24"/>
          <w:szCs w:val="24"/>
        </w:rPr>
        <w:t>The proposed differentiation should rest on evidence rather than advertising: verified carbon performance, product quality, reliable delivery, customer co-development and transparent reporting. Corporate branding can reinforce the position by making the company’s values and capabilities consistent across investor, customer, employee and community touchpoints. Co-branding or joint communication with trusted technology and energy partners could add credibility, but it should be used carefully because Rio Tinto remains accountable for the final claim (Kotler et al., 2021).</w:t>
      </w:r>
    </w:p>
    <w:p w14:paraId="132F97DB">
      <w:pPr>
        <w:bidi w:val="0"/>
        <w:rPr>
          <w:rFonts w:hint="default" w:ascii="Arial" w:hAnsi="Arial" w:cs="Arial"/>
          <w:sz w:val="24"/>
          <w:szCs w:val="24"/>
        </w:rPr>
      </w:pPr>
      <w:r>
        <w:rPr>
          <w:rFonts w:hint="default" w:ascii="Arial" w:hAnsi="Arial" w:cs="Arial"/>
          <w:sz w:val="24"/>
          <w:szCs w:val="24"/>
        </w:rPr>
        <w:t xml:space="preserve">Implementation should be staged. First, identify customers with explicit carbon-reduction procurement criteria. Second, agree a common product boundary and verification method. Third, run pilots for selected iron ore, aluminium or copper flows. Fourth, compare customer response, cost, emissions reduction and contract retention before scaling. Measures should include verified emissions reduction, pilot conversion, customer retention, delivery reliability, incremental margin, capital employed and progress against the 2030 target. This approach also protects the brand from over-extension: a new “green” label that is not clearly different from the corporate promise could confuse customers and dilute meaning, a </w:t>
      </w:r>
      <w:r>
        <w:rPr>
          <w:rFonts w:hint="default" w:ascii="Arial" w:hAnsi="Arial" w:cs="Arial"/>
          <w:sz w:val="24"/>
          <w:szCs w:val="24"/>
          <w:lang w:val="en-GB"/>
        </w:rPr>
        <w:t>recognized</w:t>
      </w:r>
      <w:r>
        <w:rPr>
          <w:rFonts w:hint="default" w:ascii="Arial" w:hAnsi="Arial" w:cs="Arial"/>
          <w:sz w:val="24"/>
          <w:szCs w:val="24"/>
        </w:rPr>
        <w:t xml:space="preserve"> brand-development risk (Kotler et al., 2020).</w:t>
      </w:r>
    </w:p>
    <w:p w14:paraId="0EF81FE0">
      <w:pPr>
        <w:bidi w:val="0"/>
        <w:rPr>
          <w:rFonts w:hint="default" w:ascii="Arial" w:hAnsi="Arial" w:cs="Arial"/>
          <w:b/>
          <w:bCs/>
          <w:sz w:val="24"/>
          <w:szCs w:val="24"/>
        </w:rPr>
      </w:pPr>
      <w:r>
        <w:rPr>
          <w:rFonts w:hint="default" w:ascii="Arial" w:hAnsi="Arial" w:cs="Arial"/>
          <w:b/>
          <w:bCs/>
          <w:sz w:val="24"/>
          <w:szCs w:val="24"/>
        </w:rPr>
        <w:t>Table 3: Strategic options and decision criteria.</w:t>
      </w:r>
    </w:p>
    <w:tbl>
      <w:tblPr>
        <w:tblStyle w:val="38"/>
        <w:tblW w:w="0" w:type="auto"/>
        <w:jc w:val="cente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Layout w:type="autofit"/>
        <w:tblCellMar>
          <w:top w:w="0" w:type="dxa"/>
          <w:left w:w="108" w:type="dxa"/>
          <w:bottom w:w="0" w:type="dxa"/>
          <w:right w:w="108" w:type="dxa"/>
        </w:tblCellMar>
      </w:tblPr>
      <w:tblGrid>
        <w:gridCol w:w="1800"/>
        <w:gridCol w:w="2376"/>
        <w:gridCol w:w="1584"/>
        <w:gridCol w:w="2376"/>
        <w:gridCol w:w="1828"/>
      </w:tblGrid>
      <w:tr w14:paraId="132F97E2">
        <w:tblPrEx>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top w:w="0" w:type="dxa"/>
            <w:left w:w="108" w:type="dxa"/>
            <w:bottom w:w="0" w:type="dxa"/>
            <w:right w:w="108" w:type="dxa"/>
          </w:tblCellMar>
        </w:tblPrEx>
        <w:trPr>
          <w:cantSplit/>
          <w:tblHeader/>
          <w:jc w:val="center"/>
        </w:trPr>
        <w:tc>
          <w:tcPr>
            <w:tcW w:w="1800" w:type="dxa"/>
            <w:tcBorders>
              <w:top w:val="single" w:color="auto" w:sz="4" w:space="0"/>
              <w:left w:val="single" w:color="auto" w:sz="4" w:space="0"/>
              <w:bottom w:val="single" w:color="auto" w:sz="4" w:space="0"/>
              <w:right w:val="single" w:color="auto" w:sz="4" w:space="0"/>
            </w:tcBorders>
            <w:tcMar>
              <w:top w:w="90" w:type="dxa"/>
              <w:left w:w="100" w:type="dxa"/>
              <w:bottom w:w="90" w:type="dxa"/>
              <w:right w:w="100" w:type="dxa"/>
            </w:tcMar>
            <w:vAlign w:val="center"/>
          </w:tcPr>
          <w:p w14:paraId="132F97DD">
            <w:pPr>
              <w:bidi w:val="0"/>
              <w:rPr>
                <w:rFonts w:hint="default" w:ascii="Arial" w:hAnsi="Arial" w:cs="Arial"/>
                <w:b/>
                <w:bCs/>
                <w:sz w:val="24"/>
                <w:szCs w:val="24"/>
              </w:rPr>
            </w:pPr>
            <w:r>
              <w:rPr>
                <w:rFonts w:hint="default" w:ascii="Arial" w:hAnsi="Arial" w:cs="Arial"/>
                <w:b/>
                <w:bCs/>
                <w:sz w:val="24"/>
                <w:szCs w:val="24"/>
              </w:rPr>
              <w:t>Option</w:t>
            </w:r>
          </w:p>
        </w:tc>
        <w:tc>
          <w:tcPr>
            <w:tcW w:w="2376" w:type="dxa"/>
            <w:tcBorders>
              <w:top w:val="single" w:color="auto" w:sz="4" w:space="0"/>
              <w:left w:val="single" w:color="auto" w:sz="4" w:space="0"/>
              <w:bottom w:val="single" w:color="auto" w:sz="4" w:space="0"/>
              <w:right w:val="single" w:color="auto" w:sz="4" w:space="0"/>
            </w:tcBorders>
            <w:tcMar>
              <w:top w:w="90" w:type="dxa"/>
              <w:left w:w="100" w:type="dxa"/>
              <w:bottom w:w="90" w:type="dxa"/>
              <w:right w:w="100" w:type="dxa"/>
            </w:tcMar>
            <w:vAlign w:val="center"/>
          </w:tcPr>
          <w:p w14:paraId="132F97DE">
            <w:pPr>
              <w:bidi w:val="0"/>
              <w:rPr>
                <w:rFonts w:hint="default" w:ascii="Arial" w:hAnsi="Arial" w:cs="Arial"/>
                <w:b/>
                <w:bCs/>
                <w:sz w:val="24"/>
                <w:szCs w:val="24"/>
              </w:rPr>
            </w:pPr>
            <w:r>
              <w:rPr>
                <w:rFonts w:hint="default" w:ascii="Arial" w:hAnsi="Arial" w:cs="Arial"/>
                <w:b/>
                <w:bCs/>
                <w:sz w:val="24"/>
                <w:szCs w:val="24"/>
              </w:rPr>
              <w:t>Customer value</w:t>
            </w:r>
          </w:p>
        </w:tc>
        <w:tc>
          <w:tcPr>
            <w:tcW w:w="1584" w:type="dxa"/>
            <w:tcBorders>
              <w:top w:val="single" w:color="auto" w:sz="4" w:space="0"/>
              <w:left w:val="single" w:color="auto" w:sz="4" w:space="0"/>
              <w:bottom w:val="single" w:color="auto" w:sz="4" w:space="0"/>
              <w:right w:val="single" w:color="auto" w:sz="4" w:space="0"/>
            </w:tcBorders>
            <w:tcMar>
              <w:top w:w="90" w:type="dxa"/>
              <w:left w:w="100" w:type="dxa"/>
              <w:bottom w:w="90" w:type="dxa"/>
              <w:right w:w="100" w:type="dxa"/>
            </w:tcMar>
            <w:vAlign w:val="center"/>
          </w:tcPr>
          <w:p w14:paraId="132F97DF">
            <w:pPr>
              <w:bidi w:val="0"/>
              <w:rPr>
                <w:rFonts w:hint="default" w:ascii="Arial" w:hAnsi="Arial" w:cs="Arial"/>
                <w:b/>
                <w:bCs/>
                <w:sz w:val="24"/>
                <w:szCs w:val="24"/>
              </w:rPr>
            </w:pPr>
            <w:r>
              <w:rPr>
                <w:rFonts w:hint="default" w:ascii="Arial" w:hAnsi="Arial" w:cs="Arial"/>
                <w:b/>
                <w:bCs/>
                <w:sz w:val="24"/>
                <w:szCs w:val="24"/>
              </w:rPr>
              <w:t>Capability fit</w:t>
            </w:r>
          </w:p>
        </w:tc>
        <w:tc>
          <w:tcPr>
            <w:tcW w:w="2376" w:type="dxa"/>
            <w:tcBorders>
              <w:top w:val="single" w:color="auto" w:sz="4" w:space="0"/>
              <w:left w:val="single" w:color="auto" w:sz="4" w:space="0"/>
              <w:bottom w:val="single" w:color="auto" w:sz="4" w:space="0"/>
              <w:right w:val="single" w:color="auto" w:sz="4" w:space="0"/>
            </w:tcBorders>
            <w:tcMar>
              <w:top w:w="90" w:type="dxa"/>
              <w:left w:w="100" w:type="dxa"/>
              <w:bottom w:w="90" w:type="dxa"/>
              <w:right w:w="100" w:type="dxa"/>
            </w:tcMar>
            <w:vAlign w:val="center"/>
          </w:tcPr>
          <w:p w14:paraId="132F97E0">
            <w:pPr>
              <w:bidi w:val="0"/>
              <w:rPr>
                <w:rFonts w:hint="default" w:ascii="Arial" w:hAnsi="Arial" w:cs="Arial"/>
                <w:b/>
                <w:bCs/>
                <w:sz w:val="24"/>
                <w:szCs w:val="24"/>
              </w:rPr>
            </w:pPr>
            <w:r>
              <w:rPr>
                <w:rFonts w:hint="default" w:ascii="Arial" w:hAnsi="Arial" w:cs="Arial"/>
                <w:b/>
                <w:bCs/>
                <w:sz w:val="24"/>
                <w:szCs w:val="24"/>
              </w:rPr>
              <w:t>Main risk</w:t>
            </w:r>
          </w:p>
        </w:tc>
        <w:tc>
          <w:tcPr>
            <w:tcW w:w="1440" w:type="dxa"/>
            <w:tcBorders>
              <w:top w:val="single" w:color="auto" w:sz="4" w:space="0"/>
              <w:left w:val="single" w:color="auto" w:sz="4" w:space="0"/>
              <w:bottom w:val="single" w:color="auto" w:sz="4" w:space="0"/>
              <w:right w:val="single" w:color="auto" w:sz="4" w:space="0"/>
            </w:tcBorders>
            <w:tcMar>
              <w:top w:w="90" w:type="dxa"/>
              <w:left w:w="100" w:type="dxa"/>
              <w:bottom w:w="90" w:type="dxa"/>
              <w:right w:w="100" w:type="dxa"/>
            </w:tcMar>
            <w:vAlign w:val="center"/>
          </w:tcPr>
          <w:p w14:paraId="132F97E1">
            <w:pPr>
              <w:bidi w:val="0"/>
              <w:rPr>
                <w:rFonts w:hint="default" w:ascii="Arial" w:hAnsi="Arial" w:cs="Arial"/>
                <w:b/>
                <w:bCs/>
                <w:sz w:val="24"/>
                <w:szCs w:val="24"/>
              </w:rPr>
            </w:pPr>
            <w:r>
              <w:rPr>
                <w:rFonts w:hint="default" w:ascii="Arial" w:hAnsi="Arial" w:cs="Arial"/>
                <w:b/>
                <w:bCs/>
                <w:sz w:val="24"/>
                <w:szCs w:val="24"/>
              </w:rPr>
              <w:t>Decision</w:t>
            </w:r>
          </w:p>
        </w:tc>
      </w:tr>
      <w:tr w14:paraId="132F97E8">
        <w:tblPrEx>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top w:w="0" w:type="dxa"/>
            <w:left w:w="108" w:type="dxa"/>
            <w:bottom w:w="0" w:type="dxa"/>
            <w:right w:w="108" w:type="dxa"/>
          </w:tblCellMar>
        </w:tblPrEx>
        <w:trPr>
          <w:cantSplit/>
          <w:jc w:val="center"/>
        </w:trPr>
        <w:tc>
          <w:tcPr>
            <w:tcW w:w="1800" w:type="dxa"/>
            <w:tcBorders>
              <w:top w:val="single" w:color="auto" w:sz="4" w:space="0"/>
              <w:left w:val="single" w:color="auto" w:sz="4" w:space="0"/>
              <w:bottom w:val="single" w:color="auto" w:sz="4" w:space="0"/>
              <w:right w:val="single" w:color="auto" w:sz="4" w:space="0"/>
            </w:tcBorders>
            <w:tcMar>
              <w:top w:w="90" w:type="dxa"/>
              <w:left w:w="100" w:type="dxa"/>
              <w:bottom w:w="90" w:type="dxa"/>
              <w:right w:w="100" w:type="dxa"/>
            </w:tcMar>
            <w:vAlign w:val="center"/>
          </w:tcPr>
          <w:p w14:paraId="132F97E3">
            <w:pPr>
              <w:bidi w:val="0"/>
              <w:rPr>
                <w:rFonts w:hint="default" w:ascii="Arial" w:hAnsi="Arial" w:cs="Arial"/>
                <w:sz w:val="24"/>
                <w:szCs w:val="24"/>
              </w:rPr>
            </w:pPr>
            <w:r>
              <w:rPr>
                <w:rFonts w:hint="default" w:ascii="Arial" w:hAnsi="Arial" w:cs="Arial"/>
                <w:sz w:val="24"/>
                <w:szCs w:val="24"/>
              </w:rPr>
              <w:t>Market penetration</w:t>
            </w:r>
          </w:p>
        </w:tc>
        <w:tc>
          <w:tcPr>
            <w:tcW w:w="2376" w:type="dxa"/>
            <w:tcBorders>
              <w:top w:val="single" w:color="auto" w:sz="4" w:space="0"/>
              <w:left w:val="single" w:color="auto" w:sz="4" w:space="0"/>
              <w:bottom w:val="single" w:color="auto" w:sz="4" w:space="0"/>
              <w:right w:val="single" w:color="auto" w:sz="4" w:space="0"/>
            </w:tcBorders>
            <w:tcMar>
              <w:top w:w="90" w:type="dxa"/>
              <w:left w:w="100" w:type="dxa"/>
              <w:bottom w:w="90" w:type="dxa"/>
              <w:right w:w="100" w:type="dxa"/>
            </w:tcMar>
            <w:vAlign w:val="center"/>
          </w:tcPr>
          <w:p w14:paraId="132F97E4">
            <w:pPr>
              <w:bidi w:val="0"/>
              <w:rPr>
                <w:rFonts w:hint="default" w:ascii="Arial" w:hAnsi="Arial" w:cs="Arial"/>
                <w:sz w:val="24"/>
                <w:szCs w:val="24"/>
              </w:rPr>
            </w:pPr>
            <w:r>
              <w:rPr>
                <w:rFonts w:hint="default" w:ascii="Arial" w:hAnsi="Arial" w:cs="Arial"/>
                <w:sz w:val="24"/>
                <w:szCs w:val="24"/>
              </w:rPr>
              <w:t>Improves retention and share with current customers</w:t>
            </w:r>
          </w:p>
        </w:tc>
        <w:tc>
          <w:tcPr>
            <w:tcW w:w="1584" w:type="dxa"/>
            <w:tcBorders>
              <w:top w:val="single" w:color="auto" w:sz="4" w:space="0"/>
              <w:left w:val="single" w:color="auto" w:sz="4" w:space="0"/>
              <w:bottom w:val="single" w:color="auto" w:sz="4" w:space="0"/>
              <w:right w:val="single" w:color="auto" w:sz="4" w:space="0"/>
            </w:tcBorders>
            <w:tcMar>
              <w:top w:w="90" w:type="dxa"/>
              <w:left w:w="100" w:type="dxa"/>
              <w:bottom w:w="90" w:type="dxa"/>
              <w:right w:w="100" w:type="dxa"/>
            </w:tcMar>
            <w:vAlign w:val="center"/>
          </w:tcPr>
          <w:p w14:paraId="132F97E5">
            <w:pPr>
              <w:bidi w:val="0"/>
              <w:rPr>
                <w:rFonts w:hint="default" w:ascii="Arial" w:hAnsi="Arial" w:cs="Arial"/>
                <w:sz w:val="24"/>
                <w:szCs w:val="24"/>
              </w:rPr>
            </w:pPr>
            <w:r>
              <w:rPr>
                <w:rFonts w:hint="default" w:ascii="Arial" w:hAnsi="Arial" w:cs="Arial"/>
                <w:sz w:val="24"/>
                <w:szCs w:val="24"/>
              </w:rPr>
              <w:t>High</w:t>
            </w:r>
          </w:p>
        </w:tc>
        <w:tc>
          <w:tcPr>
            <w:tcW w:w="2376" w:type="dxa"/>
            <w:tcBorders>
              <w:top w:val="single" w:color="auto" w:sz="4" w:space="0"/>
              <w:left w:val="single" w:color="auto" w:sz="4" w:space="0"/>
              <w:bottom w:val="single" w:color="auto" w:sz="4" w:space="0"/>
              <w:right w:val="single" w:color="auto" w:sz="4" w:space="0"/>
            </w:tcBorders>
            <w:tcMar>
              <w:top w:w="90" w:type="dxa"/>
              <w:left w:w="100" w:type="dxa"/>
              <w:bottom w:w="90" w:type="dxa"/>
              <w:right w:w="100" w:type="dxa"/>
            </w:tcMar>
            <w:vAlign w:val="center"/>
          </w:tcPr>
          <w:p w14:paraId="132F97E6">
            <w:pPr>
              <w:bidi w:val="0"/>
              <w:rPr>
                <w:rFonts w:hint="default" w:ascii="Arial" w:hAnsi="Arial" w:cs="Arial"/>
                <w:sz w:val="24"/>
                <w:szCs w:val="24"/>
              </w:rPr>
            </w:pPr>
            <w:r>
              <w:rPr>
                <w:rFonts w:hint="default" w:ascii="Arial" w:hAnsi="Arial" w:cs="Arial"/>
                <w:sz w:val="24"/>
                <w:szCs w:val="24"/>
              </w:rPr>
              <w:t>May not address value-chain emissions</w:t>
            </w:r>
          </w:p>
        </w:tc>
        <w:tc>
          <w:tcPr>
            <w:tcW w:w="1440" w:type="dxa"/>
            <w:tcBorders>
              <w:top w:val="single" w:color="auto" w:sz="4" w:space="0"/>
              <w:left w:val="single" w:color="auto" w:sz="4" w:space="0"/>
              <w:bottom w:val="single" w:color="auto" w:sz="4" w:space="0"/>
              <w:right w:val="single" w:color="auto" w:sz="4" w:space="0"/>
            </w:tcBorders>
            <w:tcMar>
              <w:top w:w="90" w:type="dxa"/>
              <w:left w:w="100" w:type="dxa"/>
              <w:bottom w:w="90" w:type="dxa"/>
              <w:right w:w="100" w:type="dxa"/>
            </w:tcMar>
            <w:vAlign w:val="center"/>
          </w:tcPr>
          <w:p w14:paraId="132F97E7">
            <w:pPr>
              <w:bidi w:val="0"/>
              <w:rPr>
                <w:rFonts w:hint="default" w:ascii="Arial" w:hAnsi="Arial" w:cs="Arial"/>
                <w:sz w:val="24"/>
                <w:szCs w:val="24"/>
              </w:rPr>
            </w:pPr>
            <w:r>
              <w:rPr>
                <w:rFonts w:hint="default" w:ascii="Arial" w:hAnsi="Arial" w:cs="Arial"/>
                <w:sz w:val="24"/>
                <w:szCs w:val="24"/>
              </w:rPr>
              <w:t>Supporting action</w:t>
            </w:r>
          </w:p>
        </w:tc>
      </w:tr>
      <w:tr w14:paraId="132F97EE">
        <w:tblPrEx>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top w:w="0" w:type="dxa"/>
            <w:left w:w="108" w:type="dxa"/>
            <w:bottom w:w="0" w:type="dxa"/>
            <w:right w:w="108" w:type="dxa"/>
          </w:tblCellMar>
        </w:tblPrEx>
        <w:trPr>
          <w:cantSplit/>
          <w:jc w:val="center"/>
        </w:trPr>
        <w:tc>
          <w:tcPr>
            <w:tcW w:w="1800" w:type="dxa"/>
            <w:tcBorders>
              <w:top w:val="single" w:color="auto" w:sz="4" w:space="0"/>
              <w:left w:val="single" w:color="auto" w:sz="4" w:space="0"/>
              <w:bottom w:val="single" w:color="auto" w:sz="4" w:space="0"/>
              <w:right w:val="single" w:color="auto" w:sz="4" w:space="0"/>
            </w:tcBorders>
            <w:tcMar>
              <w:top w:w="90" w:type="dxa"/>
              <w:left w:w="100" w:type="dxa"/>
              <w:bottom w:w="90" w:type="dxa"/>
              <w:right w:w="100" w:type="dxa"/>
            </w:tcMar>
            <w:vAlign w:val="center"/>
          </w:tcPr>
          <w:p w14:paraId="132F97E9">
            <w:pPr>
              <w:bidi w:val="0"/>
              <w:rPr>
                <w:rFonts w:hint="default" w:ascii="Arial" w:hAnsi="Arial" w:cs="Arial"/>
                <w:sz w:val="24"/>
                <w:szCs w:val="24"/>
              </w:rPr>
            </w:pPr>
            <w:r>
              <w:rPr>
                <w:rFonts w:hint="default" w:ascii="Arial" w:hAnsi="Arial" w:cs="Arial"/>
                <w:sz w:val="24"/>
                <w:szCs w:val="24"/>
              </w:rPr>
              <w:t>Market development</w:t>
            </w:r>
          </w:p>
        </w:tc>
        <w:tc>
          <w:tcPr>
            <w:tcW w:w="2376" w:type="dxa"/>
            <w:tcBorders>
              <w:top w:val="single" w:color="auto" w:sz="4" w:space="0"/>
              <w:left w:val="single" w:color="auto" w:sz="4" w:space="0"/>
              <w:bottom w:val="single" w:color="auto" w:sz="4" w:space="0"/>
              <w:right w:val="single" w:color="auto" w:sz="4" w:space="0"/>
            </w:tcBorders>
            <w:tcMar>
              <w:top w:w="90" w:type="dxa"/>
              <w:left w:w="100" w:type="dxa"/>
              <w:bottom w:w="90" w:type="dxa"/>
              <w:right w:w="100" w:type="dxa"/>
            </w:tcMar>
            <w:vAlign w:val="center"/>
          </w:tcPr>
          <w:p w14:paraId="132F97EA">
            <w:pPr>
              <w:bidi w:val="0"/>
              <w:rPr>
                <w:rFonts w:hint="default" w:ascii="Arial" w:hAnsi="Arial" w:cs="Arial"/>
                <w:sz w:val="24"/>
                <w:szCs w:val="24"/>
              </w:rPr>
            </w:pPr>
            <w:r>
              <w:rPr>
                <w:rFonts w:hint="default" w:ascii="Arial" w:hAnsi="Arial" w:cs="Arial"/>
                <w:sz w:val="24"/>
                <w:szCs w:val="24"/>
              </w:rPr>
              <w:t>Accesses new transition-led demand</w:t>
            </w:r>
          </w:p>
        </w:tc>
        <w:tc>
          <w:tcPr>
            <w:tcW w:w="1584" w:type="dxa"/>
            <w:tcBorders>
              <w:top w:val="single" w:color="auto" w:sz="4" w:space="0"/>
              <w:left w:val="single" w:color="auto" w:sz="4" w:space="0"/>
              <w:bottom w:val="single" w:color="auto" w:sz="4" w:space="0"/>
              <w:right w:val="single" w:color="auto" w:sz="4" w:space="0"/>
            </w:tcBorders>
            <w:tcMar>
              <w:top w:w="90" w:type="dxa"/>
              <w:left w:w="100" w:type="dxa"/>
              <w:bottom w:w="90" w:type="dxa"/>
              <w:right w:w="100" w:type="dxa"/>
            </w:tcMar>
            <w:vAlign w:val="center"/>
          </w:tcPr>
          <w:p w14:paraId="132F97EB">
            <w:pPr>
              <w:bidi w:val="0"/>
              <w:rPr>
                <w:rFonts w:hint="default" w:ascii="Arial" w:hAnsi="Arial" w:cs="Arial"/>
                <w:sz w:val="24"/>
                <w:szCs w:val="24"/>
              </w:rPr>
            </w:pPr>
            <w:r>
              <w:rPr>
                <w:rFonts w:hint="default" w:ascii="Arial" w:hAnsi="Arial" w:cs="Arial"/>
                <w:sz w:val="24"/>
                <w:szCs w:val="24"/>
              </w:rPr>
              <w:t>Medium</w:t>
            </w:r>
          </w:p>
        </w:tc>
        <w:tc>
          <w:tcPr>
            <w:tcW w:w="2376" w:type="dxa"/>
            <w:tcBorders>
              <w:top w:val="single" w:color="auto" w:sz="4" w:space="0"/>
              <w:left w:val="single" w:color="auto" w:sz="4" w:space="0"/>
              <w:bottom w:val="single" w:color="auto" w:sz="4" w:space="0"/>
              <w:right w:val="single" w:color="auto" w:sz="4" w:space="0"/>
            </w:tcBorders>
            <w:tcMar>
              <w:top w:w="90" w:type="dxa"/>
              <w:left w:w="100" w:type="dxa"/>
              <w:bottom w:w="90" w:type="dxa"/>
              <w:right w:w="100" w:type="dxa"/>
            </w:tcMar>
            <w:vAlign w:val="center"/>
          </w:tcPr>
          <w:p w14:paraId="132F97EC">
            <w:pPr>
              <w:bidi w:val="0"/>
              <w:rPr>
                <w:rFonts w:hint="default" w:ascii="Arial" w:hAnsi="Arial" w:cs="Arial"/>
                <w:sz w:val="24"/>
                <w:szCs w:val="24"/>
              </w:rPr>
            </w:pPr>
            <w:r>
              <w:rPr>
                <w:rFonts w:hint="default" w:ascii="Arial" w:hAnsi="Arial" w:cs="Arial"/>
                <w:sz w:val="24"/>
                <w:szCs w:val="24"/>
              </w:rPr>
              <w:t>Political, infrastructure and execution risk</w:t>
            </w:r>
          </w:p>
        </w:tc>
        <w:tc>
          <w:tcPr>
            <w:tcW w:w="1440" w:type="dxa"/>
            <w:tcBorders>
              <w:top w:val="single" w:color="auto" w:sz="4" w:space="0"/>
              <w:left w:val="single" w:color="auto" w:sz="4" w:space="0"/>
              <w:bottom w:val="single" w:color="auto" w:sz="4" w:space="0"/>
              <w:right w:val="single" w:color="auto" w:sz="4" w:space="0"/>
            </w:tcBorders>
            <w:tcMar>
              <w:top w:w="90" w:type="dxa"/>
              <w:left w:w="100" w:type="dxa"/>
              <w:bottom w:w="90" w:type="dxa"/>
              <w:right w:w="100" w:type="dxa"/>
            </w:tcMar>
            <w:vAlign w:val="center"/>
          </w:tcPr>
          <w:p w14:paraId="132F97ED">
            <w:pPr>
              <w:bidi w:val="0"/>
              <w:rPr>
                <w:rFonts w:hint="default" w:ascii="Arial" w:hAnsi="Arial" w:cs="Arial"/>
                <w:sz w:val="24"/>
                <w:szCs w:val="24"/>
              </w:rPr>
            </w:pPr>
            <w:r>
              <w:rPr>
                <w:rFonts w:hint="default" w:ascii="Arial" w:hAnsi="Arial" w:cs="Arial"/>
                <w:sz w:val="24"/>
                <w:szCs w:val="24"/>
              </w:rPr>
              <w:t>Selective only</w:t>
            </w:r>
          </w:p>
        </w:tc>
      </w:tr>
      <w:tr w14:paraId="132F97F4">
        <w:tblPrEx>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top w:w="0" w:type="dxa"/>
            <w:left w:w="108" w:type="dxa"/>
            <w:bottom w:w="0" w:type="dxa"/>
            <w:right w:w="108" w:type="dxa"/>
          </w:tblCellMar>
        </w:tblPrEx>
        <w:trPr>
          <w:cantSplit/>
          <w:jc w:val="center"/>
        </w:trPr>
        <w:tc>
          <w:tcPr>
            <w:tcW w:w="1800" w:type="dxa"/>
            <w:tcBorders>
              <w:top w:val="single" w:color="auto" w:sz="4" w:space="0"/>
              <w:left w:val="single" w:color="auto" w:sz="4" w:space="0"/>
              <w:bottom w:val="single" w:color="auto" w:sz="4" w:space="0"/>
              <w:right w:val="single" w:color="auto" w:sz="4" w:space="0"/>
            </w:tcBorders>
            <w:tcMar>
              <w:top w:w="90" w:type="dxa"/>
              <w:left w:w="100" w:type="dxa"/>
              <w:bottom w:w="90" w:type="dxa"/>
              <w:right w:w="100" w:type="dxa"/>
            </w:tcMar>
            <w:vAlign w:val="center"/>
          </w:tcPr>
          <w:p w14:paraId="132F97EF">
            <w:pPr>
              <w:bidi w:val="0"/>
              <w:rPr>
                <w:rFonts w:hint="default" w:ascii="Arial" w:hAnsi="Arial" w:cs="Arial"/>
                <w:sz w:val="24"/>
                <w:szCs w:val="24"/>
              </w:rPr>
            </w:pPr>
            <w:r>
              <w:rPr>
                <w:rFonts w:hint="default" w:ascii="Arial" w:hAnsi="Arial" w:cs="Arial"/>
                <w:sz w:val="24"/>
                <w:szCs w:val="24"/>
              </w:rPr>
              <w:t>Product development</w:t>
            </w:r>
          </w:p>
        </w:tc>
        <w:tc>
          <w:tcPr>
            <w:tcW w:w="2376" w:type="dxa"/>
            <w:tcBorders>
              <w:top w:val="single" w:color="auto" w:sz="4" w:space="0"/>
              <w:left w:val="single" w:color="auto" w:sz="4" w:space="0"/>
              <w:bottom w:val="single" w:color="auto" w:sz="4" w:space="0"/>
              <w:right w:val="single" w:color="auto" w:sz="4" w:space="0"/>
            </w:tcBorders>
            <w:tcMar>
              <w:top w:w="90" w:type="dxa"/>
              <w:left w:w="100" w:type="dxa"/>
              <w:bottom w:w="90" w:type="dxa"/>
              <w:right w:w="100" w:type="dxa"/>
            </w:tcMar>
            <w:vAlign w:val="center"/>
          </w:tcPr>
          <w:p w14:paraId="132F97F0">
            <w:pPr>
              <w:bidi w:val="0"/>
              <w:rPr>
                <w:rFonts w:hint="default" w:ascii="Arial" w:hAnsi="Arial" w:cs="Arial"/>
                <w:sz w:val="24"/>
                <w:szCs w:val="24"/>
              </w:rPr>
            </w:pPr>
            <w:r>
              <w:rPr>
                <w:rFonts w:hint="default" w:ascii="Arial" w:hAnsi="Arial" w:cs="Arial"/>
                <w:sz w:val="24"/>
                <w:szCs w:val="24"/>
              </w:rPr>
              <w:t>Creates differentiated, evidence-based offers</w:t>
            </w:r>
          </w:p>
        </w:tc>
        <w:tc>
          <w:tcPr>
            <w:tcW w:w="1584" w:type="dxa"/>
            <w:tcBorders>
              <w:top w:val="single" w:color="auto" w:sz="4" w:space="0"/>
              <w:left w:val="single" w:color="auto" w:sz="4" w:space="0"/>
              <w:bottom w:val="single" w:color="auto" w:sz="4" w:space="0"/>
              <w:right w:val="single" w:color="auto" w:sz="4" w:space="0"/>
            </w:tcBorders>
            <w:tcMar>
              <w:top w:w="90" w:type="dxa"/>
              <w:left w:w="100" w:type="dxa"/>
              <w:bottom w:w="90" w:type="dxa"/>
              <w:right w:w="100" w:type="dxa"/>
            </w:tcMar>
            <w:vAlign w:val="center"/>
          </w:tcPr>
          <w:p w14:paraId="132F97F1">
            <w:pPr>
              <w:bidi w:val="0"/>
              <w:rPr>
                <w:rFonts w:hint="default" w:ascii="Arial" w:hAnsi="Arial" w:cs="Arial"/>
                <w:sz w:val="24"/>
                <w:szCs w:val="24"/>
              </w:rPr>
            </w:pPr>
            <w:r>
              <w:rPr>
                <w:rFonts w:hint="default" w:ascii="Arial" w:hAnsi="Arial" w:cs="Arial"/>
                <w:sz w:val="24"/>
                <w:szCs w:val="24"/>
              </w:rPr>
              <w:t>High</w:t>
            </w:r>
          </w:p>
        </w:tc>
        <w:tc>
          <w:tcPr>
            <w:tcW w:w="2376" w:type="dxa"/>
            <w:tcBorders>
              <w:top w:val="single" w:color="auto" w:sz="4" w:space="0"/>
              <w:left w:val="single" w:color="auto" w:sz="4" w:space="0"/>
              <w:bottom w:val="single" w:color="auto" w:sz="4" w:space="0"/>
              <w:right w:val="single" w:color="auto" w:sz="4" w:space="0"/>
            </w:tcBorders>
            <w:tcMar>
              <w:top w:w="90" w:type="dxa"/>
              <w:left w:w="100" w:type="dxa"/>
              <w:bottom w:w="90" w:type="dxa"/>
              <w:right w:w="100" w:type="dxa"/>
            </w:tcMar>
            <w:vAlign w:val="center"/>
          </w:tcPr>
          <w:p w14:paraId="132F97F2">
            <w:pPr>
              <w:bidi w:val="0"/>
              <w:rPr>
                <w:rFonts w:hint="default" w:ascii="Arial" w:hAnsi="Arial" w:cs="Arial"/>
                <w:sz w:val="24"/>
                <w:szCs w:val="24"/>
              </w:rPr>
            </w:pPr>
            <w:r>
              <w:rPr>
                <w:rFonts w:hint="default" w:ascii="Arial" w:hAnsi="Arial" w:cs="Arial"/>
                <w:sz w:val="24"/>
                <w:szCs w:val="24"/>
              </w:rPr>
              <w:t>Customer willingness to pay is uncertain</w:t>
            </w:r>
          </w:p>
        </w:tc>
        <w:tc>
          <w:tcPr>
            <w:tcW w:w="1440" w:type="dxa"/>
            <w:tcBorders>
              <w:top w:val="single" w:color="auto" w:sz="4" w:space="0"/>
              <w:left w:val="single" w:color="auto" w:sz="4" w:space="0"/>
              <w:bottom w:val="single" w:color="auto" w:sz="4" w:space="0"/>
              <w:right w:val="single" w:color="auto" w:sz="4" w:space="0"/>
            </w:tcBorders>
            <w:tcMar>
              <w:top w:w="90" w:type="dxa"/>
              <w:left w:w="100" w:type="dxa"/>
              <w:bottom w:w="90" w:type="dxa"/>
              <w:right w:w="100" w:type="dxa"/>
            </w:tcMar>
            <w:vAlign w:val="center"/>
          </w:tcPr>
          <w:p w14:paraId="132F97F3">
            <w:pPr>
              <w:bidi w:val="0"/>
              <w:rPr>
                <w:rFonts w:hint="default" w:ascii="Arial" w:hAnsi="Arial" w:cs="Arial"/>
                <w:sz w:val="24"/>
                <w:szCs w:val="24"/>
              </w:rPr>
            </w:pPr>
            <w:r>
              <w:rPr>
                <w:rFonts w:hint="default" w:ascii="Arial" w:hAnsi="Arial" w:cs="Arial"/>
                <w:sz w:val="24"/>
                <w:szCs w:val="24"/>
              </w:rPr>
              <w:t>Recommended core</w:t>
            </w:r>
          </w:p>
        </w:tc>
      </w:tr>
      <w:tr w14:paraId="132F97FA">
        <w:tblPrEx>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top w:w="0" w:type="dxa"/>
            <w:left w:w="108" w:type="dxa"/>
            <w:bottom w:w="0" w:type="dxa"/>
            <w:right w:w="108" w:type="dxa"/>
          </w:tblCellMar>
        </w:tblPrEx>
        <w:trPr>
          <w:cantSplit/>
          <w:jc w:val="center"/>
        </w:trPr>
        <w:tc>
          <w:tcPr>
            <w:tcW w:w="1800" w:type="dxa"/>
            <w:tcBorders>
              <w:top w:val="single" w:color="auto" w:sz="4" w:space="0"/>
              <w:left w:val="single" w:color="auto" w:sz="4" w:space="0"/>
              <w:bottom w:val="single" w:color="auto" w:sz="4" w:space="0"/>
              <w:right w:val="single" w:color="auto" w:sz="4" w:space="0"/>
            </w:tcBorders>
            <w:tcMar>
              <w:top w:w="90" w:type="dxa"/>
              <w:left w:w="100" w:type="dxa"/>
              <w:bottom w:w="90" w:type="dxa"/>
              <w:right w:w="100" w:type="dxa"/>
            </w:tcMar>
            <w:vAlign w:val="center"/>
          </w:tcPr>
          <w:p w14:paraId="132F97F5">
            <w:pPr>
              <w:bidi w:val="0"/>
              <w:rPr>
                <w:rFonts w:hint="default" w:ascii="Arial" w:hAnsi="Arial" w:cs="Arial"/>
                <w:sz w:val="24"/>
                <w:szCs w:val="24"/>
              </w:rPr>
            </w:pPr>
            <w:r>
              <w:rPr>
                <w:rFonts w:hint="default" w:ascii="Arial" w:hAnsi="Arial" w:cs="Arial"/>
                <w:sz w:val="24"/>
                <w:szCs w:val="24"/>
              </w:rPr>
              <w:t>Diversification</w:t>
            </w:r>
          </w:p>
        </w:tc>
        <w:tc>
          <w:tcPr>
            <w:tcW w:w="2376" w:type="dxa"/>
            <w:tcBorders>
              <w:top w:val="single" w:color="auto" w:sz="4" w:space="0"/>
              <w:left w:val="single" w:color="auto" w:sz="4" w:space="0"/>
              <w:bottom w:val="single" w:color="auto" w:sz="4" w:space="0"/>
              <w:right w:val="single" w:color="auto" w:sz="4" w:space="0"/>
            </w:tcBorders>
            <w:tcMar>
              <w:top w:w="90" w:type="dxa"/>
              <w:left w:w="100" w:type="dxa"/>
              <w:bottom w:w="90" w:type="dxa"/>
              <w:right w:w="100" w:type="dxa"/>
            </w:tcMar>
            <w:vAlign w:val="center"/>
          </w:tcPr>
          <w:p w14:paraId="132F97F6">
            <w:pPr>
              <w:bidi w:val="0"/>
              <w:rPr>
                <w:rFonts w:hint="default" w:ascii="Arial" w:hAnsi="Arial" w:cs="Arial"/>
                <w:sz w:val="24"/>
                <w:szCs w:val="24"/>
              </w:rPr>
            </w:pPr>
            <w:r>
              <w:rPr>
                <w:rFonts w:hint="default" w:ascii="Arial" w:hAnsi="Arial" w:cs="Arial"/>
                <w:sz w:val="24"/>
                <w:szCs w:val="24"/>
              </w:rPr>
              <w:t>Could create new growth platforms</w:t>
            </w:r>
          </w:p>
        </w:tc>
        <w:tc>
          <w:tcPr>
            <w:tcW w:w="1584" w:type="dxa"/>
            <w:tcBorders>
              <w:top w:val="single" w:color="auto" w:sz="4" w:space="0"/>
              <w:left w:val="single" w:color="auto" w:sz="4" w:space="0"/>
              <w:bottom w:val="single" w:color="auto" w:sz="4" w:space="0"/>
              <w:right w:val="single" w:color="auto" w:sz="4" w:space="0"/>
            </w:tcBorders>
            <w:tcMar>
              <w:top w:w="90" w:type="dxa"/>
              <w:left w:w="100" w:type="dxa"/>
              <w:bottom w:w="90" w:type="dxa"/>
              <w:right w:w="100" w:type="dxa"/>
            </w:tcMar>
            <w:vAlign w:val="center"/>
          </w:tcPr>
          <w:p w14:paraId="132F97F7">
            <w:pPr>
              <w:bidi w:val="0"/>
              <w:rPr>
                <w:rFonts w:hint="default" w:ascii="Arial" w:hAnsi="Arial" w:cs="Arial"/>
                <w:sz w:val="24"/>
                <w:szCs w:val="24"/>
              </w:rPr>
            </w:pPr>
            <w:r>
              <w:rPr>
                <w:rFonts w:hint="default" w:ascii="Arial" w:hAnsi="Arial" w:cs="Arial"/>
                <w:sz w:val="24"/>
                <w:szCs w:val="24"/>
              </w:rPr>
              <w:t>Low to medium</w:t>
            </w:r>
          </w:p>
        </w:tc>
        <w:tc>
          <w:tcPr>
            <w:tcW w:w="2376" w:type="dxa"/>
            <w:tcBorders>
              <w:top w:val="single" w:color="auto" w:sz="4" w:space="0"/>
              <w:left w:val="single" w:color="auto" w:sz="4" w:space="0"/>
              <w:bottom w:val="single" w:color="auto" w:sz="4" w:space="0"/>
              <w:right w:val="single" w:color="auto" w:sz="4" w:space="0"/>
            </w:tcBorders>
            <w:tcMar>
              <w:top w:w="90" w:type="dxa"/>
              <w:left w:w="100" w:type="dxa"/>
              <w:bottom w:w="90" w:type="dxa"/>
              <w:right w:w="100" w:type="dxa"/>
            </w:tcMar>
            <w:vAlign w:val="center"/>
          </w:tcPr>
          <w:p w14:paraId="132F97F8">
            <w:pPr>
              <w:bidi w:val="0"/>
              <w:rPr>
                <w:rFonts w:hint="default" w:ascii="Arial" w:hAnsi="Arial" w:cs="Arial"/>
                <w:sz w:val="24"/>
                <w:szCs w:val="24"/>
              </w:rPr>
            </w:pPr>
            <w:r>
              <w:rPr>
                <w:rFonts w:hint="default" w:ascii="Arial" w:hAnsi="Arial" w:cs="Arial"/>
                <w:sz w:val="24"/>
                <w:szCs w:val="24"/>
              </w:rPr>
              <w:t>Highest capital and capability risk</w:t>
            </w:r>
          </w:p>
        </w:tc>
        <w:tc>
          <w:tcPr>
            <w:tcW w:w="1440" w:type="dxa"/>
            <w:tcBorders>
              <w:top w:val="single" w:color="auto" w:sz="4" w:space="0"/>
              <w:left w:val="single" w:color="auto" w:sz="4" w:space="0"/>
              <w:bottom w:val="single" w:color="auto" w:sz="4" w:space="0"/>
              <w:right w:val="single" w:color="auto" w:sz="4" w:space="0"/>
            </w:tcBorders>
            <w:tcMar>
              <w:top w:w="90" w:type="dxa"/>
              <w:left w:w="100" w:type="dxa"/>
              <w:bottom w:w="90" w:type="dxa"/>
              <w:right w:w="100" w:type="dxa"/>
            </w:tcMar>
            <w:vAlign w:val="center"/>
          </w:tcPr>
          <w:p w14:paraId="132F97F9">
            <w:pPr>
              <w:bidi w:val="0"/>
              <w:rPr>
                <w:rFonts w:hint="default" w:ascii="Arial" w:hAnsi="Arial" w:cs="Arial"/>
                <w:sz w:val="24"/>
                <w:szCs w:val="24"/>
              </w:rPr>
            </w:pPr>
            <w:r>
              <w:rPr>
                <w:rFonts w:hint="default" w:ascii="Arial" w:hAnsi="Arial" w:cs="Arial"/>
                <w:sz w:val="24"/>
                <w:szCs w:val="24"/>
              </w:rPr>
              <w:t>Defer</w:t>
            </w:r>
          </w:p>
        </w:tc>
      </w:tr>
    </w:tbl>
    <w:p w14:paraId="7250E20B">
      <w:pPr>
        <w:keepNext/>
        <w:bidi w:val="0"/>
        <w:rPr>
          <w:rFonts w:hint="default" w:ascii="Arial" w:hAnsi="Arial" w:cs="Arial"/>
          <w:lang w:val="en-GB"/>
        </w:rPr>
      </w:pPr>
      <w:r>
        <w:rPr>
          <w:rFonts w:hint="default" w:ascii="Arial" w:hAnsi="Arial" w:cs="Arial"/>
          <w:sz w:val="20"/>
          <w:szCs w:val="20"/>
          <w:lang w:val="en-GB"/>
        </w:rPr>
        <w:t>Source: Author’s analysis based on Ansoff (1957), Hooley et al. (2020), Johnson et al. (2017) and Rio Tinto (2026a).</w:t>
      </w:r>
    </w:p>
    <w:p w14:paraId="132F97FC">
      <w:pPr>
        <w:pStyle w:val="2"/>
        <w:bidi w:val="0"/>
        <w:rPr>
          <w:rFonts w:hint="default" w:ascii="Arial" w:hAnsi="Arial" w:cs="Arial"/>
        </w:rPr>
      </w:pPr>
      <w:bookmarkStart w:id="17" w:name="_Toc16659"/>
      <w:r>
        <w:rPr>
          <w:rFonts w:hint="default" w:ascii="Arial" w:hAnsi="Arial" w:cs="Arial"/>
        </w:rPr>
        <w:t>4 Task 3 Managerial and Professional Reflection</w:t>
      </w:r>
      <w:bookmarkEnd w:id="17"/>
    </w:p>
    <w:p w14:paraId="132F97FD">
      <w:pPr>
        <w:bidi w:val="0"/>
        <w:rPr>
          <w:rFonts w:hint="default" w:ascii="Arial" w:hAnsi="Arial" w:cs="Arial"/>
          <w:sz w:val="24"/>
          <w:szCs w:val="24"/>
        </w:rPr>
      </w:pPr>
      <w:r>
        <w:rPr>
          <w:rFonts w:hint="default" w:ascii="Arial" w:hAnsi="Arial" w:cs="Arial"/>
          <w:sz w:val="24"/>
          <w:szCs w:val="24"/>
        </w:rPr>
        <w:t>I selected Rio Tinto because its position contains a difficult tension: its products support electrification, while extraction and downstream processing create substantial environmental impacts. I initially viewed lower-carbon production mainly as an environmental issue. The analysis showed me that it is also a customer-value, regulatory and competitive issue. A technically lower-emissions product has limited marketing value unless customers can verify the difference and connect it to their own commercial or compliance needs.</w:t>
      </w:r>
    </w:p>
    <w:p w14:paraId="132F97FE">
      <w:pPr>
        <w:bidi w:val="0"/>
        <w:rPr>
          <w:rFonts w:hint="default" w:ascii="Arial" w:hAnsi="Arial" w:cs="Arial"/>
          <w:sz w:val="24"/>
          <w:szCs w:val="24"/>
        </w:rPr>
      </w:pPr>
      <w:r>
        <w:rPr>
          <w:rFonts w:hint="default" w:ascii="Arial" w:hAnsi="Arial" w:cs="Arial"/>
          <w:sz w:val="24"/>
          <w:szCs w:val="24"/>
        </w:rPr>
        <w:t>I chose environmental, political and technological actors because they interact: environmental pressure creates the challenge, policy translates some expectations into rules, and technology affects the cost and feasibility of a response. Treating these forces together helped me move beyond listing trends to ask who gains, who carries risk and where Rio Tinto has control. I learned that a product proposition depends not only on the producer’s emissions but also on customer processes, shared measurement boundaries and credible assurance.</w:t>
      </w:r>
    </w:p>
    <w:p w14:paraId="132F97FF">
      <w:pPr>
        <w:bidi w:val="0"/>
        <w:rPr>
          <w:rFonts w:hint="default" w:ascii="Arial" w:hAnsi="Arial" w:cs="Arial"/>
          <w:sz w:val="24"/>
          <w:szCs w:val="24"/>
        </w:rPr>
      </w:pPr>
      <w:r>
        <w:rPr>
          <w:rFonts w:hint="default" w:ascii="Arial" w:hAnsi="Arial" w:cs="Arial"/>
          <w:sz w:val="24"/>
          <w:szCs w:val="24"/>
        </w:rPr>
        <w:t>I recommend product development supported by selective market development because it builds on Rio Tinto’s resources, customer relationships and decarbonisation investments. I consider it stronger than market penetration, which may preserve volume without changing the value proposition; stronger than broad market development, which adds geographic risk; and safer than diversification, which would demand unfamiliar capabilities and capital. Differentiation is also preferable to pure cost leadership when verified carbon data, quality and supply reliability help customers meet requirements, although cost discipline remains essential. The recommendation is conditional: if customers do not convert pilots into contracts or accept workable terms, Rio Tinto should not scale a premium offer merely to support its brand narrative.</w:t>
      </w:r>
    </w:p>
    <w:p w14:paraId="132F9802">
      <w:pPr>
        <w:keepNext/>
        <w:bidi w:val="0"/>
        <w:rPr>
          <w:rFonts w:hint="default" w:ascii="Arial" w:hAnsi="Arial" w:cs="Arial"/>
          <w:sz w:val="24"/>
          <w:szCs w:val="24"/>
        </w:rPr>
      </w:pPr>
      <w:r>
        <w:rPr>
          <w:rFonts w:hint="default" w:ascii="Arial" w:hAnsi="Arial" w:cs="Arial"/>
          <w:sz w:val="24"/>
          <w:szCs w:val="24"/>
        </w:rPr>
        <w:drawing>
          <wp:inline distT="0" distB="0" distL="114300" distR="114300">
            <wp:extent cx="5394960" cy="1760220"/>
            <wp:effectExtent l="0" t="0" r="15240" b="11430"/>
            <wp:docPr id="6" name="Picture 6" descr="Three-part technology actor diagram linking lower-carbon technologies, operational change and customer value." title="Three-part technology actor diagram linking lower-carbon technologies, operational change and customer 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hree-part technology actor diagram linking lower-carbon technologies, operational change and customer value." title="Three-part technology actor diagram linking lower-carbon technologies, operational change and customer value"/>
                    <pic:cNvPicPr>
                      <a:picLocks noChangeAspect="1"/>
                    </pic:cNvPicPr>
                  </pic:nvPicPr>
                  <pic:blipFill>
                    <a:blip r:embed="rId14"/>
                    <a:stretch>
                      <a:fillRect/>
                    </a:stretch>
                  </pic:blipFill>
                  <pic:spPr>
                    <a:xfrm>
                      <a:off x="0" y="0"/>
                      <a:ext cx="5394960" cy="1760386"/>
                    </a:xfrm>
                    <a:prstGeom prst="rect">
                      <a:avLst/>
                    </a:prstGeom>
                  </pic:spPr>
                </pic:pic>
              </a:graphicData>
            </a:graphic>
          </wp:inline>
        </w:drawing>
      </w:r>
    </w:p>
    <w:p w14:paraId="17AE9D36">
      <w:pPr>
        <w:keepNext/>
        <w:bidi w:val="0"/>
        <w:rPr>
          <w:rFonts w:hint="default" w:ascii="Arial" w:hAnsi="Arial" w:cs="Arial"/>
          <w:b w:val="0"/>
          <w:bCs w:val="0"/>
          <w:sz w:val="20"/>
          <w:szCs w:val="20"/>
          <w:lang w:val="en-GB"/>
        </w:rPr>
      </w:pPr>
      <w:r>
        <w:rPr>
          <w:rFonts w:hint="default" w:ascii="Arial" w:hAnsi="Arial" w:cs="Arial"/>
          <w:sz w:val="20"/>
          <w:szCs w:val="20"/>
        </w:rPr>
        <w:t>Figure 5: Managerial reflection: from evidence to action. Source: Author-created diagram based on the managerial and professional reflection.</w:t>
      </w:r>
    </w:p>
    <w:p w14:paraId="132F9800">
      <w:pPr>
        <w:bidi w:val="0"/>
        <w:rPr>
          <w:rFonts w:hint="default" w:ascii="Arial" w:hAnsi="Arial" w:cs="Arial"/>
          <w:sz w:val="24"/>
          <w:szCs w:val="24"/>
        </w:rPr>
      </w:pPr>
      <w:r>
        <w:rPr>
          <w:rFonts w:hint="default" w:ascii="Arial" w:hAnsi="Arial" w:cs="Arial"/>
          <w:sz w:val="24"/>
          <w:szCs w:val="24"/>
        </w:rPr>
        <w:t>The analysis relies on public information, including company disclosures. Competitors may use different emissions boundaries, and I could not confirm willingness to pay, future carbon prices, technology economics or the full local effects of expansion. With more time and access to data, I would interview procurement teams and affected communities, compare independently verified product footprints, and test customer price and contract responses against project-level costs. I would also stress-test the recommendation against delayed technology, lower demand and stricter regulation. If demand weakened or the technology failed to reach reliable, cost-effective scale, I would prioritise operational efficiency and customer retention, defer capital-intensive product launches and revisit pilots when evidence improved. If regulation or buyer standards accelerated, I would bring forward verified product data and partnerships, while still using stage gates.</w:t>
      </w:r>
    </w:p>
    <w:p w14:paraId="132F9801">
      <w:pPr>
        <w:bidi w:val="0"/>
        <w:rPr>
          <w:rFonts w:hint="default" w:ascii="Arial" w:hAnsi="Arial" w:cs="Arial"/>
          <w:sz w:val="24"/>
          <w:szCs w:val="24"/>
        </w:rPr>
      </w:pPr>
      <w:r>
        <w:rPr>
          <w:rFonts w:hint="default" w:ascii="Arial" w:hAnsi="Arial" w:cs="Arial"/>
          <w:sz w:val="24"/>
          <w:szCs w:val="24"/>
        </w:rPr>
        <w:t>For senior leadership, I would present a concise decision paper and a short verbal briefing: the strategic choice, evidence for customer value, alternatives rejected, downside scenarios, staged investment gates and a small set of measures covering verified emissions, pilot conversion, margin, retention and delivery reliability. I would state clearly which evidence is observed and which is an assumption. My professional judgement developed from favouring an appealing strategic narrative to requiring proof of customer value, implementation capability and acceptable risk. I would make the recommendation revisable rather than treating it as a fixed forecast.</w:t>
      </w:r>
    </w:p>
    <w:p w14:paraId="132F9803">
      <w:pPr>
        <w:rPr>
          <w:rFonts w:hint="default" w:ascii="Arial" w:hAnsi="Arial" w:cs="Arial"/>
          <w:b/>
          <w:bCs/>
          <w:sz w:val="24"/>
          <w:szCs w:val="24"/>
        </w:rPr>
      </w:pPr>
      <w:bookmarkStart w:id="18" w:name="_Toc23491"/>
      <w:r>
        <w:rPr>
          <w:rFonts w:hint="default" w:ascii="Arial" w:hAnsi="Arial" w:cs="Arial"/>
          <w:b/>
          <w:bCs/>
          <w:sz w:val="24"/>
          <w:szCs w:val="24"/>
        </w:rPr>
        <w:t>5 Conclusion</w:t>
      </w:r>
      <w:bookmarkEnd w:id="18"/>
    </w:p>
    <w:p w14:paraId="132F9804">
      <w:pPr>
        <w:bidi w:val="0"/>
        <w:rPr>
          <w:rFonts w:hint="default" w:ascii="Arial" w:hAnsi="Arial" w:cs="Arial"/>
          <w:sz w:val="24"/>
          <w:szCs w:val="24"/>
        </w:rPr>
      </w:pPr>
      <w:r>
        <w:rPr>
          <w:rFonts w:hint="default" w:ascii="Arial" w:hAnsi="Arial" w:cs="Arial"/>
          <w:sz w:val="24"/>
          <w:szCs w:val="24"/>
        </w:rPr>
        <w:t>Environmental pressures, regulation, technology, customers and competitors shape Rio Tinto’s transition. Commercial value depends on reliable delivery, measurable performance and social legitimacy.</w:t>
      </w:r>
    </w:p>
    <w:p w14:paraId="132F9805">
      <w:pPr>
        <w:bidi w:val="0"/>
        <w:rPr>
          <w:rFonts w:hint="default" w:ascii="Arial" w:hAnsi="Arial" w:cs="Arial"/>
          <w:sz w:val="24"/>
          <w:szCs w:val="24"/>
        </w:rPr>
      </w:pPr>
      <w:r>
        <w:rPr>
          <w:rFonts w:hint="default" w:ascii="Arial" w:hAnsi="Arial" w:cs="Arial"/>
          <w:sz w:val="24"/>
          <w:szCs w:val="24"/>
        </w:rPr>
        <w:t>Rio Tinto should develop differentiated propositions supported by verified carbon data and customer partnerships, scaling only when pilots show demand and viable margins. Cost discipline and transparent evidence protect trust.</w:t>
      </w:r>
    </w:p>
    <w:p w14:paraId="02CE7B36">
      <w:pPr>
        <w:pStyle w:val="2"/>
        <w:bidi w:val="0"/>
        <w:rPr>
          <w:rFonts w:hint="default" w:ascii="Arial" w:hAnsi="Arial" w:cs="Arial"/>
        </w:rPr>
      </w:pPr>
      <w:bookmarkStart w:id="19" w:name="_Toc1084"/>
    </w:p>
    <w:p w14:paraId="132F9806">
      <w:pPr>
        <w:pStyle w:val="2"/>
        <w:bidi w:val="0"/>
        <w:rPr>
          <w:rFonts w:hint="default" w:ascii="Arial" w:hAnsi="Arial" w:cs="Arial"/>
        </w:rPr>
      </w:pPr>
      <w:r>
        <w:rPr>
          <w:rFonts w:hint="default" w:ascii="Arial" w:hAnsi="Arial" w:cs="Arial"/>
        </w:rPr>
        <w:t>6 Reference List</w:t>
      </w:r>
      <w:bookmarkEnd w:id="19"/>
    </w:p>
    <w:p w14:paraId="132F9808">
      <w:pPr>
        <w:bidi w:val="0"/>
        <w:rPr>
          <w:rFonts w:hint="default" w:ascii="Arial" w:hAnsi="Arial" w:cs="Arial"/>
          <w:sz w:val="24"/>
          <w:szCs w:val="24"/>
        </w:rPr>
      </w:pPr>
      <w:r>
        <w:rPr>
          <w:rFonts w:hint="default" w:ascii="Arial" w:hAnsi="Arial" w:cs="Arial"/>
          <w:sz w:val="24"/>
          <w:szCs w:val="24"/>
        </w:rPr>
        <w:t>Adomako, S. and Tran, M.D. (2022) ‘Sustainable environmental strategy, firm competitiveness, and financial performance: Evidence from the mining industry’, Resources Policy, 75, 102515. doi: 10.1016/j.resourpol.2021.102515.</w:t>
      </w:r>
    </w:p>
    <w:p w14:paraId="132F9807">
      <w:pPr>
        <w:bidi w:val="0"/>
        <w:rPr>
          <w:rFonts w:hint="default" w:ascii="Arial" w:hAnsi="Arial" w:cs="Arial"/>
          <w:sz w:val="24"/>
          <w:szCs w:val="24"/>
        </w:rPr>
      </w:pPr>
      <w:r>
        <w:rPr>
          <w:rFonts w:hint="default" w:ascii="Arial" w:hAnsi="Arial" w:cs="Arial"/>
          <w:sz w:val="24"/>
          <w:szCs w:val="24"/>
        </w:rPr>
        <w:t>Ansoff, H.I. (1957) ‘Strategies for diversification’, Harvard Business Review, 35(5), pp. 113–124.</w:t>
      </w:r>
    </w:p>
    <w:p w14:paraId="257716DC">
      <w:pPr>
        <w:rPr>
          <w:rFonts w:hint="default" w:ascii="Arial" w:hAnsi="Arial" w:cs="Arial"/>
          <w:sz w:val="24"/>
          <w:szCs w:val="24"/>
        </w:rPr>
      </w:pPr>
      <w:r>
        <w:rPr>
          <w:rFonts w:hint="default" w:ascii="Arial" w:hAnsi="Arial" w:cs="Arial"/>
          <w:sz w:val="24"/>
          <w:szCs w:val="24"/>
        </w:rPr>
        <w:t>BHP (2025) ‘BHP and POSCO partner to advance hydrogen-based ironmaking technology’, 30 October. Available at: https://www.bhp.com/news/media-centre/releases/2025/10/bhp-and-posco-partner-to-advance-hydrogen-based-ironmaking-technology (Accessed: 21 October 2026).</w:t>
      </w:r>
    </w:p>
    <w:p w14:paraId="132F9809">
      <w:pPr>
        <w:bidi w:val="0"/>
        <w:rPr>
          <w:rFonts w:hint="default" w:ascii="Arial" w:hAnsi="Arial" w:cs="Arial"/>
          <w:sz w:val="24"/>
          <w:szCs w:val="24"/>
        </w:rPr>
      </w:pPr>
      <w:r>
        <w:rPr>
          <w:rFonts w:hint="default" w:ascii="Arial" w:hAnsi="Arial" w:cs="Arial"/>
          <w:sz w:val="24"/>
          <w:szCs w:val="24"/>
        </w:rPr>
        <w:t>European Commission (2026) Carbon Border Adjustment Mechanism: definitive regime. Available at: https://taxation-customs.ec.europa.eu/carbon-border-adjustment-mechanism/cbam-definitive-regime_en (Accessed: 14 October 2026).</w:t>
      </w:r>
    </w:p>
    <w:p w14:paraId="132F980A">
      <w:pPr>
        <w:bidi w:val="0"/>
        <w:rPr>
          <w:rFonts w:hint="default" w:ascii="Arial" w:hAnsi="Arial" w:cs="Arial"/>
          <w:sz w:val="24"/>
          <w:szCs w:val="24"/>
        </w:rPr>
      </w:pPr>
      <w:r>
        <w:rPr>
          <w:rFonts w:hint="default" w:ascii="Arial" w:hAnsi="Arial" w:cs="Arial"/>
          <w:sz w:val="24"/>
          <w:szCs w:val="24"/>
        </w:rPr>
        <w:t>Fastmarkets (2023) ‘Value of green steel comes down to ability to price it’. Available at: https://www.fastmarkets.com/insights/value-of-green-steel-comes-down-to-ability-to-price-it/ (Accessed: 14 October 2026).</w:t>
      </w:r>
    </w:p>
    <w:p w14:paraId="3C335F14">
      <w:pPr>
        <w:rPr>
          <w:rFonts w:hint="default" w:ascii="Arial" w:hAnsi="Arial" w:cs="Arial"/>
          <w:sz w:val="24"/>
          <w:szCs w:val="24"/>
        </w:rPr>
      </w:pPr>
      <w:r>
        <w:rPr>
          <w:rFonts w:hint="default" w:ascii="Arial" w:hAnsi="Arial" w:cs="Arial"/>
          <w:sz w:val="24"/>
          <w:szCs w:val="24"/>
        </w:rPr>
        <w:t>Fortescue (n.d.) Green metals vision. Available at: https://www.fortescue.com/en/real-zero/green-metals-vision (Accessed: 21 October 2026).</w:t>
      </w:r>
    </w:p>
    <w:p w14:paraId="132F980B">
      <w:pPr>
        <w:bidi w:val="0"/>
        <w:rPr>
          <w:rFonts w:hint="default" w:ascii="Arial" w:hAnsi="Arial" w:cs="Arial"/>
          <w:sz w:val="24"/>
          <w:szCs w:val="24"/>
        </w:rPr>
      </w:pPr>
      <w:r>
        <w:rPr>
          <w:rFonts w:hint="default" w:ascii="Arial" w:hAnsi="Arial" w:cs="Arial"/>
          <w:sz w:val="24"/>
          <w:szCs w:val="24"/>
        </w:rPr>
        <w:t>Hague, P. (2019) The Business Models Handbook: Templates, Theory and Case Studies. London: Kogan Page.</w:t>
      </w:r>
    </w:p>
    <w:p w14:paraId="132F980C">
      <w:pPr>
        <w:bidi w:val="0"/>
        <w:rPr>
          <w:rFonts w:hint="default" w:ascii="Arial" w:hAnsi="Arial" w:cs="Arial"/>
          <w:sz w:val="24"/>
          <w:szCs w:val="24"/>
        </w:rPr>
      </w:pPr>
      <w:r>
        <w:rPr>
          <w:rFonts w:hint="default" w:ascii="Arial" w:hAnsi="Arial" w:cs="Arial"/>
          <w:sz w:val="24"/>
          <w:szCs w:val="24"/>
        </w:rPr>
        <w:t>Hooley, G., Nicoulaud, B., Rudd, J.M. and Lee, N. (2020) Marketing Strategy and Competitive Positioning. 7th edn. Harlow: Pearson.</w:t>
      </w:r>
    </w:p>
    <w:p w14:paraId="132F980D">
      <w:pPr>
        <w:bidi w:val="0"/>
        <w:rPr>
          <w:rFonts w:hint="default" w:ascii="Arial" w:hAnsi="Arial" w:cs="Arial"/>
          <w:sz w:val="24"/>
          <w:szCs w:val="24"/>
        </w:rPr>
      </w:pPr>
      <w:r>
        <w:rPr>
          <w:rFonts w:hint="default" w:ascii="Arial" w:hAnsi="Arial" w:cs="Arial"/>
          <w:sz w:val="24"/>
          <w:szCs w:val="24"/>
        </w:rPr>
        <w:t>IEA (2024) Global Critical Minerals Outlook 2024. Paris: International Energy Agency. Available at: https://www.iea.org/reports/global-critical-minerals-outlook-2024 (Accessed: 14 October 2026).</w:t>
      </w:r>
    </w:p>
    <w:p w14:paraId="132F980E">
      <w:pPr>
        <w:bidi w:val="0"/>
        <w:rPr>
          <w:rFonts w:hint="default" w:ascii="Arial" w:hAnsi="Arial" w:cs="Arial"/>
          <w:sz w:val="24"/>
          <w:szCs w:val="24"/>
        </w:rPr>
      </w:pPr>
      <w:r>
        <w:rPr>
          <w:rFonts w:hint="default" w:ascii="Arial" w:hAnsi="Arial" w:cs="Arial"/>
          <w:sz w:val="24"/>
          <w:szCs w:val="24"/>
        </w:rPr>
        <w:t>IPCC (2023) Climate Change 2023: Synthesis Report. Geneva: Intergovernmental Panel on Climate Change. Available at: https://www.ipcc.ch/report/ar6/syr/ (Accessed: 14 October 2026).</w:t>
      </w:r>
    </w:p>
    <w:p w14:paraId="132F980F">
      <w:pPr>
        <w:bidi w:val="0"/>
        <w:rPr>
          <w:rFonts w:hint="default" w:ascii="Arial" w:hAnsi="Arial" w:cs="Arial"/>
          <w:sz w:val="24"/>
          <w:szCs w:val="24"/>
        </w:rPr>
      </w:pPr>
      <w:r>
        <w:rPr>
          <w:rFonts w:hint="default" w:ascii="Arial" w:hAnsi="Arial" w:cs="Arial"/>
          <w:sz w:val="24"/>
          <w:szCs w:val="24"/>
        </w:rPr>
        <w:t>Jin, H. (2023) ‘Analyzing factors and resource policymaking options for sustainable resource management and carbon neutrality in mining industry’, Resources Policy, 86, 104185. doi: 10.1016/j.resourpol.2023.104185.</w:t>
      </w:r>
    </w:p>
    <w:p w14:paraId="132F9810">
      <w:pPr>
        <w:bidi w:val="0"/>
        <w:rPr>
          <w:rFonts w:hint="default" w:ascii="Arial" w:hAnsi="Arial" w:cs="Arial"/>
          <w:sz w:val="24"/>
          <w:szCs w:val="24"/>
        </w:rPr>
      </w:pPr>
      <w:r>
        <w:rPr>
          <w:rFonts w:hint="default" w:ascii="Arial" w:hAnsi="Arial" w:cs="Arial"/>
          <w:sz w:val="24"/>
          <w:szCs w:val="24"/>
        </w:rPr>
        <w:t>Johnson, G., Whittington, R., Scholes, K., Angwin, D. and Regnér, P. (2017) Exploring Strategy: Text and Cases. 11th edn. Harlow: Pearson.</w:t>
      </w:r>
    </w:p>
    <w:p w14:paraId="132F9811">
      <w:pPr>
        <w:bidi w:val="0"/>
        <w:rPr>
          <w:rFonts w:hint="default" w:ascii="Arial" w:hAnsi="Arial" w:cs="Arial"/>
          <w:sz w:val="24"/>
          <w:szCs w:val="24"/>
        </w:rPr>
      </w:pPr>
      <w:r>
        <w:rPr>
          <w:rFonts w:hint="default" w:ascii="Arial" w:hAnsi="Arial" w:cs="Arial"/>
          <w:sz w:val="24"/>
          <w:szCs w:val="24"/>
        </w:rPr>
        <w:t>Kotler, P., Armstrong, G., Harris, L.C. and Piercy, N. (2020) Principles of Marketing. 8th European edn. Harlow: Pearson.</w:t>
      </w:r>
    </w:p>
    <w:p w14:paraId="132F9812">
      <w:pPr>
        <w:bidi w:val="0"/>
        <w:rPr>
          <w:rFonts w:hint="default" w:ascii="Arial" w:hAnsi="Arial" w:cs="Arial"/>
          <w:sz w:val="24"/>
          <w:szCs w:val="24"/>
        </w:rPr>
      </w:pPr>
      <w:r>
        <w:rPr>
          <w:rFonts w:hint="default" w:ascii="Arial" w:hAnsi="Arial" w:cs="Arial"/>
          <w:sz w:val="24"/>
          <w:szCs w:val="24"/>
        </w:rPr>
        <w:t>Kotler, P., Keller, K.L. and Chernev, A. (2021) Marketing Management. 16th edn. Harlow: Pearson.</w:t>
      </w:r>
    </w:p>
    <w:p w14:paraId="132F9813">
      <w:pPr>
        <w:bidi w:val="0"/>
        <w:rPr>
          <w:rFonts w:hint="default" w:ascii="Arial" w:hAnsi="Arial" w:cs="Arial"/>
          <w:sz w:val="24"/>
          <w:szCs w:val="24"/>
        </w:rPr>
      </w:pPr>
      <w:r>
        <w:rPr>
          <w:rFonts w:hint="default" w:ascii="Arial" w:hAnsi="Arial" w:cs="Arial"/>
          <w:sz w:val="24"/>
          <w:szCs w:val="24"/>
        </w:rPr>
        <w:t>Ma, X., Xu, X., Wang, Z., Zhao, X., Lee, H. and Truskolaski, T. (2024) ‘Technological innovation, industrial structure upgrading and mining energy efficiency’, Resources Policy, 98, 105339. doi: 10.1016/j.resourpol.2024.105339.</w:t>
      </w:r>
    </w:p>
    <w:p w14:paraId="132F9814">
      <w:pPr>
        <w:bidi w:val="0"/>
        <w:rPr>
          <w:rFonts w:hint="default" w:ascii="Arial" w:hAnsi="Arial" w:cs="Arial"/>
          <w:sz w:val="24"/>
          <w:szCs w:val="24"/>
        </w:rPr>
      </w:pPr>
      <w:r>
        <w:rPr>
          <w:rFonts w:hint="default" w:ascii="Arial" w:hAnsi="Arial" w:cs="Arial"/>
          <w:sz w:val="24"/>
          <w:szCs w:val="24"/>
        </w:rPr>
        <w:t>Negrete, M., Fuentes, M., Kraslawski, A., Irarrazaval, F. and Herrera-León, S. et al. (2024) ‘Socio-environmental implications of the decarbonization of copper and lithium mining and mineral processing’, Resources Policy, 95, 105135. doi: 10.1016/j.resourpol.2024.105135.</w:t>
      </w:r>
    </w:p>
    <w:p w14:paraId="132F9815">
      <w:pPr>
        <w:bidi w:val="0"/>
        <w:rPr>
          <w:rFonts w:hint="default" w:ascii="Arial" w:hAnsi="Arial" w:cs="Arial"/>
          <w:sz w:val="24"/>
          <w:szCs w:val="24"/>
        </w:rPr>
      </w:pPr>
      <w:r>
        <w:rPr>
          <w:rFonts w:hint="default" w:ascii="Arial" w:hAnsi="Arial" w:cs="Arial"/>
          <w:sz w:val="24"/>
          <w:szCs w:val="24"/>
        </w:rPr>
        <w:t>OECD (2023) Handbook on Environmental Due Diligence in Mineral Supply Chains. Paris: OECD Publishing. doi: 10.1787/cef843bf-en.</w:t>
      </w:r>
    </w:p>
    <w:p w14:paraId="0EDD001D">
      <w:pPr>
        <w:bidi w:val="0"/>
        <w:rPr>
          <w:rFonts w:hint="default" w:ascii="Arial" w:hAnsi="Arial" w:cs="Arial"/>
          <w:sz w:val="24"/>
          <w:szCs w:val="24"/>
        </w:rPr>
      </w:pPr>
      <w:r>
        <w:rPr>
          <w:rFonts w:hint="default" w:ascii="Arial" w:hAnsi="Arial" w:cs="Arial"/>
          <w:sz w:val="24"/>
          <w:szCs w:val="24"/>
        </w:rPr>
        <w:t>Porter, M.E. (2008) ‘The five competitive forces that shape strategy’, Harvard Business Review, 86(1), pp. 78–93.</w:t>
      </w:r>
    </w:p>
    <w:p w14:paraId="132F9816">
      <w:pPr>
        <w:bidi w:val="0"/>
        <w:rPr>
          <w:rFonts w:hint="default" w:ascii="Arial" w:hAnsi="Arial" w:cs="Arial"/>
          <w:sz w:val="24"/>
          <w:szCs w:val="24"/>
        </w:rPr>
      </w:pPr>
      <w:r>
        <w:rPr>
          <w:rFonts w:hint="default" w:ascii="Arial" w:hAnsi="Arial" w:cs="Arial"/>
          <w:sz w:val="24"/>
          <w:szCs w:val="24"/>
        </w:rPr>
        <w:t>Rio Tinto (2025a) Simandou. Available at: https://www.riotinto.com/operations/africa/simandou (Accessed: 14 October 2026).</w:t>
      </w:r>
    </w:p>
    <w:p w14:paraId="132F9817">
      <w:pPr>
        <w:bidi w:val="0"/>
        <w:rPr>
          <w:rFonts w:hint="default" w:ascii="Arial" w:hAnsi="Arial" w:cs="Arial"/>
          <w:sz w:val="24"/>
          <w:szCs w:val="24"/>
        </w:rPr>
      </w:pPr>
      <w:r>
        <w:rPr>
          <w:rFonts w:hint="default" w:ascii="Arial" w:hAnsi="Arial" w:cs="Arial"/>
          <w:sz w:val="24"/>
          <w:szCs w:val="24"/>
        </w:rPr>
        <w:t>Rio Tinto (2025b) ‘Rio Tinto and Edify Energy sign landmark solar and battery agreement for Rio Tinto’s Gladstone operations’, 13 March. Available at: https://www.riotinto.com/news/releases/2025/rio-tinto-and-edify-energy-sign-landmark-solar-and-battery-agreement-for-rio-tintos-gladstone-operations (Accessed: 14 October 2026).</w:t>
      </w:r>
    </w:p>
    <w:p w14:paraId="132F9818">
      <w:pPr>
        <w:bidi w:val="0"/>
        <w:rPr>
          <w:rFonts w:hint="default" w:ascii="Arial" w:hAnsi="Arial" w:cs="Arial"/>
          <w:sz w:val="24"/>
          <w:szCs w:val="24"/>
        </w:rPr>
      </w:pPr>
      <w:r>
        <w:rPr>
          <w:rFonts w:hint="default" w:ascii="Arial" w:hAnsi="Arial" w:cs="Arial"/>
          <w:sz w:val="24"/>
          <w:szCs w:val="24"/>
        </w:rPr>
        <w:t>Rio Tinto (2025c) ‘Rio Tinto and AMG Metals &amp; Materials to assess low-carbon aluminium project in India’, 17 April. Available at: https://www.riotinto.com/news/releases/2025/rio-tinto-and-amg-metals--materials-to-assess-low-carbon-aluminium-project-in-india (Accessed: 14 October 2026).</w:t>
      </w:r>
    </w:p>
    <w:p w14:paraId="132F9819">
      <w:pPr>
        <w:bidi w:val="0"/>
        <w:rPr>
          <w:rFonts w:hint="default" w:ascii="Arial" w:hAnsi="Arial" w:cs="Arial"/>
          <w:sz w:val="24"/>
          <w:szCs w:val="24"/>
        </w:rPr>
      </w:pPr>
      <w:r>
        <w:rPr>
          <w:rFonts w:hint="default" w:ascii="Arial" w:hAnsi="Arial" w:cs="Arial"/>
          <w:sz w:val="24"/>
          <w:szCs w:val="24"/>
        </w:rPr>
        <w:t>Rio Tinto (2026a) Climate reporting and sustainability reporting: 2025 performance. Available at: https://www.riotinto.com/invest/reports/climate-reporting and https://www.riotinto.com/invest/reports/sustainability-report (Accessed: 14 October 2026).</w:t>
      </w:r>
    </w:p>
    <w:p w14:paraId="132F981A">
      <w:pPr>
        <w:bidi w:val="0"/>
        <w:rPr>
          <w:rFonts w:hint="default" w:ascii="Arial" w:hAnsi="Arial" w:cs="Arial"/>
          <w:sz w:val="24"/>
          <w:szCs w:val="24"/>
        </w:rPr>
      </w:pPr>
      <w:r>
        <w:rPr>
          <w:rFonts w:hint="default" w:ascii="Arial" w:hAnsi="Arial" w:cs="Arial"/>
          <w:sz w:val="24"/>
          <w:szCs w:val="24"/>
        </w:rPr>
        <w:t>Rio Tinto (2026b) Climate change. Available at: https://www.riotinto.com/sustainability/climate-change (Accessed: 14 October 2026).</w:t>
      </w:r>
    </w:p>
    <w:p w14:paraId="132F981B">
      <w:pPr>
        <w:bidi w:val="0"/>
        <w:rPr>
          <w:rFonts w:hint="default" w:ascii="Arial" w:hAnsi="Arial" w:cs="Arial"/>
          <w:sz w:val="24"/>
          <w:szCs w:val="24"/>
        </w:rPr>
      </w:pPr>
      <w:r>
        <w:rPr>
          <w:rFonts w:hint="default" w:ascii="Arial" w:hAnsi="Arial" w:cs="Arial"/>
          <w:sz w:val="24"/>
          <w:szCs w:val="24"/>
        </w:rPr>
        <w:t>UNEP (2024) Global Resources Outlook 2024. Nairobi: United Nations Environment Programme. Available at: https://www.unep.org/resources/Global-Resource-Outlook-2024 (Accessed: 14 October 2026).</w:t>
      </w:r>
    </w:p>
    <w:p w14:paraId="47506073">
      <w:pPr>
        <w:rPr>
          <w:rFonts w:hint="default" w:ascii="Arial" w:hAnsi="Arial" w:cs="Arial"/>
          <w:sz w:val="24"/>
          <w:szCs w:val="24"/>
        </w:rPr>
      </w:pPr>
      <w:r>
        <w:rPr>
          <w:rFonts w:hint="default" w:ascii="Arial" w:hAnsi="Arial" w:cs="Arial"/>
          <w:sz w:val="24"/>
          <w:szCs w:val="24"/>
        </w:rPr>
        <w:t>Vale (n.d.) ‘Vale and SHS sign MoU to develop decarbonization solutions in steelmaking’. Available at: https://www.vale.com/w/vale-and-shs-sign-mou-to-develop-decarbonization-solutions-in-steelmaking (Accessed: 21 October 2026).</w:t>
      </w:r>
    </w:p>
    <w:p w14:paraId="1CD9A8A2">
      <w:pPr>
        <w:bidi w:val="0"/>
        <w:rPr>
          <w:rFonts w:hint="default" w:ascii="Arial" w:hAnsi="Arial" w:cs="Arial"/>
          <w:sz w:val="24"/>
          <w:szCs w:val="24"/>
        </w:rPr>
      </w:pPr>
      <w:r>
        <w:rPr>
          <w:rFonts w:hint="default" w:ascii="Arial" w:hAnsi="Arial" w:cs="Arial"/>
          <w:sz w:val="24"/>
          <w:szCs w:val="24"/>
        </w:rPr>
        <w:t>Whittington, R., Regnér, P., Angwin, D., Johnson, G. and Scholes, K. (2023) Exploring Strategy: Text and Cases. 13th edn. Harlow: Pearson.</w:t>
      </w:r>
    </w:p>
    <w:p w14:paraId="5145D98B">
      <w:pPr>
        <w:bidi w:val="0"/>
        <w:rPr>
          <w:rFonts w:hint="default" w:ascii="Arial" w:hAnsi="Arial" w:cs="Arial"/>
          <w:sz w:val="24"/>
          <w:szCs w:val="24"/>
        </w:rPr>
      </w:pPr>
    </w:p>
    <w:p w14:paraId="132F981D">
      <w:pPr>
        <w:pStyle w:val="2"/>
        <w:bidi w:val="0"/>
        <w:rPr>
          <w:rFonts w:hint="default" w:ascii="Arial" w:hAnsi="Arial" w:cs="Arial"/>
        </w:rPr>
      </w:pPr>
      <w:bookmarkStart w:id="20" w:name="_Toc30115"/>
      <w:r>
        <w:rPr>
          <w:rFonts w:hint="default" w:ascii="Arial" w:hAnsi="Arial" w:cs="Arial"/>
        </w:rPr>
        <w:t>7 Appendices</w:t>
      </w:r>
      <w:bookmarkEnd w:id="20"/>
    </w:p>
    <w:p w14:paraId="132F981E">
      <w:pPr>
        <w:pStyle w:val="3"/>
        <w:bidi w:val="0"/>
        <w:rPr>
          <w:rFonts w:hint="default" w:ascii="Arial" w:hAnsi="Arial" w:cs="Arial"/>
        </w:rPr>
      </w:pPr>
      <w:bookmarkStart w:id="21" w:name="_Toc19229"/>
      <w:bookmarkStart w:id="22" w:name="_Toc9132"/>
      <w:r>
        <w:rPr>
          <w:rFonts w:hint="default" w:ascii="Arial" w:hAnsi="Arial" w:cs="Arial"/>
        </w:rPr>
        <w:t>Appendix A Evidence and decision summary</w:t>
      </w:r>
      <w:bookmarkEnd w:id="21"/>
      <w:bookmarkEnd w:id="22"/>
    </w:p>
    <w:tbl>
      <w:tblPr>
        <w:tblStyle w:val="38"/>
        <w:tblW w:w="0" w:type="auto"/>
        <w:jc w:val="cente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Layout w:type="autofit"/>
        <w:tblCellMar>
          <w:top w:w="0" w:type="dxa"/>
          <w:left w:w="108" w:type="dxa"/>
          <w:bottom w:w="0" w:type="dxa"/>
          <w:right w:w="108" w:type="dxa"/>
        </w:tblCellMar>
      </w:tblPr>
      <w:tblGrid>
        <w:gridCol w:w="2232"/>
        <w:gridCol w:w="4320"/>
        <w:gridCol w:w="2448"/>
      </w:tblGrid>
      <w:tr w14:paraId="132F9822">
        <w:tblPrEx>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PrEx>
        <w:trPr>
          <w:cantSplit/>
          <w:tblHeader/>
          <w:jc w:val="center"/>
        </w:trPr>
        <w:tc>
          <w:tcPr>
            <w:tcW w:w="2232" w:type="dxa"/>
            <w:tcBorders>
              <w:top w:val="single" w:color="auto" w:sz="4" w:space="0"/>
              <w:left w:val="single" w:color="auto" w:sz="4" w:space="0"/>
              <w:bottom w:val="single" w:color="auto" w:sz="4" w:space="0"/>
              <w:right w:val="single" w:color="auto" w:sz="4" w:space="0"/>
            </w:tcBorders>
            <w:tcMar>
              <w:top w:w="90" w:type="dxa"/>
              <w:left w:w="100" w:type="dxa"/>
              <w:bottom w:w="90" w:type="dxa"/>
              <w:right w:w="100" w:type="dxa"/>
            </w:tcMar>
            <w:vAlign w:val="center"/>
          </w:tcPr>
          <w:p w14:paraId="132F981F">
            <w:pPr>
              <w:bidi w:val="0"/>
              <w:rPr>
                <w:rFonts w:hint="default" w:ascii="Arial" w:hAnsi="Arial" w:cs="Arial"/>
                <w:b/>
                <w:bCs/>
                <w:sz w:val="24"/>
                <w:szCs w:val="24"/>
              </w:rPr>
            </w:pPr>
            <w:r>
              <w:rPr>
                <w:rFonts w:hint="default" w:ascii="Arial" w:hAnsi="Arial" w:cs="Arial"/>
                <w:b/>
                <w:bCs/>
                <w:sz w:val="24"/>
                <w:szCs w:val="24"/>
              </w:rPr>
              <w:t>Decision</w:t>
            </w:r>
          </w:p>
        </w:tc>
        <w:tc>
          <w:tcPr>
            <w:tcW w:w="4320" w:type="dxa"/>
            <w:tcBorders>
              <w:top w:val="single" w:color="auto" w:sz="4" w:space="0"/>
              <w:left w:val="single" w:color="auto" w:sz="4" w:space="0"/>
              <w:bottom w:val="single" w:color="auto" w:sz="4" w:space="0"/>
              <w:right w:val="single" w:color="auto" w:sz="4" w:space="0"/>
            </w:tcBorders>
            <w:tcMar>
              <w:top w:w="90" w:type="dxa"/>
              <w:left w:w="100" w:type="dxa"/>
              <w:bottom w:w="90" w:type="dxa"/>
              <w:right w:w="100" w:type="dxa"/>
            </w:tcMar>
            <w:vAlign w:val="center"/>
          </w:tcPr>
          <w:p w14:paraId="132F9820">
            <w:pPr>
              <w:bidi w:val="0"/>
              <w:rPr>
                <w:rFonts w:hint="default" w:ascii="Arial" w:hAnsi="Arial" w:cs="Arial"/>
                <w:b/>
                <w:bCs/>
                <w:sz w:val="24"/>
                <w:szCs w:val="24"/>
              </w:rPr>
            </w:pPr>
            <w:r>
              <w:rPr>
                <w:rFonts w:hint="default" w:ascii="Arial" w:hAnsi="Arial" w:cs="Arial"/>
                <w:b/>
                <w:bCs/>
                <w:sz w:val="24"/>
                <w:szCs w:val="24"/>
              </w:rPr>
              <w:t>Evidence used</w:t>
            </w:r>
          </w:p>
        </w:tc>
        <w:tc>
          <w:tcPr>
            <w:tcW w:w="2448" w:type="dxa"/>
            <w:tcBorders>
              <w:top w:val="single" w:color="auto" w:sz="4" w:space="0"/>
              <w:left w:val="single" w:color="auto" w:sz="4" w:space="0"/>
              <w:bottom w:val="single" w:color="auto" w:sz="4" w:space="0"/>
              <w:right w:val="single" w:color="auto" w:sz="4" w:space="0"/>
            </w:tcBorders>
            <w:tcMar>
              <w:top w:w="90" w:type="dxa"/>
              <w:left w:w="100" w:type="dxa"/>
              <w:bottom w:w="90" w:type="dxa"/>
              <w:right w:w="100" w:type="dxa"/>
            </w:tcMar>
            <w:vAlign w:val="center"/>
          </w:tcPr>
          <w:p w14:paraId="132F9821">
            <w:pPr>
              <w:bidi w:val="0"/>
              <w:rPr>
                <w:rFonts w:hint="default" w:ascii="Arial" w:hAnsi="Arial" w:cs="Arial"/>
                <w:b/>
                <w:bCs/>
                <w:sz w:val="24"/>
                <w:szCs w:val="24"/>
              </w:rPr>
            </w:pPr>
            <w:r>
              <w:rPr>
                <w:rFonts w:hint="default" w:ascii="Arial" w:hAnsi="Arial" w:cs="Arial"/>
                <w:b/>
                <w:bCs/>
                <w:sz w:val="24"/>
                <w:szCs w:val="24"/>
              </w:rPr>
              <w:t>Remaining question</w:t>
            </w:r>
          </w:p>
        </w:tc>
      </w:tr>
      <w:tr w14:paraId="132F9826">
        <w:tblPrEx>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top w:w="0" w:type="dxa"/>
            <w:left w:w="108" w:type="dxa"/>
            <w:bottom w:w="0" w:type="dxa"/>
            <w:right w:w="108" w:type="dxa"/>
          </w:tblCellMar>
        </w:tblPrEx>
        <w:trPr>
          <w:cantSplit/>
          <w:jc w:val="center"/>
        </w:trPr>
        <w:tc>
          <w:tcPr>
            <w:tcW w:w="2232" w:type="dxa"/>
            <w:tcBorders>
              <w:top w:val="single" w:color="auto" w:sz="4" w:space="0"/>
              <w:left w:val="single" w:color="auto" w:sz="4" w:space="0"/>
              <w:bottom w:val="single" w:color="auto" w:sz="4" w:space="0"/>
              <w:right w:val="single" w:color="auto" w:sz="4" w:space="0"/>
            </w:tcBorders>
            <w:tcMar>
              <w:top w:w="90" w:type="dxa"/>
              <w:left w:w="100" w:type="dxa"/>
              <w:bottom w:w="90" w:type="dxa"/>
              <w:right w:w="100" w:type="dxa"/>
            </w:tcMar>
            <w:vAlign w:val="center"/>
          </w:tcPr>
          <w:p w14:paraId="132F9823">
            <w:pPr>
              <w:bidi w:val="0"/>
              <w:rPr>
                <w:rFonts w:hint="default" w:ascii="Arial" w:hAnsi="Arial" w:cs="Arial"/>
                <w:sz w:val="24"/>
                <w:szCs w:val="24"/>
              </w:rPr>
            </w:pPr>
            <w:r>
              <w:rPr>
                <w:rFonts w:hint="default" w:ascii="Arial" w:hAnsi="Arial" w:cs="Arial"/>
                <w:sz w:val="24"/>
                <w:szCs w:val="24"/>
              </w:rPr>
              <w:t>Prioritise the natural actor</w:t>
            </w:r>
          </w:p>
        </w:tc>
        <w:tc>
          <w:tcPr>
            <w:tcW w:w="4320" w:type="dxa"/>
            <w:tcBorders>
              <w:top w:val="single" w:color="auto" w:sz="4" w:space="0"/>
              <w:left w:val="single" w:color="auto" w:sz="4" w:space="0"/>
              <w:bottom w:val="single" w:color="auto" w:sz="4" w:space="0"/>
              <w:right w:val="single" w:color="auto" w:sz="4" w:space="0"/>
            </w:tcBorders>
            <w:tcMar>
              <w:top w:w="90" w:type="dxa"/>
              <w:left w:w="100" w:type="dxa"/>
              <w:bottom w:w="90" w:type="dxa"/>
              <w:right w:w="100" w:type="dxa"/>
            </w:tcMar>
            <w:vAlign w:val="center"/>
          </w:tcPr>
          <w:p w14:paraId="132F9824">
            <w:pPr>
              <w:bidi w:val="0"/>
              <w:rPr>
                <w:rFonts w:hint="default" w:ascii="Arial" w:hAnsi="Arial" w:cs="Arial"/>
                <w:sz w:val="24"/>
                <w:szCs w:val="24"/>
              </w:rPr>
            </w:pPr>
            <w:r>
              <w:rPr>
                <w:rFonts w:hint="default" w:ascii="Arial" w:hAnsi="Arial" w:cs="Arial"/>
                <w:sz w:val="24"/>
                <w:szCs w:val="24"/>
              </w:rPr>
              <w:t>Mineral demand is rising while mining faces emissions, resource and legitimacy pressures (IEA, 2024; UNEP, 2024).</w:t>
            </w:r>
          </w:p>
        </w:tc>
        <w:tc>
          <w:tcPr>
            <w:tcW w:w="2448" w:type="dxa"/>
            <w:tcBorders>
              <w:top w:val="single" w:color="auto" w:sz="4" w:space="0"/>
              <w:left w:val="single" w:color="auto" w:sz="4" w:space="0"/>
              <w:bottom w:val="single" w:color="auto" w:sz="4" w:space="0"/>
              <w:right w:val="single" w:color="auto" w:sz="4" w:space="0"/>
            </w:tcBorders>
            <w:tcMar>
              <w:top w:w="90" w:type="dxa"/>
              <w:left w:w="100" w:type="dxa"/>
              <w:bottom w:w="90" w:type="dxa"/>
              <w:right w:w="100" w:type="dxa"/>
            </w:tcMar>
            <w:vAlign w:val="center"/>
          </w:tcPr>
          <w:p w14:paraId="132F9825">
            <w:pPr>
              <w:bidi w:val="0"/>
              <w:rPr>
                <w:rFonts w:hint="default" w:ascii="Arial" w:hAnsi="Arial" w:cs="Arial"/>
                <w:sz w:val="24"/>
                <w:szCs w:val="24"/>
              </w:rPr>
            </w:pPr>
            <w:r>
              <w:rPr>
                <w:rFonts w:hint="default" w:ascii="Arial" w:hAnsi="Arial" w:cs="Arial"/>
                <w:sz w:val="24"/>
                <w:szCs w:val="24"/>
              </w:rPr>
              <w:t>Can Rio Tinto expand supply without transferring environmental costs to communities and ecosystems?</w:t>
            </w:r>
          </w:p>
        </w:tc>
      </w:tr>
      <w:tr w14:paraId="132F982A">
        <w:tblPrEx>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top w:w="0" w:type="dxa"/>
            <w:left w:w="108" w:type="dxa"/>
            <w:bottom w:w="0" w:type="dxa"/>
            <w:right w:w="108" w:type="dxa"/>
          </w:tblCellMar>
        </w:tblPrEx>
        <w:trPr>
          <w:cantSplit/>
          <w:jc w:val="center"/>
        </w:trPr>
        <w:tc>
          <w:tcPr>
            <w:tcW w:w="2232" w:type="dxa"/>
            <w:tcBorders>
              <w:top w:val="single" w:color="auto" w:sz="4" w:space="0"/>
              <w:left w:val="single" w:color="auto" w:sz="4" w:space="0"/>
              <w:bottom w:val="single" w:color="auto" w:sz="4" w:space="0"/>
              <w:right w:val="single" w:color="auto" w:sz="4" w:space="0"/>
            </w:tcBorders>
            <w:tcMar>
              <w:top w:w="90" w:type="dxa"/>
              <w:left w:w="100" w:type="dxa"/>
              <w:bottom w:w="90" w:type="dxa"/>
              <w:right w:w="100" w:type="dxa"/>
            </w:tcMar>
            <w:vAlign w:val="center"/>
          </w:tcPr>
          <w:p w14:paraId="132F9827">
            <w:pPr>
              <w:bidi w:val="0"/>
              <w:rPr>
                <w:rFonts w:hint="default" w:ascii="Arial" w:hAnsi="Arial" w:cs="Arial"/>
                <w:sz w:val="24"/>
                <w:szCs w:val="24"/>
              </w:rPr>
            </w:pPr>
            <w:r>
              <w:rPr>
                <w:rFonts w:hint="default" w:ascii="Arial" w:hAnsi="Arial" w:cs="Arial"/>
                <w:sz w:val="24"/>
                <w:szCs w:val="24"/>
              </w:rPr>
              <w:t>Recommend product development</w:t>
            </w:r>
          </w:p>
        </w:tc>
        <w:tc>
          <w:tcPr>
            <w:tcW w:w="4320" w:type="dxa"/>
            <w:tcBorders>
              <w:top w:val="single" w:color="auto" w:sz="4" w:space="0"/>
              <w:left w:val="single" w:color="auto" w:sz="4" w:space="0"/>
              <w:bottom w:val="single" w:color="auto" w:sz="4" w:space="0"/>
              <w:right w:val="single" w:color="auto" w:sz="4" w:space="0"/>
            </w:tcBorders>
            <w:tcMar>
              <w:top w:w="90" w:type="dxa"/>
              <w:left w:w="100" w:type="dxa"/>
              <w:bottom w:w="90" w:type="dxa"/>
              <w:right w:w="100" w:type="dxa"/>
            </w:tcMar>
            <w:vAlign w:val="center"/>
          </w:tcPr>
          <w:p w14:paraId="132F9828">
            <w:pPr>
              <w:bidi w:val="0"/>
              <w:rPr>
                <w:rFonts w:hint="default" w:ascii="Arial" w:hAnsi="Arial" w:cs="Arial"/>
                <w:sz w:val="24"/>
                <w:szCs w:val="24"/>
              </w:rPr>
            </w:pPr>
            <w:r>
              <w:rPr>
                <w:rFonts w:hint="default" w:ascii="Arial" w:hAnsi="Arial" w:cs="Arial"/>
                <w:sz w:val="24"/>
                <w:szCs w:val="24"/>
              </w:rPr>
              <w:t>Existing assets and decarbonisation projects can support differentiated offers (Rio Tinto, 2025b; Rio Tinto, 2026a).</w:t>
            </w:r>
          </w:p>
        </w:tc>
        <w:tc>
          <w:tcPr>
            <w:tcW w:w="2448" w:type="dxa"/>
            <w:tcBorders>
              <w:top w:val="single" w:color="auto" w:sz="4" w:space="0"/>
              <w:left w:val="single" w:color="auto" w:sz="4" w:space="0"/>
              <w:bottom w:val="single" w:color="auto" w:sz="4" w:space="0"/>
              <w:right w:val="single" w:color="auto" w:sz="4" w:space="0"/>
            </w:tcBorders>
            <w:tcMar>
              <w:top w:w="90" w:type="dxa"/>
              <w:left w:w="100" w:type="dxa"/>
              <w:bottom w:w="90" w:type="dxa"/>
              <w:right w:w="100" w:type="dxa"/>
            </w:tcMar>
            <w:vAlign w:val="center"/>
          </w:tcPr>
          <w:p w14:paraId="132F9829">
            <w:pPr>
              <w:bidi w:val="0"/>
              <w:rPr>
                <w:rFonts w:hint="default" w:ascii="Arial" w:hAnsi="Arial" w:cs="Arial"/>
                <w:sz w:val="24"/>
                <w:szCs w:val="24"/>
              </w:rPr>
            </w:pPr>
            <w:r>
              <w:rPr>
                <w:rFonts w:hint="default" w:ascii="Arial" w:hAnsi="Arial" w:cs="Arial"/>
                <w:sz w:val="24"/>
                <w:szCs w:val="24"/>
              </w:rPr>
              <w:t>Will customers pay, contract or change procurement criteria for lower-carbon material?</w:t>
            </w:r>
          </w:p>
        </w:tc>
      </w:tr>
      <w:tr w14:paraId="132F982E">
        <w:tblPrEx>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top w:w="0" w:type="dxa"/>
            <w:left w:w="108" w:type="dxa"/>
            <w:bottom w:w="0" w:type="dxa"/>
            <w:right w:w="108" w:type="dxa"/>
          </w:tblCellMar>
        </w:tblPrEx>
        <w:trPr>
          <w:cantSplit/>
          <w:jc w:val="center"/>
        </w:trPr>
        <w:tc>
          <w:tcPr>
            <w:tcW w:w="2232" w:type="dxa"/>
            <w:tcBorders>
              <w:top w:val="single" w:color="auto" w:sz="4" w:space="0"/>
              <w:left w:val="single" w:color="auto" w:sz="4" w:space="0"/>
              <w:bottom w:val="single" w:color="auto" w:sz="4" w:space="0"/>
              <w:right w:val="single" w:color="auto" w:sz="4" w:space="0"/>
            </w:tcBorders>
            <w:tcMar>
              <w:top w:w="90" w:type="dxa"/>
              <w:left w:w="100" w:type="dxa"/>
              <w:bottom w:w="90" w:type="dxa"/>
              <w:right w:w="100" w:type="dxa"/>
            </w:tcMar>
            <w:vAlign w:val="center"/>
          </w:tcPr>
          <w:p w14:paraId="132F982B">
            <w:pPr>
              <w:bidi w:val="0"/>
              <w:rPr>
                <w:rFonts w:hint="default" w:ascii="Arial" w:hAnsi="Arial" w:cs="Arial"/>
                <w:sz w:val="24"/>
                <w:szCs w:val="24"/>
              </w:rPr>
            </w:pPr>
            <w:r>
              <w:rPr>
                <w:rFonts w:hint="default" w:ascii="Arial" w:hAnsi="Arial" w:cs="Arial"/>
                <w:sz w:val="24"/>
                <w:szCs w:val="24"/>
              </w:rPr>
              <w:t>Use focused differentiation</w:t>
            </w:r>
          </w:p>
        </w:tc>
        <w:tc>
          <w:tcPr>
            <w:tcW w:w="4320" w:type="dxa"/>
            <w:tcBorders>
              <w:top w:val="single" w:color="auto" w:sz="4" w:space="0"/>
              <w:left w:val="single" w:color="auto" w:sz="4" w:space="0"/>
              <w:bottom w:val="single" w:color="auto" w:sz="4" w:space="0"/>
              <w:right w:val="single" w:color="auto" w:sz="4" w:space="0"/>
            </w:tcBorders>
            <w:tcMar>
              <w:top w:w="90" w:type="dxa"/>
              <w:left w:w="100" w:type="dxa"/>
              <w:bottom w:w="90" w:type="dxa"/>
              <w:right w:w="100" w:type="dxa"/>
            </w:tcMar>
            <w:vAlign w:val="center"/>
          </w:tcPr>
          <w:p w14:paraId="132F982C">
            <w:pPr>
              <w:bidi w:val="0"/>
              <w:rPr>
                <w:rFonts w:hint="default" w:ascii="Arial" w:hAnsi="Arial" w:cs="Arial"/>
                <w:sz w:val="24"/>
                <w:szCs w:val="24"/>
              </w:rPr>
            </w:pPr>
            <w:r>
              <w:rPr>
                <w:rFonts w:hint="default" w:ascii="Arial" w:hAnsi="Arial" w:cs="Arial"/>
                <w:sz w:val="24"/>
                <w:szCs w:val="24"/>
              </w:rPr>
              <w:t>Reliable quality, carbon evidence and partnerships can create value for high-involvement industrial buyers (Kotler, Keller and Chernev, 2021; Johnson et al., 2017).</w:t>
            </w:r>
          </w:p>
        </w:tc>
        <w:tc>
          <w:tcPr>
            <w:tcW w:w="2448" w:type="dxa"/>
            <w:tcBorders>
              <w:top w:val="single" w:color="auto" w:sz="4" w:space="0"/>
              <w:left w:val="single" w:color="auto" w:sz="4" w:space="0"/>
              <w:bottom w:val="single" w:color="auto" w:sz="4" w:space="0"/>
              <w:right w:val="single" w:color="auto" w:sz="4" w:space="0"/>
            </w:tcBorders>
            <w:tcMar>
              <w:top w:w="90" w:type="dxa"/>
              <w:left w:w="100" w:type="dxa"/>
              <w:bottom w:w="90" w:type="dxa"/>
              <w:right w:w="100" w:type="dxa"/>
            </w:tcMar>
            <w:vAlign w:val="center"/>
          </w:tcPr>
          <w:p w14:paraId="132F982D">
            <w:pPr>
              <w:bidi w:val="0"/>
              <w:rPr>
                <w:rFonts w:hint="default" w:ascii="Arial" w:hAnsi="Arial" w:cs="Arial"/>
                <w:sz w:val="24"/>
                <w:szCs w:val="24"/>
              </w:rPr>
            </w:pPr>
            <w:r>
              <w:rPr>
                <w:rFonts w:hint="default" w:ascii="Arial" w:hAnsi="Arial" w:cs="Arial"/>
                <w:sz w:val="24"/>
                <w:szCs w:val="24"/>
              </w:rPr>
              <w:t>Which capabilities are genuinely difficult for BHP, Vale, Fortescue and others to imitate?</w:t>
            </w:r>
          </w:p>
        </w:tc>
      </w:tr>
    </w:tbl>
    <w:p w14:paraId="132F982F">
      <w:pPr>
        <w:bidi w:val="0"/>
        <w:rPr>
          <w:rFonts w:hint="default" w:ascii="Arial" w:hAnsi="Arial" w:cs="Arial"/>
          <w:sz w:val="24"/>
          <w:szCs w:val="24"/>
        </w:rPr>
      </w:pPr>
    </w:p>
    <w:p w14:paraId="132F9830">
      <w:pPr>
        <w:pStyle w:val="3"/>
        <w:bidi w:val="0"/>
        <w:rPr>
          <w:rFonts w:hint="default" w:ascii="Arial" w:hAnsi="Arial" w:cs="Arial"/>
        </w:rPr>
      </w:pPr>
      <w:bookmarkStart w:id="23" w:name="_Toc2760"/>
      <w:bookmarkStart w:id="24" w:name="_Toc4161"/>
      <w:r>
        <w:rPr>
          <w:rFonts w:hint="default" w:ascii="Arial" w:hAnsi="Arial" w:cs="Arial"/>
        </w:rPr>
        <w:t>Appendix B Submission checks</w:t>
      </w:r>
      <w:bookmarkEnd w:id="23"/>
      <w:bookmarkEnd w:id="24"/>
    </w:p>
    <w:p w14:paraId="132F9831">
      <w:pPr>
        <w:numPr>
          <w:ilvl w:val="0"/>
          <w:numId w:val="7"/>
        </w:numPr>
        <w:tabs>
          <w:tab w:val="clear" w:pos="420"/>
        </w:tabs>
        <w:bidi w:val="0"/>
        <w:ind w:left="420" w:leftChars="0" w:hanging="420" w:firstLineChars="0"/>
        <w:rPr>
          <w:rFonts w:hint="default" w:ascii="Arial" w:hAnsi="Arial" w:cs="Arial"/>
          <w:sz w:val="24"/>
          <w:szCs w:val="24"/>
        </w:rPr>
      </w:pPr>
      <w:r>
        <w:rPr>
          <w:rFonts w:hint="default" w:ascii="Arial" w:hAnsi="Arial" w:cs="Arial"/>
          <w:sz w:val="24"/>
          <w:szCs w:val="24"/>
        </w:rPr>
        <w:t>Main report is within the 2,250–2,750 word tolerance once Word fields and references are excluded.</w:t>
      </w:r>
    </w:p>
    <w:p w14:paraId="132F9832">
      <w:pPr>
        <w:numPr>
          <w:ilvl w:val="0"/>
          <w:numId w:val="7"/>
        </w:numPr>
        <w:tabs>
          <w:tab w:val="clear" w:pos="420"/>
        </w:tabs>
        <w:bidi w:val="0"/>
        <w:ind w:left="420" w:leftChars="0" w:hanging="420" w:firstLineChars="0"/>
        <w:rPr>
          <w:rFonts w:hint="default" w:ascii="Arial" w:hAnsi="Arial" w:cs="Arial"/>
          <w:sz w:val="24"/>
          <w:szCs w:val="24"/>
        </w:rPr>
      </w:pPr>
      <w:r>
        <w:rPr>
          <w:rFonts w:hint="default" w:ascii="Arial" w:hAnsi="Arial" w:cs="Arial"/>
          <w:sz w:val="24"/>
          <w:szCs w:val="24"/>
        </w:rPr>
        <w:t>All major claims are supported by in-text citations and a matching reference-list entry.</w:t>
      </w:r>
    </w:p>
    <w:p w14:paraId="132F9833">
      <w:pPr>
        <w:numPr>
          <w:ilvl w:val="0"/>
          <w:numId w:val="7"/>
        </w:numPr>
        <w:tabs>
          <w:tab w:val="clear" w:pos="420"/>
        </w:tabs>
        <w:bidi w:val="0"/>
        <w:ind w:left="420" w:leftChars="0" w:hanging="420" w:firstLineChars="0"/>
        <w:rPr>
          <w:rFonts w:hint="default" w:ascii="Arial" w:hAnsi="Arial" w:cs="Arial"/>
          <w:sz w:val="24"/>
          <w:szCs w:val="24"/>
        </w:rPr>
      </w:pPr>
      <w:r>
        <w:rPr>
          <w:rFonts w:hint="default" w:ascii="Arial" w:hAnsi="Arial" w:cs="Arial"/>
        </w:rPr>
        <w:t>Tables and figures use consistent captions and source notes.</w:t>
      </w:r>
    </w:p>
    <w:p w14:paraId="132F9835">
      <w:pPr>
        <w:numPr>
          <w:ilvl w:val="0"/>
          <w:numId w:val="7"/>
        </w:numPr>
        <w:tabs>
          <w:tab w:val="clear" w:pos="420"/>
        </w:tabs>
        <w:bidi w:val="0"/>
        <w:ind w:left="420" w:leftChars="0" w:hanging="420" w:firstLineChars="0"/>
        <w:rPr>
          <w:rFonts w:hint="default" w:ascii="Arial" w:hAnsi="Arial" w:cs="Arial"/>
        </w:rPr>
      </w:pPr>
      <w:r>
        <w:rPr>
          <w:rFonts w:hint="default" w:ascii="Arial" w:hAnsi="Arial" w:cs="Arial"/>
          <w:sz w:val="24"/>
          <w:szCs w:val="24"/>
        </w:rPr>
        <w:t>The contents field can be updated in Microsoft Word before submission.</w:t>
      </w:r>
    </w:p>
    <w:sectPr>
      <w:headerReference r:id="rId5" w:type="default"/>
      <w:footerReference r:id="rId6" w:type="default"/>
      <w:pgSz w:w="12240" w:h="15840"/>
      <w:pgMar w:top="1080" w:right="1224" w:bottom="1008" w:left="1224"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ＭＳ 明朝">
    <w:altName w:val="SimSun"/>
    <w:panose1 w:val="00000000000000000000"/>
    <w:charset w:val="86"/>
    <w:family w:val="auto"/>
    <w:pitch w:val="default"/>
    <w:sig w:usb0="00000000" w:usb1="00000000" w:usb2="00000000" w:usb3="00000000" w:csb0="00000000" w:csb1="00000000"/>
  </w:font>
  <w:font w:name="ＭＳ 明朝">
    <w:altName w:val="SimSun"/>
    <w:panose1 w:val="00000000000000000000"/>
    <w:charset w:val="86"/>
    <w:family w:val="auto"/>
    <w:pitch w:val="default"/>
    <w:sig w:usb0="00000000" w:usb1="00000000" w:usb2="00000000" w:usb3="00000000" w:csb0="00000000" w:csb1="00000000"/>
  </w:font>
  <w:font w:name="Aptos">
    <w:altName w:val="Segoe UI"/>
    <w:panose1 w:val="00000000000000000000"/>
    <w:charset w:val="00"/>
    <w:family w:val="swiss"/>
    <w:pitch w:val="default"/>
    <w:sig w:usb0="00000000" w:usb1="00000000" w:usb2="00000000" w:usb3="00000000" w:csb0="0000019F" w:csb1="00000000"/>
  </w:font>
  <w:font w:name="Segoe UI">
    <w:panose1 w:val="020B0502040204020203"/>
    <w:charset w:val="00"/>
    <w:family w:val="auto"/>
    <w:pitch w:val="default"/>
    <w:sig w:usb0="E4002EFF" w:usb1="C000E47F" w:usb2="00000009" w:usb3="00000000" w:csb0="200001FF" w:csb1="00000000"/>
  </w:font>
  <w:font w:name="MS Gothic">
    <w:panose1 w:val="020B0609070205080204"/>
    <w:charset w:val="80"/>
    <w:family w:val="auto"/>
    <w:pitch w:val="default"/>
    <w:sig w:usb0="E00002FF" w:usb1="6AC7FDFB" w:usb2="08000012" w:usb3="00000000" w:csb0="4002009F" w:csb1="DFD70000"/>
  </w:font>
  <w:font w:name="Symbol">
    <w:panose1 w:val="05050102010706020507"/>
    <w:charset w:val="02"/>
    <w:family w:val="roman"/>
    <w:pitch w:val="default"/>
    <w:sig w:usb0="00000000" w:usb1="00000000" w:usb2="00000000" w:usb3="00000000" w:csb0="80000000" w:csb1="00000000"/>
  </w:font>
  <w:font w:name="Courier">
    <w:altName w:val="Courier New"/>
    <w:panose1 w:val="02070409020205020404"/>
    <w:charset w:val="00"/>
    <w:family w:val="auto"/>
    <w:pitch w:val="default"/>
    <w:sig w:usb0="00000000" w:usb1="00000000" w:usb2="00000000" w:usb3="00000000" w:csb0="00000001" w:csb1="00000000"/>
  </w:font>
  <w:font w:name="ＭＳ 明朝">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Tahoma">
    <w:panose1 w:val="020B0604030504040204"/>
    <w:charset w:val="00"/>
    <w:family w:val="auto"/>
    <w:pitch w:val="default"/>
    <w:sig w:usb0="E1002EFF" w:usb1="C000605B" w:usb2="00000029" w:usb3="00000000" w:csb0="200101FF" w:csb1="20280000"/>
  </w:font>
  <w:font w:name="Microsoft YaHe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2F9847">
    <w:pPr>
      <w:pStyle w:val="21"/>
      <w:jc w:val="center"/>
    </w:pPr>
    <w:r>
      <w:t xml:space="preserve">Rio Tinto  |  </w:t>
    </w:r>
    <w:r>
      <w:fldChar w:fldCharType="begin"/>
    </w:r>
    <w:r>
      <w:instrText xml:space="preserve">PAGE</w:instrText>
    </w:r>
    <w:r>
      <w:fldChar w:fldCharType="separate"/>
    </w:r>
    <w: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2F9846">
    <w:pPr>
      <w:pStyle w:val="22"/>
      <w:jc w:val="right"/>
    </w:pPr>
    <w:r>
      <w:rPr>
        <w:color w:val="595959"/>
        <w:sz w:val="16"/>
      </w:rPr>
      <w:t>MARKETING MANAGEMENT  |  LCMB7024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E"/>
    <w:multiLevelType w:val="singleLevel"/>
    <w:tmpl w:val="FFFFFF7E"/>
    <w:lvl w:ilvl="0" w:tentative="0">
      <w:start w:val="1"/>
      <w:numFmt w:val="decimal"/>
      <w:pStyle w:val="34"/>
      <w:lvlText w:val="%1."/>
      <w:lvlJc w:val="left"/>
      <w:pPr>
        <w:tabs>
          <w:tab w:val="left" w:pos="1080"/>
        </w:tabs>
        <w:ind w:left="1080" w:hanging="360"/>
      </w:pPr>
    </w:lvl>
  </w:abstractNum>
  <w:abstractNum w:abstractNumId="1">
    <w:nsid w:val="FFFFFF7F"/>
    <w:multiLevelType w:val="singleLevel"/>
    <w:tmpl w:val="FFFFFF7F"/>
    <w:lvl w:ilvl="0" w:tentative="0">
      <w:start w:val="1"/>
      <w:numFmt w:val="decimal"/>
      <w:pStyle w:val="33"/>
      <w:lvlText w:val="%1."/>
      <w:lvlJc w:val="left"/>
      <w:pPr>
        <w:tabs>
          <w:tab w:val="left" w:pos="720"/>
        </w:tabs>
        <w:ind w:left="720" w:hanging="360"/>
      </w:pPr>
    </w:lvl>
  </w:abstractNum>
  <w:abstractNum w:abstractNumId="2">
    <w:nsid w:val="FFFFFF82"/>
    <w:multiLevelType w:val="singleLevel"/>
    <w:tmpl w:val="FFFFFF82"/>
    <w:lvl w:ilvl="0" w:tentative="0">
      <w:start w:val="1"/>
      <w:numFmt w:val="bullet"/>
      <w:pStyle w:val="28"/>
      <w:lvlText w:val=""/>
      <w:lvlJc w:val="left"/>
      <w:pPr>
        <w:tabs>
          <w:tab w:val="left" w:pos="1080"/>
        </w:tabs>
        <w:ind w:left="1080" w:hanging="360"/>
      </w:pPr>
      <w:rPr>
        <w:rFonts w:hint="default" w:ascii="Symbol" w:hAnsi="Symbol"/>
      </w:rPr>
    </w:lvl>
  </w:abstractNum>
  <w:abstractNum w:abstractNumId="3">
    <w:nsid w:val="FFFFFF83"/>
    <w:multiLevelType w:val="singleLevel"/>
    <w:tmpl w:val="FFFFFF83"/>
    <w:lvl w:ilvl="0" w:tentative="0">
      <w:start w:val="1"/>
      <w:numFmt w:val="bullet"/>
      <w:pStyle w:val="27"/>
      <w:lvlText w:val=""/>
      <w:lvlJc w:val="left"/>
      <w:pPr>
        <w:tabs>
          <w:tab w:val="left" w:pos="720"/>
        </w:tabs>
        <w:ind w:left="720" w:hanging="360"/>
      </w:pPr>
      <w:rPr>
        <w:rFonts w:hint="default" w:ascii="Symbol" w:hAnsi="Symbol"/>
      </w:rPr>
    </w:lvl>
  </w:abstractNum>
  <w:abstractNum w:abstractNumId="4">
    <w:nsid w:val="FFFFFF88"/>
    <w:multiLevelType w:val="singleLevel"/>
    <w:tmpl w:val="FFFFFF88"/>
    <w:lvl w:ilvl="0" w:tentative="0">
      <w:start w:val="1"/>
      <w:numFmt w:val="decimal"/>
      <w:pStyle w:val="32"/>
      <w:lvlText w:val="%1."/>
      <w:lvlJc w:val="left"/>
      <w:pPr>
        <w:tabs>
          <w:tab w:val="left" w:pos="360"/>
        </w:tabs>
        <w:ind w:left="360" w:hanging="360"/>
      </w:pPr>
    </w:lvl>
  </w:abstractNum>
  <w:abstractNum w:abstractNumId="5">
    <w:nsid w:val="FFFFFF89"/>
    <w:multiLevelType w:val="singleLevel"/>
    <w:tmpl w:val="FFFFFF89"/>
    <w:lvl w:ilvl="0" w:tentative="0">
      <w:start w:val="1"/>
      <w:numFmt w:val="bullet"/>
      <w:pStyle w:val="26"/>
      <w:lvlText w:val=""/>
      <w:lvlJc w:val="left"/>
      <w:pPr>
        <w:tabs>
          <w:tab w:val="left" w:pos="360"/>
        </w:tabs>
        <w:ind w:left="360" w:hanging="360"/>
      </w:pPr>
      <w:rPr>
        <w:rFonts w:hint="default" w:ascii="Symbol" w:hAnsi="Symbol"/>
      </w:rPr>
    </w:lvl>
  </w:abstractNum>
  <w:abstractNum w:abstractNumId="6">
    <w:nsid w:val="4E203AB4"/>
    <w:multiLevelType w:val="singleLevel"/>
    <w:tmpl w:val="4E203AB4"/>
    <w:lvl w:ilvl="0" w:tentative="0">
      <w:start w:val="1"/>
      <w:numFmt w:val="bullet"/>
      <w:lvlText w:val=""/>
      <w:lvlJc w:val="left"/>
      <w:pPr>
        <w:tabs>
          <w:tab w:val="left" w:pos="420"/>
        </w:tabs>
        <w:ind w:left="420" w:leftChars="0" w:hanging="420" w:firstLineChars="0"/>
      </w:pPr>
      <w:rPr>
        <w:rFonts w:hint="default" w:ascii="Wingdings" w:hAnsi="Wingdings"/>
      </w:rPr>
    </w:lvl>
  </w:abstractNum>
  <w:num w:numId="1">
    <w:abstractNumId w:val="5"/>
  </w:num>
  <w:num w:numId="2">
    <w:abstractNumId w:val="3"/>
  </w:num>
  <w:num w:numId="3">
    <w:abstractNumId w:val="2"/>
  </w:num>
  <w:num w:numId="4">
    <w:abstractNumId w:val="4"/>
  </w:num>
  <w:num w:numId="5">
    <w:abstractNumId w:val="1"/>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0F5D4C"/>
    <w:rsid w:val="0015074B"/>
    <w:rsid w:val="001653C3"/>
    <w:rsid w:val="001B4C5F"/>
    <w:rsid w:val="0029639D"/>
    <w:rsid w:val="00326F90"/>
    <w:rsid w:val="00445EB5"/>
    <w:rsid w:val="0049719F"/>
    <w:rsid w:val="00571DAF"/>
    <w:rsid w:val="005B3B58"/>
    <w:rsid w:val="00606E3D"/>
    <w:rsid w:val="006405A0"/>
    <w:rsid w:val="006B363F"/>
    <w:rsid w:val="007D0178"/>
    <w:rsid w:val="00A66ED6"/>
    <w:rsid w:val="00AA1D8D"/>
    <w:rsid w:val="00B47730"/>
    <w:rsid w:val="00BD604D"/>
    <w:rsid w:val="00C22D32"/>
    <w:rsid w:val="00CB0664"/>
    <w:rsid w:val="00D53D8D"/>
    <w:rsid w:val="00DC7E69"/>
    <w:rsid w:val="00F71391"/>
    <w:rsid w:val="00FC693F"/>
    <w:rsid w:val="011C65E1"/>
    <w:rsid w:val="038B66F4"/>
    <w:rsid w:val="06635978"/>
    <w:rsid w:val="069375D7"/>
    <w:rsid w:val="080F490D"/>
    <w:rsid w:val="0A9E470D"/>
    <w:rsid w:val="0B044923"/>
    <w:rsid w:val="0BE9486A"/>
    <w:rsid w:val="0DF70E5D"/>
    <w:rsid w:val="0E2A56EA"/>
    <w:rsid w:val="0F530435"/>
    <w:rsid w:val="102D5B9A"/>
    <w:rsid w:val="113104DE"/>
    <w:rsid w:val="138C1B37"/>
    <w:rsid w:val="151228B7"/>
    <w:rsid w:val="15AD52A1"/>
    <w:rsid w:val="17D0041E"/>
    <w:rsid w:val="18CD7140"/>
    <w:rsid w:val="1DCF57A1"/>
    <w:rsid w:val="20AD223E"/>
    <w:rsid w:val="289B47AA"/>
    <w:rsid w:val="2C3D01A4"/>
    <w:rsid w:val="32205DBA"/>
    <w:rsid w:val="35731B10"/>
    <w:rsid w:val="376C2F79"/>
    <w:rsid w:val="39274475"/>
    <w:rsid w:val="3B0A3862"/>
    <w:rsid w:val="3B9D1A5A"/>
    <w:rsid w:val="3BD431AC"/>
    <w:rsid w:val="3D3B2049"/>
    <w:rsid w:val="41D1541A"/>
    <w:rsid w:val="41D66766"/>
    <w:rsid w:val="42E81101"/>
    <w:rsid w:val="457C736B"/>
    <w:rsid w:val="49444AA7"/>
    <w:rsid w:val="495B7468"/>
    <w:rsid w:val="4A547680"/>
    <w:rsid w:val="5BAE43ED"/>
    <w:rsid w:val="609C1C9C"/>
    <w:rsid w:val="64744D5D"/>
    <w:rsid w:val="683604DE"/>
    <w:rsid w:val="6A194687"/>
    <w:rsid w:val="6F532332"/>
    <w:rsid w:val="6F784BC3"/>
    <w:rsid w:val="70740385"/>
    <w:rsid w:val="70C8532D"/>
    <w:rsid w:val="71651D34"/>
    <w:rsid w:val="726A053A"/>
    <w:rsid w:val="737B0183"/>
    <w:rsid w:val="760011A7"/>
    <w:rsid w:val="767675E0"/>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14:defaultImageDpi w14:val="300"/>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qFormat="1" w:uiPriority="99" w:semiHidden="0" w:name="macro"/>
    <w:lsdException w:uiPriority="99" w:name="toa heading"/>
    <w:lsdException w:qFormat="1" w:uiPriority="99" w:semiHidden="0" w:name="List"/>
    <w:lsdException w:qFormat="1" w:uiPriority="99" w:semiHidden="0" w:name="List Bullet"/>
    <w:lsdException w:qFormat="1" w:uiPriority="99" w:semiHidden="0" w:name="List Number"/>
    <w:lsdException w:qFormat="1" w:uiPriority="99" w:semiHidden="0" w:name="List 2"/>
    <w:lsdException w:qFormat="1" w:uiPriority="99" w:semiHidden="0" w:name="List 3"/>
    <w:lsdException w:uiPriority="99" w:name="List 4"/>
    <w:lsdException w:uiPriority="99" w:name="List 5"/>
    <w:lsdException w:qFormat="1" w:uiPriority="99" w:semiHidden="0" w:name="List Bullet 2"/>
    <w:lsdException w:qFormat="1" w:uiPriority="99" w:semiHidden="0" w:name="List Bullet 3"/>
    <w:lsdException w:uiPriority="99" w:name="List Bullet 4"/>
    <w:lsdException w:uiPriority="99" w:name="List Bullet 5"/>
    <w:lsdException w:qFormat="1" w:uiPriority="99" w:semiHidden="0" w:name="List Number 2"/>
    <w:lsdException w:qFormat="1" w:uiPriority="99" w:semiHidden="0"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uiPriority="99" w:name="Body Text Indent"/>
    <w:lsdException w:qFormat="1" w:uiPriority="99" w:semiHidden="0" w:name="List Continue"/>
    <w:lsdException w:qFormat="1" w:uiPriority="99" w:semiHidden="0" w:name="List Continue 2"/>
    <w:lsdException w:qFormat="1" w:uiPriority="99" w:semiHidden="0"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iPriority="99" w:semiHidden="0" w:name="Body Text 2"/>
    <w:lsdException w:qFormat="1" w:uiPriority="99" w:semiHidden="0"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qFormat="1" w:unhideWhenUsed="0" w:uiPriority="60" w:semiHidden="0" w:name="Light Shading"/>
    <w:lsdException w:qFormat="1" w:unhideWhenUsed="0" w:uiPriority="61" w:semiHidden="0" w:name="Light List"/>
    <w:lsdException w:qFormat="1" w:unhideWhenUsed="0" w:uiPriority="62" w:semiHidden="0" w:name="Light Grid"/>
    <w:lsdException w:qFormat="1" w:unhideWhenUsed="0" w:uiPriority="63" w:semiHidden="0" w:name="Medium Shading 1"/>
    <w:lsdException w:qFormat="1" w:unhideWhenUsed="0" w:uiPriority="64" w:semiHidden="0" w:name="Medium Shading 2"/>
    <w:lsdException w:qFormat="1" w:unhideWhenUsed="0" w:uiPriority="65" w:semiHidden="0" w:name="Medium List 1"/>
    <w:lsdException w:qFormat="1" w:unhideWhenUsed="0" w:uiPriority="66" w:semiHidden="0" w:name="Medium List 2"/>
    <w:lsdException w:qFormat="1" w:unhideWhenUsed="0" w:uiPriority="67" w:semiHidden="0" w:name="Medium Grid 1"/>
    <w:lsdException w:qFormat="1" w:unhideWhenUsed="0" w:uiPriority="68" w:semiHidden="0" w:name="Medium Grid 2"/>
    <w:lsdException w:qFormat="1" w:unhideWhenUsed="0" w:uiPriority="69" w:semiHidden="0" w:name="Medium Grid 3"/>
    <w:lsdException w:qFormat="1" w:unhideWhenUsed="0" w:uiPriority="70" w:semiHidden="0" w:name="Dark List"/>
    <w:lsdException w:unhideWhenUsed="0" w:uiPriority="71" w:semiHidden="0" w:name="Colorful Shading"/>
    <w:lsdException w:qFormat="1" w:unhideWhenUsed="0" w:uiPriority="72" w:semiHidden="0" w:name="Colorful List"/>
    <w:lsdException w:qFormat="1" w:unhideWhenUsed="0" w:uiPriority="73" w:semiHidden="0" w:name="Colorful Grid"/>
    <w:lsdException w:qFormat="1" w:unhideWhenUsed="0" w:uiPriority="60" w:semiHidden="0" w:name="Light Shading Accent 1"/>
    <w:lsdException w:qFormat="1" w:unhideWhenUsed="0" w:uiPriority="61" w:semiHidden="0" w:name="Light List Accent 1"/>
    <w:lsdException w:qFormat="1" w:unhideWhenUsed="0" w:uiPriority="62" w:semiHidden="0" w:name="Light Grid Accent 1"/>
    <w:lsdException w:qFormat="1" w:unhideWhenUsed="0" w:uiPriority="63" w:semiHidden="0" w:name="Medium Shading 1 Accent 1"/>
    <w:lsdException w:qFormat="1" w:unhideWhenUsed="0" w:uiPriority="64" w:semiHidden="0" w:name="Medium Shading 2 Accent 1"/>
    <w:lsdException w:qFormat="1"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qFormat="1" w:unhideWhenUsed="0" w:uiPriority="66" w:semiHidden="0" w:name="Medium List 2 Accent 1"/>
    <w:lsdException w:qFormat="1" w:unhideWhenUsed="0" w:uiPriority="67" w:semiHidden="0" w:name="Medium Grid 1 Accent 1"/>
    <w:lsdException w:qFormat="1" w:unhideWhenUsed="0" w:uiPriority="68" w:semiHidden="0" w:name="Medium Grid 2 Accent 1"/>
    <w:lsdException w:unhideWhenUsed="0" w:uiPriority="69" w:semiHidden="0" w:name="Medium Grid 3 Accent 1"/>
    <w:lsdException w:unhideWhenUsed="0" w:uiPriority="70" w:semiHidden="0" w:name="Dark List Accent 1"/>
    <w:lsdException w:qFormat="1" w:unhideWhenUsed="0" w:uiPriority="71" w:semiHidden="0" w:name="Colorful Shading Accent 1"/>
    <w:lsdException w:qFormat="1" w:unhideWhenUsed="0" w:uiPriority="72" w:semiHidden="0" w:name="Colorful List Accent 1"/>
    <w:lsdException w:qFormat="1" w:unhideWhenUsed="0" w:uiPriority="73" w:semiHidden="0" w:name="Colorful Grid Accent 1"/>
    <w:lsdException w:qFormat="1" w:unhideWhenUsed="0" w:uiPriority="60" w:semiHidden="0" w:name="Light Shading Accent 2"/>
    <w:lsdException w:qFormat="1"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qFormat="1" w:unhideWhenUsed="0" w:uiPriority="69" w:semiHidden="0" w:name="Medium Grid 3 Accent 2"/>
    <w:lsdException w:unhideWhenUsed="0" w:uiPriority="70" w:semiHidden="0" w:name="Dark List Accent 2"/>
    <w:lsdException w:qFormat="1" w:unhideWhenUsed="0" w:uiPriority="71" w:semiHidden="0" w:name="Colorful Shading Accent 2"/>
    <w:lsdException w:qFormat="1" w:unhideWhenUsed="0" w:uiPriority="72" w:semiHidden="0" w:name="Colorful List Accent 2"/>
    <w:lsdException w:qFormat="1" w:unhideWhenUsed="0" w:uiPriority="73" w:semiHidden="0" w:name="Colorful Grid Accent 2"/>
    <w:lsdException w:qFormat="1" w:unhideWhenUsed="0" w:uiPriority="60" w:semiHidden="0" w:name="Light Shading Accent 3"/>
    <w:lsdException w:qFormat="1" w:unhideWhenUsed="0" w:uiPriority="61" w:semiHidden="0" w:name="Light List Accent 3"/>
    <w:lsdException w:qFormat="1"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qFormat="1" w:unhideWhenUsed="0" w:uiPriority="65" w:semiHidden="0" w:name="Medium List 1 Accent 3"/>
    <w:lsdException w:qFormat="1" w:unhideWhenUsed="0" w:uiPriority="66" w:semiHidden="0" w:name="Medium List 2 Accent 3"/>
    <w:lsdException w:qFormat="1" w:unhideWhenUsed="0" w:uiPriority="67" w:semiHidden="0" w:name="Medium Grid 1 Accent 3"/>
    <w:lsdException w:qFormat="1" w:unhideWhenUsed="0" w:uiPriority="68" w:semiHidden="0" w:name="Medium Grid 2 Accent 3"/>
    <w:lsdException w:unhideWhenUsed="0" w:uiPriority="69" w:semiHidden="0" w:name="Medium Grid 3 Accent 3"/>
    <w:lsdException w:qFormat="1" w:unhideWhenUsed="0" w:uiPriority="70" w:semiHidden="0" w:name="Dark List Accent 3"/>
    <w:lsdException w:qFormat="1" w:unhideWhenUsed="0" w:uiPriority="71" w:semiHidden="0" w:name="Colorful Shading Accent 3"/>
    <w:lsdException w:qFormat="1" w:unhideWhenUsed="0" w:uiPriority="72" w:semiHidden="0" w:name="Colorful List Accent 3"/>
    <w:lsdException w:qFormat="1" w:unhideWhenUsed="0" w:uiPriority="73" w:semiHidden="0" w:name="Colorful Grid Accent 3"/>
    <w:lsdException w:qFormat="1" w:unhideWhenUsed="0" w:uiPriority="60" w:semiHidden="0" w:name="Light Shading Accent 4"/>
    <w:lsdException w:qFormat="1" w:unhideWhenUsed="0" w:uiPriority="61" w:semiHidden="0" w:name="Light List Accent 4"/>
    <w:lsdException w:qFormat="1"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qFormat="1"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qFormat="1" w:unhideWhenUsed="0" w:uiPriority="69" w:semiHidden="0" w:name="Medium Grid 3 Accent 4"/>
    <w:lsdException w:qFormat="1" w:unhideWhenUsed="0" w:uiPriority="70" w:semiHidden="0" w:name="Dark List Accent 4"/>
    <w:lsdException w:qFormat="1" w:unhideWhenUsed="0" w:uiPriority="71" w:semiHidden="0" w:name="Colorful Shading Accent 4"/>
    <w:lsdException w:unhideWhenUsed="0" w:uiPriority="72" w:semiHidden="0" w:name="Colorful List Accent 4"/>
    <w:lsdException w:qFormat="1" w:unhideWhenUsed="0" w:uiPriority="73" w:semiHidden="0" w:name="Colorful Grid Accent 4"/>
    <w:lsdException w:qFormat="1" w:unhideWhenUsed="0" w:uiPriority="60" w:semiHidden="0" w:name="Light Shading Accent 5"/>
    <w:lsdException w:qFormat="1" w:unhideWhenUsed="0" w:uiPriority="61" w:semiHidden="0" w:name="Light List Accent 5"/>
    <w:lsdException w:qFormat="1"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unhideWhenUsed="0" w:uiPriority="69" w:semiHidden="0" w:name="Medium Grid 3 Accent 5"/>
    <w:lsdException w:qFormat="1" w:unhideWhenUsed="0" w:uiPriority="70" w:semiHidden="0" w:name="Dark List Accent 5"/>
    <w:lsdException w:qFormat="1" w:unhideWhenUsed="0" w:uiPriority="71" w:semiHidden="0" w:name="Colorful Shading Accent 5"/>
    <w:lsdException w:unhideWhenUsed="0" w:uiPriority="72" w:semiHidden="0" w:name="Colorful List Accent 5"/>
    <w:lsdException w:qFormat="1" w:unhideWhenUsed="0" w:uiPriority="73" w:semiHidden="0" w:name="Colorful Grid Accent 5"/>
    <w:lsdException w:qFormat="1" w:unhideWhenUsed="0" w:uiPriority="60" w:semiHidden="0" w:name="Light Shading Accent 6"/>
    <w:lsdException w:qFormat="1"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qFormat="1" w:unhideWhenUsed="0" w:uiPriority="68" w:semiHidden="0" w:name="Medium Grid 2 Accent 6"/>
    <w:lsdException w:qFormat="1" w:unhideWhenUsed="0" w:uiPriority="69" w:semiHidden="0" w:name="Medium Grid 3 Accent 6"/>
    <w:lsdException w:unhideWhenUsed="0" w:uiPriority="70" w:semiHidden="0" w:name="Dark List Accent 6"/>
    <w:lsdException w:qFormat="1" w:unhideWhenUsed="0" w:uiPriority="71" w:semiHidden="0" w:name="Colorful Shading Accent 6"/>
    <w:lsdException w:qFormat="1" w:unhideWhenUsed="0" w:uiPriority="72" w:semiHidden="0" w:name="Colorful List Accent 6"/>
    <w:lsdException w:qFormat="1" w:unhideWhenUsed="0" w:uiPriority="73" w:semiHidden="0" w:name="Colorful Grid Accent 6"/>
  </w:latentStyles>
  <w:style w:type="paragraph" w:default="1" w:styleId="1">
    <w:name w:val="Normal"/>
    <w:qFormat/>
    <w:uiPriority w:val="0"/>
    <w:pPr>
      <w:spacing w:after="120" w:line="259" w:lineRule="auto"/>
    </w:pPr>
    <w:rPr>
      <w:rFonts w:ascii="Aptos" w:hAnsi="Aptos" w:eastAsia="Aptos" w:cstheme="minorBidi"/>
      <w:sz w:val="21"/>
      <w:szCs w:val="22"/>
      <w:lang w:val="en-US" w:eastAsia="en-US" w:bidi="ar-SA"/>
    </w:rPr>
  </w:style>
  <w:style w:type="paragraph" w:styleId="2">
    <w:name w:val="heading 1"/>
    <w:basedOn w:val="1"/>
    <w:next w:val="1"/>
    <w:link w:val="143"/>
    <w:qFormat/>
    <w:uiPriority w:val="9"/>
    <w:pPr>
      <w:keepNext/>
      <w:keepLines/>
      <w:spacing w:before="480" w:after="0"/>
      <w:outlineLvl w:val="0"/>
    </w:pPr>
    <w:rPr>
      <w:rFonts w:asciiTheme="majorHAnsi" w:hAnsiTheme="majorHAnsi" w:eastAsiaTheme="majorEastAsia" w:cstheme="majorBidi"/>
      <w:b/>
      <w:bCs/>
      <w:color w:val="000000"/>
      <w:sz w:val="30"/>
      <w:szCs w:val="28"/>
    </w:rPr>
  </w:style>
  <w:style w:type="paragraph" w:styleId="3">
    <w:name w:val="heading 2"/>
    <w:basedOn w:val="1"/>
    <w:next w:val="1"/>
    <w:link w:val="144"/>
    <w:unhideWhenUsed/>
    <w:qFormat/>
    <w:uiPriority w:val="9"/>
    <w:pPr>
      <w:keepNext/>
      <w:keepLines/>
      <w:spacing w:before="200" w:after="0"/>
      <w:outlineLvl w:val="1"/>
    </w:pPr>
    <w:rPr>
      <w:rFonts w:asciiTheme="majorHAnsi" w:hAnsiTheme="majorHAnsi" w:eastAsiaTheme="majorEastAsia" w:cstheme="majorBidi"/>
      <w:b/>
      <w:bCs/>
      <w:color w:val="000000"/>
      <w:sz w:val="24"/>
      <w:szCs w:val="26"/>
    </w:rPr>
  </w:style>
  <w:style w:type="paragraph" w:styleId="4">
    <w:name w:val="heading 3"/>
    <w:basedOn w:val="1"/>
    <w:next w:val="1"/>
    <w:link w:val="145"/>
    <w:unhideWhenUsed/>
    <w:qFormat/>
    <w:uiPriority w:val="9"/>
    <w:pPr>
      <w:keepNext/>
      <w:keepLines/>
      <w:spacing w:before="200" w:after="0"/>
      <w:outlineLvl w:val="2"/>
    </w:pPr>
    <w:rPr>
      <w:rFonts w:asciiTheme="majorHAnsi" w:hAnsiTheme="majorHAnsi" w:eastAsiaTheme="majorEastAsia" w:cstheme="majorBidi"/>
      <w:b/>
      <w:bCs/>
      <w:color w:val="000000"/>
    </w:rPr>
  </w:style>
  <w:style w:type="paragraph" w:styleId="5">
    <w:name w:val="heading 4"/>
    <w:basedOn w:val="1"/>
    <w:next w:val="1"/>
    <w:link w:val="155"/>
    <w:semiHidden/>
    <w:unhideWhenUsed/>
    <w:qFormat/>
    <w:uiPriority w:val="9"/>
    <w:pPr>
      <w:keepNext/>
      <w:keepLines/>
      <w:spacing w:before="200" w:after="0"/>
      <w:outlineLvl w:val="3"/>
    </w:pPr>
    <w:rPr>
      <w:rFonts w:asciiTheme="majorHAnsi" w:hAnsiTheme="majorHAnsi" w:eastAsiaTheme="majorEastAsia" w:cstheme="majorBidi"/>
      <w:b/>
      <w:bCs/>
      <w:i/>
      <w:iCs/>
      <w:color w:val="4F81BD" w:themeColor="accent1"/>
      <w14:textFill>
        <w14:solidFill>
          <w14:schemeClr w14:val="accent1"/>
        </w14:solidFill>
      </w14:textFill>
    </w:rPr>
  </w:style>
  <w:style w:type="paragraph" w:styleId="6">
    <w:name w:val="heading 5"/>
    <w:basedOn w:val="1"/>
    <w:next w:val="1"/>
    <w:link w:val="156"/>
    <w:semiHidden/>
    <w:unhideWhenUsed/>
    <w:qFormat/>
    <w:uiPriority w:val="9"/>
    <w:pPr>
      <w:keepNext/>
      <w:keepLines/>
      <w:spacing w:before="200" w:after="0"/>
      <w:outlineLvl w:val="4"/>
    </w:pPr>
    <w:rPr>
      <w:rFonts w:asciiTheme="majorHAnsi" w:hAnsiTheme="majorHAnsi" w:eastAsiaTheme="majorEastAsia" w:cstheme="majorBidi"/>
      <w:color w:val="254061" w:themeColor="accent1" w:themeShade="80"/>
    </w:rPr>
  </w:style>
  <w:style w:type="paragraph" w:styleId="7">
    <w:name w:val="heading 6"/>
    <w:basedOn w:val="1"/>
    <w:next w:val="1"/>
    <w:link w:val="157"/>
    <w:semiHidden/>
    <w:unhideWhenUsed/>
    <w:qFormat/>
    <w:uiPriority w:val="9"/>
    <w:pPr>
      <w:keepNext/>
      <w:keepLines/>
      <w:spacing w:before="200" w:after="0"/>
      <w:outlineLvl w:val="5"/>
    </w:pPr>
    <w:rPr>
      <w:rFonts w:asciiTheme="majorHAnsi" w:hAnsiTheme="majorHAnsi" w:eastAsiaTheme="majorEastAsia" w:cstheme="majorBidi"/>
      <w:i/>
      <w:iCs/>
      <w:color w:val="254061" w:themeColor="accent1" w:themeShade="80"/>
    </w:rPr>
  </w:style>
  <w:style w:type="paragraph" w:styleId="8">
    <w:name w:val="heading 7"/>
    <w:basedOn w:val="1"/>
    <w:next w:val="1"/>
    <w:link w:val="158"/>
    <w:semiHidden/>
    <w:unhideWhenUsed/>
    <w:qFormat/>
    <w:uiPriority w:val="9"/>
    <w:pPr>
      <w:keepNext/>
      <w:keepLines/>
      <w:spacing w:before="200" w:after="0"/>
      <w:outlineLvl w:val="6"/>
    </w:pPr>
    <w:rPr>
      <w:rFonts w:asciiTheme="majorHAnsi" w:hAnsiTheme="majorHAnsi" w:eastAsiaTheme="majorEastAsia" w:cstheme="majorBidi"/>
      <w:i/>
      <w:iCs/>
      <w:color w:val="404040" w:themeColor="text1" w:themeTint="BF"/>
      <w14:textFill>
        <w14:solidFill>
          <w14:schemeClr w14:val="tx1">
            <w14:lumMod w14:val="75000"/>
            <w14:lumOff w14:val="25000"/>
          </w14:schemeClr>
        </w14:solidFill>
      </w14:textFill>
    </w:rPr>
  </w:style>
  <w:style w:type="paragraph" w:styleId="9">
    <w:name w:val="heading 8"/>
    <w:basedOn w:val="1"/>
    <w:next w:val="1"/>
    <w:link w:val="159"/>
    <w:semiHidden/>
    <w:unhideWhenUsed/>
    <w:qFormat/>
    <w:uiPriority w:val="9"/>
    <w:pPr>
      <w:keepNext/>
      <w:keepLines/>
      <w:spacing w:before="200" w:after="0"/>
      <w:outlineLvl w:val="7"/>
    </w:pPr>
    <w:rPr>
      <w:rFonts w:asciiTheme="majorHAnsi" w:hAnsiTheme="majorHAnsi" w:eastAsiaTheme="majorEastAsia" w:cstheme="majorBidi"/>
      <w:color w:val="4F81BD" w:themeColor="accent1"/>
      <w:sz w:val="20"/>
      <w:szCs w:val="20"/>
      <w14:textFill>
        <w14:solidFill>
          <w14:schemeClr w14:val="accent1"/>
        </w14:solidFill>
      </w14:textFill>
    </w:rPr>
  </w:style>
  <w:style w:type="paragraph" w:styleId="10">
    <w:name w:val="heading 9"/>
    <w:basedOn w:val="1"/>
    <w:next w:val="1"/>
    <w:link w:val="160"/>
    <w:semiHidden/>
    <w:unhideWhenUsed/>
    <w:qFormat/>
    <w:uiPriority w:val="9"/>
    <w:pPr>
      <w:keepNext/>
      <w:keepLines/>
      <w:spacing w:before="200" w:after="0"/>
      <w:outlineLvl w:val="8"/>
    </w:pPr>
    <w:rPr>
      <w:rFonts w:asciiTheme="majorHAnsi" w:hAnsiTheme="majorHAnsi" w:eastAsiaTheme="majorEastAsia" w:cstheme="majorBidi"/>
      <w:i/>
      <w:iCs/>
      <w:color w:val="404040" w:themeColor="text1" w:themeTint="BF"/>
      <w:sz w:val="20"/>
      <w:szCs w:val="20"/>
      <w14:textFill>
        <w14:solidFill>
          <w14:schemeClr w14:val="tx1">
            <w14:lumMod w14:val="75000"/>
            <w14:lumOff w14:val="25000"/>
          </w14:schemeClr>
        </w14:solidFill>
      </w14:textFill>
    </w:rPr>
  </w:style>
  <w:style w:type="character" w:default="1" w:styleId="11">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13">
    <w:name w:val="Body Text"/>
    <w:basedOn w:val="1"/>
    <w:link w:val="149"/>
    <w:unhideWhenUsed/>
    <w:qFormat/>
    <w:uiPriority w:val="99"/>
  </w:style>
  <w:style w:type="paragraph" w:styleId="14">
    <w:name w:val="Body Text 2"/>
    <w:basedOn w:val="1"/>
    <w:link w:val="150"/>
    <w:unhideWhenUsed/>
    <w:qFormat/>
    <w:uiPriority w:val="99"/>
    <w:pPr>
      <w:spacing w:line="480" w:lineRule="auto"/>
    </w:pPr>
  </w:style>
  <w:style w:type="paragraph" w:styleId="15">
    <w:name w:val="Body Text 3"/>
    <w:basedOn w:val="1"/>
    <w:link w:val="151"/>
    <w:unhideWhenUsed/>
    <w:qFormat/>
    <w:uiPriority w:val="99"/>
    <w:rPr>
      <w:sz w:val="16"/>
      <w:szCs w:val="16"/>
    </w:rPr>
  </w:style>
  <w:style w:type="paragraph" w:styleId="16">
    <w:name w:val="caption"/>
    <w:basedOn w:val="1"/>
    <w:next w:val="1"/>
    <w:semiHidden/>
    <w:unhideWhenUsed/>
    <w:qFormat/>
    <w:uiPriority w:val="35"/>
    <w:pPr>
      <w:spacing w:line="240" w:lineRule="auto"/>
    </w:pPr>
    <w:rPr>
      <w:b/>
      <w:bCs/>
      <w:color w:val="595959"/>
      <w:sz w:val="18"/>
      <w:szCs w:val="18"/>
    </w:rPr>
  </w:style>
  <w:style w:type="character" w:styleId="17">
    <w:name w:val="annotation reference"/>
    <w:basedOn w:val="11"/>
    <w:semiHidden/>
    <w:unhideWhenUsed/>
    <w:qFormat/>
    <w:uiPriority w:val="99"/>
    <w:rPr>
      <w:sz w:val="16"/>
      <w:szCs w:val="16"/>
    </w:rPr>
  </w:style>
  <w:style w:type="paragraph" w:styleId="18">
    <w:name w:val="annotation text"/>
    <w:basedOn w:val="1"/>
    <w:link w:val="169"/>
    <w:unhideWhenUsed/>
    <w:qFormat/>
    <w:uiPriority w:val="99"/>
    <w:pPr>
      <w:spacing w:line="240" w:lineRule="auto"/>
    </w:pPr>
    <w:rPr>
      <w:sz w:val="20"/>
      <w:szCs w:val="20"/>
    </w:rPr>
  </w:style>
  <w:style w:type="paragraph" w:styleId="19">
    <w:name w:val="annotation subject"/>
    <w:basedOn w:val="18"/>
    <w:next w:val="18"/>
    <w:link w:val="170"/>
    <w:semiHidden/>
    <w:unhideWhenUsed/>
    <w:qFormat/>
    <w:uiPriority w:val="99"/>
    <w:rPr>
      <w:b/>
      <w:bCs/>
    </w:rPr>
  </w:style>
  <w:style w:type="character" w:styleId="20">
    <w:name w:val="Emphasis"/>
    <w:basedOn w:val="11"/>
    <w:qFormat/>
    <w:uiPriority w:val="20"/>
    <w:rPr>
      <w:i/>
      <w:iCs/>
    </w:rPr>
  </w:style>
  <w:style w:type="paragraph" w:styleId="21">
    <w:name w:val="footer"/>
    <w:basedOn w:val="1"/>
    <w:link w:val="141"/>
    <w:unhideWhenUsed/>
    <w:qFormat/>
    <w:uiPriority w:val="99"/>
    <w:pPr>
      <w:tabs>
        <w:tab w:val="center" w:pos="4680"/>
        <w:tab w:val="right" w:pos="9360"/>
      </w:tabs>
      <w:spacing w:after="0" w:line="240" w:lineRule="auto"/>
    </w:pPr>
  </w:style>
  <w:style w:type="paragraph" w:styleId="22">
    <w:name w:val="header"/>
    <w:basedOn w:val="1"/>
    <w:link w:val="140"/>
    <w:unhideWhenUsed/>
    <w:qFormat/>
    <w:uiPriority w:val="99"/>
    <w:pPr>
      <w:tabs>
        <w:tab w:val="center" w:pos="4680"/>
        <w:tab w:val="right" w:pos="9360"/>
      </w:tabs>
      <w:spacing w:after="0" w:line="240" w:lineRule="auto"/>
    </w:pPr>
  </w:style>
  <w:style w:type="paragraph" w:styleId="23">
    <w:name w:val="List"/>
    <w:basedOn w:val="1"/>
    <w:unhideWhenUsed/>
    <w:qFormat/>
    <w:uiPriority w:val="99"/>
    <w:pPr>
      <w:ind w:left="360" w:hanging="360"/>
      <w:contextualSpacing/>
    </w:pPr>
  </w:style>
  <w:style w:type="paragraph" w:styleId="24">
    <w:name w:val="List 2"/>
    <w:basedOn w:val="1"/>
    <w:unhideWhenUsed/>
    <w:qFormat/>
    <w:uiPriority w:val="99"/>
    <w:pPr>
      <w:ind w:left="720" w:hanging="360"/>
      <w:contextualSpacing/>
    </w:pPr>
  </w:style>
  <w:style w:type="paragraph" w:styleId="25">
    <w:name w:val="List 3"/>
    <w:basedOn w:val="1"/>
    <w:unhideWhenUsed/>
    <w:qFormat/>
    <w:uiPriority w:val="99"/>
    <w:pPr>
      <w:ind w:left="1080" w:hanging="360"/>
      <w:contextualSpacing/>
    </w:pPr>
  </w:style>
  <w:style w:type="paragraph" w:styleId="26">
    <w:name w:val="List Bullet"/>
    <w:basedOn w:val="1"/>
    <w:unhideWhenUsed/>
    <w:qFormat/>
    <w:uiPriority w:val="99"/>
    <w:pPr>
      <w:numPr>
        <w:ilvl w:val="0"/>
        <w:numId w:val="1"/>
      </w:numPr>
      <w:contextualSpacing/>
    </w:pPr>
  </w:style>
  <w:style w:type="paragraph" w:styleId="27">
    <w:name w:val="List Bullet 2"/>
    <w:basedOn w:val="1"/>
    <w:unhideWhenUsed/>
    <w:qFormat/>
    <w:uiPriority w:val="99"/>
    <w:pPr>
      <w:numPr>
        <w:ilvl w:val="0"/>
        <w:numId w:val="2"/>
      </w:numPr>
      <w:contextualSpacing/>
    </w:pPr>
  </w:style>
  <w:style w:type="paragraph" w:styleId="28">
    <w:name w:val="List Bullet 3"/>
    <w:basedOn w:val="1"/>
    <w:unhideWhenUsed/>
    <w:qFormat/>
    <w:uiPriority w:val="99"/>
    <w:pPr>
      <w:numPr>
        <w:ilvl w:val="0"/>
        <w:numId w:val="3"/>
      </w:numPr>
      <w:contextualSpacing/>
    </w:pPr>
  </w:style>
  <w:style w:type="paragraph" w:styleId="29">
    <w:name w:val="List Continue"/>
    <w:basedOn w:val="1"/>
    <w:unhideWhenUsed/>
    <w:qFormat/>
    <w:uiPriority w:val="99"/>
    <w:pPr>
      <w:ind w:left="360"/>
      <w:contextualSpacing/>
    </w:pPr>
  </w:style>
  <w:style w:type="paragraph" w:styleId="30">
    <w:name w:val="List Continue 2"/>
    <w:basedOn w:val="1"/>
    <w:unhideWhenUsed/>
    <w:qFormat/>
    <w:uiPriority w:val="99"/>
    <w:pPr>
      <w:ind w:left="720"/>
      <w:contextualSpacing/>
    </w:pPr>
  </w:style>
  <w:style w:type="paragraph" w:styleId="31">
    <w:name w:val="List Continue 3"/>
    <w:basedOn w:val="1"/>
    <w:unhideWhenUsed/>
    <w:qFormat/>
    <w:uiPriority w:val="99"/>
    <w:pPr>
      <w:ind w:left="1080"/>
      <w:contextualSpacing/>
    </w:pPr>
  </w:style>
  <w:style w:type="paragraph" w:styleId="32">
    <w:name w:val="List Number"/>
    <w:basedOn w:val="1"/>
    <w:unhideWhenUsed/>
    <w:qFormat/>
    <w:uiPriority w:val="99"/>
    <w:pPr>
      <w:numPr>
        <w:ilvl w:val="0"/>
        <w:numId w:val="4"/>
      </w:numPr>
      <w:contextualSpacing/>
    </w:pPr>
  </w:style>
  <w:style w:type="paragraph" w:styleId="33">
    <w:name w:val="List Number 2"/>
    <w:basedOn w:val="1"/>
    <w:unhideWhenUsed/>
    <w:qFormat/>
    <w:uiPriority w:val="99"/>
    <w:pPr>
      <w:numPr>
        <w:ilvl w:val="0"/>
        <w:numId w:val="5"/>
      </w:numPr>
      <w:contextualSpacing/>
    </w:pPr>
  </w:style>
  <w:style w:type="paragraph" w:styleId="34">
    <w:name w:val="List Number 3"/>
    <w:basedOn w:val="1"/>
    <w:unhideWhenUsed/>
    <w:qFormat/>
    <w:uiPriority w:val="99"/>
    <w:pPr>
      <w:numPr>
        <w:ilvl w:val="0"/>
        <w:numId w:val="6"/>
      </w:numPr>
      <w:contextualSpacing/>
    </w:pPr>
  </w:style>
  <w:style w:type="paragraph" w:styleId="35">
    <w:name w:val="macro"/>
    <w:link w:val="152"/>
    <w:unhideWhenUsed/>
    <w:qFormat/>
    <w:uiPriority w:val="99"/>
    <w:pPr>
      <w:tabs>
        <w:tab w:val="left" w:pos="576"/>
        <w:tab w:val="left" w:pos="1152"/>
        <w:tab w:val="left" w:pos="1728"/>
        <w:tab w:val="left" w:pos="2304"/>
        <w:tab w:val="left" w:pos="2880"/>
        <w:tab w:val="left" w:pos="3456"/>
        <w:tab w:val="left" w:pos="4032"/>
      </w:tabs>
      <w:spacing w:after="200" w:line="276" w:lineRule="auto"/>
    </w:pPr>
    <w:rPr>
      <w:rFonts w:ascii="Courier" w:hAnsi="Courier" w:eastAsiaTheme="minorEastAsia" w:cstheme="minorBidi"/>
      <w:lang w:val="en-US" w:eastAsia="en-US" w:bidi="ar-SA"/>
    </w:rPr>
  </w:style>
  <w:style w:type="character" w:styleId="36">
    <w:name w:val="Strong"/>
    <w:basedOn w:val="11"/>
    <w:qFormat/>
    <w:uiPriority w:val="22"/>
    <w:rPr>
      <w:b/>
      <w:bCs/>
    </w:rPr>
  </w:style>
  <w:style w:type="paragraph" w:styleId="37">
    <w:name w:val="Subtitle"/>
    <w:basedOn w:val="1"/>
    <w:next w:val="1"/>
    <w:link w:val="147"/>
    <w:qFormat/>
    <w:uiPriority w:val="11"/>
    <w:rPr>
      <w:rFonts w:asciiTheme="majorHAnsi" w:hAnsiTheme="majorHAnsi" w:eastAsiaTheme="majorEastAsia" w:cstheme="majorBidi"/>
      <w:i/>
      <w:iCs/>
      <w:color w:val="4F81BD" w:themeColor="accent1"/>
      <w:spacing w:val="15"/>
      <w:sz w:val="24"/>
      <w:szCs w:val="24"/>
      <w14:textFill>
        <w14:solidFill>
          <w14:schemeClr w14:val="accent1"/>
        </w14:solidFill>
      </w14:textFill>
    </w:rPr>
  </w:style>
  <w:style w:type="table" w:styleId="38">
    <w:name w:val="Table Grid"/>
    <w:basedOn w:val="1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39">
    <w:name w:val="Title"/>
    <w:basedOn w:val="1"/>
    <w:next w:val="1"/>
    <w:link w:val="146"/>
    <w:qFormat/>
    <w:uiPriority w:val="10"/>
    <w:pPr>
      <w:pBdr>
        <w:bottom w:val="single" w:color="4F81BD" w:themeColor="accent1" w:sz="8" w:space="4"/>
      </w:pBdr>
      <w:spacing w:line="240" w:lineRule="auto"/>
      <w:contextualSpacing/>
    </w:pPr>
    <w:rPr>
      <w:rFonts w:asciiTheme="majorHAnsi" w:hAnsiTheme="majorHAnsi" w:eastAsiaTheme="majorEastAsia" w:cstheme="majorBidi"/>
      <w:b/>
      <w:color w:val="000000"/>
      <w:spacing w:val="5"/>
      <w:kern w:val="28"/>
      <w:sz w:val="48"/>
      <w:szCs w:val="52"/>
    </w:rPr>
  </w:style>
  <w:style w:type="paragraph" w:styleId="40">
    <w:name w:val="toc 1"/>
    <w:basedOn w:val="1"/>
    <w:next w:val="1"/>
    <w:semiHidden/>
    <w:unhideWhenUsed/>
    <w:uiPriority w:val="39"/>
  </w:style>
  <w:style w:type="paragraph" w:styleId="41">
    <w:name w:val="toc 2"/>
    <w:basedOn w:val="1"/>
    <w:next w:val="1"/>
    <w:semiHidden/>
    <w:unhideWhenUsed/>
    <w:uiPriority w:val="39"/>
    <w:pPr>
      <w:ind w:left="420" w:leftChars="200"/>
    </w:pPr>
  </w:style>
  <w:style w:type="table" w:styleId="42">
    <w:name w:val="Light Shading"/>
    <w:basedOn w:val="12"/>
    <w:qFormat/>
    <w:uiPriority w:val="60"/>
    <w:rPr>
      <w:color w:val="000000" w:themeColor="text1" w:themeShade="BF"/>
    </w:rPr>
    <w:tblPr>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FBFBF" w:themeFill="text1" w:themeFillTint="3F"/>
      </w:tcPr>
    </w:tblStylePr>
    <w:tblStylePr w:type="band1Horz">
      <w:tblPr/>
      <w:tcPr>
        <w:tcBorders>
          <w:left w:val="nil"/>
          <w:right w:val="nil"/>
          <w:insideH w:val="nil"/>
          <w:insideV w:val="nil"/>
        </w:tcBorders>
        <w:shd w:val="clear" w:color="auto" w:fill="BFBFBF" w:themeFill="text1" w:themeFillTint="3F"/>
      </w:tcPr>
    </w:tblStylePr>
  </w:style>
  <w:style w:type="table" w:styleId="43">
    <w:name w:val="Light Shading Accent 1"/>
    <w:basedOn w:val="12"/>
    <w:qFormat/>
    <w:uiPriority w:val="60"/>
    <w:rPr>
      <w:color w:val="376092" w:themeColor="accent1" w:themeShade="BF"/>
    </w:rPr>
    <w:tblPr>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44">
    <w:name w:val="Light Shading Accent 2"/>
    <w:basedOn w:val="12"/>
    <w:qFormat/>
    <w:uiPriority w:val="60"/>
    <w:rPr>
      <w:color w:val="953735" w:themeColor="accent2" w:themeShade="BF"/>
    </w:rPr>
    <w:tblPr>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3" w:themeFill="accent2" w:themeFillTint="3F"/>
      </w:tcPr>
    </w:tblStylePr>
    <w:tblStylePr w:type="band1Horz">
      <w:tblPr/>
      <w:tcPr>
        <w:tcBorders>
          <w:left w:val="nil"/>
          <w:right w:val="nil"/>
          <w:insideH w:val="nil"/>
          <w:insideV w:val="nil"/>
        </w:tcBorders>
        <w:shd w:val="clear" w:color="auto" w:fill="EFD3D3" w:themeFill="accent2" w:themeFillTint="3F"/>
      </w:tcPr>
    </w:tblStylePr>
  </w:style>
  <w:style w:type="table" w:styleId="45">
    <w:name w:val="Light Shading Accent 3"/>
    <w:basedOn w:val="12"/>
    <w:qFormat/>
    <w:uiPriority w:val="60"/>
    <w:rPr>
      <w:color w:val="77933C" w:themeColor="accent3" w:themeShade="BF"/>
    </w:rPr>
    <w:tblPr>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6">
    <w:name w:val="Light Shading Accent 4"/>
    <w:basedOn w:val="12"/>
    <w:qFormat/>
    <w:uiPriority w:val="60"/>
    <w:rPr>
      <w:color w:val="604A7B" w:themeColor="accent4" w:themeShade="BF"/>
    </w:rPr>
    <w:tblPr>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47">
    <w:name w:val="Light Shading Accent 5"/>
    <w:basedOn w:val="12"/>
    <w:qFormat/>
    <w:uiPriority w:val="60"/>
    <w:rPr>
      <w:color w:val="31859C" w:themeColor="accent5" w:themeShade="BF"/>
    </w:rPr>
    <w:tblPr>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0" w:themeFill="accent5" w:themeFillTint="3F"/>
      </w:tcPr>
    </w:tblStylePr>
    <w:tblStylePr w:type="band1Horz">
      <w:tblPr/>
      <w:tcPr>
        <w:tcBorders>
          <w:left w:val="nil"/>
          <w:right w:val="nil"/>
          <w:insideH w:val="nil"/>
          <w:insideV w:val="nil"/>
        </w:tcBorders>
        <w:shd w:val="clear" w:color="auto" w:fill="D2EAF0" w:themeFill="accent5" w:themeFillTint="3F"/>
      </w:tcPr>
    </w:tblStylePr>
  </w:style>
  <w:style w:type="table" w:styleId="48">
    <w:name w:val="Light Shading Accent 6"/>
    <w:basedOn w:val="12"/>
    <w:qFormat/>
    <w:uiPriority w:val="60"/>
    <w:rPr>
      <w:color w:val="E46C0A" w:themeColor="accent6" w:themeShade="BF"/>
    </w:rPr>
    <w:tblPr>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5D1" w:themeFill="accent6" w:themeFillTint="3F"/>
      </w:tcPr>
    </w:tblStylePr>
    <w:tblStylePr w:type="band1Horz">
      <w:tblPr/>
      <w:tcPr>
        <w:tcBorders>
          <w:left w:val="nil"/>
          <w:right w:val="nil"/>
          <w:insideH w:val="nil"/>
          <w:insideV w:val="nil"/>
        </w:tcBorders>
        <w:shd w:val="clear" w:color="auto" w:fill="FDE5D1" w:themeFill="accent6" w:themeFillTint="3F"/>
      </w:tcPr>
    </w:tblStylePr>
  </w:style>
  <w:style w:type="table" w:styleId="49">
    <w:name w:val="Light List"/>
    <w:basedOn w:val="12"/>
    <w:qFormat/>
    <w:uiPriority w:val="61"/>
    <w:tblPr>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14:textFill>
          <w14:solidFill>
            <w14:schemeClr w14:val="bg1"/>
          </w14:solidFill>
        </w14:textFill>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50">
    <w:name w:val="Light List Accent 1"/>
    <w:basedOn w:val="12"/>
    <w:qFormat/>
    <w:uiPriority w:val="61"/>
    <w:tblPr>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14:textFill>
          <w14:solidFill>
            <w14:schemeClr w14:val="bg1"/>
          </w14:solidFill>
        </w14:textFill>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51">
    <w:name w:val="Light List Accent 2"/>
    <w:basedOn w:val="12"/>
    <w:qFormat/>
    <w:uiPriority w:val="61"/>
    <w:tblPr>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14:textFill>
          <w14:solidFill>
            <w14:schemeClr w14:val="bg1"/>
          </w14:solidFill>
        </w14:textFill>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52">
    <w:name w:val="Light List Accent 3"/>
    <w:basedOn w:val="12"/>
    <w:qFormat/>
    <w:uiPriority w:val="61"/>
    <w:tblPr>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14:textFill>
          <w14:solidFill>
            <w14:schemeClr w14:val="bg1"/>
          </w14:solidFill>
        </w14:textFill>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53">
    <w:name w:val="Light List Accent 4"/>
    <w:basedOn w:val="12"/>
    <w:qFormat/>
    <w:uiPriority w:val="61"/>
    <w:tblPr>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14:textFill>
          <w14:solidFill>
            <w14:schemeClr w14:val="bg1"/>
          </w14:solidFill>
        </w14:textFill>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54">
    <w:name w:val="Light List Accent 5"/>
    <w:basedOn w:val="12"/>
    <w:qFormat/>
    <w:uiPriority w:val="61"/>
    <w:tblPr>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14:textFill>
          <w14:solidFill>
            <w14:schemeClr w14:val="bg1"/>
          </w14:solidFill>
        </w14:textFill>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55">
    <w:name w:val="Light List Accent 6"/>
    <w:basedOn w:val="12"/>
    <w:qFormat/>
    <w:uiPriority w:val="61"/>
    <w:tblPr>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14:textFill>
          <w14:solidFill>
            <w14:schemeClr w14:val="bg1"/>
          </w14:solidFill>
        </w14:textFill>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56">
    <w:name w:val="Light Grid"/>
    <w:basedOn w:val="12"/>
    <w:qFormat/>
    <w:uiPriority w:val="62"/>
    <w:tblPr>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BFBFBF"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sz="8" w:space="0"/>
        </w:tcBorders>
        <w:shd w:val="clear" w:color="auto" w:fill="BFBFBF"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sz="8" w:space="0"/>
        </w:tcBorders>
      </w:tcPr>
    </w:tblStylePr>
  </w:style>
  <w:style w:type="table" w:styleId="57">
    <w:name w:val="Light Grid Accent 1"/>
    <w:basedOn w:val="12"/>
    <w:qFormat/>
    <w:uiPriority w:val="62"/>
    <w:tblP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tcPr>
    </w:tblStylePr>
  </w:style>
  <w:style w:type="table" w:styleId="58">
    <w:name w:val="Light Grid Accent 2"/>
    <w:basedOn w:val="12"/>
    <w:qFormat/>
    <w:uiPriority w:val="62"/>
    <w:tblPr>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3"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sz="8" w:space="0"/>
        </w:tcBorders>
        <w:shd w:val="clear" w:color="auto" w:fill="EFD3D3"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sz="8" w:space="0"/>
        </w:tcBorders>
      </w:tcPr>
    </w:tblStylePr>
  </w:style>
  <w:style w:type="table" w:styleId="59">
    <w:name w:val="Light Grid Accent 3"/>
    <w:basedOn w:val="12"/>
    <w:qFormat/>
    <w:uiPriority w:val="62"/>
    <w:tblPr>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sz="8" w:space="0"/>
        </w:tcBorders>
      </w:tcPr>
    </w:tblStylePr>
  </w:style>
  <w:style w:type="table" w:styleId="60">
    <w:name w:val="Light Grid Accent 4"/>
    <w:basedOn w:val="12"/>
    <w:qFormat/>
    <w:uiPriority w:val="62"/>
    <w:tblPr>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sz="8" w:space="0"/>
        </w:tcBorders>
      </w:tcPr>
    </w:tblStylePr>
  </w:style>
  <w:style w:type="table" w:styleId="61">
    <w:name w:val="Light Grid Accent 5"/>
    <w:basedOn w:val="12"/>
    <w:qFormat/>
    <w:uiPriority w:val="62"/>
    <w:tblPr>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0"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sz="8" w:space="0"/>
        </w:tcBorders>
        <w:shd w:val="clear" w:color="auto" w:fill="D2EAF0"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sz="8" w:space="0"/>
        </w:tcBorders>
      </w:tcPr>
    </w:tblStylePr>
  </w:style>
  <w:style w:type="table" w:styleId="62">
    <w:name w:val="Light Grid Accent 6"/>
    <w:basedOn w:val="12"/>
    <w:qFormat/>
    <w:uiPriority w:val="62"/>
    <w:tblPr>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5D1"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sz="8" w:space="0"/>
        </w:tcBorders>
        <w:shd w:val="clear" w:color="auto" w:fill="FDE5D1"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sz="8" w:space="0"/>
        </w:tcBorders>
      </w:tcPr>
    </w:tblStylePr>
  </w:style>
  <w:style w:type="table" w:styleId="63">
    <w:name w:val="Medium Shading 1"/>
    <w:basedOn w:val="12"/>
    <w:qFormat/>
    <w:uiPriority w:val="63"/>
    <w:tblPr>
      <w:tbl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single" w:color="3F3F3F" w:themeColor="text1" w:themeTint="BF" w:sz="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3F3F3F" w:themeColor="text1" w:themeTint="BF" w:sz="6" w:space="0"/>
          <w:left w:val="single" w:color="3F3F3F" w:themeColor="text1" w:themeTint="BF" w:sz="8" w:space="0"/>
          <w:bottom w:val="single" w:color="3F3F3F" w:themeColor="text1" w:themeTint="BF" w:sz="8" w:space="0"/>
          <w:right w:val="single" w:color="3F3F3F"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BFBFBF" w:themeFill="text1" w:themeFillTint="3F"/>
      </w:tcPr>
    </w:tblStylePr>
    <w:tblStylePr w:type="band1Horz">
      <w:tblPr/>
      <w:tcPr>
        <w:tcBorders>
          <w:insideH w:val="nil"/>
          <w:insideV w:val="nil"/>
        </w:tcBorders>
        <w:shd w:val="clear" w:color="auto" w:fill="BFBFBF" w:themeFill="text1" w:themeFillTint="3F"/>
      </w:tcPr>
    </w:tblStylePr>
    <w:tblStylePr w:type="band2Horz">
      <w:tblPr/>
      <w:tcPr>
        <w:tcBorders>
          <w:insideH w:val="nil"/>
          <w:insideV w:val="nil"/>
        </w:tcBorders>
      </w:tcPr>
    </w:tblStylePr>
  </w:style>
  <w:style w:type="table" w:styleId="64">
    <w:name w:val="Medium Shading 1 Accent 1"/>
    <w:basedOn w:val="12"/>
    <w:qFormat/>
    <w:uiPriority w:val="63"/>
    <w:tblPr>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65">
    <w:name w:val="Medium Shading 1 Accent 2"/>
    <w:basedOn w:val="12"/>
    <w:qFormat/>
    <w:uiPriority w:val="63"/>
    <w:tblPr>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3" w:themeFill="accent2" w:themeFillTint="3F"/>
      </w:tcPr>
    </w:tblStylePr>
    <w:tblStylePr w:type="band1Horz">
      <w:tblPr/>
      <w:tcPr>
        <w:tcBorders>
          <w:insideH w:val="nil"/>
          <w:insideV w:val="nil"/>
        </w:tcBorders>
        <w:shd w:val="clear" w:color="auto" w:fill="EFD3D3" w:themeFill="accent2" w:themeFillTint="3F"/>
      </w:tcPr>
    </w:tblStylePr>
    <w:tblStylePr w:type="band2Horz">
      <w:tblPr/>
      <w:tcPr>
        <w:tcBorders>
          <w:insideH w:val="nil"/>
          <w:insideV w:val="nil"/>
        </w:tcBorders>
      </w:tcPr>
    </w:tblStylePr>
  </w:style>
  <w:style w:type="table" w:styleId="66">
    <w:name w:val="Medium Shading 1 Accent 3"/>
    <w:basedOn w:val="12"/>
    <w:qFormat/>
    <w:uiPriority w:val="63"/>
    <w:tblPr>
      <w:tbl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single" w:color="B4CC82" w:themeColor="accent3" w:themeTint="BF" w:sz="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4CC82" w:themeColor="accent3" w:themeTint="BF" w:sz="6" w:space="0"/>
          <w:left w:val="single" w:color="B4CC82" w:themeColor="accent3" w:themeTint="BF" w:sz="8" w:space="0"/>
          <w:bottom w:val="single" w:color="B4CC82" w:themeColor="accent3" w:themeTint="BF" w:sz="8" w:space="0"/>
          <w:right w:val="single" w:color="B4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67">
    <w:name w:val="Medium Shading 1 Accent 4"/>
    <w:basedOn w:val="12"/>
    <w:qFormat/>
    <w:uiPriority w:val="63"/>
    <w:tblPr>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68">
    <w:name w:val="Medium Shading 1 Accent 5"/>
    <w:basedOn w:val="12"/>
    <w:qFormat/>
    <w:uiPriority w:val="63"/>
    <w:tblPr>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0" w:themeFill="accent5" w:themeFillTint="3F"/>
      </w:tcPr>
    </w:tblStylePr>
    <w:tblStylePr w:type="band1Horz">
      <w:tblPr/>
      <w:tcPr>
        <w:tcBorders>
          <w:insideH w:val="nil"/>
          <w:insideV w:val="nil"/>
        </w:tcBorders>
        <w:shd w:val="clear" w:color="auto" w:fill="D2EAF0" w:themeFill="accent5" w:themeFillTint="3F"/>
      </w:tcPr>
    </w:tblStylePr>
    <w:tblStylePr w:type="band2Horz">
      <w:tblPr/>
      <w:tcPr>
        <w:tcBorders>
          <w:insideH w:val="nil"/>
          <w:insideV w:val="nil"/>
        </w:tcBorders>
      </w:tcPr>
    </w:tblStylePr>
  </w:style>
  <w:style w:type="table" w:styleId="69">
    <w:name w:val="Medium Shading 1 Accent 6"/>
    <w:basedOn w:val="12"/>
    <w:qFormat/>
    <w:uiPriority w:val="63"/>
    <w:tblPr>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5D1" w:themeFill="accent6" w:themeFillTint="3F"/>
      </w:tcPr>
    </w:tblStylePr>
    <w:tblStylePr w:type="band1Horz">
      <w:tblPr/>
      <w:tcPr>
        <w:tcBorders>
          <w:insideH w:val="nil"/>
          <w:insideV w:val="nil"/>
        </w:tcBorders>
        <w:shd w:val="clear" w:color="auto" w:fill="FDE5D1" w:themeFill="accent6" w:themeFillTint="3F"/>
      </w:tcPr>
    </w:tblStylePr>
    <w:tblStylePr w:type="band2Horz">
      <w:tblPr/>
      <w:tcPr>
        <w:tcBorders>
          <w:insideH w:val="nil"/>
          <w:insideV w:val="nil"/>
        </w:tcBorders>
      </w:tcPr>
    </w:tblStylePr>
  </w:style>
  <w:style w:type="table" w:styleId="70">
    <w:name w:val="Medium Shading 2"/>
    <w:basedOn w:val="12"/>
    <w:qFormat/>
    <w:uiPriority w:val="64"/>
    <w:tblPr>
      <w:tblBorders>
        <w:top w:val="single" w:color="auto" w:sz="18" w:space="0"/>
        <w:bottom w:val="single" w:color="auto" w:sz="1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71">
    <w:name w:val="Medium Shading 2 Accent 1"/>
    <w:basedOn w:val="12"/>
    <w:qFormat/>
    <w:uiPriority w:val="64"/>
    <w:tblPr>
      <w:tblBorders>
        <w:top w:val="single" w:color="auto" w:sz="18" w:space="0"/>
        <w:bottom w:val="single" w:color="auto" w:sz="1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72">
    <w:name w:val="Medium Shading 2 Accent 2"/>
    <w:basedOn w:val="12"/>
    <w:qFormat/>
    <w:uiPriority w:val="64"/>
    <w:tblPr>
      <w:tblBorders>
        <w:top w:val="single" w:color="auto" w:sz="18" w:space="0"/>
        <w:bottom w:val="single" w:color="auto" w:sz="1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73">
    <w:name w:val="Medium Shading 2 Accent 3"/>
    <w:basedOn w:val="12"/>
    <w:qFormat/>
    <w:uiPriority w:val="64"/>
    <w:tblPr>
      <w:tblBorders>
        <w:top w:val="single" w:color="auto" w:sz="18" w:space="0"/>
        <w:bottom w:val="single" w:color="auto" w:sz="1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74">
    <w:name w:val="Medium Shading 2 Accent 4"/>
    <w:basedOn w:val="12"/>
    <w:qFormat/>
    <w:uiPriority w:val="64"/>
    <w:tblPr>
      <w:tblBorders>
        <w:top w:val="single" w:color="auto" w:sz="18" w:space="0"/>
        <w:bottom w:val="single" w:color="auto" w:sz="1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75">
    <w:name w:val="Medium Shading 2 Accent 5"/>
    <w:basedOn w:val="12"/>
    <w:qFormat/>
    <w:uiPriority w:val="64"/>
    <w:tblPr>
      <w:tblBorders>
        <w:top w:val="single" w:color="auto" w:sz="18" w:space="0"/>
        <w:bottom w:val="single" w:color="auto" w:sz="1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76">
    <w:name w:val="Medium Shading 2 Accent 6"/>
    <w:basedOn w:val="12"/>
    <w:qFormat/>
    <w:uiPriority w:val="64"/>
    <w:tblPr>
      <w:tblBorders>
        <w:top w:val="single" w:color="auto" w:sz="18" w:space="0"/>
        <w:bottom w:val="single" w:color="auto" w:sz="1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77">
    <w:name w:val="Medium List 1"/>
    <w:basedOn w:val="12"/>
    <w:qFormat/>
    <w:uiPriority w:val="65"/>
    <w:rPr>
      <w:color w:val="000000" w:themeColor="text1"/>
      <w14:textFill>
        <w14:solidFill>
          <w14:schemeClr w14:val="tx1"/>
        </w14:solidFill>
      </w14:textFill>
    </w:rPr>
    <w:tblPr>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14:textFill>
          <w14:solidFill>
            <w14:schemeClr w14:val="tx2"/>
          </w14:solidFill>
        </w14:textFill>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BFBFBF" w:themeFill="text1" w:themeFillTint="3F"/>
      </w:tcPr>
    </w:tblStylePr>
    <w:tblStylePr w:type="band1Horz">
      <w:tblPr/>
      <w:tcPr>
        <w:shd w:val="clear" w:color="auto" w:fill="BFBFBF" w:themeFill="text1" w:themeFillTint="3F"/>
      </w:tcPr>
    </w:tblStylePr>
  </w:style>
  <w:style w:type="table" w:styleId="78">
    <w:name w:val="Medium List 1 Accent 1"/>
    <w:basedOn w:val="12"/>
    <w:qFormat/>
    <w:uiPriority w:val="65"/>
    <w:rPr>
      <w:color w:val="000000" w:themeColor="text1"/>
      <w14:textFill>
        <w14:solidFill>
          <w14:schemeClr w14:val="tx1"/>
        </w14:solidFill>
      </w14:textFill>
    </w:rPr>
    <w:tblPr>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14:textFill>
          <w14:solidFill>
            <w14:schemeClr w14:val="tx2"/>
          </w14:solidFill>
        </w14:textFill>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79">
    <w:name w:val="Medium List 1 Accent 2"/>
    <w:basedOn w:val="12"/>
    <w:qFormat/>
    <w:uiPriority w:val="65"/>
    <w:rPr>
      <w:color w:val="000000" w:themeColor="text1"/>
      <w14:textFill>
        <w14:solidFill>
          <w14:schemeClr w14:val="tx1"/>
        </w14:solidFill>
      </w14:textFill>
    </w:rPr>
    <w:tblPr>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14:textFill>
          <w14:solidFill>
            <w14:schemeClr w14:val="tx2"/>
          </w14:solidFill>
        </w14:textFill>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3" w:themeFill="accent2" w:themeFillTint="3F"/>
      </w:tcPr>
    </w:tblStylePr>
    <w:tblStylePr w:type="band1Horz">
      <w:tblPr/>
      <w:tcPr>
        <w:shd w:val="clear" w:color="auto" w:fill="EFD3D3" w:themeFill="accent2" w:themeFillTint="3F"/>
      </w:tcPr>
    </w:tblStylePr>
  </w:style>
  <w:style w:type="table" w:styleId="80">
    <w:name w:val="Medium List 1 Accent 3"/>
    <w:basedOn w:val="12"/>
    <w:qFormat/>
    <w:uiPriority w:val="65"/>
    <w:rPr>
      <w:color w:val="000000" w:themeColor="text1"/>
      <w14:textFill>
        <w14:solidFill>
          <w14:schemeClr w14:val="tx1"/>
        </w14:solidFill>
      </w14:textFill>
    </w:rPr>
    <w:tblPr>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14:textFill>
          <w14:solidFill>
            <w14:schemeClr w14:val="tx2"/>
          </w14:solidFill>
        </w14:textFill>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81">
    <w:name w:val="Medium List 1 Accent 4"/>
    <w:basedOn w:val="12"/>
    <w:qFormat/>
    <w:uiPriority w:val="65"/>
    <w:rPr>
      <w:color w:val="000000" w:themeColor="text1"/>
      <w14:textFill>
        <w14:solidFill>
          <w14:schemeClr w14:val="tx1"/>
        </w14:solidFill>
      </w14:textFill>
    </w:rPr>
    <w:tblPr>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14:textFill>
          <w14:solidFill>
            <w14:schemeClr w14:val="tx2"/>
          </w14:solidFill>
        </w14:textFill>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82">
    <w:name w:val="Medium List 1 Accent 5"/>
    <w:basedOn w:val="12"/>
    <w:qFormat/>
    <w:uiPriority w:val="65"/>
    <w:rPr>
      <w:color w:val="000000" w:themeColor="text1"/>
      <w14:textFill>
        <w14:solidFill>
          <w14:schemeClr w14:val="tx1"/>
        </w14:solidFill>
      </w14:textFill>
    </w:rPr>
    <w:tblPr>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14:textFill>
          <w14:solidFill>
            <w14:schemeClr w14:val="tx2"/>
          </w14:solidFill>
        </w14:textFill>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0" w:themeFill="accent5" w:themeFillTint="3F"/>
      </w:tcPr>
    </w:tblStylePr>
    <w:tblStylePr w:type="band1Horz">
      <w:tblPr/>
      <w:tcPr>
        <w:shd w:val="clear" w:color="auto" w:fill="D2EAF0" w:themeFill="accent5" w:themeFillTint="3F"/>
      </w:tcPr>
    </w:tblStylePr>
  </w:style>
  <w:style w:type="table" w:styleId="83">
    <w:name w:val="Medium List 1 Accent 6"/>
    <w:basedOn w:val="12"/>
    <w:qFormat/>
    <w:uiPriority w:val="65"/>
    <w:rPr>
      <w:color w:val="000000" w:themeColor="text1"/>
      <w14:textFill>
        <w14:solidFill>
          <w14:schemeClr w14:val="tx1"/>
        </w14:solidFill>
      </w14:textFill>
    </w:rPr>
    <w:tblPr>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14:textFill>
          <w14:solidFill>
            <w14:schemeClr w14:val="tx2"/>
          </w14:solidFill>
        </w14:textFill>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5D1" w:themeFill="accent6" w:themeFillTint="3F"/>
      </w:tcPr>
    </w:tblStylePr>
    <w:tblStylePr w:type="band1Horz">
      <w:tblPr/>
      <w:tcPr>
        <w:shd w:val="clear" w:color="auto" w:fill="FDE5D1" w:themeFill="accent6" w:themeFillTint="3F"/>
      </w:tcPr>
    </w:tblStylePr>
  </w:style>
  <w:style w:type="table" w:styleId="84">
    <w:name w:val="Medium List 2"/>
    <w:basedOn w:val="12"/>
    <w:qFormat/>
    <w:uiPriority w:val="66"/>
    <w:rPr>
      <w:rFonts w:asciiTheme="majorHAnsi" w:hAnsiTheme="majorHAnsi" w:eastAsiaTheme="majorEastAsia" w:cstheme="majorBidi"/>
      <w:color w:val="000000" w:themeColor="text1"/>
      <w14:textFill>
        <w14:solidFill>
          <w14:schemeClr w14:val="tx1"/>
        </w14:solidFill>
      </w14:textFill>
    </w:rPr>
    <w:tblPr>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FBFBF" w:themeFill="text1" w:themeFillTint="3F"/>
      </w:tcPr>
    </w:tblStylePr>
    <w:tblStylePr w:type="band1Horz">
      <w:tblPr/>
      <w:tcPr>
        <w:tcBorders>
          <w:top w:val="nil"/>
          <w:bottom w:val="nil"/>
          <w:insideH w:val="nil"/>
          <w:insideV w:val="nil"/>
        </w:tcBorders>
        <w:shd w:val="clear" w:color="auto" w:fill="BFBFBF"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85">
    <w:name w:val="Medium List 2 Accent 1"/>
    <w:basedOn w:val="12"/>
    <w:qFormat/>
    <w:uiPriority w:val="66"/>
    <w:rPr>
      <w:rFonts w:asciiTheme="majorHAnsi" w:hAnsiTheme="majorHAnsi" w:eastAsiaTheme="majorEastAsia" w:cstheme="majorBidi"/>
      <w:color w:val="000000" w:themeColor="text1"/>
      <w14:textFill>
        <w14:solidFill>
          <w14:schemeClr w14:val="tx1"/>
        </w14:solidFill>
      </w14:textFill>
    </w:rPr>
    <w:tblPr>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86">
    <w:name w:val="Medium List 2 Accent 2"/>
    <w:basedOn w:val="12"/>
    <w:qFormat/>
    <w:uiPriority w:val="66"/>
    <w:rPr>
      <w:rFonts w:asciiTheme="majorHAnsi" w:hAnsiTheme="majorHAnsi" w:eastAsiaTheme="majorEastAsia" w:cstheme="majorBidi"/>
      <w:color w:val="000000" w:themeColor="text1"/>
      <w14:textFill>
        <w14:solidFill>
          <w14:schemeClr w14:val="tx1"/>
        </w14:solidFill>
      </w14:textFill>
    </w:rPr>
    <w:tblPr>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3" w:themeFill="accent2" w:themeFillTint="3F"/>
      </w:tcPr>
    </w:tblStylePr>
    <w:tblStylePr w:type="band1Horz">
      <w:tblPr/>
      <w:tcPr>
        <w:tcBorders>
          <w:top w:val="nil"/>
          <w:bottom w:val="nil"/>
          <w:insideH w:val="nil"/>
          <w:insideV w:val="nil"/>
        </w:tcBorders>
        <w:shd w:val="clear" w:color="auto" w:fill="EFD3D3"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87">
    <w:name w:val="Medium List 2 Accent 3"/>
    <w:basedOn w:val="12"/>
    <w:qFormat/>
    <w:uiPriority w:val="66"/>
    <w:rPr>
      <w:rFonts w:asciiTheme="majorHAnsi" w:hAnsiTheme="majorHAnsi" w:eastAsiaTheme="majorEastAsia" w:cstheme="majorBidi"/>
      <w:color w:val="000000" w:themeColor="text1"/>
      <w14:textFill>
        <w14:solidFill>
          <w14:schemeClr w14:val="tx1"/>
        </w14:solidFill>
      </w14:textFill>
    </w:rPr>
    <w:tblPr>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88">
    <w:name w:val="Medium List 2 Accent 4"/>
    <w:basedOn w:val="12"/>
    <w:qFormat/>
    <w:uiPriority w:val="66"/>
    <w:rPr>
      <w:rFonts w:asciiTheme="majorHAnsi" w:hAnsiTheme="majorHAnsi" w:eastAsiaTheme="majorEastAsia" w:cstheme="majorBidi"/>
      <w:color w:val="000000" w:themeColor="text1"/>
      <w14:textFill>
        <w14:solidFill>
          <w14:schemeClr w14:val="tx1"/>
        </w14:solidFill>
      </w14:textFill>
    </w:rPr>
    <w:tblPr>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89">
    <w:name w:val="Medium List 2 Accent 5"/>
    <w:basedOn w:val="12"/>
    <w:qFormat/>
    <w:uiPriority w:val="66"/>
    <w:rPr>
      <w:rFonts w:asciiTheme="majorHAnsi" w:hAnsiTheme="majorHAnsi" w:eastAsiaTheme="majorEastAsia" w:cstheme="majorBidi"/>
      <w:color w:val="000000" w:themeColor="text1"/>
      <w14:textFill>
        <w14:solidFill>
          <w14:schemeClr w14:val="tx1"/>
        </w14:solidFill>
      </w14:textFill>
    </w:rPr>
    <w:tblPr>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0" w:themeFill="accent5" w:themeFillTint="3F"/>
      </w:tcPr>
    </w:tblStylePr>
    <w:tblStylePr w:type="band1Horz">
      <w:tblPr/>
      <w:tcPr>
        <w:tcBorders>
          <w:top w:val="nil"/>
          <w:bottom w:val="nil"/>
          <w:insideH w:val="nil"/>
          <w:insideV w:val="nil"/>
        </w:tcBorders>
        <w:shd w:val="clear" w:color="auto" w:fill="D2EAF0"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90">
    <w:name w:val="Medium List 2 Accent 6"/>
    <w:basedOn w:val="12"/>
    <w:qFormat/>
    <w:uiPriority w:val="66"/>
    <w:rPr>
      <w:rFonts w:asciiTheme="majorHAnsi" w:hAnsiTheme="majorHAnsi" w:eastAsiaTheme="majorEastAsia" w:cstheme="majorBidi"/>
      <w:color w:val="000000" w:themeColor="text1"/>
      <w14:textFill>
        <w14:solidFill>
          <w14:schemeClr w14:val="tx1"/>
        </w14:solidFill>
      </w14:textFill>
    </w:rPr>
    <w:tblPr>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5D1" w:themeFill="accent6" w:themeFillTint="3F"/>
      </w:tcPr>
    </w:tblStylePr>
    <w:tblStylePr w:type="band1Horz">
      <w:tblPr/>
      <w:tcPr>
        <w:tcBorders>
          <w:top w:val="nil"/>
          <w:bottom w:val="nil"/>
          <w:insideH w:val="nil"/>
          <w:insideV w:val="nil"/>
        </w:tcBorders>
        <w:shd w:val="clear" w:color="auto" w:fill="FDE5D1"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91">
    <w:name w:val="Medium Grid 1"/>
    <w:basedOn w:val="12"/>
    <w:qFormat/>
    <w:uiPriority w:val="67"/>
    <w:tblPr>
      <w:tbl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single" w:color="3F3F3F" w:themeColor="text1" w:themeTint="BF" w:sz="8" w:space="0"/>
        <w:insideV w:val="single" w:color="3F3F3F" w:themeColor="text1" w:themeTint="BF" w:sz="8" w:space="0"/>
      </w:tblBorders>
    </w:tblPr>
    <w:tcPr>
      <w:shd w:val="clear" w:color="auto" w:fill="BFBFBF" w:themeFill="text1" w:themeFillTint="3F"/>
    </w:tcPr>
    <w:tblStylePr w:type="firstRow">
      <w:rPr>
        <w:b/>
        <w:bCs/>
      </w:rPr>
    </w:tblStylePr>
    <w:tblStylePr w:type="lastRow">
      <w:rPr>
        <w:b/>
        <w:bCs/>
      </w:rPr>
      <w:tblPr/>
      <w:tcPr>
        <w:tcBorders>
          <w:top w:val="single" w:color="3F3F3F" w:themeColor="text1" w:themeTint="BF" w:sz="18" w:space="0"/>
        </w:tcBorders>
      </w:tcPr>
    </w:tblStylePr>
    <w:tblStylePr w:type="firstCol">
      <w:rPr>
        <w:b/>
        <w:bCs/>
      </w:rPr>
    </w:tblStylePr>
    <w:tblStylePr w:type="lastCol">
      <w:rPr>
        <w:b/>
        <w:bCs/>
      </w:rPr>
    </w:tblStylePr>
    <w:tblStylePr w:type="band1Vert">
      <w:tblPr/>
      <w:tcPr>
        <w:shd w:val="clear" w:color="auto" w:fill="7F7F7F" w:themeFill="text1" w:themeFillTint="7F"/>
      </w:tcPr>
    </w:tblStylePr>
    <w:tblStylePr w:type="band1Horz">
      <w:tblPr/>
      <w:tcPr>
        <w:shd w:val="clear" w:color="auto" w:fill="7F7F7F" w:themeFill="text1" w:themeFillTint="7F"/>
      </w:tcPr>
    </w:tblStylePr>
  </w:style>
  <w:style w:type="table" w:styleId="92">
    <w:name w:val="Medium Grid 1 Accent 1"/>
    <w:basedOn w:val="12"/>
    <w:qFormat/>
    <w:uiPriority w:val="67"/>
    <w:tblPr>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C0DE" w:themeFill="accent1" w:themeFillTint="7F"/>
      </w:tcPr>
    </w:tblStylePr>
    <w:tblStylePr w:type="band1Horz">
      <w:tblPr/>
      <w:tcPr>
        <w:shd w:val="clear" w:color="auto" w:fill="A7C0DE" w:themeFill="accent1" w:themeFillTint="7F"/>
      </w:tcPr>
    </w:tblStylePr>
  </w:style>
  <w:style w:type="table" w:styleId="93">
    <w:name w:val="Medium Grid 1 Accent 2"/>
    <w:basedOn w:val="12"/>
    <w:qFormat/>
    <w:uiPriority w:val="67"/>
    <w:tblPr>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3"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94">
    <w:name w:val="Medium Grid 1 Accent 3"/>
    <w:basedOn w:val="12"/>
    <w:qFormat/>
    <w:uiPriority w:val="67"/>
    <w:tblPr>
      <w:tbl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single" w:color="B4CC82" w:themeColor="accent3" w:themeTint="BF" w:sz="8" w:space="0"/>
        <w:insideV w:val="single" w:color="B4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4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95">
    <w:name w:val="Medium Grid 1 Accent 4"/>
    <w:basedOn w:val="12"/>
    <w:qFormat/>
    <w:uiPriority w:val="67"/>
    <w:tblPr>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96">
    <w:name w:val="Medium Grid 1 Accent 5"/>
    <w:basedOn w:val="12"/>
    <w:qFormat/>
    <w:uiPriority w:val="67"/>
    <w:tblPr>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0"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97">
    <w:name w:val="Medium Grid 1 Accent 6"/>
    <w:basedOn w:val="12"/>
    <w:qFormat/>
    <w:uiPriority w:val="67"/>
    <w:tblPr>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5D1"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98">
    <w:name w:val="Medium Grid 2"/>
    <w:basedOn w:val="12"/>
    <w:qFormat/>
    <w:uiPriority w:val="68"/>
    <w:rPr>
      <w:rFonts w:asciiTheme="majorHAnsi" w:hAnsiTheme="majorHAnsi" w:eastAsiaTheme="majorEastAsia" w:cstheme="majorBidi"/>
      <w:color w:val="000000" w:themeColor="text1"/>
      <w14:textFill>
        <w14:solidFill>
          <w14:schemeClr w14:val="tx1"/>
        </w14:solidFill>
      </w14:textFill>
    </w:rPr>
    <w:tblPr>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BFBFBF" w:themeFill="text1" w:themeFillTint="3F"/>
    </w:tcPr>
    <w:tblStylePr w:type="firstRow">
      <w:rPr>
        <w:b/>
        <w:bCs/>
        <w:color w:val="000000" w:themeColor="text1"/>
        <w14:textFill>
          <w14:solidFill>
            <w14:schemeClr w14:val="tx1"/>
          </w14:solidFill>
        </w14:textFill>
      </w:rPr>
      <w:tblPr/>
      <w:tcPr>
        <w:shd w:val="clear" w:color="auto" w:fill="E5E5E5" w:themeFill="text1"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7F7F7F" w:themeFill="text1" w:themeFillTint="7F"/>
      </w:tcPr>
    </w:tblStylePr>
    <w:tblStylePr w:type="band1Horz">
      <w:tblPr/>
      <w:tcPr>
        <w:tcBorders>
          <w:insideH w:val="single" w:sz="6" w:space="0"/>
          <w:insideV w:val="single" w:sz="6" w:space="0"/>
        </w:tcBorders>
        <w:shd w:val="clear" w:color="auto" w:fill="7F7F7F" w:themeFill="text1" w:themeFillTint="7F"/>
      </w:tcPr>
    </w:tblStylePr>
    <w:tblStylePr w:type="nwCell">
      <w:tblPr/>
      <w:tcPr>
        <w:shd w:val="clear" w:color="auto" w:fill="FFFFFF" w:themeFill="background1"/>
      </w:tcPr>
    </w:tblStylePr>
  </w:style>
  <w:style w:type="table" w:styleId="99">
    <w:name w:val="Medium Grid 2 Accent 1"/>
    <w:basedOn w:val="12"/>
    <w:qFormat/>
    <w:uiPriority w:val="68"/>
    <w:rPr>
      <w:rFonts w:asciiTheme="majorHAnsi" w:hAnsiTheme="majorHAnsi" w:eastAsiaTheme="majorEastAsia" w:cstheme="majorBidi"/>
      <w:color w:val="000000" w:themeColor="text1"/>
      <w14:textFill>
        <w14:solidFill>
          <w14:schemeClr w14:val="tx1"/>
        </w14:solidFill>
      </w14:textFill>
    </w:rPr>
    <w:tblP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14:textFill>
          <w14:solidFill>
            <w14:schemeClr w14:val="tx1"/>
          </w14:solidFill>
        </w14:textFill>
      </w:rPr>
      <w:tblPr/>
      <w:tcPr>
        <w:shd w:val="clear" w:color="auto" w:fill="EDF2F8" w:themeFill="accent1"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C0DE" w:themeFill="accent1" w:themeFillTint="7F"/>
      </w:tcPr>
    </w:tblStylePr>
    <w:tblStylePr w:type="band1Horz">
      <w:tblPr/>
      <w:tcPr>
        <w:tcBorders>
          <w:insideH w:val="single" w:sz="6" w:space="0"/>
          <w:insideV w:val="single" w:sz="6" w:space="0"/>
        </w:tcBorders>
        <w:shd w:val="clear" w:color="auto" w:fill="A7C0DE" w:themeFill="accent1" w:themeFillTint="7F"/>
      </w:tcPr>
    </w:tblStylePr>
    <w:tblStylePr w:type="nwCell">
      <w:tblPr/>
      <w:tcPr>
        <w:shd w:val="clear" w:color="auto" w:fill="FFFFFF" w:themeFill="background1"/>
      </w:tcPr>
    </w:tblStylePr>
  </w:style>
  <w:style w:type="table" w:styleId="100">
    <w:name w:val="Medium Grid 2 Accent 2"/>
    <w:basedOn w:val="12"/>
    <w:qFormat/>
    <w:uiPriority w:val="68"/>
    <w:rPr>
      <w:rFonts w:asciiTheme="majorHAnsi" w:hAnsiTheme="majorHAnsi" w:eastAsiaTheme="majorEastAsia" w:cstheme="majorBidi"/>
      <w:color w:val="000000" w:themeColor="text1"/>
      <w14:textFill>
        <w14:solidFill>
          <w14:schemeClr w14:val="tx1"/>
        </w14:solidFill>
      </w14:textFill>
    </w:rPr>
    <w:tblPr>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3" w:themeFill="accent2" w:themeFillTint="3F"/>
    </w:tcPr>
    <w:tblStylePr w:type="firstRow">
      <w:rPr>
        <w:b/>
        <w:bCs/>
        <w:color w:val="000000" w:themeColor="text1"/>
        <w14:textFill>
          <w14:solidFill>
            <w14:schemeClr w14:val="tx1"/>
          </w14:solidFill>
        </w14:textFill>
      </w:rPr>
      <w:tblPr/>
      <w:tcPr>
        <w:shd w:val="clear" w:color="auto" w:fill="F8EDED" w:themeFill="accent2"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insideV w:val="single" w:sz="6" w:space="0"/>
        </w:tcBorders>
        <w:shd w:val="clear" w:color="auto" w:fill="DFA7A6" w:themeFill="accent2" w:themeFillTint="7F"/>
      </w:tcPr>
    </w:tblStylePr>
    <w:tblStylePr w:type="nwCell">
      <w:tblPr/>
      <w:tcPr>
        <w:shd w:val="clear" w:color="auto" w:fill="FFFFFF" w:themeFill="background1"/>
      </w:tcPr>
    </w:tblStylePr>
  </w:style>
  <w:style w:type="table" w:styleId="101">
    <w:name w:val="Medium Grid 2 Accent 3"/>
    <w:basedOn w:val="12"/>
    <w:qFormat/>
    <w:uiPriority w:val="68"/>
    <w:rPr>
      <w:rFonts w:asciiTheme="majorHAnsi" w:hAnsiTheme="majorHAnsi" w:eastAsiaTheme="majorEastAsia" w:cstheme="majorBidi"/>
      <w:color w:val="000000" w:themeColor="text1"/>
      <w14:textFill>
        <w14:solidFill>
          <w14:schemeClr w14:val="tx1"/>
        </w14:solidFill>
      </w14:textFill>
    </w:rPr>
    <w:tblPr>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14:textFill>
          <w14:solidFill>
            <w14:schemeClr w14:val="tx1"/>
          </w14:solidFill>
        </w14:textFill>
      </w:rPr>
      <w:tblPr/>
      <w:tcPr>
        <w:shd w:val="clear" w:color="auto" w:fill="F5F8EE" w:themeFill="accent3"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insideV w:val="single" w:sz="6" w:space="0"/>
        </w:tcBorders>
        <w:shd w:val="clear" w:color="auto" w:fill="CDDDAC" w:themeFill="accent3" w:themeFillTint="7F"/>
      </w:tcPr>
    </w:tblStylePr>
    <w:tblStylePr w:type="nwCell">
      <w:tblPr/>
      <w:tcPr>
        <w:shd w:val="clear" w:color="auto" w:fill="FFFFFF" w:themeFill="background1"/>
      </w:tcPr>
    </w:tblStylePr>
  </w:style>
  <w:style w:type="table" w:styleId="102">
    <w:name w:val="Medium Grid 2 Accent 4"/>
    <w:basedOn w:val="12"/>
    <w:qFormat/>
    <w:uiPriority w:val="68"/>
    <w:rPr>
      <w:rFonts w:asciiTheme="majorHAnsi" w:hAnsiTheme="majorHAnsi" w:eastAsiaTheme="majorEastAsia" w:cstheme="majorBidi"/>
      <w:color w:val="000000" w:themeColor="text1"/>
      <w14:textFill>
        <w14:solidFill>
          <w14:schemeClr w14:val="tx1"/>
        </w14:solidFill>
      </w14:textFill>
    </w:rPr>
    <w:tblPr>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14:textFill>
          <w14:solidFill>
            <w14:schemeClr w14:val="tx1"/>
          </w14:solidFill>
        </w14:textFill>
      </w:rPr>
      <w:tblPr/>
      <w:tcPr>
        <w:shd w:val="clear" w:color="auto" w:fill="F2EFF5" w:themeFill="accent4"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insideV w:val="single" w:sz="6" w:space="0"/>
        </w:tcBorders>
        <w:shd w:val="clear" w:color="auto" w:fill="BFB1D0" w:themeFill="accent4" w:themeFillTint="7F"/>
      </w:tcPr>
    </w:tblStylePr>
    <w:tblStylePr w:type="nwCell">
      <w:tblPr/>
      <w:tcPr>
        <w:shd w:val="clear" w:color="auto" w:fill="FFFFFF" w:themeFill="background1"/>
      </w:tcPr>
    </w:tblStylePr>
  </w:style>
  <w:style w:type="table" w:styleId="103">
    <w:name w:val="Medium Grid 2 Accent 5"/>
    <w:basedOn w:val="12"/>
    <w:qFormat/>
    <w:uiPriority w:val="68"/>
    <w:rPr>
      <w:rFonts w:asciiTheme="majorHAnsi" w:hAnsiTheme="majorHAnsi" w:eastAsiaTheme="majorEastAsia" w:cstheme="majorBidi"/>
      <w:color w:val="000000" w:themeColor="text1"/>
      <w14:textFill>
        <w14:solidFill>
          <w14:schemeClr w14:val="tx1"/>
        </w14:solidFill>
      </w14:textFill>
    </w:rPr>
    <w:tblPr>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0" w:themeFill="accent5" w:themeFillTint="3F"/>
    </w:tcPr>
    <w:tblStylePr w:type="firstRow">
      <w:rPr>
        <w:b/>
        <w:bCs/>
        <w:color w:val="000000" w:themeColor="text1"/>
        <w14:textFill>
          <w14:solidFill>
            <w14:schemeClr w14:val="tx1"/>
          </w14:solidFill>
        </w14:textFill>
      </w:rPr>
      <w:tblPr/>
      <w:tcPr>
        <w:shd w:val="clear" w:color="auto" w:fill="EDF6F9" w:themeFill="accent5"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insideV w:val="single" w:sz="6" w:space="0"/>
        </w:tcBorders>
        <w:shd w:val="clear" w:color="auto" w:fill="A5D5E2" w:themeFill="accent5" w:themeFillTint="7F"/>
      </w:tcPr>
    </w:tblStylePr>
    <w:tblStylePr w:type="nwCell">
      <w:tblPr/>
      <w:tcPr>
        <w:shd w:val="clear" w:color="auto" w:fill="FFFFFF" w:themeFill="background1"/>
      </w:tcPr>
    </w:tblStylePr>
  </w:style>
  <w:style w:type="table" w:styleId="104">
    <w:name w:val="Medium Grid 2 Accent 6"/>
    <w:basedOn w:val="12"/>
    <w:qFormat/>
    <w:uiPriority w:val="68"/>
    <w:rPr>
      <w:rFonts w:asciiTheme="majorHAnsi" w:hAnsiTheme="majorHAnsi" w:eastAsiaTheme="majorEastAsia" w:cstheme="majorBidi"/>
      <w:color w:val="000000" w:themeColor="text1"/>
      <w14:textFill>
        <w14:solidFill>
          <w14:schemeClr w14:val="tx1"/>
        </w14:solidFill>
      </w14:textFill>
    </w:rPr>
    <w:tblPr>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5D1" w:themeFill="accent6" w:themeFillTint="3F"/>
    </w:tcPr>
    <w:tblStylePr w:type="firstRow">
      <w:rPr>
        <w:b/>
        <w:bCs/>
        <w:color w:val="000000" w:themeColor="text1"/>
        <w14:textFill>
          <w14:solidFill>
            <w14:schemeClr w14:val="tx1"/>
          </w14:solidFill>
        </w14:textFill>
      </w:rPr>
      <w:tblPr/>
      <w:tcPr>
        <w:shd w:val="clear" w:color="auto" w:fill="FEF4EC" w:themeFill="accent6"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insideV w:val="single" w:sz="6" w:space="0"/>
        </w:tcBorders>
        <w:shd w:val="clear" w:color="auto" w:fill="FBCAA2" w:themeFill="accent6" w:themeFillTint="7F"/>
      </w:tcPr>
    </w:tblStylePr>
    <w:tblStylePr w:type="nwCell">
      <w:tblPr/>
      <w:tcPr>
        <w:shd w:val="clear" w:color="auto" w:fill="FFFFFF" w:themeFill="background1"/>
      </w:tcPr>
    </w:tblStylePr>
  </w:style>
  <w:style w:type="table" w:styleId="105">
    <w:name w:val="Medium Grid 3"/>
    <w:basedOn w:val="12"/>
    <w:qFormat/>
    <w:uiPriority w:val="69"/>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BFBFBF" w:themeFill="text1"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000000" w:themeFill="text1"/>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000000" w:themeFill="text1"/>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7F7F7F"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7F7F7F" w:themeFill="text1" w:themeFillTint="7F"/>
      </w:tcPr>
    </w:tblStylePr>
  </w:style>
  <w:style w:type="table" w:styleId="106">
    <w:name w:val="Medium Grid 3 Accent 1"/>
    <w:basedOn w:val="12"/>
    <w:uiPriority w:val="69"/>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4F81BD" w:themeFill="accent1"/>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4F81BD" w:themeFill="accent1"/>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C0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7C0DE" w:themeFill="accent1" w:themeFillTint="7F"/>
      </w:tcPr>
    </w:tblStylePr>
  </w:style>
  <w:style w:type="table" w:styleId="107">
    <w:name w:val="Medium Grid 3 Accent 2"/>
    <w:basedOn w:val="12"/>
    <w:qFormat/>
    <w:uiPriority w:val="69"/>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3" w:themeFill="accent2"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C0504D" w:themeFill="accent2"/>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C0504D" w:themeFill="accent2"/>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DFA7A6" w:themeFill="accent2" w:themeFillTint="7F"/>
      </w:tcPr>
    </w:tblStylePr>
  </w:style>
  <w:style w:type="table" w:styleId="108">
    <w:name w:val="Medium Grid 3 Accent 3"/>
    <w:basedOn w:val="12"/>
    <w:uiPriority w:val="69"/>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9BBB59" w:themeFill="accent3"/>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9BBB59" w:themeFill="accent3"/>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CDDDAC" w:themeFill="accent3" w:themeFillTint="7F"/>
      </w:tcPr>
    </w:tblStylePr>
  </w:style>
  <w:style w:type="table" w:styleId="109">
    <w:name w:val="Medium Grid 3 Accent 4"/>
    <w:basedOn w:val="12"/>
    <w:qFormat/>
    <w:uiPriority w:val="69"/>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8064A2" w:themeFill="accent4"/>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8064A2" w:themeFill="accent4"/>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BFB1D0" w:themeFill="accent4" w:themeFillTint="7F"/>
      </w:tcPr>
    </w:tblStylePr>
  </w:style>
  <w:style w:type="table" w:styleId="110">
    <w:name w:val="Medium Grid 3 Accent 5"/>
    <w:basedOn w:val="12"/>
    <w:uiPriority w:val="69"/>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0" w:themeFill="accent5"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4BACC6" w:themeFill="accent5"/>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4BACC6" w:themeFill="accent5"/>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5D5E2" w:themeFill="accent5" w:themeFillTint="7F"/>
      </w:tcPr>
    </w:tblStylePr>
  </w:style>
  <w:style w:type="table" w:styleId="111">
    <w:name w:val="Medium Grid 3 Accent 6"/>
    <w:basedOn w:val="12"/>
    <w:qFormat/>
    <w:uiPriority w:val="69"/>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5D1" w:themeFill="accent6"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F79646" w:themeFill="accent6"/>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F79646" w:themeFill="accent6"/>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FBCAA2" w:themeFill="accent6" w:themeFillTint="7F"/>
      </w:tcPr>
    </w:tblStylePr>
  </w:style>
  <w:style w:type="table" w:styleId="112">
    <w:name w:val="Dark List"/>
    <w:basedOn w:val="12"/>
    <w:qFormat/>
    <w:uiPriority w:val="70"/>
    <w:rPr>
      <w:color w:val="FFFFFF" w:themeColor="background1"/>
      <w14:textFill>
        <w14:solidFill>
          <w14:schemeClr w14:val="bg1"/>
        </w14:solidFill>
      </w14:textFill>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13">
    <w:name w:val="Dark List Accent 1"/>
    <w:basedOn w:val="12"/>
    <w:uiPriority w:val="70"/>
    <w:rPr>
      <w:color w:val="FFFFFF" w:themeColor="background1"/>
      <w14:textFill>
        <w14:solidFill>
          <w14:schemeClr w14:val="bg1"/>
        </w14:solidFill>
      </w14:textFill>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1"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60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6091" w:themeFill="accent1" w:themeFillShade="BF"/>
      </w:tcPr>
    </w:tblStylePr>
    <w:tblStylePr w:type="band1Vert">
      <w:tblPr/>
      <w:tcPr>
        <w:tcBorders>
          <w:top w:val="nil"/>
          <w:left w:val="nil"/>
          <w:bottom w:val="nil"/>
          <w:right w:val="nil"/>
          <w:insideH w:val="nil"/>
          <w:insideV w:val="nil"/>
        </w:tcBorders>
        <w:shd w:val="clear" w:color="auto" w:fill="366091" w:themeFill="accent1" w:themeFillShade="BF"/>
      </w:tcPr>
    </w:tblStylePr>
    <w:tblStylePr w:type="band1Horz">
      <w:tblPr/>
      <w:tcPr>
        <w:tcBorders>
          <w:top w:val="nil"/>
          <w:left w:val="nil"/>
          <w:bottom w:val="nil"/>
          <w:right w:val="nil"/>
          <w:insideH w:val="nil"/>
          <w:insideV w:val="nil"/>
        </w:tcBorders>
        <w:shd w:val="clear" w:color="auto" w:fill="366091" w:themeFill="accent1" w:themeFillShade="BF"/>
      </w:tcPr>
    </w:tblStylePr>
  </w:style>
  <w:style w:type="table" w:styleId="114">
    <w:name w:val="Dark List Accent 2"/>
    <w:basedOn w:val="12"/>
    <w:uiPriority w:val="70"/>
    <w:rPr>
      <w:color w:val="FFFFFF" w:themeColor="background1"/>
      <w14:textFill>
        <w14:solidFill>
          <w14:schemeClr w14:val="bg1"/>
        </w14:solidFill>
      </w14:textFill>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7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734" w:themeFill="accent2" w:themeFillShade="BF"/>
      </w:tcPr>
    </w:tblStylePr>
    <w:tblStylePr w:type="band1Vert">
      <w:tblPr/>
      <w:tcPr>
        <w:tcBorders>
          <w:top w:val="nil"/>
          <w:left w:val="nil"/>
          <w:bottom w:val="nil"/>
          <w:right w:val="nil"/>
          <w:insideH w:val="nil"/>
          <w:insideV w:val="nil"/>
        </w:tcBorders>
        <w:shd w:val="clear" w:color="auto" w:fill="943734" w:themeFill="accent2" w:themeFillShade="BF"/>
      </w:tcPr>
    </w:tblStylePr>
    <w:tblStylePr w:type="band1Horz">
      <w:tblPr/>
      <w:tcPr>
        <w:tcBorders>
          <w:top w:val="nil"/>
          <w:left w:val="nil"/>
          <w:bottom w:val="nil"/>
          <w:right w:val="nil"/>
          <w:insideH w:val="nil"/>
          <w:insideV w:val="nil"/>
        </w:tcBorders>
        <w:shd w:val="clear" w:color="auto" w:fill="943734" w:themeFill="accent2" w:themeFillShade="BF"/>
      </w:tcPr>
    </w:tblStylePr>
  </w:style>
  <w:style w:type="table" w:styleId="115">
    <w:name w:val="Dark List Accent 3"/>
    <w:basedOn w:val="12"/>
    <w:qFormat/>
    <w:uiPriority w:val="70"/>
    <w:rPr>
      <w:color w:val="FFFFFF" w:themeColor="background1"/>
      <w14:textFill>
        <w14:solidFill>
          <w14:schemeClr w14:val="bg1"/>
        </w14:solidFill>
      </w14:textFill>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7"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116">
    <w:name w:val="Dark List Accent 4"/>
    <w:basedOn w:val="12"/>
    <w:qFormat/>
    <w:uiPriority w:val="70"/>
    <w:rPr>
      <w:color w:val="FFFFFF" w:themeColor="background1"/>
      <w14:textFill>
        <w14:solidFill>
          <w14:schemeClr w14:val="bg1"/>
        </w14:solidFill>
      </w14:textFill>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0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117">
    <w:name w:val="Dark List Accent 5"/>
    <w:basedOn w:val="12"/>
    <w:qFormat/>
    <w:uiPriority w:val="70"/>
    <w:rPr>
      <w:color w:val="FFFFFF" w:themeColor="background1"/>
      <w14:textFill>
        <w14:solidFill>
          <w14:schemeClr w14:val="bg1"/>
        </w14:solidFill>
      </w14:textFill>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118">
    <w:name w:val="Dark List Accent 6"/>
    <w:basedOn w:val="12"/>
    <w:uiPriority w:val="70"/>
    <w:rPr>
      <w:color w:val="FFFFFF" w:themeColor="background1"/>
      <w14:textFill>
        <w14:solidFill>
          <w14:schemeClr w14:val="bg1"/>
        </w14:solidFill>
      </w14:textFill>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9"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9" w:themeFill="accent6" w:themeFillShade="BF"/>
      </w:tcPr>
    </w:tblStylePr>
    <w:tblStylePr w:type="band1Vert">
      <w:tblPr/>
      <w:tcPr>
        <w:tcBorders>
          <w:top w:val="nil"/>
          <w:left w:val="nil"/>
          <w:bottom w:val="nil"/>
          <w:right w:val="nil"/>
          <w:insideH w:val="nil"/>
          <w:insideV w:val="nil"/>
        </w:tcBorders>
        <w:shd w:val="clear" w:color="auto" w:fill="E36C09" w:themeFill="accent6" w:themeFillShade="BF"/>
      </w:tcPr>
    </w:tblStylePr>
    <w:tblStylePr w:type="band1Horz">
      <w:tblPr/>
      <w:tcPr>
        <w:tcBorders>
          <w:top w:val="nil"/>
          <w:left w:val="nil"/>
          <w:bottom w:val="nil"/>
          <w:right w:val="nil"/>
          <w:insideH w:val="nil"/>
          <w:insideV w:val="nil"/>
        </w:tcBorders>
        <w:shd w:val="clear" w:color="auto" w:fill="E36C09" w:themeFill="accent6" w:themeFillShade="BF"/>
      </w:tcPr>
    </w:tblStylePr>
  </w:style>
  <w:style w:type="table" w:styleId="119">
    <w:name w:val="Colorful Shading"/>
    <w:basedOn w:val="12"/>
    <w:uiPriority w:val="71"/>
    <w:rPr>
      <w:color w:val="000000" w:themeColor="text1"/>
      <w14:textFill>
        <w14:solidFill>
          <w14:schemeClr w14:val="tx1"/>
        </w14:solidFill>
      </w14:textFill>
    </w:rPr>
    <w:tblPr>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5E5E5"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000000" w:themeFill="text1"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000000" w:themeFill="text1"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7F7F7F" w:themeFill="text1"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20">
    <w:name w:val="Colorful Shading Accent 1"/>
    <w:basedOn w:val="12"/>
    <w:qFormat/>
    <w:uiPriority w:val="71"/>
    <w:rPr>
      <w:color w:val="000000" w:themeColor="text1"/>
      <w14:textFill>
        <w14:solidFill>
          <w14:schemeClr w14:val="tx1"/>
        </w14:solidFill>
      </w14:textFill>
    </w:rPr>
    <w:tblPr>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2B4D74" w:themeFill="accent1"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2B4D74" w:themeFill="accent1"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2B4D74" w:themeFill="accent1" w:themeFillShade="99"/>
      </w:tcPr>
    </w:tblStylePr>
    <w:tblStylePr w:type="band1Vert">
      <w:tblPr/>
      <w:tcPr>
        <w:shd w:val="clear" w:color="auto" w:fill="B8CCE4" w:themeFill="accent1" w:themeFillTint="66"/>
      </w:tcPr>
    </w:tblStylePr>
    <w:tblStylePr w:type="band1Horz">
      <w:tblPr/>
      <w:tcPr>
        <w:shd w:val="clear" w:color="auto" w:fill="A7C0DE" w:themeFill="accent1"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21">
    <w:name w:val="Colorful Shading Accent 2"/>
    <w:basedOn w:val="12"/>
    <w:qFormat/>
    <w:uiPriority w:val="71"/>
    <w:rPr>
      <w:color w:val="000000" w:themeColor="text1"/>
      <w14:textFill>
        <w14:solidFill>
          <w14:schemeClr w14:val="tx1"/>
        </w14:solidFill>
      </w14:textFill>
    </w:rPr>
    <w:tblPr>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772C2A" w:themeFill="accent2"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772C2A" w:themeFill="accent2"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22">
    <w:name w:val="Colorful Shading Accent 3"/>
    <w:basedOn w:val="12"/>
    <w:qFormat/>
    <w:uiPriority w:val="71"/>
    <w:rPr>
      <w:color w:val="000000" w:themeColor="text1"/>
      <w14:textFill>
        <w14:solidFill>
          <w14:schemeClr w14:val="tx1"/>
        </w14:solidFill>
      </w14:textFill>
    </w:rPr>
    <w:tblPr>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5E7530" w:themeFill="accent3"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5E7530" w:themeFill="accent3"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123">
    <w:name w:val="Colorful Shading Accent 4"/>
    <w:basedOn w:val="12"/>
    <w:qFormat/>
    <w:uiPriority w:val="71"/>
    <w:rPr>
      <w:color w:val="000000" w:themeColor="text1"/>
      <w14:textFill>
        <w14:solidFill>
          <w14:schemeClr w14:val="tx1"/>
        </w14:solidFill>
      </w14:textFill>
    </w:rPr>
    <w:tblPr>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5"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4C3A62" w:themeFill="accent4"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4C3A62" w:themeFill="accent4"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4C3A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24">
    <w:name w:val="Colorful Shading Accent 5"/>
    <w:basedOn w:val="12"/>
    <w:qFormat/>
    <w:uiPriority w:val="71"/>
    <w:rPr>
      <w:color w:val="000000" w:themeColor="text1"/>
      <w14:textFill>
        <w14:solidFill>
          <w14:schemeClr w14:val="tx1"/>
        </w14:solidFill>
      </w14:textFill>
    </w:rPr>
    <w:tblPr>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276A7C" w:themeFill="accent5"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276A7C" w:themeFill="accent5"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25">
    <w:name w:val="Colorful Shading Accent 6"/>
    <w:basedOn w:val="12"/>
    <w:qFormat/>
    <w:uiPriority w:val="71"/>
    <w:rPr>
      <w:color w:val="000000" w:themeColor="text1"/>
      <w14:textFill>
        <w14:solidFill>
          <w14:schemeClr w14:val="tx1"/>
        </w14:solidFill>
      </w14:textFill>
    </w:rPr>
    <w:tblPr>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B65607" w:themeFill="accent6"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B65607" w:themeFill="accent6"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B65607"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26">
    <w:name w:val="Colorful List"/>
    <w:basedOn w:val="12"/>
    <w:qFormat/>
    <w:uiPriority w:val="72"/>
    <w:rPr>
      <w:color w:val="000000" w:themeColor="text1"/>
      <w14:textFill>
        <w14:solidFill>
          <w14:schemeClr w14:val="tx1"/>
        </w14:solidFill>
      </w14:textFill>
    </w:rPr>
    <w:tblPr>
      <w:tblStyleRowBandSize w:val="1"/>
      <w:tblStyleColBandSize w:val="1"/>
    </w:tblPr>
    <w:tcPr>
      <w:shd w:val="clear" w:color="auto" w:fill="E5E5E5" w:themeFill="text1"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FBFBF" w:themeFill="text1" w:themeFillTint="3F"/>
      </w:tcPr>
    </w:tblStylePr>
    <w:tblStylePr w:type="band1Horz">
      <w:tblPr/>
      <w:tcPr>
        <w:shd w:val="clear" w:color="auto" w:fill="CCCCCC" w:themeFill="text1" w:themeFillTint="33"/>
      </w:tcPr>
    </w:tblStylePr>
  </w:style>
  <w:style w:type="table" w:styleId="127">
    <w:name w:val="Colorful List Accent 1"/>
    <w:basedOn w:val="12"/>
    <w:qFormat/>
    <w:uiPriority w:val="72"/>
    <w:rPr>
      <w:color w:val="000000" w:themeColor="text1"/>
      <w14:textFill>
        <w14:solidFill>
          <w14:schemeClr w14:val="tx1"/>
        </w14:solidFill>
      </w14:textFill>
    </w:rPr>
    <w:tblPr>
      <w:tblStyleRowBandSize w:val="1"/>
      <w:tblStyleColBandSize w:val="1"/>
    </w:tblPr>
    <w:tcPr>
      <w:shd w:val="clear" w:color="auto" w:fill="EDF2F8" w:themeFill="accent1"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128">
    <w:name w:val="Colorful List Accent 2"/>
    <w:basedOn w:val="12"/>
    <w:qFormat/>
    <w:uiPriority w:val="72"/>
    <w:rPr>
      <w:color w:val="000000" w:themeColor="text1"/>
      <w14:textFill>
        <w14:solidFill>
          <w14:schemeClr w14:val="tx1"/>
        </w14:solidFill>
      </w14:textFill>
    </w:rPr>
    <w:tblPr>
      <w:tblStyleRowBandSize w:val="1"/>
      <w:tblStyleColBandSize w:val="1"/>
    </w:tblPr>
    <w:tcPr>
      <w:shd w:val="clear" w:color="auto" w:fill="F8EDED" w:themeFill="accent2"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3" w:themeFill="accent2" w:themeFillTint="3F"/>
      </w:tcPr>
    </w:tblStylePr>
    <w:tblStylePr w:type="band1Horz">
      <w:tblPr/>
      <w:tcPr>
        <w:shd w:val="clear" w:color="auto" w:fill="F2DBDB" w:themeFill="accent2" w:themeFillTint="33"/>
      </w:tcPr>
    </w:tblStylePr>
  </w:style>
  <w:style w:type="table" w:styleId="129">
    <w:name w:val="Colorful List Accent 3"/>
    <w:basedOn w:val="12"/>
    <w:qFormat/>
    <w:uiPriority w:val="72"/>
    <w:rPr>
      <w:color w:val="000000" w:themeColor="text1"/>
      <w14:textFill>
        <w14:solidFill>
          <w14:schemeClr w14:val="tx1"/>
        </w14:solidFill>
      </w14:textFill>
    </w:rPr>
    <w:tblPr>
      <w:tblStyleRowBandSize w:val="1"/>
      <w:tblStyleColBandSize w:val="1"/>
    </w:tblPr>
    <w:tcPr>
      <w:shd w:val="clear" w:color="auto" w:fill="F5F8EE" w:themeFill="accent3"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664E82" w:themeFill="accent4" w:themeFillShade="CC"/>
      </w:tcPr>
    </w:tblStylePr>
    <w:tblStylePr w:type="lastRow">
      <w:rPr>
        <w:b/>
        <w:bCs/>
        <w:color w:val="664F83"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130">
    <w:name w:val="Colorful List Accent 4"/>
    <w:basedOn w:val="12"/>
    <w:uiPriority w:val="72"/>
    <w:rPr>
      <w:color w:val="000000" w:themeColor="text1"/>
      <w14:textFill>
        <w14:solidFill>
          <w14:schemeClr w14:val="tx1"/>
        </w14:solidFill>
      </w14:textFill>
    </w:rPr>
    <w:tblPr>
      <w:tblStyleRowBandSize w:val="1"/>
      <w:tblStyleColBandSize w:val="1"/>
    </w:tblPr>
    <w:tcPr>
      <w:shd w:val="clear" w:color="auto" w:fill="F2EFF5" w:themeFill="accent4"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7E9C40" w:themeFill="accent3" w:themeFillShade="CC"/>
      </w:tcPr>
    </w:tblStylePr>
    <w:tblStylePr w:type="lastRow">
      <w:rPr>
        <w:b/>
        <w:bCs/>
        <w:color w:val="7E9D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131">
    <w:name w:val="Colorful List Accent 5"/>
    <w:basedOn w:val="12"/>
    <w:uiPriority w:val="72"/>
    <w:rPr>
      <w:color w:val="000000" w:themeColor="text1"/>
      <w14:textFill>
        <w14:solidFill>
          <w14:schemeClr w14:val="tx1"/>
        </w14:solidFill>
      </w14:textFill>
    </w:rPr>
    <w:tblPr>
      <w:tblStyleRowBandSize w:val="1"/>
      <w:tblStyleColBandSize w:val="1"/>
    </w:tblPr>
    <w:tcPr>
      <w:shd w:val="clear" w:color="auto" w:fill="EDF6F9" w:themeFill="accent5"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F3730A" w:themeFill="accent6" w:themeFillShade="CC"/>
      </w:tcPr>
    </w:tblStylePr>
    <w:tblStylePr w:type="lastRow">
      <w:rPr>
        <w:b/>
        <w:bCs/>
        <w:color w:val="F3740B"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0" w:themeFill="accent5" w:themeFillTint="3F"/>
      </w:tcPr>
    </w:tblStylePr>
    <w:tblStylePr w:type="band1Horz">
      <w:tblPr/>
      <w:tcPr>
        <w:shd w:val="clear" w:color="auto" w:fill="DAEEF3" w:themeFill="accent5" w:themeFillTint="33"/>
      </w:tcPr>
    </w:tblStylePr>
  </w:style>
  <w:style w:type="table" w:styleId="132">
    <w:name w:val="Colorful List Accent 6"/>
    <w:basedOn w:val="12"/>
    <w:qFormat/>
    <w:uiPriority w:val="72"/>
    <w:rPr>
      <w:color w:val="000000" w:themeColor="text1"/>
      <w14:textFill>
        <w14:solidFill>
          <w14:schemeClr w14:val="tx1"/>
        </w14:solidFill>
      </w14:textFill>
    </w:rPr>
    <w:tblPr>
      <w:tblStyleRowBandSize w:val="1"/>
      <w:tblStyleColBandSize w:val="1"/>
    </w:tblPr>
    <w:tcPr>
      <w:shd w:val="clear" w:color="auto" w:fill="FEF4EC" w:themeFill="accent6"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348DA5" w:themeFill="accent5" w:themeFillShade="CC"/>
      </w:tcPr>
    </w:tblStylePr>
    <w:tblStylePr w:type="lastRow">
      <w:rPr>
        <w:b/>
        <w:bCs/>
        <w:color w:val="358EA6"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5D1" w:themeFill="accent6" w:themeFillTint="3F"/>
      </w:tcPr>
    </w:tblStylePr>
    <w:tblStylePr w:type="band1Horz">
      <w:tblPr/>
      <w:tcPr>
        <w:shd w:val="clear" w:color="auto" w:fill="FDE9D9" w:themeFill="accent6" w:themeFillTint="33"/>
      </w:tcPr>
    </w:tblStylePr>
  </w:style>
  <w:style w:type="table" w:styleId="133">
    <w:name w:val="Colorful Grid"/>
    <w:basedOn w:val="12"/>
    <w:qFormat/>
    <w:uiPriority w:val="73"/>
    <w:rPr>
      <w:color w:val="000000" w:themeColor="text1"/>
      <w14:textFill>
        <w14:solidFill>
          <w14:schemeClr w14:val="tx1"/>
        </w14:solidFill>
      </w14:textFill>
    </w:rPr>
    <w:tblPr>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14:textFill>
          <w14:solidFill>
            <w14:schemeClr w14:val="tx1"/>
          </w14:solidFill>
        </w14:textFill>
      </w:rPr>
      <w:tblPr/>
      <w:tcPr>
        <w:shd w:val="clear" w:color="auto" w:fill="999999" w:themeFill="text1" w:themeFillTint="66"/>
      </w:tcPr>
    </w:tblStylePr>
    <w:tblStylePr w:type="firstCol">
      <w:rPr>
        <w:color w:val="FFFFFF" w:themeColor="background1"/>
        <w14:textFill>
          <w14:solidFill>
            <w14:schemeClr w14:val="bg1"/>
          </w14:solidFill>
        </w14:textFill>
      </w:rPr>
      <w:tblPr/>
      <w:tcPr>
        <w:shd w:val="clear" w:color="auto" w:fill="000000" w:themeFill="text1" w:themeFillShade="BF"/>
      </w:tcPr>
    </w:tblStylePr>
    <w:tblStylePr w:type="lastCol">
      <w:rPr>
        <w:color w:val="FFFFFF" w:themeColor="background1"/>
        <w14:textFill>
          <w14:solidFill>
            <w14:schemeClr w14:val="bg1"/>
          </w14:solidFill>
        </w14:textFill>
      </w:rPr>
      <w:tblPr/>
      <w:tcPr>
        <w:shd w:val="clear" w:color="auto" w:fill="000000" w:themeFill="text1" w:themeFillShade="BF"/>
      </w:tcPr>
    </w:tblStylePr>
    <w:tblStylePr w:type="band1Vert">
      <w:tblPr/>
      <w:tcPr>
        <w:shd w:val="clear" w:color="auto" w:fill="7F7F7F" w:themeFill="text1" w:themeFillTint="7F"/>
      </w:tcPr>
    </w:tblStylePr>
    <w:tblStylePr w:type="band1Horz">
      <w:tblPr/>
      <w:tcPr>
        <w:shd w:val="clear" w:color="auto" w:fill="7F7F7F" w:themeFill="text1" w:themeFillTint="7F"/>
      </w:tcPr>
    </w:tblStylePr>
  </w:style>
  <w:style w:type="table" w:styleId="134">
    <w:name w:val="Colorful Grid Accent 1"/>
    <w:basedOn w:val="12"/>
    <w:qFormat/>
    <w:uiPriority w:val="73"/>
    <w:rPr>
      <w:color w:val="000000" w:themeColor="text1"/>
      <w14:textFill>
        <w14:solidFill>
          <w14:schemeClr w14:val="tx1"/>
        </w14:solidFill>
      </w14:textFill>
    </w:rPr>
    <w:tblPr>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14:textFill>
          <w14:solidFill>
            <w14:schemeClr w14:val="tx1"/>
          </w14:solidFill>
        </w14:textFill>
      </w:rPr>
      <w:tblPr/>
      <w:tcPr>
        <w:shd w:val="clear" w:color="auto" w:fill="B8CCE4" w:themeFill="accent1" w:themeFillTint="66"/>
      </w:tcPr>
    </w:tblStylePr>
    <w:tblStylePr w:type="firstCol">
      <w:rPr>
        <w:color w:val="FFFFFF" w:themeColor="background1"/>
        <w14:textFill>
          <w14:solidFill>
            <w14:schemeClr w14:val="bg1"/>
          </w14:solidFill>
        </w14:textFill>
      </w:rPr>
      <w:tblPr/>
      <w:tcPr>
        <w:shd w:val="clear" w:color="auto" w:fill="366091" w:themeFill="accent1" w:themeFillShade="BF"/>
      </w:tcPr>
    </w:tblStylePr>
    <w:tblStylePr w:type="lastCol">
      <w:rPr>
        <w:color w:val="FFFFFF" w:themeColor="background1"/>
        <w14:textFill>
          <w14:solidFill>
            <w14:schemeClr w14:val="bg1"/>
          </w14:solidFill>
        </w14:textFill>
      </w:rPr>
      <w:tblPr/>
      <w:tcPr>
        <w:shd w:val="clear" w:color="auto" w:fill="366091" w:themeFill="accent1" w:themeFillShade="BF"/>
      </w:tcPr>
    </w:tblStylePr>
    <w:tblStylePr w:type="band1Vert">
      <w:tblPr/>
      <w:tcPr>
        <w:shd w:val="clear" w:color="auto" w:fill="A7C0DE" w:themeFill="accent1" w:themeFillTint="7F"/>
      </w:tcPr>
    </w:tblStylePr>
    <w:tblStylePr w:type="band1Horz">
      <w:tblPr/>
      <w:tcPr>
        <w:shd w:val="clear" w:color="auto" w:fill="A7C0DE" w:themeFill="accent1" w:themeFillTint="7F"/>
      </w:tcPr>
    </w:tblStylePr>
  </w:style>
  <w:style w:type="table" w:styleId="135">
    <w:name w:val="Colorful Grid Accent 2"/>
    <w:basedOn w:val="12"/>
    <w:qFormat/>
    <w:uiPriority w:val="73"/>
    <w:rPr>
      <w:color w:val="000000" w:themeColor="text1"/>
      <w14:textFill>
        <w14:solidFill>
          <w14:schemeClr w14:val="tx1"/>
        </w14:solidFill>
      </w14:textFill>
    </w:rPr>
    <w:tblPr>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14:textFill>
          <w14:solidFill>
            <w14:schemeClr w14:val="tx1"/>
          </w14:solidFill>
        </w14:textFill>
      </w:rPr>
      <w:tblPr/>
      <w:tcPr>
        <w:shd w:val="clear" w:color="auto" w:fill="E5B8B7" w:themeFill="accent2" w:themeFillTint="66"/>
      </w:tcPr>
    </w:tblStylePr>
    <w:tblStylePr w:type="firstCol">
      <w:rPr>
        <w:color w:val="FFFFFF" w:themeColor="background1"/>
        <w14:textFill>
          <w14:solidFill>
            <w14:schemeClr w14:val="bg1"/>
          </w14:solidFill>
        </w14:textFill>
      </w:rPr>
      <w:tblPr/>
      <w:tcPr>
        <w:shd w:val="clear" w:color="auto" w:fill="943734" w:themeFill="accent2" w:themeFillShade="BF"/>
      </w:tcPr>
    </w:tblStylePr>
    <w:tblStylePr w:type="lastCol">
      <w:rPr>
        <w:color w:val="FFFFFF" w:themeColor="background1"/>
        <w14:textFill>
          <w14:solidFill>
            <w14:schemeClr w14:val="bg1"/>
          </w14:solidFill>
        </w14:textFill>
      </w:rPr>
      <w:tblPr/>
      <w:tcPr>
        <w:shd w:val="clear" w:color="auto" w:fill="9437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6">
    <w:name w:val="Colorful Grid Accent 3"/>
    <w:basedOn w:val="12"/>
    <w:qFormat/>
    <w:uiPriority w:val="73"/>
    <w:rPr>
      <w:color w:val="000000" w:themeColor="text1"/>
      <w14:textFill>
        <w14:solidFill>
          <w14:schemeClr w14:val="tx1"/>
        </w14:solidFill>
      </w14:textFill>
    </w:rPr>
    <w:tblPr>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14:textFill>
          <w14:solidFill>
            <w14:schemeClr w14:val="tx1"/>
          </w14:solidFill>
        </w14:textFill>
      </w:rPr>
      <w:tblPr/>
      <w:tcPr>
        <w:shd w:val="clear" w:color="auto" w:fill="D6E3BC" w:themeFill="accent3" w:themeFillTint="66"/>
      </w:tcPr>
    </w:tblStylePr>
    <w:tblStylePr w:type="firstCol">
      <w:rPr>
        <w:color w:val="FFFFFF" w:themeColor="background1"/>
        <w14:textFill>
          <w14:solidFill>
            <w14:schemeClr w14:val="bg1"/>
          </w14:solidFill>
        </w14:textFill>
      </w:rPr>
      <w:tblPr/>
      <w:tcPr>
        <w:shd w:val="clear" w:color="auto" w:fill="76923C" w:themeFill="accent3" w:themeFillShade="BF"/>
      </w:tcPr>
    </w:tblStylePr>
    <w:tblStylePr w:type="lastCol">
      <w:rPr>
        <w:color w:val="FFFFFF" w:themeColor="background1"/>
        <w14:textFill>
          <w14:solidFill>
            <w14:schemeClr w14:val="bg1"/>
          </w14:solidFill>
        </w14:textFill>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37">
    <w:name w:val="Colorful Grid Accent 4"/>
    <w:basedOn w:val="12"/>
    <w:qFormat/>
    <w:uiPriority w:val="73"/>
    <w:rPr>
      <w:color w:val="000000" w:themeColor="text1"/>
      <w14:textFill>
        <w14:solidFill>
          <w14:schemeClr w14:val="tx1"/>
        </w14:solidFill>
      </w14:textFill>
    </w:rPr>
    <w:tblPr>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14:textFill>
          <w14:solidFill>
            <w14:schemeClr w14:val="tx1"/>
          </w14:solidFill>
        </w14:textFill>
      </w:rPr>
      <w:tblPr/>
      <w:tcPr>
        <w:shd w:val="clear" w:color="auto" w:fill="CCC0D9" w:themeFill="accent4" w:themeFillTint="66"/>
      </w:tcPr>
    </w:tblStylePr>
    <w:tblStylePr w:type="firstCol">
      <w:rPr>
        <w:color w:val="FFFFFF" w:themeColor="background1"/>
        <w14:textFill>
          <w14:solidFill>
            <w14:schemeClr w14:val="bg1"/>
          </w14:solidFill>
        </w14:textFill>
      </w:rPr>
      <w:tblPr/>
      <w:tcPr>
        <w:shd w:val="clear" w:color="auto" w:fill="5F497A" w:themeFill="accent4" w:themeFillShade="BF"/>
      </w:tcPr>
    </w:tblStylePr>
    <w:tblStylePr w:type="lastCol">
      <w:rPr>
        <w:color w:val="FFFFFF" w:themeColor="background1"/>
        <w14:textFill>
          <w14:solidFill>
            <w14:schemeClr w14:val="bg1"/>
          </w14:solidFill>
        </w14:textFill>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38">
    <w:name w:val="Colorful Grid Accent 5"/>
    <w:basedOn w:val="12"/>
    <w:qFormat/>
    <w:uiPriority w:val="73"/>
    <w:rPr>
      <w:color w:val="000000" w:themeColor="text1"/>
      <w14:textFill>
        <w14:solidFill>
          <w14:schemeClr w14:val="tx1"/>
        </w14:solidFill>
      </w14:textFill>
    </w:rPr>
    <w:tblPr>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14:textFill>
          <w14:solidFill>
            <w14:schemeClr w14:val="tx1"/>
          </w14:solidFill>
        </w14:textFill>
      </w:rPr>
      <w:tblPr/>
      <w:tcPr>
        <w:shd w:val="clear" w:color="auto" w:fill="B6DDE8" w:themeFill="accent5" w:themeFillTint="66"/>
      </w:tcPr>
    </w:tblStylePr>
    <w:tblStylePr w:type="firstCol">
      <w:rPr>
        <w:color w:val="FFFFFF" w:themeColor="background1"/>
        <w14:textFill>
          <w14:solidFill>
            <w14:schemeClr w14:val="bg1"/>
          </w14:solidFill>
        </w14:textFill>
      </w:rPr>
      <w:tblPr/>
      <w:tcPr>
        <w:shd w:val="clear" w:color="auto" w:fill="31849B" w:themeFill="accent5" w:themeFillShade="BF"/>
      </w:tcPr>
    </w:tblStylePr>
    <w:tblStylePr w:type="lastCol">
      <w:rPr>
        <w:color w:val="FFFFFF" w:themeColor="background1"/>
        <w14:textFill>
          <w14:solidFill>
            <w14:schemeClr w14:val="bg1"/>
          </w14:solidFill>
        </w14:textFill>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39">
    <w:name w:val="Colorful Grid Accent 6"/>
    <w:basedOn w:val="12"/>
    <w:qFormat/>
    <w:uiPriority w:val="73"/>
    <w:rPr>
      <w:color w:val="000000" w:themeColor="text1"/>
      <w14:textFill>
        <w14:solidFill>
          <w14:schemeClr w14:val="tx1"/>
        </w14:solidFill>
      </w14:textFill>
    </w:rPr>
    <w:tblPr>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14:textFill>
          <w14:solidFill>
            <w14:schemeClr w14:val="tx1"/>
          </w14:solidFill>
        </w14:textFill>
      </w:rPr>
      <w:tblPr/>
      <w:tcPr>
        <w:shd w:val="clear" w:color="auto" w:fill="FBD4B4" w:themeFill="accent6" w:themeFillTint="66"/>
      </w:tcPr>
    </w:tblStylePr>
    <w:tblStylePr w:type="firstCol">
      <w:rPr>
        <w:color w:val="FFFFFF" w:themeColor="background1"/>
        <w14:textFill>
          <w14:solidFill>
            <w14:schemeClr w14:val="bg1"/>
          </w14:solidFill>
        </w14:textFill>
      </w:rPr>
      <w:tblPr/>
      <w:tcPr>
        <w:shd w:val="clear" w:color="auto" w:fill="E36C09" w:themeFill="accent6" w:themeFillShade="BF"/>
      </w:tcPr>
    </w:tblStylePr>
    <w:tblStylePr w:type="lastCol">
      <w:rPr>
        <w:color w:val="FFFFFF" w:themeColor="background1"/>
        <w14:textFill>
          <w14:solidFill>
            <w14:schemeClr w14:val="bg1"/>
          </w14:solidFill>
        </w14:textFill>
      </w:rPr>
      <w:tblPr/>
      <w:tcPr>
        <w:shd w:val="clear" w:color="auto" w:fill="E36C09"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customStyle="1" w:styleId="140">
    <w:name w:val="Header Char"/>
    <w:basedOn w:val="11"/>
    <w:link w:val="22"/>
    <w:qFormat/>
    <w:uiPriority w:val="99"/>
  </w:style>
  <w:style w:type="character" w:customStyle="1" w:styleId="141">
    <w:name w:val="Footer Char"/>
    <w:basedOn w:val="11"/>
    <w:link w:val="21"/>
    <w:qFormat/>
    <w:uiPriority w:val="99"/>
  </w:style>
  <w:style w:type="paragraph" w:styleId="142">
    <w:name w:val="No Spacing"/>
    <w:qFormat/>
    <w:uiPriority w:val="1"/>
    <w:rPr>
      <w:rFonts w:asciiTheme="minorHAnsi" w:hAnsiTheme="minorHAnsi" w:eastAsiaTheme="minorEastAsia" w:cstheme="minorBidi"/>
      <w:sz w:val="22"/>
      <w:szCs w:val="22"/>
      <w:lang w:val="en-US" w:eastAsia="en-US" w:bidi="ar-SA"/>
    </w:rPr>
  </w:style>
  <w:style w:type="character" w:customStyle="1" w:styleId="143">
    <w:name w:val="Heading 1 Char"/>
    <w:basedOn w:val="11"/>
    <w:link w:val="2"/>
    <w:qFormat/>
    <w:uiPriority w:val="9"/>
    <w:rPr>
      <w:rFonts w:asciiTheme="majorHAnsi" w:hAnsiTheme="majorHAnsi" w:eastAsiaTheme="majorEastAsia" w:cstheme="majorBidi"/>
      <w:b/>
      <w:bCs/>
      <w:color w:val="376092" w:themeColor="accent1" w:themeShade="BF"/>
      <w:sz w:val="28"/>
      <w:szCs w:val="28"/>
    </w:rPr>
  </w:style>
  <w:style w:type="character" w:customStyle="1" w:styleId="144">
    <w:name w:val="Heading 2 Char"/>
    <w:basedOn w:val="11"/>
    <w:link w:val="3"/>
    <w:qFormat/>
    <w:uiPriority w:val="9"/>
    <w:rPr>
      <w:rFonts w:asciiTheme="majorHAnsi" w:hAnsiTheme="majorHAnsi" w:eastAsiaTheme="majorEastAsia" w:cstheme="majorBidi"/>
      <w:b/>
      <w:bCs/>
      <w:color w:val="4F81BD" w:themeColor="accent1"/>
      <w:sz w:val="26"/>
      <w:szCs w:val="26"/>
      <w14:textFill>
        <w14:solidFill>
          <w14:schemeClr w14:val="accent1"/>
        </w14:solidFill>
      </w14:textFill>
    </w:rPr>
  </w:style>
  <w:style w:type="character" w:customStyle="1" w:styleId="145">
    <w:name w:val="Heading 3 Char"/>
    <w:basedOn w:val="11"/>
    <w:link w:val="4"/>
    <w:qFormat/>
    <w:uiPriority w:val="9"/>
    <w:rPr>
      <w:rFonts w:asciiTheme="majorHAnsi" w:hAnsiTheme="majorHAnsi" w:eastAsiaTheme="majorEastAsia" w:cstheme="majorBidi"/>
      <w:b/>
      <w:bCs/>
      <w:color w:val="4F81BD" w:themeColor="accent1"/>
      <w14:textFill>
        <w14:solidFill>
          <w14:schemeClr w14:val="accent1"/>
        </w14:solidFill>
      </w14:textFill>
    </w:rPr>
  </w:style>
  <w:style w:type="character" w:customStyle="1" w:styleId="146">
    <w:name w:val="Title Char"/>
    <w:basedOn w:val="11"/>
    <w:link w:val="39"/>
    <w:qFormat/>
    <w:uiPriority w:val="10"/>
    <w:rPr>
      <w:rFonts w:asciiTheme="majorHAnsi" w:hAnsiTheme="majorHAnsi" w:eastAsiaTheme="majorEastAsia" w:cstheme="majorBidi"/>
      <w:color w:val="17375E" w:themeColor="text2" w:themeShade="BF"/>
      <w:spacing w:val="5"/>
      <w:kern w:val="28"/>
      <w:sz w:val="52"/>
      <w:szCs w:val="52"/>
    </w:rPr>
  </w:style>
  <w:style w:type="character" w:customStyle="1" w:styleId="147">
    <w:name w:val="Subtitle Char"/>
    <w:basedOn w:val="11"/>
    <w:link w:val="37"/>
    <w:qFormat/>
    <w:uiPriority w:val="11"/>
    <w:rPr>
      <w:rFonts w:asciiTheme="majorHAnsi" w:hAnsiTheme="majorHAnsi" w:eastAsiaTheme="majorEastAsia" w:cstheme="majorBidi"/>
      <w:i/>
      <w:iCs/>
      <w:color w:val="4F81BD" w:themeColor="accent1"/>
      <w:spacing w:val="15"/>
      <w:sz w:val="24"/>
      <w:szCs w:val="24"/>
      <w14:textFill>
        <w14:solidFill>
          <w14:schemeClr w14:val="accent1"/>
        </w14:solidFill>
      </w14:textFill>
    </w:rPr>
  </w:style>
  <w:style w:type="paragraph" w:styleId="148">
    <w:name w:val="List Paragraph"/>
    <w:basedOn w:val="1"/>
    <w:qFormat/>
    <w:uiPriority w:val="34"/>
    <w:pPr>
      <w:ind w:left="720"/>
      <w:contextualSpacing/>
    </w:pPr>
  </w:style>
  <w:style w:type="character" w:customStyle="1" w:styleId="149">
    <w:name w:val="Body Text Char"/>
    <w:basedOn w:val="11"/>
    <w:link w:val="13"/>
    <w:qFormat/>
    <w:uiPriority w:val="99"/>
  </w:style>
  <w:style w:type="character" w:customStyle="1" w:styleId="150">
    <w:name w:val="Body Text 2 Char"/>
    <w:basedOn w:val="11"/>
    <w:link w:val="14"/>
    <w:qFormat/>
    <w:uiPriority w:val="99"/>
  </w:style>
  <w:style w:type="character" w:customStyle="1" w:styleId="151">
    <w:name w:val="Body Text 3 Char"/>
    <w:basedOn w:val="11"/>
    <w:link w:val="15"/>
    <w:qFormat/>
    <w:uiPriority w:val="99"/>
    <w:rPr>
      <w:sz w:val="16"/>
      <w:szCs w:val="16"/>
    </w:rPr>
  </w:style>
  <w:style w:type="character" w:customStyle="1" w:styleId="152">
    <w:name w:val="Macro Text Char"/>
    <w:basedOn w:val="11"/>
    <w:link w:val="35"/>
    <w:qFormat/>
    <w:uiPriority w:val="99"/>
    <w:rPr>
      <w:rFonts w:ascii="Courier" w:hAnsi="Courier"/>
      <w:sz w:val="20"/>
      <w:szCs w:val="20"/>
    </w:rPr>
  </w:style>
  <w:style w:type="paragraph" w:styleId="153">
    <w:name w:val="Quote"/>
    <w:basedOn w:val="1"/>
    <w:next w:val="1"/>
    <w:link w:val="154"/>
    <w:qFormat/>
    <w:uiPriority w:val="29"/>
    <w:rPr>
      <w:i/>
      <w:iCs/>
      <w:color w:val="000000" w:themeColor="text1"/>
      <w14:textFill>
        <w14:solidFill>
          <w14:schemeClr w14:val="tx1"/>
        </w14:solidFill>
      </w14:textFill>
    </w:rPr>
  </w:style>
  <w:style w:type="character" w:customStyle="1" w:styleId="154">
    <w:name w:val="Quote Char"/>
    <w:basedOn w:val="11"/>
    <w:link w:val="153"/>
    <w:qFormat/>
    <w:uiPriority w:val="29"/>
    <w:rPr>
      <w:i/>
      <w:iCs/>
      <w:color w:val="000000" w:themeColor="text1"/>
      <w14:textFill>
        <w14:solidFill>
          <w14:schemeClr w14:val="tx1"/>
        </w14:solidFill>
      </w14:textFill>
    </w:rPr>
  </w:style>
  <w:style w:type="character" w:customStyle="1" w:styleId="155">
    <w:name w:val="Heading 4 Char"/>
    <w:basedOn w:val="11"/>
    <w:link w:val="5"/>
    <w:semiHidden/>
    <w:qFormat/>
    <w:uiPriority w:val="9"/>
    <w:rPr>
      <w:rFonts w:asciiTheme="majorHAnsi" w:hAnsiTheme="majorHAnsi" w:eastAsiaTheme="majorEastAsia" w:cstheme="majorBidi"/>
      <w:b/>
      <w:bCs/>
      <w:i/>
      <w:iCs/>
      <w:color w:val="4F81BD" w:themeColor="accent1"/>
      <w14:textFill>
        <w14:solidFill>
          <w14:schemeClr w14:val="accent1"/>
        </w14:solidFill>
      </w14:textFill>
    </w:rPr>
  </w:style>
  <w:style w:type="character" w:customStyle="1" w:styleId="156">
    <w:name w:val="Heading 5 Char"/>
    <w:basedOn w:val="11"/>
    <w:link w:val="6"/>
    <w:semiHidden/>
    <w:qFormat/>
    <w:uiPriority w:val="9"/>
    <w:rPr>
      <w:rFonts w:asciiTheme="majorHAnsi" w:hAnsiTheme="majorHAnsi" w:eastAsiaTheme="majorEastAsia" w:cstheme="majorBidi"/>
      <w:color w:val="254061" w:themeColor="accent1" w:themeShade="80"/>
    </w:rPr>
  </w:style>
  <w:style w:type="character" w:customStyle="1" w:styleId="157">
    <w:name w:val="Heading 6 Char"/>
    <w:basedOn w:val="11"/>
    <w:link w:val="7"/>
    <w:semiHidden/>
    <w:qFormat/>
    <w:uiPriority w:val="9"/>
    <w:rPr>
      <w:rFonts w:asciiTheme="majorHAnsi" w:hAnsiTheme="majorHAnsi" w:eastAsiaTheme="majorEastAsia" w:cstheme="majorBidi"/>
      <w:i/>
      <w:iCs/>
      <w:color w:val="254061" w:themeColor="accent1" w:themeShade="80"/>
    </w:rPr>
  </w:style>
  <w:style w:type="character" w:customStyle="1" w:styleId="158">
    <w:name w:val="Heading 7 Char"/>
    <w:basedOn w:val="11"/>
    <w:link w:val="8"/>
    <w:semiHidden/>
    <w:qFormat/>
    <w:uiPriority w:val="9"/>
    <w:rPr>
      <w:rFonts w:asciiTheme="majorHAnsi" w:hAnsiTheme="majorHAnsi" w:eastAsiaTheme="majorEastAsia" w:cstheme="majorBidi"/>
      <w:i/>
      <w:iCs/>
      <w:color w:val="404040" w:themeColor="text1" w:themeTint="BF"/>
      <w14:textFill>
        <w14:solidFill>
          <w14:schemeClr w14:val="tx1">
            <w14:lumMod w14:val="75000"/>
            <w14:lumOff w14:val="25000"/>
          </w14:schemeClr>
        </w14:solidFill>
      </w14:textFill>
    </w:rPr>
  </w:style>
  <w:style w:type="character" w:customStyle="1" w:styleId="159">
    <w:name w:val="Heading 8 Char"/>
    <w:basedOn w:val="11"/>
    <w:link w:val="9"/>
    <w:semiHidden/>
    <w:qFormat/>
    <w:uiPriority w:val="9"/>
    <w:rPr>
      <w:rFonts w:asciiTheme="majorHAnsi" w:hAnsiTheme="majorHAnsi" w:eastAsiaTheme="majorEastAsia" w:cstheme="majorBidi"/>
      <w:color w:val="4F81BD" w:themeColor="accent1"/>
      <w:sz w:val="20"/>
      <w:szCs w:val="20"/>
      <w14:textFill>
        <w14:solidFill>
          <w14:schemeClr w14:val="accent1"/>
        </w14:solidFill>
      </w14:textFill>
    </w:rPr>
  </w:style>
  <w:style w:type="character" w:customStyle="1" w:styleId="160">
    <w:name w:val="Heading 9 Char"/>
    <w:basedOn w:val="11"/>
    <w:link w:val="10"/>
    <w:semiHidden/>
    <w:qFormat/>
    <w:uiPriority w:val="9"/>
    <w:rPr>
      <w:rFonts w:asciiTheme="majorHAnsi" w:hAnsiTheme="majorHAnsi" w:eastAsiaTheme="majorEastAsia" w:cstheme="majorBidi"/>
      <w:i/>
      <w:iCs/>
      <w:color w:val="404040" w:themeColor="text1" w:themeTint="BF"/>
      <w:sz w:val="20"/>
      <w:szCs w:val="20"/>
      <w14:textFill>
        <w14:solidFill>
          <w14:schemeClr w14:val="tx1">
            <w14:lumMod w14:val="75000"/>
            <w14:lumOff w14:val="25000"/>
          </w14:schemeClr>
        </w14:solidFill>
      </w14:textFill>
    </w:rPr>
  </w:style>
  <w:style w:type="paragraph" w:styleId="161">
    <w:name w:val="Intense Quote"/>
    <w:basedOn w:val="1"/>
    <w:next w:val="1"/>
    <w:link w:val="162"/>
    <w:qFormat/>
    <w:uiPriority w:val="30"/>
    <w:pPr>
      <w:pBdr>
        <w:bottom w:val="single" w:color="4F81BD" w:themeColor="accent1" w:sz="4" w:space="4"/>
      </w:pBdr>
      <w:spacing w:before="200" w:after="280"/>
      <w:ind w:left="936" w:right="936"/>
    </w:pPr>
    <w:rPr>
      <w:b/>
      <w:bCs/>
      <w:i/>
      <w:iCs/>
      <w:color w:val="4F81BD" w:themeColor="accent1"/>
      <w14:textFill>
        <w14:solidFill>
          <w14:schemeClr w14:val="accent1"/>
        </w14:solidFill>
      </w14:textFill>
    </w:rPr>
  </w:style>
  <w:style w:type="character" w:customStyle="1" w:styleId="162">
    <w:name w:val="Intense Quote Char"/>
    <w:basedOn w:val="11"/>
    <w:link w:val="161"/>
    <w:qFormat/>
    <w:uiPriority w:val="30"/>
    <w:rPr>
      <w:b/>
      <w:bCs/>
      <w:i/>
      <w:iCs/>
      <w:color w:val="4F81BD" w:themeColor="accent1"/>
      <w14:textFill>
        <w14:solidFill>
          <w14:schemeClr w14:val="accent1"/>
        </w14:solidFill>
      </w14:textFill>
    </w:rPr>
  </w:style>
  <w:style w:type="character" w:customStyle="1" w:styleId="163">
    <w:name w:val="Subtle Emphasis1"/>
    <w:basedOn w:val="11"/>
    <w:qFormat/>
    <w:uiPriority w:val="19"/>
    <w:rPr>
      <w:i/>
      <w:iCs/>
      <w:color w:val="808080" w:themeColor="text1" w:themeTint="80"/>
      <w14:textFill>
        <w14:solidFill>
          <w14:schemeClr w14:val="tx1">
            <w14:lumMod w14:val="50000"/>
            <w14:lumOff w14:val="50000"/>
          </w14:schemeClr>
        </w14:solidFill>
      </w14:textFill>
    </w:rPr>
  </w:style>
  <w:style w:type="character" w:customStyle="1" w:styleId="164">
    <w:name w:val="Intense Emphasis1"/>
    <w:basedOn w:val="11"/>
    <w:qFormat/>
    <w:uiPriority w:val="21"/>
    <w:rPr>
      <w:b/>
      <w:bCs/>
      <w:i/>
      <w:iCs/>
      <w:color w:val="4F81BD" w:themeColor="accent1"/>
      <w14:textFill>
        <w14:solidFill>
          <w14:schemeClr w14:val="accent1"/>
        </w14:solidFill>
      </w14:textFill>
    </w:rPr>
  </w:style>
  <w:style w:type="character" w:customStyle="1" w:styleId="165">
    <w:name w:val="Subtle Reference1"/>
    <w:basedOn w:val="11"/>
    <w:qFormat/>
    <w:uiPriority w:val="31"/>
    <w:rPr>
      <w:smallCaps/>
      <w:color w:val="C0504D" w:themeColor="accent2"/>
      <w:u w:val="single"/>
      <w14:textFill>
        <w14:solidFill>
          <w14:schemeClr w14:val="accent2"/>
        </w14:solidFill>
      </w14:textFill>
    </w:rPr>
  </w:style>
  <w:style w:type="character" w:customStyle="1" w:styleId="166">
    <w:name w:val="Intense Reference1"/>
    <w:basedOn w:val="11"/>
    <w:qFormat/>
    <w:uiPriority w:val="32"/>
    <w:rPr>
      <w:b/>
      <w:bCs/>
      <w:smallCaps/>
      <w:color w:val="C0504D" w:themeColor="accent2"/>
      <w:spacing w:val="5"/>
      <w:u w:val="single"/>
      <w14:textFill>
        <w14:solidFill>
          <w14:schemeClr w14:val="accent2"/>
        </w14:solidFill>
      </w14:textFill>
    </w:rPr>
  </w:style>
  <w:style w:type="character" w:customStyle="1" w:styleId="167">
    <w:name w:val="Book Title1"/>
    <w:basedOn w:val="11"/>
    <w:qFormat/>
    <w:uiPriority w:val="33"/>
    <w:rPr>
      <w:b/>
      <w:bCs/>
      <w:smallCaps/>
      <w:spacing w:val="5"/>
    </w:rPr>
  </w:style>
  <w:style w:type="paragraph" w:customStyle="1" w:styleId="168">
    <w:name w:val="TOC Heading1"/>
    <w:basedOn w:val="2"/>
    <w:next w:val="1"/>
    <w:semiHidden/>
    <w:unhideWhenUsed/>
    <w:qFormat/>
    <w:uiPriority w:val="39"/>
    <w:pPr>
      <w:outlineLvl w:val="9"/>
    </w:pPr>
  </w:style>
  <w:style w:type="character" w:customStyle="1" w:styleId="169">
    <w:name w:val="Comment Text Char"/>
    <w:basedOn w:val="11"/>
    <w:link w:val="18"/>
    <w:qFormat/>
    <w:uiPriority w:val="99"/>
    <w:rPr>
      <w:rFonts w:ascii="Aptos" w:hAnsi="Aptos" w:eastAsia="Aptos"/>
      <w:lang w:val="en-US" w:eastAsia="en-US"/>
    </w:rPr>
  </w:style>
  <w:style w:type="character" w:customStyle="1" w:styleId="170">
    <w:name w:val="Comment Subject Char"/>
    <w:basedOn w:val="169"/>
    <w:link w:val="19"/>
    <w:semiHidden/>
    <w:qFormat/>
    <w:uiPriority w:val="99"/>
    <w:rPr>
      <w:rFonts w:ascii="Aptos" w:hAnsi="Aptos" w:eastAsia="Aptos"/>
      <w:b/>
      <w:bCs/>
      <w:lang w:val="en-US" w:eastAsia="en-US"/>
    </w:rPr>
  </w:style>
</w:styles>
</file>

<file path=word/_rels/document.xml.rels><?xml version="1.0" encoding="UTF-8" standalone="yes"?>
<Relationships xmlns="http://schemas.openxmlformats.org/package/2006/relationships"><Relationship Id="rId9" Type="http://schemas.openxmlformats.org/officeDocument/2006/relationships/image" Target="cid:image001.png@01D0EA4A.2BD679A0" TargetMode="External"/><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1.xml"/><Relationship Id="rId15" Type="http://schemas.openxmlformats.org/officeDocument/2006/relationships/numbering" Target="numbering.xml"/><Relationship Id="rId14" Type="http://schemas.openxmlformats.org/officeDocument/2006/relationships/image" Target="media/image6.png"/><Relationship Id="rId13" Type="http://schemas.openxmlformats.org/officeDocument/2006/relationships/image" Target="media/image5.png"/><Relationship Id="rId12" Type="http://schemas.openxmlformats.org/officeDocument/2006/relationships/image" Target="media/image4.png"/><Relationship Id="rId11" Type="http://schemas.openxmlformats.org/officeDocument/2006/relationships/image" Target="media/image3.png"/><Relationship Id="rId10" Type="http://schemas.openxmlformats.org/officeDocument/2006/relationships/image" Target="media/image2.pn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datastoreItem>
</file>

<file path=docProps/app.xml><?xml version="1.0" encoding="utf-8"?>
<Properties xmlns="http://schemas.openxmlformats.org/officeDocument/2006/extended-properties" xmlns:vt="http://schemas.openxmlformats.org/officeDocument/2006/docPropsVTypes">
  <Template>Normal</Template>
  <Pages>16</Pages>
  <Words>173</Words>
  <Characters>1031</Characters>
  <Lines>192</Lines>
  <Paragraphs>54</Paragraphs>
  <TotalTime>23</TotalTime>
  <ScaleCrop>false</ScaleCrop>
  <LinksUpToDate>false</LinksUpToDate>
  <CharactersWithSpaces>1158</CharactersWithSpaces>
  <Application>WPS Office_12.1.0.29162_F1E327BC-269C-435d-A152-05C5408002CA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2026-10-16T11:04:00Z</dcterms:created>
  <dc:creator>Tchewebe Alain Hoola</dc:creator>
  <dc:description>generated by python-docx</dc:description>
  <cp:keywords>Rio Tinto, marketing environment, Ansoff, Porter, lower-carbon transition</cp:keywords>
  <cp:lastModifiedBy>WPS_1791603566</cp:lastModifiedBy>
  <dcterms:modified xsi:type="dcterms:W3CDTF">2026-10-21T16:19:19Z</dcterms:modified>
  <dc:subject>Marketing Management LCMB7024</dc:subject>
  <dc:title>Marketing Environment Analysis Rio Tinto</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eyJoZGlkIjoiMGU0NGMwZGI4NzkxNjQ4ZDM2YzAxODQ4ZGU2NzY2NGMiLCJ1c2VySWQiOiIzODQ4Mjk4NTE4NDE4In0=</vt:lpwstr>
  </property>
  <property fmtid="{D5CDD505-2E9C-101B-9397-08002B2CF9AE}" pid="3" name="KSOProductBuildVer">
    <vt:lpwstr>1033-12.1.0.29162</vt:lpwstr>
  </property>
  <property fmtid="{D5CDD505-2E9C-101B-9397-08002B2CF9AE}" pid="4" name="ICV">
    <vt:lpwstr>B198998C818A41C88BA538870A13B72F_12</vt:lpwstr>
  </property>
</Properties>
</file>