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40C02" w14:textId="77777777" w:rsidR="00213D05" w:rsidRPr="005655CD" w:rsidRDefault="00213D05" w:rsidP="00F85C9B">
      <w:pPr>
        <w:spacing w:after="240" w:line="360" w:lineRule="auto"/>
      </w:pPr>
      <w:bookmarkStart w:id="0" w:name="_ho6faoeh1z0q" w:colFirst="0" w:colLast="0"/>
      <w:bookmarkEnd w:id="0"/>
    </w:p>
    <w:p w14:paraId="776D9F0A" w14:textId="7125754B" w:rsidR="00213D05" w:rsidRPr="005655CD" w:rsidRDefault="002C4C6F" w:rsidP="00F85C9B">
      <w:pPr>
        <w:spacing w:after="240" w:line="360" w:lineRule="auto"/>
        <w:jc w:val="center"/>
      </w:pPr>
      <w:bookmarkStart w:id="1" w:name="_6l0mnm33omre" w:colFirst="0" w:colLast="0"/>
      <w:bookmarkEnd w:id="1"/>
      <w:r w:rsidRPr="005655CD">
        <w:rPr>
          <w:noProof/>
          <w:lang w:val="en-IN" w:bidi="hi-IN"/>
        </w:rPr>
        <w:drawing>
          <wp:inline distT="0" distB="0" distL="0" distR="0" wp14:anchorId="7FC9AF30" wp14:editId="666E03D9">
            <wp:extent cx="3363419" cy="1404837"/>
            <wp:effectExtent l="0" t="0" r="8890" b="5080"/>
            <wp:docPr id="3" name="Picture 3"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3634" cy="1409104"/>
                    </a:xfrm>
                    <a:prstGeom prst="rect">
                      <a:avLst/>
                    </a:prstGeom>
                    <a:noFill/>
                    <a:ln>
                      <a:noFill/>
                    </a:ln>
                  </pic:spPr>
                </pic:pic>
              </a:graphicData>
            </a:graphic>
          </wp:inline>
        </w:drawing>
      </w:r>
    </w:p>
    <w:p w14:paraId="5829D5F5" w14:textId="77777777" w:rsidR="002C4C6F" w:rsidRPr="005655CD" w:rsidRDefault="002C4C6F" w:rsidP="00F85C9B">
      <w:pPr>
        <w:spacing w:after="240" w:line="360" w:lineRule="auto"/>
        <w:jc w:val="center"/>
        <w:rPr>
          <w:rFonts w:eastAsia="Times New Roman"/>
          <w:b/>
          <w:bCs/>
          <w:sz w:val="32"/>
          <w:szCs w:val="24"/>
        </w:rPr>
      </w:pPr>
      <w:bookmarkStart w:id="2" w:name="_1act8240m3ix" w:colFirst="0" w:colLast="0"/>
      <w:bookmarkEnd w:id="2"/>
      <w:r w:rsidRPr="005655CD">
        <w:rPr>
          <w:rFonts w:eastAsia="Times New Roman"/>
          <w:b/>
          <w:bCs/>
          <w:sz w:val="32"/>
          <w:szCs w:val="24"/>
        </w:rPr>
        <w:t>Module: Marketing Management</w:t>
      </w:r>
    </w:p>
    <w:p w14:paraId="4F6220EF" w14:textId="77777777" w:rsidR="002C4C6F" w:rsidRPr="005655CD" w:rsidRDefault="002C4C6F" w:rsidP="00F85C9B">
      <w:pPr>
        <w:spacing w:after="240" w:line="360" w:lineRule="auto"/>
        <w:jc w:val="center"/>
        <w:rPr>
          <w:b/>
          <w:sz w:val="32"/>
          <w:szCs w:val="24"/>
        </w:rPr>
      </w:pPr>
      <w:r w:rsidRPr="005655CD">
        <w:rPr>
          <w:b/>
          <w:sz w:val="32"/>
          <w:szCs w:val="24"/>
        </w:rPr>
        <w:t>Module Code: LCMB7024</w:t>
      </w:r>
    </w:p>
    <w:p w14:paraId="788A421C" w14:textId="77777777" w:rsidR="002C4C6F" w:rsidRPr="005655CD" w:rsidRDefault="002C4C6F" w:rsidP="00F85C9B">
      <w:pPr>
        <w:spacing w:after="240" w:line="360" w:lineRule="auto"/>
        <w:jc w:val="center"/>
        <w:rPr>
          <w:b/>
          <w:sz w:val="32"/>
          <w:szCs w:val="24"/>
        </w:rPr>
      </w:pPr>
      <w:r w:rsidRPr="005655CD">
        <w:rPr>
          <w:b/>
          <w:sz w:val="32"/>
          <w:szCs w:val="24"/>
        </w:rPr>
        <w:t>Assignment Title: Marketing Environment Analysis</w:t>
      </w:r>
    </w:p>
    <w:p w14:paraId="6BAC55DA" w14:textId="1DEE64FF" w:rsidR="002C4C6F" w:rsidRPr="005655CD" w:rsidRDefault="002C4C6F" w:rsidP="00F85C9B">
      <w:pPr>
        <w:spacing w:after="240" w:line="360" w:lineRule="auto"/>
        <w:jc w:val="center"/>
        <w:rPr>
          <w:b/>
          <w:sz w:val="32"/>
          <w:szCs w:val="24"/>
        </w:rPr>
      </w:pPr>
      <w:r w:rsidRPr="005655CD">
        <w:rPr>
          <w:b/>
          <w:sz w:val="32"/>
          <w:szCs w:val="24"/>
        </w:rPr>
        <w:t>Student Name:</w:t>
      </w:r>
      <w:r w:rsidR="003F6C65">
        <w:rPr>
          <w:b/>
          <w:sz w:val="32"/>
          <w:szCs w:val="24"/>
        </w:rPr>
        <w:t xml:space="preserve"> </w:t>
      </w:r>
      <w:proofErr w:type="spellStart"/>
      <w:r w:rsidR="003F6C65">
        <w:rPr>
          <w:b/>
          <w:sz w:val="32"/>
          <w:szCs w:val="24"/>
        </w:rPr>
        <w:t>Kunjan</w:t>
      </w:r>
      <w:proofErr w:type="spellEnd"/>
      <w:r w:rsidR="003F6C65">
        <w:rPr>
          <w:b/>
          <w:sz w:val="32"/>
          <w:szCs w:val="24"/>
        </w:rPr>
        <w:t xml:space="preserve"> Patel </w:t>
      </w:r>
    </w:p>
    <w:p w14:paraId="3CFFE6BF" w14:textId="6F07E17D" w:rsidR="00213D05" w:rsidRPr="00344E5C" w:rsidRDefault="002C4C6F" w:rsidP="00344E5C">
      <w:pPr>
        <w:spacing w:after="240" w:line="360" w:lineRule="auto"/>
        <w:jc w:val="center"/>
        <w:rPr>
          <w:b/>
          <w:sz w:val="32"/>
          <w:szCs w:val="24"/>
        </w:rPr>
      </w:pPr>
      <w:r w:rsidRPr="005655CD">
        <w:rPr>
          <w:b/>
          <w:sz w:val="32"/>
          <w:szCs w:val="24"/>
        </w:rPr>
        <w:t>Student ID:</w:t>
      </w:r>
      <w:r w:rsidR="003F6C65">
        <w:rPr>
          <w:b/>
          <w:sz w:val="32"/>
          <w:szCs w:val="24"/>
        </w:rPr>
        <w:t xml:space="preserve"> </w:t>
      </w:r>
      <w:r w:rsidR="00344E5C">
        <w:rPr>
          <w:b/>
          <w:sz w:val="32"/>
          <w:szCs w:val="24"/>
        </w:rPr>
        <w:t>2540249</w:t>
      </w:r>
      <w:r w:rsidR="00215BD5" w:rsidRPr="005655CD">
        <w:rPr>
          <w:sz w:val="24"/>
          <w:szCs w:val="24"/>
        </w:rPr>
        <w:br w:type="page"/>
      </w:r>
    </w:p>
    <w:p w14:paraId="40440368" w14:textId="77777777" w:rsidR="00213D05" w:rsidRPr="005655CD" w:rsidRDefault="00215BD5" w:rsidP="00F85C9B">
      <w:pPr>
        <w:spacing w:after="240" w:line="360" w:lineRule="auto"/>
        <w:jc w:val="center"/>
        <w:rPr>
          <w:rFonts w:eastAsia="Times New Roman"/>
          <w:b/>
          <w:bCs/>
          <w:sz w:val="28"/>
          <w:szCs w:val="24"/>
        </w:rPr>
      </w:pPr>
      <w:r w:rsidRPr="005655CD">
        <w:rPr>
          <w:rFonts w:eastAsia="Times New Roman"/>
          <w:b/>
          <w:bCs/>
          <w:sz w:val="28"/>
          <w:szCs w:val="24"/>
        </w:rPr>
        <w:lastRenderedPageBreak/>
        <w:t>Table of Contents</w:t>
      </w:r>
    </w:p>
    <w:sdt>
      <w:sdtPr>
        <w:rPr>
          <w:sz w:val="24"/>
          <w:szCs w:val="24"/>
        </w:rPr>
        <w:id w:val="338857285"/>
        <w:docPartObj>
          <w:docPartGallery w:val="Table of Contents"/>
          <w:docPartUnique/>
        </w:docPartObj>
      </w:sdtPr>
      <w:sdtEndPr/>
      <w:sdtContent>
        <w:p w14:paraId="64D80F71" w14:textId="71B78460" w:rsidR="00F85C9B" w:rsidRPr="005655CD" w:rsidRDefault="00215BD5" w:rsidP="00F85C9B">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r w:rsidRPr="005655CD">
            <w:rPr>
              <w:sz w:val="24"/>
              <w:szCs w:val="24"/>
            </w:rPr>
            <w:fldChar w:fldCharType="begin"/>
          </w:r>
          <w:r w:rsidRPr="005655CD">
            <w:rPr>
              <w:sz w:val="24"/>
              <w:szCs w:val="24"/>
            </w:rPr>
            <w:instrText xml:space="preserve"> TOC \h \u \z \t "Heading 1,1,Heading 2,2,Heading 3,3,Heading 4,4,Heading 5,5,Heading 6,6,"</w:instrText>
          </w:r>
          <w:r w:rsidRPr="005655CD">
            <w:rPr>
              <w:sz w:val="24"/>
              <w:szCs w:val="24"/>
            </w:rPr>
            <w:fldChar w:fldCharType="separate"/>
          </w:r>
          <w:hyperlink w:anchor="_Toc235717004" w:history="1">
            <w:r w:rsidR="00F85C9B" w:rsidRPr="005655CD">
              <w:rPr>
                <w:rStyle w:val="Hyperlink"/>
                <w:noProof/>
                <w:color w:val="auto"/>
                <w:sz w:val="24"/>
                <w:szCs w:val="24"/>
              </w:rPr>
              <w:t>1. Task 1: Marketing Environment Analysis</w:t>
            </w:r>
            <w:r w:rsidR="00F85C9B" w:rsidRPr="005655CD">
              <w:rPr>
                <w:noProof/>
                <w:webHidden/>
                <w:sz w:val="24"/>
                <w:szCs w:val="24"/>
              </w:rPr>
              <w:tab/>
            </w:r>
            <w:r w:rsidR="00F85C9B" w:rsidRPr="005655CD">
              <w:rPr>
                <w:noProof/>
                <w:webHidden/>
                <w:sz w:val="24"/>
                <w:szCs w:val="24"/>
              </w:rPr>
              <w:fldChar w:fldCharType="begin"/>
            </w:r>
            <w:r w:rsidR="00F85C9B" w:rsidRPr="005655CD">
              <w:rPr>
                <w:noProof/>
                <w:webHidden/>
                <w:sz w:val="24"/>
                <w:szCs w:val="24"/>
              </w:rPr>
              <w:instrText xml:space="preserve"> PAGEREF _Toc235717004 \h </w:instrText>
            </w:r>
            <w:r w:rsidR="00F85C9B" w:rsidRPr="005655CD">
              <w:rPr>
                <w:noProof/>
                <w:webHidden/>
                <w:sz w:val="24"/>
                <w:szCs w:val="24"/>
              </w:rPr>
            </w:r>
            <w:r w:rsidR="00F85C9B" w:rsidRPr="005655CD">
              <w:rPr>
                <w:noProof/>
                <w:webHidden/>
                <w:sz w:val="24"/>
                <w:szCs w:val="24"/>
              </w:rPr>
              <w:fldChar w:fldCharType="separate"/>
            </w:r>
            <w:r w:rsidR="00F85C9B" w:rsidRPr="005655CD">
              <w:rPr>
                <w:noProof/>
                <w:webHidden/>
                <w:sz w:val="24"/>
                <w:szCs w:val="24"/>
              </w:rPr>
              <w:t>3</w:t>
            </w:r>
            <w:r w:rsidR="00F85C9B" w:rsidRPr="005655CD">
              <w:rPr>
                <w:noProof/>
                <w:webHidden/>
                <w:sz w:val="24"/>
                <w:szCs w:val="24"/>
              </w:rPr>
              <w:fldChar w:fldCharType="end"/>
            </w:r>
          </w:hyperlink>
        </w:p>
        <w:p w14:paraId="4FD557C3" w14:textId="16EEABD2"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05" w:history="1">
            <w:r w:rsidRPr="005655CD">
              <w:rPr>
                <w:rStyle w:val="Hyperlink"/>
                <w:noProof/>
                <w:color w:val="auto"/>
                <w:sz w:val="24"/>
                <w:szCs w:val="24"/>
              </w:rPr>
              <w:t>1.1 Company Selection and Context</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_Toc235717005 \h </w:instrText>
            </w:r>
            <w:r w:rsidRPr="005655CD">
              <w:rPr>
                <w:noProof/>
                <w:webHidden/>
                <w:sz w:val="24"/>
                <w:szCs w:val="24"/>
              </w:rPr>
            </w:r>
            <w:r w:rsidRPr="005655CD">
              <w:rPr>
                <w:noProof/>
                <w:webHidden/>
                <w:sz w:val="24"/>
                <w:szCs w:val="24"/>
              </w:rPr>
              <w:fldChar w:fldCharType="separate"/>
            </w:r>
            <w:r w:rsidRPr="005655CD">
              <w:rPr>
                <w:noProof/>
                <w:webHidden/>
                <w:sz w:val="24"/>
                <w:szCs w:val="24"/>
              </w:rPr>
              <w:t>3</w:t>
            </w:r>
            <w:r w:rsidRPr="005655CD">
              <w:rPr>
                <w:noProof/>
                <w:webHidden/>
                <w:sz w:val="24"/>
                <w:szCs w:val="24"/>
              </w:rPr>
              <w:fldChar w:fldCharType="end"/>
            </w:r>
          </w:hyperlink>
        </w:p>
        <w:p w14:paraId="4694BB64" w14:textId="059B565B"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06" w:history="1">
            <w:r w:rsidRPr="005655CD">
              <w:rPr>
                <w:rStyle w:val="Hyperlink"/>
                <w:noProof/>
                <w:color w:val="auto"/>
                <w:sz w:val="24"/>
                <w:szCs w:val="24"/>
              </w:rPr>
              <w:t>1.2 External Marketing Environment Actor 1: The Natural Environment</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_Toc235717006 \h </w:instrText>
            </w:r>
            <w:r w:rsidRPr="005655CD">
              <w:rPr>
                <w:noProof/>
                <w:webHidden/>
                <w:sz w:val="24"/>
                <w:szCs w:val="24"/>
              </w:rPr>
            </w:r>
            <w:r w:rsidRPr="005655CD">
              <w:rPr>
                <w:noProof/>
                <w:webHidden/>
                <w:sz w:val="24"/>
                <w:szCs w:val="24"/>
              </w:rPr>
              <w:fldChar w:fldCharType="separate"/>
            </w:r>
            <w:r w:rsidRPr="005655CD">
              <w:rPr>
                <w:noProof/>
                <w:webHidden/>
                <w:sz w:val="24"/>
                <w:szCs w:val="24"/>
              </w:rPr>
              <w:t>4</w:t>
            </w:r>
            <w:r w:rsidRPr="005655CD">
              <w:rPr>
                <w:noProof/>
                <w:webHidden/>
                <w:sz w:val="24"/>
                <w:szCs w:val="24"/>
              </w:rPr>
              <w:fldChar w:fldCharType="end"/>
            </w:r>
          </w:hyperlink>
        </w:p>
        <w:p w14:paraId="52E5C637" w14:textId="7C6F0BC5" w:rsidR="00F85C9B" w:rsidRPr="005655CD" w:rsidRDefault="00F85C9B" w:rsidP="00F85C9B">
          <w:pPr>
            <w:pStyle w:val="TOC3"/>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07" w:history="1">
            <w:r w:rsidRPr="005655CD">
              <w:rPr>
                <w:rStyle w:val="Hyperlink"/>
                <w:noProof/>
                <w:color w:val="auto"/>
                <w:sz w:val="24"/>
                <w:szCs w:val="24"/>
              </w:rPr>
              <w:t>1.2.1 Influence of Natural Environmental Pressures on BHP's Low-Carbon Transition</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_Toc235717007 \h </w:instrText>
            </w:r>
            <w:r w:rsidRPr="005655CD">
              <w:rPr>
                <w:noProof/>
                <w:webHidden/>
                <w:sz w:val="24"/>
                <w:szCs w:val="24"/>
              </w:rPr>
            </w:r>
            <w:r w:rsidRPr="005655CD">
              <w:rPr>
                <w:noProof/>
                <w:webHidden/>
                <w:sz w:val="24"/>
                <w:szCs w:val="24"/>
              </w:rPr>
              <w:fldChar w:fldCharType="separate"/>
            </w:r>
            <w:r w:rsidRPr="005655CD">
              <w:rPr>
                <w:noProof/>
                <w:webHidden/>
                <w:sz w:val="24"/>
                <w:szCs w:val="24"/>
              </w:rPr>
              <w:t>4</w:t>
            </w:r>
            <w:r w:rsidRPr="005655CD">
              <w:rPr>
                <w:noProof/>
                <w:webHidden/>
                <w:sz w:val="24"/>
                <w:szCs w:val="24"/>
              </w:rPr>
              <w:fldChar w:fldCharType="end"/>
            </w:r>
          </w:hyperlink>
        </w:p>
        <w:p w14:paraId="53F2127B" w14:textId="34F528C4" w:rsidR="00F85C9B" w:rsidRPr="005655CD" w:rsidRDefault="00F85C9B" w:rsidP="00F85C9B">
          <w:pPr>
            <w:pStyle w:val="TOC3"/>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08" w:history="1">
            <w:r w:rsidRPr="005655CD">
              <w:rPr>
                <w:rStyle w:val="Hyperlink"/>
                <w:noProof/>
                <w:color w:val="auto"/>
                <w:sz w:val="24"/>
                <w:szCs w:val="24"/>
              </w:rPr>
              <w:t>1.2.2 Strategic Opportunities and Threats</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_Toc235717008 \h </w:instrText>
            </w:r>
            <w:r w:rsidRPr="005655CD">
              <w:rPr>
                <w:noProof/>
                <w:webHidden/>
                <w:sz w:val="24"/>
                <w:szCs w:val="24"/>
              </w:rPr>
            </w:r>
            <w:r w:rsidRPr="005655CD">
              <w:rPr>
                <w:noProof/>
                <w:webHidden/>
                <w:sz w:val="24"/>
                <w:szCs w:val="24"/>
              </w:rPr>
              <w:fldChar w:fldCharType="separate"/>
            </w:r>
            <w:r w:rsidRPr="005655CD">
              <w:rPr>
                <w:noProof/>
                <w:webHidden/>
                <w:sz w:val="24"/>
                <w:szCs w:val="24"/>
              </w:rPr>
              <w:t>4</w:t>
            </w:r>
            <w:r w:rsidRPr="005655CD">
              <w:rPr>
                <w:noProof/>
                <w:webHidden/>
                <w:sz w:val="24"/>
                <w:szCs w:val="24"/>
              </w:rPr>
              <w:fldChar w:fldCharType="end"/>
            </w:r>
          </w:hyperlink>
        </w:p>
        <w:p w14:paraId="08BBE51C" w14:textId="67C778D6"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09" w:history="1">
            <w:r w:rsidRPr="005655CD">
              <w:rPr>
                <w:rStyle w:val="Hyperlink"/>
                <w:noProof/>
                <w:color w:val="auto"/>
                <w:sz w:val="24"/>
                <w:szCs w:val="24"/>
              </w:rPr>
              <w:t>1.3 External Marketing Environment Actor 2: Political and Regulatory Environment</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_Toc235717009 \h </w:instrText>
            </w:r>
            <w:r w:rsidRPr="005655CD">
              <w:rPr>
                <w:noProof/>
                <w:webHidden/>
                <w:sz w:val="24"/>
                <w:szCs w:val="24"/>
              </w:rPr>
            </w:r>
            <w:r w:rsidRPr="005655CD">
              <w:rPr>
                <w:noProof/>
                <w:webHidden/>
                <w:sz w:val="24"/>
                <w:szCs w:val="24"/>
              </w:rPr>
              <w:fldChar w:fldCharType="separate"/>
            </w:r>
            <w:r w:rsidRPr="005655CD">
              <w:rPr>
                <w:noProof/>
                <w:webHidden/>
                <w:sz w:val="24"/>
                <w:szCs w:val="24"/>
              </w:rPr>
              <w:t>6</w:t>
            </w:r>
            <w:r w:rsidRPr="005655CD">
              <w:rPr>
                <w:noProof/>
                <w:webHidden/>
                <w:sz w:val="24"/>
                <w:szCs w:val="24"/>
              </w:rPr>
              <w:fldChar w:fldCharType="end"/>
            </w:r>
          </w:hyperlink>
        </w:p>
        <w:p w14:paraId="2B511048" w14:textId="72C193E5" w:rsidR="00F85C9B" w:rsidRPr="005655CD" w:rsidRDefault="00F85C9B" w:rsidP="00F85C9B">
          <w:pPr>
            <w:pStyle w:val="TOC3"/>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0" w:history="1">
            <w:r w:rsidRPr="005655CD">
              <w:rPr>
                <w:rStyle w:val="Hyperlink"/>
                <w:noProof/>
                <w:color w:val="auto"/>
                <w:sz w:val="24"/>
                <w:szCs w:val="24"/>
              </w:rPr>
              <w:t>1.3.1 Influence of the Political and Regulatory Environment on BHP's Sustainability Transition</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_Toc235717010 \h </w:instrText>
            </w:r>
            <w:r w:rsidRPr="005655CD">
              <w:rPr>
                <w:noProof/>
                <w:webHidden/>
                <w:sz w:val="24"/>
                <w:szCs w:val="24"/>
              </w:rPr>
            </w:r>
            <w:r w:rsidRPr="005655CD">
              <w:rPr>
                <w:noProof/>
                <w:webHidden/>
                <w:sz w:val="24"/>
                <w:szCs w:val="24"/>
              </w:rPr>
              <w:fldChar w:fldCharType="separate"/>
            </w:r>
            <w:r w:rsidRPr="005655CD">
              <w:rPr>
                <w:noProof/>
                <w:webHidden/>
                <w:sz w:val="24"/>
                <w:szCs w:val="24"/>
              </w:rPr>
              <w:t>6</w:t>
            </w:r>
            <w:r w:rsidRPr="005655CD">
              <w:rPr>
                <w:noProof/>
                <w:webHidden/>
                <w:sz w:val="24"/>
                <w:szCs w:val="24"/>
              </w:rPr>
              <w:fldChar w:fldCharType="end"/>
            </w:r>
          </w:hyperlink>
        </w:p>
        <w:p w14:paraId="5FEA5AF8" w14:textId="59D68391" w:rsidR="00F85C9B" w:rsidRPr="005655CD" w:rsidRDefault="00F85C9B" w:rsidP="00F85C9B">
          <w:pPr>
            <w:pStyle w:val="TOC3"/>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1" w:history="1">
            <w:r w:rsidRPr="005655CD">
              <w:rPr>
                <w:rStyle w:val="Hyperlink"/>
                <w:noProof/>
                <w:color w:val="auto"/>
                <w:sz w:val="24"/>
                <w:szCs w:val="24"/>
              </w:rPr>
              <w:t>1.3.2 Strategic Opportunities, Threats and Competitive Implications</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_Toc235717011 \h </w:instrText>
            </w:r>
            <w:r w:rsidRPr="005655CD">
              <w:rPr>
                <w:noProof/>
                <w:webHidden/>
                <w:sz w:val="24"/>
                <w:szCs w:val="24"/>
              </w:rPr>
            </w:r>
            <w:r w:rsidRPr="005655CD">
              <w:rPr>
                <w:noProof/>
                <w:webHidden/>
                <w:sz w:val="24"/>
                <w:szCs w:val="24"/>
              </w:rPr>
              <w:fldChar w:fldCharType="separate"/>
            </w:r>
            <w:r w:rsidRPr="005655CD">
              <w:rPr>
                <w:noProof/>
                <w:webHidden/>
                <w:sz w:val="24"/>
                <w:szCs w:val="24"/>
              </w:rPr>
              <w:t>7</w:t>
            </w:r>
            <w:r w:rsidRPr="005655CD">
              <w:rPr>
                <w:noProof/>
                <w:webHidden/>
                <w:sz w:val="24"/>
                <w:szCs w:val="24"/>
              </w:rPr>
              <w:fldChar w:fldCharType="end"/>
            </w:r>
          </w:hyperlink>
        </w:p>
        <w:p w14:paraId="3CB0BA81" w14:textId="60351E93" w:rsidR="00F85C9B" w:rsidRPr="005655CD" w:rsidRDefault="00F85C9B" w:rsidP="00F85C9B">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2" w:history="1">
            <w:r w:rsidRPr="005655CD">
              <w:rPr>
                <w:rStyle w:val="Hyperlink"/>
                <w:noProof/>
                <w:color w:val="auto"/>
                <w:sz w:val="24"/>
                <w:szCs w:val="24"/>
              </w:rPr>
              <w:t>2. Task 2: Strategic Growth and Competitive Positioning</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_Toc235717012 \h </w:instrText>
            </w:r>
            <w:r w:rsidRPr="005655CD">
              <w:rPr>
                <w:noProof/>
                <w:webHidden/>
                <w:sz w:val="24"/>
                <w:szCs w:val="24"/>
              </w:rPr>
            </w:r>
            <w:r w:rsidRPr="005655CD">
              <w:rPr>
                <w:noProof/>
                <w:webHidden/>
                <w:sz w:val="24"/>
                <w:szCs w:val="24"/>
              </w:rPr>
              <w:fldChar w:fldCharType="separate"/>
            </w:r>
            <w:r w:rsidRPr="005655CD">
              <w:rPr>
                <w:noProof/>
                <w:webHidden/>
                <w:sz w:val="24"/>
                <w:szCs w:val="24"/>
              </w:rPr>
              <w:t>8</w:t>
            </w:r>
            <w:r w:rsidRPr="005655CD">
              <w:rPr>
                <w:noProof/>
                <w:webHidden/>
                <w:sz w:val="24"/>
                <w:szCs w:val="24"/>
              </w:rPr>
              <w:fldChar w:fldCharType="end"/>
            </w:r>
          </w:hyperlink>
        </w:p>
        <w:p w14:paraId="62EFBB9B" w14:textId="2579086A"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3" w:history="1">
            <w:r w:rsidRPr="005655CD">
              <w:rPr>
                <w:rStyle w:val="Hyperlink"/>
                <w:noProof/>
                <w:color w:val="auto"/>
                <w:sz w:val="24"/>
                <w:szCs w:val="24"/>
              </w:rPr>
              <w:t>2.1 Strategic Growth Recommendation Using the Ansoff Matrix</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_Toc235717013 \h </w:instrText>
            </w:r>
            <w:r w:rsidRPr="005655CD">
              <w:rPr>
                <w:noProof/>
                <w:webHidden/>
                <w:sz w:val="24"/>
                <w:szCs w:val="24"/>
              </w:rPr>
            </w:r>
            <w:r w:rsidRPr="005655CD">
              <w:rPr>
                <w:noProof/>
                <w:webHidden/>
                <w:sz w:val="24"/>
                <w:szCs w:val="24"/>
              </w:rPr>
              <w:fldChar w:fldCharType="separate"/>
            </w:r>
            <w:r w:rsidRPr="005655CD">
              <w:rPr>
                <w:noProof/>
                <w:webHidden/>
                <w:sz w:val="24"/>
                <w:szCs w:val="24"/>
              </w:rPr>
              <w:t>8</w:t>
            </w:r>
            <w:r w:rsidRPr="005655CD">
              <w:rPr>
                <w:noProof/>
                <w:webHidden/>
                <w:sz w:val="24"/>
                <w:szCs w:val="24"/>
              </w:rPr>
              <w:fldChar w:fldCharType="end"/>
            </w:r>
          </w:hyperlink>
        </w:p>
        <w:p w14:paraId="21FD13DC" w14:textId="21F729BD" w:rsidR="00F85C9B" w:rsidRPr="005655CD" w:rsidRDefault="00F85C9B" w:rsidP="00F85C9B">
          <w:pPr>
            <w:pStyle w:val="TOC3"/>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4" w:history="1">
            <w:r w:rsidRPr="005655CD">
              <w:rPr>
                <w:rStyle w:val="Hyperlink"/>
                <w:noProof/>
                <w:color w:val="auto"/>
                <w:sz w:val="24"/>
                <w:szCs w:val="24"/>
              </w:rPr>
              <w:t>2.1.1 Recommended Strategic Growth Approach: Product Development</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_Toc235717014 \h </w:instrText>
            </w:r>
            <w:r w:rsidRPr="005655CD">
              <w:rPr>
                <w:noProof/>
                <w:webHidden/>
                <w:sz w:val="24"/>
                <w:szCs w:val="24"/>
              </w:rPr>
            </w:r>
            <w:r w:rsidRPr="005655CD">
              <w:rPr>
                <w:noProof/>
                <w:webHidden/>
                <w:sz w:val="24"/>
                <w:szCs w:val="24"/>
              </w:rPr>
              <w:fldChar w:fldCharType="separate"/>
            </w:r>
            <w:r w:rsidRPr="005655CD">
              <w:rPr>
                <w:noProof/>
                <w:webHidden/>
                <w:sz w:val="24"/>
                <w:szCs w:val="24"/>
              </w:rPr>
              <w:t>8</w:t>
            </w:r>
            <w:r w:rsidRPr="005655CD">
              <w:rPr>
                <w:noProof/>
                <w:webHidden/>
                <w:sz w:val="24"/>
                <w:szCs w:val="24"/>
              </w:rPr>
              <w:fldChar w:fldCharType="end"/>
            </w:r>
          </w:hyperlink>
        </w:p>
        <w:p w14:paraId="04EF9DA4" w14:textId="7CB08888" w:rsidR="00F85C9B" w:rsidRPr="005655CD" w:rsidRDefault="00F85C9B" w:rsidP="00F85C9B">
          <w:pPr>
            <w:pStyle w:val="TOC3"/>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5" w:history="1">
            <w:r w:rsidRPr="005655CD">
              <w:rPr>
                <w:rStyle w:val="Hyperlink"/>
                <w:noProof/>
                <w:color w:val="auto"/>
                <w:sz w:val="24"/>
                <w:szCs w:val="24"/>
              </w:rPr>
              <w:t>2.1.2 Strategic Justification and Response to Environmental Pressures</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_Toc235717015 \h </w:instrText>
            </w:r>
            <w:r w:rsidRPr="005655CD">
              <w:rPr>
                <w:noProof/>
                <w:webHidden/>
                <w:sz w:val="24"/>
                <w:szCs w:val="24"/>
              </w:rPr>
            </w:r>
            <w:r w:rsidRPr="005655CD">
              <w:rPr>
                <w:noProof/>
                <w:webHidden/>
                <w:sz w:val="24"/>
                <w:szCs w:val="24"/>
              </w:rPr>
              <w:fldChar w:fldCharType="separate"/>
            </w:r>
            <w:r w:rsidRPr="005655CD">
              <w:rPr>
                <w:noProof/>
                <w:webHidden/>
                <w:sz w:val="24"/>
                <w:szCs w:val="24"/>
              </w:rPr>
              <w:t>9</w:t>
            </w:r>
            <w:r w:rsidRPr="005655CD">
              <w:rPr>
                <w:noProof/>
                <w:webHidden/>
                <w:sz w:val="24"/>
                <w:szCs w:val="24"/>
              </w:rPr>
              <w:fldChar w:fldCharType="end"/>
            </w:r>
          </w:hyperlink>
        </w:p>
        <w:p w14:paraId="777F5153" w14:textId="483EBD61"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6" w:history="1">
            <w:r w:rsidRPr="005655CD">
              <w:rPr>
                <w:rStyle w:val="Hyperlink"/>
                <w:noProof/>
                <w:color w:val="auto"/>
                <w:sz w:val="24"/>
                <w:szCs w:val="24"/>
              </w:rPr>
              <w:t>2.2 Competitive Advantage Through a Lower-Carbon Business Model</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_Toc235717016 \h </w:instrText>
            </w:r>
            <w:r w:rsidRPr="005655CD">
              <w:rPr>
                <w:noProof/>
                <w:webHidden/>
                <w:sz w:val="24"/>
                <w:szCs w:val="24"/>
              </w:rPr>
            </w:r>
            <w:r w:rsidRPr="005655CD">
              <w:rPr>
                <w:noProof/>
                <w:webHidden/>
                <w:sz w:val="24"/>
                <w:szCs w:val="24"/>
              </w:rPr>
              <w:fldChar w:fldCharType="separate"/>
            </w:r>
            <w:r w:rsidRPr="005655CD">
              <w:rPr>
                <w:noProof/>
                <w:webHidden/>
                <w:sz w:val="24"/>
                <w:szCs w:val="24"/>
              </w:rPr>
              <w:t>10</w:t>
            </w:r>
            <w:r w:rsidRPr="005655CD">
              <w:rPr>
                <w:noProof/>
                <w:webHidden/>
                <w:sz w:val="24"/>
                <w:szCs w:val="24"/>
              </w:rPr>
              <w:fldChar w:fldCharType="end"/>
            </w:r>
          </w:hyperlink>
        </w:p>
        <w:p w14:paraId="6A5FD88F" w14:textId="6F5A2615" w:rsidR="00F85C9B" w:rsidRPr="005655CD" w:rsidRDefault="00F85C9B" w:rsidP="00F85C9B">
          <w:pPr>
            <w:pStyle w:val="TOC3"/>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7" w:history="1">
            <w:r w:rsidRPr="005655CD">
              <w:rPr>
                <w:rStyle w:val="Hyperlink"/>
                <w:noProof/>
                <w:color w:val="auto"/>
                <w:sz w:val="24"/>
                <w:szCs w:val="24"/>
              </w:rPr>
              <w:t>2.2.1 Achieving Competitive Advantage Through Porter's Generic Strategies</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_Toc235717017 \h </w:instrText>
            </w:r>
            <w:r w:rsidRPr="005655CD">
              <w:rPr>
                <w:noProof/>
                <w:webHidden/>
                <w:sz w:val="24"/>
                <w:szCs w:val="24"/>
              </w:rPr>
            </w:r>
            <w:r w:rsidRPr="005655CD">
              <w:rPr>
                <w:noProof/>
                <w:webHidden/>
                <w:sz w:val="24"/>
                <w:szCs w:val="24"/>
              </w:rPr>
              <w:fldChar w:fldCharType="separate"/>
            </w:r>
            <w:r w:rsidRPr="005655CD">
              <w:rPr>
                <w:noProof/>
                <w:webHidden/>
                <w:sz w:val="24"/>
                <w:szCs w:val="24"/>
              </w:rPr>
              <w:t>11</w:t>
            </w:r>
            <w:r w:rsidRPr="005655CD">
              <w:rPr>
                <w:noProof/>
                <w:webHidden/>
                <w:sz w:val="24"/>
                <w:szCs w:val="24"/>
              </w:rPr>
              <w:fldChar w:fldCharType="end"/>
            </w:r>
          </w:hyperlink>
        </w:p>
        <w:p w14:paraId="7A03C614" w14:textId="6A67183B" w:rsidR="00F85C9B" w:rsidRPr="005655CD" w:rsidRDefault="00F85C9B" w:rsidP="00F85C9B">
          <w:pPr>
            <w:pStyle w:val="TOC3"/>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8" w:history="1">
            <w:r w:rsidRPr="005655CD">
              <w:rPr>
                <w:rStyle w:val="Hyperlink"/>
                <w:noProof/>
                <w:color w:val="auto"/>
                <w:sz w:val="24"/>
                <w:szCs w:val="24"/>
              </w:rPr>
              <w:t>2.2.2 Sustaining Competitive Advantage</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_Toc235717018 \h </w:instrText>
            </w:r>
            <w:r w:rsidRPr="005655CD">
              <w:rPr>
                <w:noProof/>
                <w:webHidden/>
                <w:sz w:val="24"/>
                <w:szCs w:val="24"/>
              </w:rPr>
            </w:r>
            <w:r w:rsidRPr="005655CD">
              <w:rPr>
                <w:noProof/>
                <w:webHidden/>
                <w:sz w:val="24"/>
                <w:szCs w:val="24"/>
              </w:rPr>
              <w:fldChar w:fldCharType="separate"/>
            </w:r>
            <w:r w:rsidRPr="005655CD">
              <w:rPr>
                <w:noProof/>
                <w:webHidden/>
                <w:sz w:val="24"/>
                <w:szCs w:val="24"/>
              </w:rPr>
              <w:t>12</w:t>
            </w:r>
            <w:r w:rsidRPr="005655CD">
              <w:rPr>
                <w:noProof/>
                <w:webHidden/>
                <w:sz w:val="24"/>
                <w:szCs w:val="24"/>
              </w:rPr>
              <w:fldChar w:fldCharType="end"/>
            </w:r>
          </w:hyperlink>
        </w:p>
        <w:p w14:paraId="7DD2EF30" w14:textId="35CBC4D4" w:rsidR="00F85C9B" w:rsidRPr="005655CD" w:rsidRDefault="00F85C9B" w:rsidP="00F85C9B">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19" w:history="1">
            <w:r w:rsidRPr="005655CD">
              <w:rPr>
                <w:rStyle w:val="Hyperlink"/>
                <w:noProof/>
                <w:color w:val="auto"/>
                <w:sz w:val="24"/>
                <w:szCs w:val="24"/>
              </w:rPr>
              <w:t>3. Task 3: Critical Reflection on AI Usage</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_Toc235717019 \h </w:instrText>
            </w:r>
            <w:r w:rsidRPr="005655CD">
              <w:rPr>
                <w:noProof/>
                <w:webHidden/>
                <w:sz w:val="24"/>
                <w:szCs w:val="24"/>
              </w:rPr>
            </w:r>
            <w:r w:rsidRPr="005655CD">
              <w:rPr>
                <w:noProof/>
                <w:webHidden/>
                <w:sz w:val="24"/>
                <w:szCs w:val="24"/>
              </w:rPr>
              <w:fldChar w:fldCharType="separate"/>
            </w:r>
            <w:r w:rsidRPr="005655CD">
              <w:rPr>
                <w:noProof/>
                <w:webHidden/>
                <w:sz w:val="24"/>
                <w:szCs w:val="24"/>
              </w:rPr>
              <w:t>12</w:t>
            </w:r>
            <w:r w:rsidRPr="005655CD">
              <w:rPr>
                <w:noProof/>
                <w:webHidden/>
                <w:sz w:val="24"/>
                <w:szCs w:val="24"/>
              </w:rPr>
              <w:fldChar w:fldCharType="end"/>
            </w:r>
          </w:hyperlink>
        </w:p>
        <w:p w14:paraId="202F0371" w14:textId="10785D12"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20" w:history="1">
            <w:r w:rsidRPr="005655CD">
              <w:rPr>
                <w:rStyle w:val="Hyperlink"/>
                <w:noProof/>
                <w:color w:val="auto"/>
                <w:sz w:val="24"/>
                <w:szCs w:val="24"/>
              </w:rPr>
              <w:t>3.1 Tool Disclosure</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_Toc235717020 \h </w:instrText>
            </w:r>
            <w:r w:rsidRPr="005655CD">
              <w:rPr>
                <w:noProof/>
                <w:webHidden/>
                <w:sz w:val="24"/>
                <w:szCs w:val="24"/>
              </w:rPr>
            </w:r>
            <w:r w:rsidRPr="005655CD">
              <w:rPr>
                <w:noProof/>
                <w:webHidden/>
                <w:sz w:val="24"/>
                <w:szCs w:val="24"/>
              </w:rPr>
              <w:fldChar w:fldCharType="separate"/>
            </w:r>
            <w:r w:rsidRPr="005655CD">
              <w:rPr>
                <w:noProof/>
                <w:webHidden/>
                <w:sz w:val="24"/>
                <w:szCs w:val="24"/>
              </w:rPr>
              <w:t>12</w:t>
            </w:r>
            <w:r w:rsidRPr="005655CD">
              <w:rPr>
                <w:noProof/>
                <w:webHidden/>
                <w:sz w:val="24"/>
                <w:szCs w:val="24"/>
              </w:rPr>
              <w:fldChar w:fldCharType="end"/>
            </w:r>
          </w:hyperlink>
        </w:p>
        <w:p w14:paraId="46A3DB65" w14:textId="733A1153"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21" w:history="1">
            <w:r w:rsidRPr="005655CD">
              <w:rPr>
                <w:rStyle w:val="Hyperlink"/>
                <w:noProof/>
                <w:color w:val="auto"/>
                <w:sz w:val="24"/>
                <w:szCs w:val="24"/>
              </w:rPr>
              <w:t>3.2 Critical Evaluation of AI Output</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_Toc235717021 \h </w:instrText>
            </w:r>
            <w:r w:rsidRPr="005655CD">
              <w:rPr>
                <w:noProof/>
                <w:webHidden/>
                <w:sz w:val="24"/>
                <w:szCs w:val="24"/>
              </w:rPr>
            </w:r>
            <w:r w:rsidRPr="005655CD">
              <w:rPr>
                <w:noProof/>
                <w:webHidden/>
                <w:sz w:val="24"/>
                <w:szCs w:val="24"/>
              </w:rPr>
              <w:fldChar w:fldCharType="separate"/>
            </w:r>
            <w:r w:rsidRPr="005655CD">
              <w:rPr>
                <w:noProof/>
                <w:webHidden/>
                <w:sz w:val="24"/>
                <w:szCs w:val="24"/>
              </w:rPr>
              <w:t>13</w:t>
            </w:r>
            <w:r w:rsidRPr="005655CD">
              <w:rPr>
                <w:noProof/>
                <w:webHidden/>
                <w:sz w:val="24"/>
                <w:szCs w:val="24"/>
              </w:rPr>
              <w:fldChar w:fldCharType="end"/>
            </w:r>
          </w:hyperlink>
        </w:p>
        <w:p w14:paraId="17248743" w14:textId="62CB9DB2"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22" w:history="1">
            <w:r w:rsidRPr="005655CD">
              <w:rPr>
                <w:rStyle w:val="Hyperlink"/>
                <w:noProof/>
                <w:color w:val="auto"/>
                <w:sz w:val="24"/>
                <w:szCs w:val="24"/>
              </w:rPr>
              <w:t>3.3 Contribution Analysis</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_Toc235717022 \h </w:instrText>
            </w:r>
            <w:r w:rsidRPr="005655CD">
              <w:rPr>
                <w:noProof/>
                <w:webHidden/>
                <w:sz w:val="24"/>
                <w:szCs w:val="24"/>
              </w:rPr>
            </w:r>
            <w:r w:rsidRPr="005655CD">
              <w:rPr>
                <w:noProof/>
                <w:webHidden/>
                <w:sz w:val="24"/>
                <w:szCs w:val="24"/>
              </w:rPr>
              <w:fldChar w:fldCharType="separate"/>
            </w:r>
            <w:r w:rsidRPr="005655CD">
              <w:rPr>
                <w:noProof/>
                <w:webHidden/>
                <w:sz w:val="24"/>
                <w:szCs w:val="24"/>
              </w:rPr>
              <w:t>13</w:t>
            </w:r>
            <w:r w:rsidRPr="005655CD">
              <w:rPr>
                <w:noProof/>
                <w:webHidden/>
                <w:sz w:val="24"/>
                <w:szCs w:val="24"/>
              </w:rPr>
              <w:fldChar w:fldCharType="end"/>
            </w:r>
          </w:hyperlink>
        </w:p>
        <w:p w14:paraId="6F65D972" w14:textId="7930D3EB" w:rsidR="00F85C9B" w:rsidRPr="005655CD" w:rsidRDefault="00F85C9B" w:rsidP="00F85C9B">
          <w:pPr>
            <w:pStyle w:val="TOC2"/>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23" w:history="1">
            <w:r w:rsidRPr="005655CD">
              <w:rPr>
                <w:rStyle w:val="Hyperlink"/>
                <w:noProof/>
                <w:color w:val="auto"/>
                <w:sz w:val="24"/>
                <w:szCs w:val="24"/>
              </w:rPr>
              <w:t>3.4 Ethical and Professional Reflection</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_Toc235717023 \h </w:instrText>
            </w:r>
            <w:r w:rsidRPr="005655CD">
              <w:rPr>
                <w:noProof/>
                <w:webHidden/>
                <w:sz w:val="24"/>
                <w:szCs w:val="24"/>
              </w:rPr>
            </w:r>
            <w:r w:rsidRPr="005655CD">
              <w:rPr>
                <w:noProof/>
                <w:webHidden/>
                <w:sz w:val="24"/>
                <w:szCs w:val="24"/>
              </w:rPr>
              <w:fldChar w:fldCharType="separate"/>
            </w:r>
            <w:r w:rsidRPr="005655CD">
              <w:rPr>
                <w:noProof/>
                <w:webHidden/>
                <w:sz w:val="24"/>
                <w:szCs w:val="24"/>
              </w:rPr>
              <w:t>14</w:t>
            </w:r>
            <w:r w:rsidRPr="005655CD">
              <w:rPr>
                <w:noProof/>
                <w:webHidden/>
                <w:sz w:val="24"/>
                <w:szCs w:val="24"/>
              </w:rPr>
              <w:fldChar w:fldCharType="end"/>
            </w:r>
          </w:hyperlink>
        </w:p>
        <w:p w14:paraId="3153EEE3" w14:textId="45F11183" w:rsidR="00F85C9B" w:rsidRPr="005655CD" w:rsidRDefault="00F85C9B" w:rsidP="00F85C9B">
          <w:pPr>
            <w:pStyle w:val="TOC1"/>
            <w:tabs>
              <w:tab w:val="right" w:leader="dot" w:pos="9350"/>
            </w:tabs>
            <w:spacing w:after="0" w:line="240" w:lineRule="auto"/>
            <w:jc w:val="both"/>
            <w:rPr>
              <w:rFonts w:asciiTheme="minorHAnsi" w:eastAsiaTheme="minorEastAsia" w:hAnsiTheme="minorHAnsi" w:cstheme="minorBidi"/>
              <w:noProof/>
              <w:sz w:val="24"/>
              <w:szCs w:val="24"/>
              <w:lang w:val="en-US" w:eastAsia="en-US"/>
            </w:rPr>
          </w:pPr>
          <w:hyperlink w:anchor="_Toc235717024" w:history="1">
            <w:r w:rsidRPr="005655CD">
              <w:rPr>
                <w:rStyle w:val="Hyperlink"/>
                <w:noProof/>
                <w:color w:val="auto"/>
                <w:sz w:val="24"/>
                <w:szCs w:val="24"/>
              </w:rPr>
              <w:t>References</w:t>
            </w:r>
            <w:r w:rsidRPr="005655CD">
              <w:rPr>
                <w:noProof/>
                <w:webHidden/>
                <w:sz w:val="24"/>
                <w:szCs w:val="24"/>
              </w:rPr>
              <w:tab/>
            </w:r>
            <w:r w:rsidRPr="005655CD">
              <w:rPr>
                <w:noProof/>
                <w:webHidden/>
                <w:sz w:val="24"/>
                <w:szCs w:val="24"/>
              </w:rPr>
              <w:fldChar w:fldCharType="begin"/>
            </w:r>
            <w:r w:rsidRPr="005655CD">
              <w:rPr>
                <w:noProof/>
                <w:webHidden/>
                <w:sz w:val="24"/>
                <w:szCs w:val="24"/>
              </w:rPr>
              <w:instrText xml:space="preserve"> PAGEREF _Toc235717024 \h </w:instrText>
            </w:r>
            <w:r w:rsidRPr="005655CD">
              <w:rPr>
                <w:noProof/>
                <w:webHidden/>
                <w:sz w:val="24"/>
                <w:szCs w:val="24"/>
              </w:rPr>
            </w:r>
            <w:r w:rsidRPr="005655CD">
              <w:rPr>
                <w:noProof/>
                <w:webHidden/>
                <w:sz w:val="24"/>
                <w:szCs w:val="24"/>
              </w:rPr>
              <w:fldChar w:fldCharType="separate"/>
            </w:r>
            <w:r w:rsidRPr="005655CD">
              <w:rPr>
                <w:noProof/>
                <w:webHidden/>
                <w:sz w:val="24"/>
                <w:szCs w:val="24"/>
              </w:rPr>
              <w:t>15</w:t>
            </w:r>
            <w:r w:rsidRPr="005655CD">
              <w:rPr>
                <w:noProof/>
                <w:webHidden/>
                <w:sz w:val="24"/>
                <w:szCs w:val="24"/>
              </w:rPr>
              <w:fldChar w:fldCharType="end"/>
            </w:r>
          </w:hyperlink>
        </w:p>
        <w:p w14:paraId="47399BF8" w14:textId="28E7EF67" w:rsidR="00213D05" w:rsidRPr="005655CD" w:rsidRDefault="00215BD5" w:rsidP="00F85C9B">
          <w:pPr>
            <w:widowControl w:val="0"/>
            <w:tabs>
              <w:tab w:val="right" w:leader="dot" w:pos="12000"/>
            </w:tabs>
            <w:spacing w:line="240" w:lineRule="auto"/>
            <w:jc w:val="both"/>
            <w:rPr>
              <w:rFonts w:eastAsia="Times New Roman"/>
              <w:sz w:val="24"/>
              <w:szCs w:val="24"/>
            </w:rPr>
          </w:pPr>
          <w:r w:rsidRPr="005655CD">
            <w:rPr>
              <w:sz w:val="24"/>
              <w:szCs w:val="24"/>
            </w:rPr>
            <w:fldChar w:fldCharType="end"/>
          </w:r>
        </w:p>
      </w:sdtContent>
    </w:sdt>
    <w:p w14:paraId="08214A52" w14:textId="77777777" w:rsidR="00213D05" w:rsidRPr="005655CD" w:rsidRDefault="00213D05" w:rsidP="00F85C9B">
      <w:pPr>
        <w:spacing w:after="240" w:line="360" w:lineRule="auto"/>
        <w:rPr>
          <w:rFonts w:eastAsia="Times New Roman"/>
          <w:sz w:val="24"/>
          <w:szCs w:val="24"/>
        </w:rPr>
      </w:pPr>
    </w:p>
    <w:p w14:paraId="111FA585" w14:textId="77777777" w:rsidR="002C4C6F" w:rsidRPr="005655CD" w:rsidRDefault="002C4C6F" w:rsidP="00F85C9B">
      <w:pPr>
        <w:spacing w:after="240" w:line="360" w:lineRule="auto"/>
        <w:rPr>
          <w:b/>
          <w:bCs/>
          <w:sz w:val="28"/>
        </w:rPr>
      </w:pPr>
      <w:bookmarkStart w:id="3" w:name="_9bgsokobnben" w:colFirst="0" w:colLast="0"/>
      <w:bookmarkStart w:id="4" w:name="_hs2jtwxzcu20" w:colFirst="0" w:colLast="0"/>
      <w:bookmarkEnd w:id="3"/>
      <w:bookmarkEnd w:id="4"/>
      <w:r w:rsidRPr="005655CD">
        <w:br w:type="page"/>
      </w:r>
    </w:p>
    <w:p w14:paraId="1B538AF4" w14:textId="2F0B54BA" w:rsidR="00213D05" w:rsidRPr="005655CD" w:rsidRDefault="00000808" w:rsidP="00F85C9B">
      <w:pPr>
        <w:pStyle w:val="Heading1"/>
        <w:spacing w:before="0" w:after="240"/>
      </w:pPr>
      <w:bookmarkStart w:id="5" w:name="_Toc235717004"/>
      <w:r w:rsidRPr="005655CD">
        <w:lastRenderedPageBreak/>
        <w:t xml:space="preserve">1. </w:t>
      </w:r>
      <w:r w:rsidR="00215BD5" w:rsidRPr="005655CD">
        <w:t>Task 1: Marketing Environment Analysis</w:t>
      </w:r>
      <w:bookmarkEnd w:id="5"/>
    </w:p>
    <w:p w14:paraId="39721D98" w14:textId="3F768623" w:rsidR="00BB4EFD" w:rsidRPr="005655CD" w:rsidRDefault="00BB4EFD" w:rsidP="00F85C9B">
      <w:pPr>
        <w:spacing w:after="240" w:line="360" w:lineRule="auto"/>
        <w:jc w:val="both"/>
        <w:rPr>
          <w:sz w:val="24"/>
        </w:rPr>
      </w:pPr>
      <w:r w:rsidRPr="005655CD">
        <w:rPr>
          <w:sz w:val="24"/>
        </w:rPr>
        <w:t>Marketing environment analysis helps inform organisations about external factors which affect their strategic decision making process and long-term competitiveness. Environmental concerns and regulations and stakeholder expectations have been driving greater urgency towards lower carbon business models in the metals and mining sector. Therefore, knowledge of these external factors enables organisations to see opportunities, manage risks and create sustainable competitive strategies. The purpose of this report is to analyse BHP's external marketing environment through the Natural Environment and Political and Regulatory Environment and come up with an appropriate marketing growth strategy for BHP.</w:t>
      </w:r>
    </w:p>
    <w:p w14:paraId="6F067BC5" w14:textId="77777777" w:rsidR="00213D05" w:rsidRPr="005655CD" w:rsidRDefault="00215BD5" w:rsidP="00F85C9B">
      <w:pPr>
        <w:pStyle w:val="Heading2"/>
        <w:spacing w:before="0" w:after="240"/>
      </w:pPr>
      <w:bookmarkStart w:id="6" w:name="_Toc235717005"/>
      <w:r w:rsidRPr="005655CD">
        <w:t>1.1 Company Selection and Context</w:t>
      </w:r>
      <w:bookmarkEnd w:id="6"/>
      <w:r w:rsidRPr="005655CD">
        <w:t xml:space="preserve"> </w:t>
      </w:r>
    </w:p>
    <w:p w14:paraId="66C71931" w14:textId="77777777"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 xml:space="preserve">BHP is a global mining company, which is one of the largest diversified companies and a global leader in the production of iron ore, copper, nickel, potash and metallurgical coal. The company has over 90 sites and is headquartered in Melbourne, Australia, where it provides essential minerals that serve infrastructural requirements, renewable energy and electric vehicle technologies. The FY2025 Annual Report states that BHP earned US$53.7 billion, produced a record copper amount of about 2.0 million tonnes, and contributed to the global economy to the tune of US $ 46.8 billion, which reaffirms its leadership in the global metals and mining sector (BHP, 2025). With the world transitioning to a low-carbon economy at a faster pace, BHP has incorporated sustainability as part of its strategic business approach by investing in future-oriented commodities via investing in renewable energy and electrification of operations. The company also noted a 5% decrease in Scope 1 and Scope 2 greenhouse gas emissions against FY2024 and aims to reduce by at least 30 % of the emissions as of FY2020 by FY2030, enhancing its position as a responsible supplier of critical minerals (BHP, 2025). The strategies enable BHP to be more competitive as a responsible supplier of the basic minerals that are helping the world to shift towards energy.  </w:t>
      </w:r>
    </w:p>
    <w:p w14:paraId="7F1E6AE7" w14:textId="77777777" w:rsidR="00213D05" w:rsidRPr="005655CD" w:rsidRDefault="00215BD5" w:rsidP="00F85C9B">
      <w:pPr>
        <w:pStyle w:val="Heading2"/>
        <w:spacing w:before="0" w:after="240"/>
      </w:pPr>
      <w:bookmarkStart w:id="7" w:name="_Toc235717006"/>
      <w:r w:rsidRPr="005655CD">
        <w:lastRenderedPageBreak/>
        <w:t>1.2 External Marketing Environment Actor 1: The Natural Environment</w:t>
      </w:r>
      <w:bookmarkEnd w:id="7"/>
      <w:r w:rsidRPr="005655CD">
        <w:t xml:space="preserve"> </w:t>
      </w:r>
    </w:p>
    <w:p w14:paraId="4CF814A8" w14:textId="77777777" w:rsidR="00213D05" w:rsidRPr="005655CD" w:rsidRDefault="00215BD5" w:rsidP="00F85C9B">
      <w:pPr>
        <w:pStyle w:val="Heading3"/>
        <w:spacing w:before="0" w:after="240"/>
      </w:pPr>
      <w:bookmarkStart w:id="8" w:name="_Toc235717007"/>
      <w:r w:rsidRPr="005655CD">
        <w:t>1.2.1 Influence of Natural Environmental Pressures on BHP's Low-Carbon Transition</w:t>
      </w:r>
      <w:bookmarkEnd w:id="8"/>
    </w:p>
    <w:p w14:paraId="2A757374" w14:textId="77777777" w:rsidR="00000808" w:rsidRPr="005655CD" w:rsidRDefault="00215BD5" w:rsidP="00F85C9B">
      <w:pPr>
        <w:spacing w:after="240" w:line="360" w:lineRule="auto"/>
        <w:jc w:val="both"/>
        <w:rPr>
          <w:rFonts w:eastAsia="Times New Roman"/>
          <w:sz w:val="24"/>
          <w:szCs w:val="24"/>
        </w:rPr>
      </w:pPr>
      <w:r w:rsidRPr="005655CD">
        <w:rPr>
          <w:rFonts w:eastAsia="Times New Roman"/>
          <w:sz w:val="24"/>
          <w:szCs w:val="24"/>
        </w:rPr>
        <w:t>The strongest external marketing environment actor that will impact on the shift towards lower-carbon products in BHP is the natural environment. The threat of climate change, scarcity of resources, carbon regulation and biodiversity degradation have changed sustainability as a regulatory need to a competitive differentiation source. Paletta (2025) argues that organisations with environmentally intensive sectors have to maintain their sustainability approaches and business models constantly adjusted to the changing ecological situation and stakeholder requirements, as the ecological state responds to changing environmental factors. In the case of BHP, such environmental pressures affect the operational decisions, positioning of the corporation, customer value propositions and long-term brand credibili</w:t>
      </w:r>
      <w:r w:rsidR="00000808" w:rsidRPr="005655CD">
        <w:rPr>
          <w:rFonts w:eastAsia="Times New Roman"/>
          <w:sz w:val="24"/>
          <w:szCs w:val="24"/>
        </w:rPr>
        <w:t>ty.</w:t>
      </w:r>
    </w:p>
    <w:p w14:paraId="643D4ADE" w14:textId="67E07F03"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The pressure on mining companies to decrease greenhouse gas emissions throughout their value chains has risen due to climate change (</w:t>
      </w:r>
      <w:proofErr w:type="spellStart"/>
      <w:r w:rsidRPr="005655CD">
        <w:rPr>
          <w:rFonts w:eastAsia="Times New Roman"/>
          <w:sz w:val="24"/>
          <w:szCs w:val="24"/>
        </w:rPr>
        <w:t>Qarahasanlou</w:t>
      </w:r>
      <w:proofErr w:type="spellEnd"/>
      <w:r w:rsidRPr="005655CD">
        <w:rPr>
          <w:rFonts w:eastAsia="Times New Roman"/>
          <w:i/>
          <w:iCs/>
          <w:sz w:val="24"/>
          <w:szCs w:val="24"/>
        </w:rPr>
        <w:t xml:space="preserve"> et al.</w:t>
      </w:r>
      <w:r w:rsidRPr="005655CD">
        <w:rPr>
          <w:rFonts w:eastAsia="Times New Roman"/>
          <w:sz w:val="24"/>
          <w:szCs w:val="24"/>
        </w:rPr>
        <w:t xml:space="preserve"> 2024). At the same time, ore grades have dropped, and water supplies have been reduced, biodiversity reduced and, more stringent carbon policy has made production more expensive and hastened the shift to lower-carbon production. BHP in turn has focussed on copper, nickel and potash and has also decreased operational carbon intensity. The firm has also tied its sustainability reporting with the Taskforce on Nature-related Financial Disclosures (TNFD), which enhances the transparency of the environment and positioning itself in the market as a responsible provider of crucial minerals (BHP, 2021</w:t>
      </w:r>
      <w:r w:rsidR="00424C00" w:rsidRPr="005655CD">
        <w:rPr>
          <w:rFonts w:eastAsia="Times New Roman"/>
          <w:sz w:val="24"/>
          <w:szCs w:val="24"/>
        </w:rPr>
        <w:t>). Environmental</w:t>
      </w:r>
      <w:r w:rsidRPr="005655CD">
        <w:rPr>
          <w:rFonts w:eastAsia="Times New Roman"/>
          <w:sz w:val="24"/>
          <w:szCs w:val="24"/>
        </w:rPr>
        <w:t xml:space="preserve"> pressures thus enhance BHP sustainability leadership and competitiveness in the long run. </w:t>
      </w:r>
    </w:p>
    <w:p w14:paraId="1E6E1EB0" w14:textId="77777777" w:rsidR="00213D05" w:rsidRPr="005655CD" w:rsidRDefault="00215BD5" w:rsidP="00F85C9B">
      <w:pPr>
        <w:pStyle w:val="Heading3"/>
        <w:spacing w:before="0" w:after="240"/>
      </w:pPr>
      <w:bookmarkStart w:id="9" w:name="_Toc235717008"/>
      <w:r w:rsidRPr="005655CD">
        <w:t>1.2.2 Strategic Opportunities and Threats</w:t>
      </w:r>
      <w:bookmarkEnd w:id="9"/>
    </w:p>
    <w:p w14:paraId="019BF8F8" w14:textId="77777777" w:rsidR="00213D05" w:rsidRPr="005655CD" w:rsidRDefault="00215BD5" w:rsidP="00F85C9B">
      <w:pPr>
        <w:spacing w:after="240" w:line="360" w:lineRule="auto"/>
        <w:jc w:val="both"/>
        <w:rPr>
          <w:rFonts w:eastAsia="Times New Roman"/>
          <w:b/>
          <w:bCs/>
          <w:sz w:val="24"/>
          <w:szCs w:val="24"/>
        </w:rPr>
      </w:pPr>
      <w:r w:rsidRPr="005655CD">
        <w:rPr>
          <w:rFonts w:eastAsia="Times New Roman"/>
          <w:b/>
          <w:bCs/>
          <w:sz w:val="24"/>
          <w:szCs w:val="24"/>
        </w:rPr>
        <w:t>Market Opportunities</w:t>
      </w:r>
    </w:p>
    <w:p w14:paraId="2FA814EB" w14:textId="15384256"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 xml:space="preserve">The marketing strategy of BHP comprises major opportunities which are created by natural environmental pressures. According to the International Energy Agency (2024) </w:t>
      </w:r>
      <w:r w:rsidRPr="005655CD">
        <w:rPr>
          <w:rFonts w:eastAsia="Times New Roman"/>
          <w:sz w:val="24"/>
          <w:szCs w:val="24"/>
        </w:rPr>
        <w:lastRenderedPageBreak/>
        <w:t>the world will require copper produced by clean energy technologies nearly twice as much in the period between 2023 and 2035 in the Stated Policies Scenario (IEA, 2024). It generates huge market opportunities to mining firms that have the capability of providing responsibly produced minerals. The trend will also help BHP to enhance its competitive positioning through the sale of lower-carbon mineral products to decarbonising manufacturers trying to decarbonise their supply chains.</w:t>
      </w:r>
    </w:p>
    <w:p w14:paraId="5E37543C" w14:textId="77777777" w:rsidR="00213D05" w:rsidRPr="005655CD" w:rsidRDefault="00215BD5" w:rsidP="00F85C9B">
      <w:pPr>
        <w:spacing w:after="240" w:line="360" w:lineRule="auto"/>
        <w:jc w:val="center"/>
        <w:rPr>
          <w:rFonts w:eastAsia="Times New Roman"/>
          <w:sz w:val="24"/>
          <w:szCs w:val="24"/>
        </w:rPr>
      </w:pPr>
      <w:r w:rsidRPr="005655CD">
        <w:rPr>
          <w:rFonts w:eastAsia="Times New Roman"/>
          <w:noProof/>
          <w:sz w:val="24"/>
          <w:szCs w:val="24"/>
          <w:lang w:val="en-IN" w:bidi="hi-IN"/>
        </w:rPr>
        <w:drawing>
          <wp:inline distT="114300" distB="114300" distL="114300" distR="114300" wp14:anchorId="48414B46" wp14:editId="247FCBA5">
            <wp:extent cx="5026499" cy="3231250"/>
            <wp:effectExtent l="0" t="0" r="3175" b="762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11911" r="7853"/>
                    <a:stretch>
                      <a:fillRect/>
                    </a:stretch>
                  </pic:blipFill>
                  <pic:spPr>
                    <a:xfrm>
                      <a:off x="0" y="0"/>
                      <a:ext cx="5029410" cy="3233121"/>
                    </a:xfrm>
                    <a:prstGeom prst="rect">
                      <a:avLst/>
                    </a:prstGeom>
                    <a:ln/>
                  </pic:spPr>
                </pic:pic>
              </a:graphicData>
            </a:graphic>
          </wp:inline>
        </w:drawing>
      </w:r>
    </w:p>
    <w:p w14:paraId="0BA76BF9" w14:textId="7453E005" w:rsidR="00213D05" w:rsidRPr="005655CD" w:rsidRDefault="002C4C6F" w:rsidP="00F85C9B">
      <w:pPr>
        <w:spacing w:after="240" w:line="360" w:lineRule="auto"/>
        <w:jc w:val="center"/>
        <w:rPr>
          <w:rFonts w:eastAsia="Times New Roman"/>
          <w:b/>
          <w:bCs/>
          <w:sz w:val="24"/>
          <w:szCs w:val="24"/>
        </w:rPr>
      </w:pPr>
      <w:r w:rsidRPr="005655CD">
        <w:rPr>
          <w:rFonts w:eastAsia="Times New Roman"/>
          <w:b/>
          <w:bCs/>
          <w:sz w:val="24"/>
          <w:szCs w:val="24"/>
        </w:rPr>
        <w:t xml:space="preserve">Figure </w:t>
      </w:r>
      <w:r w:rsidR="00215BD5" w:rsidRPr="005655CD">
        <w:rPr>
          <w:rFonts w:eastAsia="Times New Roman"/>
          <w:b/>
          <w:bCs/>
          <w:sz w:val="24"/>
          <w:szCs w:val="24"/>
        </w:rPr>
        <w:t xml:space="preserve">1: Projected LNG liquefaction capacity and utilisation under the Stated Policies Scenario for 2023 and 2030. </w:t>
      </w:r>
    </w:p>
    <w:p w14:paraId="30E5F1B2" w14:textId="37B4DF92" w:rsidR="00213D05" w:rsidRPr="005655CD" w:rsidRDefault="00215BD5" w:rsidP="00F85C9B">
      <w:pPr>
        <w:spacing w:after="240" w:line="360" w:lineRule="auto"/>
        <w:jc w:val="center"/>
        <w:rPr>
          <w:rFonts w:eastAsia="Times New Roman"/>
          <w:sz w:val="24"/>
          <w:szCs w:val="24"/>
        </w:rPr>
      </w:pPr>
      <w:r w:rsidRPr="005655CD">
        <w:rPr>
          <w:rFonts w:eastAsia="Times New Roman"/>
          <w:sz w:val="24"/>
          <w:szCs w:val="24"/>
        </w:rPr>
        <w:t>(Source:</w:t>
      </w:r>
      <w:r w:rsidR="002C4C6F" w:rsidRPr="005655CD">
        <w:rPr>
          <w:rFonts w:eastAsia="Times New Roman"/>
          <w:sz w:val="24"/>
          <w:szCs w:val="24"/>
        </w:rPr>
        <w:t xml:space="preserve"> </w:t>
      </w:r>
      <w:r w:rsidRPr="005655CD">
        <w:rPr>
          <w:rFonts w:eastAsia="Times New Roman"/>
          <w:sz w:val="24"/>
          <w:szCs w:val="24"/>
        </w:rPr>
        <w:t>IEA, 2024)</w:t>
      </w:r>
    </w:p>
    <w:p w14:paraId="00760306" w14:textId="77777777" w:rsidR="00213D05" w:rsidRPr="005655CD" w:rsidRDefault="00215BD5" w:rsidP="00F85C9B">
      <w:pPr>
        <w:spacing w:after="240" w:line="360" w:lineRule="auto"/>
        <w:jc w:val="both"/>
        <w:rPr>
          <w:rFonts w:eastAsia="Times New Roman"/>
          <w:b/>
          <w:bCs/>
          <w:sz w:val="24"/>
          <w:szCs w:val="24"/>
        </w:rPr>
      </w:pPr>
      <w:r w:rsidRPr="005655CD">
        <w:rPr>
          <w:rFonts w:eastAsia="Times New Roman"/>
          <w:b/>
          <w:bCs/>
          <w:sz w:val="24"/>
          <w:szCs w:val="24"/>
        </w:rPr>
        <w:t>Strategic Threats</w:t>
      </w:r>
    </w:p>
    <w:p w14:paraId="4A5EA9FD" w14:textId="4DAB17EC"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 xml:space="preserve">BHP is also facing significant operational and reputational risks due to environmental </w:t>
      </w:r>
      <w:r w:rsidR="002C4C6F" w:rsidRPr="005655CD">
        <w:rPr>
          <w:rFonts w:eastAsia="Times New Roman"/>
          <w:sz w:val="24"/>
          <w:szCs w:val="24"/>
        </w:rPr>
        <w:t>pressures. The</w:t>
      </w:r>
      <w:r w:rsidRPr="005655CD">
        <w:rPr>
          <w:rFonts w:eastAsia="Times New Roman"/>
          <w:sz w:val="24"/>
          <w:szCs w:val="24"/>
        </w:rPr>
        <w:t xml:space="preserve"> mining sector accounts for approximately 4–7 % of global GHG emissions and the increasing expectations of regulators and stakeholders to lower emissions highlight the need to do so (Delevingne </w:t>
      </w:r>
      <w:r w:rsidRPr="005655CD">
        <w:rPr>
          <w:rFonts w:eastAsia="Times New Roman"/>
          <w:i/>
          <w:iCs/>
          <w:sz w:val="24"/>
          <w:szCs w:val="24"/>
        </w:rPr>
        <w:t>et al.</w:t>
      </w:r>
      <w:r w:rsidRPr="005655CD">
        <w:rPr>
          <w:rFonts w:eastAsia="Times New Roman"/>
          <w:sz w:val="24"/>
          <w:szCs w:val="24"/>
        </w:rPr>
        <w:t xml:space="preserve"> 2020). Unpredictable weather, water stress and biodiversity loss can affect production, slow project approvals and increase compliance costs to affect profitability and customer relations.</w:t>
      </w:r>
    </w:p>
    <w:p w14:paraId="2CAC1A37" w14:textId="77777777" w:rsidR="00213D05" w:rsidRPr="005655CD" w:rsidRDefault="00215BD5" w:rsidP="00F85C9B">
      <w:pPr>
        <w:spacing w:after="240" w:line="360" w:lineRule="auto"/>
        <w:jc w:val="both"/>
        <w:rPr>
          <w:rFonts w:eastAsia="Times New Roman"/>
          <w:b/>
          <w:bCs/>
          <w:sz w:val="24"/>
          <w:szCs w:val="24"/>
        </w:rPr>
      </w:pPr>
      <w:r w:rsidRPr="005655CD">
        <w:rPr>
          <w:rFonts w:eastAsia="Times New Roman"/>
          <w:b/>
          <w:bCs/>
          <w:sz w:val="24"/>
          <w:szCs w:val="24"/>
        </w:rPr>
        <w:lastRenderedPageBreak/>
        <w:t>Strategic Implications for BHP</w:t>
      </w:r>
    </w:p>
    <w:p w14:paraId="617683F9" w14:textId="77777777"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 xml:space="preserve">BHP has made a strategic move to enhance the environmental legitimacy and promote stakeholder trust by ensuring that at least 30 % of the land and freshwater areas under its stewardship are subjected to conservation, restoration or regenerative practices by 2030 (BHP, 2021). As a result, the natural environment does not only act as a limiting factor but also as a driver of innovation, thus helping BHP to improve its corporate image as well as stand out in an increasingly sustainable-oriented global mining environment. </w:t>
      </w:r>
    </w:p>
    <w:p w14:paraId="1AB1D90D" w14:textId="77777777" w:rsidR="00213D05" w:rsidRPr="005655CD" w:rsidRDefault="00215BD5" w:rsidP="00F85C9B">
      <w:pPr>
        <w:pStyle w:val="Heading2"/>
        <w:spacing w:before="0" w:after="240"/>
      </w:pPr>
      <w:bookmarkStart w:id="10" w:name="_Toc235717009"/>
      <w:r w:rsidRPr="005655CD">
        <w:t>1.3 External Marketing Environment Actor 2: Political and Regulatory Environment</w:t>
      </w:r>
      <w:bookmarkEnd w:id="10"/>
      <w:r w:rsidRPr="005655CD">
        <w:t xml:space="preserve"> </w:t>
      </w:r>
    </w:p>
    <w:p w14:paraId="47FF8CE3" w14:textId="72D98E79" w:rsidR="00213D05" w:rsidRPr="005655CD" w:rsidRDefault="00215BD5" w:rsidP="00F85C9B">
      <w:pPr>
        <w:pStyle w:val="Heading3"/>
        <w:spacing w:before="0" w:after="240"/>
      </w:pPr>
      <w:bookmarkStart w:id="11" w:name="_Toc235717010"/>
      <w:r w:rsidRPr="005655CD">
        <w:t>1.3.1 Influence of the Political and Regulatory Environment on BHP's Sustainability Transition</w:t>
      </w:r>
      <w:bookmarkEnd w:id="11"/>
    </w:p>
    <w:p w14:paraId="31CCB25D" w14:textId="267B2ADA"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 xml:space="preserve">The second external marketing environment actor has been chosen as the political and regulatory environment due to the growing role of government policies in making investment decisions, the market access and sustainability standards in the global mining industry. In the case of BHP, regulatory intervention is especially important since adherence to changing environmental laws has a direct impact on its shift to less-carbon products and competitiveness in the global market (BHP, 2024). Regulatory programs, such as carbon pricing, mandatory disclosures on climate-related issues, critical minerals policies and environmental permitting policies, are more and more impacting corporate competitiveness and market positioning. According to the estimates of the International Energy Agency (2024), in 2023, the investment in critical mineral mining increased to around US $ 80 billion, a </w:t>
      </w:r>
      <w:r w:rsidR="00424C00" w:rsidRPr="005655CD">
        <w:rPr>
          <w:rFonts w:eastAsia="Times New Roman"/>
          <w:sz w:val="24"/>
          <w:szCs w:val="24"/>
        </w:rPr>
        <w:t>10 %-point</w:t>
      </w:r>
      <w:r w:rsidRPr="005655CD">
        <w:rPr>
          <w:rFonts w:eastAsia="Times New Roman"/>
          <w:sz w:val="24"/>
          <w:szCs w:val="24"/>
        </w:rPr>
        <w:t xml:space="preserve"> rise over 2022 (CIBC, 2024). It is indicative of an increasing governmental support of resilient and sustainable mineral supply chains where BHP is enhanced to build on its portfolio of copper, nickel and potash and sustain its image as a responsible provider of essential minerals.</w:t>
      </w:r>
    </w:p>
    <w:p w14:paraId="14E361B8" w14:textId="77777777" w:rsidR="00213D05" w:rsidRPr="005655CD" w:rsidRDefault="00215BD5" w:rsidP="00F85C9B">
      <w:pPr>
        <w:pStyle w:val="Heading3"/>
        <w:spacing w:before="0" w:after="240"/>
      </w:pPr>
      <w:bookmarkStart w:id="12" w:name="_Toc235717011"/>
      <w:r w:rsidRPr="005655CD">
        <w:lastRenderedPageBreak/>
        <w:t>1.3.2 Strategic Opportunities, Threats and Competitive Implications</w:t>
      </w:r>
      <w:bookmarkEnd w:id="12"/>
    </w:p>
    <w:p w14:paraId="722891B4" w14:textId="77777777" w:rsidR="00213D05" w:rsidRPr="005655CD" w:rsidRDefault="00215BD5" w:rsidP="00F85C9B">
      <w:pPr>
        <w:spacing w:after="240" w:line="360" w:lineRule="auto"/>
        <w:jc w:val="both"/>
        <w:rPr>
          <w:rFonts w:eastAsia="Times New Roman"/>
          <w:b/>
          <w:bCs/>
          <w:sz w:val="24"/>
          <w:szCs w:val="24"/>
        </w:rPr>
      </w:pPr>
      <w:r w:rsidRPr="005655CD">
        <w:rPr>
          <w:rFonts w:eastAsia="Times New Roman"/>
          <w:b/>
          <w:bCs/>
          <w:sz w:val="24"/>
          <w:szCs w:val="24"/>
        </w:rPr>
        <w:t>Strategic Opportunities</w:t>
      </w:r>
    </w:p>
    <w:p w14:paraId="196A99A2" w14:textId="77777777"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 xml:space="preserve">The changing regulatory environment offers some big strategic prospects to BHP. The incentives provided by the government on the use of low-carbon technologies and responsible mining are creating a demand on certified sustainable raw materials that provide the company with an opportunity to improve customer trust, investor confidence, and differentiate among corporate brands in the global business-to-business markets (Ekins </w:t>
      </w:r>
      <w:r w:rsidRPr="005655CD">
        <w:rPr>
          <w:rFonts w:eastAsia="Times New Roman"/>
          <w:i/>
          <w:iCs/>
          <w:sz w:val="24"/>
          <w:szCs w:val="24"/>
        </w:rPr>
        <w:t>et al</w:t>
      </w:r>
      <w:r w:rsidRPr="005655CD">
        <w:rPr>
          <w:rFonts w:eastAsia="Times New Roman"/>
          <w:sz w:val="24"/>
          <w:szCs w:val="24"/>
        </w:rPr>
        <w:t xml:space="preserve">. 2026). </w:t>
      </w:r>
    </w:p>
    <w:p w14:paraId="29949D6A" w14:textId="77777777" w:rsidR="00213D05" w:rsidRPr="005655CD" w:rsidRDefault="00215BD5" w:rsidP="00F85C9B">
      <w:pPr>
        <w:spacing w:after="240" w:line="360" w:lineRule="auto"/>
        <w:jc w:val="both"/>
        <w:rPr>
          <w:rFonts w:eastAsia="Times New Roman"/>
          <w:b/>
          <w:bCs/>
          <w:sz w:val="24"/>
          <w:szCs w:val="24"/>
        </w:rPr>
      </w:pPr>
      <w:r w:rsidRPr="005655CD">
        <w:rPr>
          <w:rFonts w:eastAsia="Times New Roman"/>
          <w:b/>
          <w:bCs/>
          <w:sz w:val="24"/>
          <w:szCs w:val="24"/>
        </w:rPr>
        <w:t>Strategic Threats</w:t>
      </w:r>
    </w:p>
    <w:p w14:paraId="4567C2E0" w14:textId="77777777"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 xml:space="preserve">On the other hand, regulatory uncertainty is an important threat. The difference in carbon policies, more onerous environmental approvals and a changing level of reporting raises compliance costs and the complexity of operations. Environmental permits delays or mining law amendments can interfere with the production, decrease the level of investment security and diminish the responsiveness to competition (Manalo, 2026). Loss of customer contracts and access to the market might also be threatened by failure to comply with more demanding sustainability standards. </w:t>
      </w:r>
    </w:p>
    <w:p w14:paraId="38ABDD46" w14:textId="77777777" w:rsidR="00213D05" w:rsidRPr="005655CD" w:rsidRDefault="00215BD5" w:rsidP="00F85C9B">
      <w:pPr>
        <w:spacing w:after="240" w:line="360" w:lineRule="auto"/>
        <w:jc w:val="both"/>
        <w:rPr>
          <w:rFonts w:eastAsia="Times New Roman"/>
          <w:b/>
          <w:bCs/>
          <w:sz w:val="24"/>
          <w:szCs w:val="24"/>
        </w:rPr>
      </w:pPr>
      <w:r w:rsidRPr="005655CD">
        <w:rPr>
          <w:rFonts w:eastAsia="Times New Roman"/>
          <w:b/>
          <w:bCs/>
          <w:sz w:val="24"/>
          <w:szCs w:val="24"/>
        </w:rPr>
        <w:t>Critical Evaluation of Competitive Implications</w:t>
      </w:r>
    </w:p>
    <w:p w14:paraId="34548E5D" w14:textId="7CB3FE36"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The regulatory environment has strategic implications, which go beyond being in compliance with the law and are having a greater impact on competitive positioning. In marketing perspective, regulatory compliance has become a marketing capability that enhances the value proposition and corporate image of BHP and also enables the company to build more positive relationships with the environmentally sensitive industrial customers</w:t>
      </w:r>
      <w:r w:rsidR="00D10B1E" w:rsidRPr="005655CD">
        <w:rPr>
          <w:rFonts w:eastAsia="Times New Roman"/>
          <w:sz w:val="24"/>
          <w:szCs w:val="24"/>
        </w:rPr>
        <w:t xml:space="preserve"> (</w:t>
      </w:r>
      <w:proofErr w:type="spellStart"/>
      <w:r w:rsidR="00D10B1E" w:rsidRPr="005655CD">
        <w:rPr>
          <w:rFonts w:eastAsia="Times New Roman"/>
          <w:sz w:val="24"/>
          <w:szCs w:val="24"/>
        </w:rPr>
        <w:t>Rathobei</w:t>
      </w:r>
      <w:proofErr w:type="spellEnd"/>
      <w:r w:rsidR="00D10B1E" w:rsidRPr="005655CD">
        <w:rPr>
          <w:rFonts w:eastAsia="Times New Roman"/>
          <w:sz w:val="24"/>
          <w:szCs w:val="24"/>
        </w:rPr>
        <w:t xml:space="preserve"> et al., 2024)</w:t>
      </w:r>
      <w:r w:rsidRPr="005655CD">
        <w:rPr>
          <w:rFonts w:eastAsia="Times New Roman"/>
          <w:sz w:val="24"/>
          <w:szCs w:val="24"/>
        </w:rPr>
        <w:t xml:space="preserve">. Nonetheless, adherence to regulations by itself would not result in a long-term competitive advantage since the environmental standards are becoming a standard in the industry. Therefore, BHP needs to actively incorporate sustainability in its marketing, product development and communication with its stakeholders to stand out among its competitors and be able to remain competitive long-term in the industry as a global mining company. </w:t>
      </w:r>
    </w:p>
    <w:p w14:paraId="2AE647A6" w14:textId="77777777" w:rsidR="00213D05" w:rsidRPr="005655CD" w:rsidRDefault="00215BD5" w:rsidP="00F85C9B">
      <w:pPr>
        <w:pStyle w:val="Heading1"/>
        <w:spacing w:before="0" w:after="240"/>
      </w:pPr>
      <w:bookmarkStart w:id="13" w:name="_Toc235717012"/>
      <w:r w:rsidRPr="005655CD">
        <w:lastRenderedPageBreak/>
        <w:t>2. Task 2: Strategic Growth and Competitive Positioning</w:t>
      </w:r>
      <w:bookmarkEnd w:id="13"/>
    </w:p>
    <w:p w14:paraId="5F57782E" w14:textId="77777777" w:rsidR="00213D05" w:rsidRPr="005655CD" w:rsidRDefault="00215BD5" w:rsidP="00F85C9B">
      <w:pPr>
        <w:pStyle w:val="Heading2"/>
        <w:spacing w:before="0" w:after="240"/>
      </w:pPr>
      <w:bookmarkStart w:id="14" w:name="_Toc235717013"/>
      <w:r w:rsidRPr="005655CD">
        <w:t>2.1 Strategic Growth Recommendation Using the Ansoff Matrix</w:t>
      </w:r>
      <w:bookmarkEnd w:id="14"/>
    </w:p>
    <w:p w14:paraId="4D4B2811" w14:textId="22C3B9EC" w:rsidR="00BB4EFD" w:rsidRPr="005655CD" w:rsidRDefault="00BB4EFD" w:rsidP="00F85C9B">
      <w:pPr>
        <w:spacing w:after="240" w:line="360" w:lineRule="auto"/>
        <w:jc w:val="both"/>
        <w:rPr>
          <w:sz w:val="24"/>
        </w:rPr>
      </w:pPr>
      <w:r w:rsidRPr="005655CD">
        <w:rPr>
          <w:sz w:val="24"/>
        </w:rPr>
        <w:t>Results from the environmental analysis show that external environmental pressures have a significant impact on the growth decision and competitive positioning of organisations. Kotler et al. (2024) argue that the study of a marketing environment gives companies a chance to find opportunities in the market and make strategic decisions based on market trends and customer needs. In the same way, Ansoff (1957) states that growth in an organisation is sustainable when it chooses strategies that match external environmental conditions. Thus, BHP should own the strategic direction that arises out of the natural and regulatory pressures found in Task 1.</w:t>
      </w:r>
    </w:p>
    <w:p w14:paraId="39AA647D" w14:textId="77777777" w:rsidR="00213D05" w:rsidRPr="002C4C6F" w:rsidRDefault="00215BD5" w:rsidP="00F85C9B">
      <w:pPr>
        <w:pStyle w:val="Heading3"/>
        <w:spacing w:before="0" w:after="240"/>
      </w:pPr>
      <w:bookmarkStart w:id="15" w:name="_Toc235717014"/>
      <w:r w:rsidRPr="002C4C6F">
        <w:t>2.1.1 Recommended Strategic Growth Approach: Product Development</w:t>
      </w:r>
      <w:bookmarkEnd w:id="15"/>
    </w:p>
    <w:p w14:paraId="58DDD8D7" w14:textId="77777777"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Based on the environmental analysis undertaken in Task 1, Product Development is the best strategic growth option to help BHP shift to a lower-carbon business model. The product development according to the Matrix of Ansoff is aimed at the introduction of new products or considerably improved products into the already existing markets, which will contribute to the sustainable growth and competitive advantage (Maris and Clarissia, 2019). This tactic will be consistent with the BHP existing relationships with the steel producers, renewable energy providers and electric vehicle (EV) supply chains and allow the company to improve the environmental performance of its current mineral portfolio as opposed to going to new markets.</w:t>
      </w:r>
    </w:p>
    <w:p w14:paraId="51D48A3E" w14:textId="4C0BA1EA"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 xml:space="preserve">The Product Development has a better strategic fit compared to other Ansoff quadrants. Penetration of the market would mainly boost the sale of existing products of BHP without adequately addressing the increased demand of the lower-carbon minerals. Market Development would entail penetrating different geographical or customer markets but would not directly deal with the environmental and regulatory pressures that have been identified in Task 1. This would demand massive investment in whole new industries and a rise in strategic </w:t>
      </w:r>
      <w:r w:rsidR="002C4C6F" w:rsidRPr="002C4C6F">
        <w:rPr>
          <w:rFonts w:eastAsia="Times New Roman"/>
          <w:sz w:val="24"/>
          <w:szCs w:val="24"/>
        </w:rPr>
        <w:t>uncertainty (</w:t>
      </w:r>
      <w:proofErr w:type="spellStart"/>
      <w:r w:rsidRPr="002C4C6F">
        <w:rPr>
          <w:rFonts w:eastAsia="Times New Roman"/>
          <w:sz w:val="24"/>
          <w:szCs w:val="24"/>
        </w:rPr>
        <w:t>Buzhymska</w:t>
      </w:r>
      <w:proofErr w:type="spellEnd"/>
      <w:r w:rsidRPr="002C4C6F">
        <w:rPr>
          <w:rFonts w:eastAsia="Times New Roman"/>
          <w:sz w:val="24"/>
          <w:szCs w:val="24"/>
        </w:rPr>
        <w:t xml:space="preserve"> </w:t>
      </w:r>
      <w:r w:rsidRPr="002C4C6F">
        <w:rPr>
          <w:rFonts w:eastAsia="Times New Roman"/>
          <w:i/>
          <w:iCs/>
          <w:sz w:val="24"/>
          <w:szCs w:val="24"/>
        </w:rPr>
        <w:t>et al.</w:t>
      </w:r>
      <w:r w:rsidRPr="002C4C6F">
        <w:rPr>
          <w:rFonts w:eastAsia="Times New Roman"/>
          <w:sz w:val="24"/>
          <w:szCs w:val="24"/>
        </w:rPr>
        <w:t xml:space="preserve"> 2024). Product Development on the other hand allows BHP to build on the mining expertise it already </w:t>
      </w:r>
      <w:r w:rsidRPr="002C4C6F">
        <w:rPr>
          <w:rFonts w:eastAsia="Times New Roman"/>
          <w:sz w:val="24"/>
          <w:szCs w:val="24"/>
        </w:rPr>
        <w:lastRenderedPageBreak/>
        <w:t xml:space="preserve">has, customer relationships and global supply chain whilst enhancing the sustainability qualities of already demanded products by industrial customers. </w:t>
      </w:r>
    </w:p>
    <w:p w14:paraId="61C85A11" w14:textId="77777777" w:rsidR="00213D05" w:rsidRPr="002C4C6F" w:rsidRDefault="00215BD5" w:rsidP="00F85C9B">
      <w:pPr>
        <w:spacing w:after="240" w:line="360" w:lineRule="auto"/>
        <w:jc w:val="center"/>
        <w:rPr>
          <w:rFonts w:eastAsia="Times New Roman"/>
          <w:sz w:val="24"/>
          <w:szCs w:val="24"/>
        </w:rPr>
      </w:pPr>
      <w:r w:rsidRPr="002C4C6F">
        <w:rPr>
          <w:rFonts w:eastAsia="Times New Roman"/>
          <w:noProof/>
          <w:sz w:val="24"/>
          <w:szCs w:val="24"/>
          <w:lang w:val="en-IN" w:bidi="hi-IN"/>
        </w:rPr>
        <w:drawing>
          <wp:inline distT="114300" distB="114300" distL="114300" distR="114300" wp14:anchorId="4EB42003" wp14:editId="6F3CFC5D">
            <wp:extent cx="5943600" cy="3441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441700"/>
                    </a:xfrm>
                    <a:prstGeom prst="rect">
                      <a:avLst/>
                    </a:prstGeom>
                    <a:ln/>
                  </pic:spPr>
                </pic:pic>
              </a:graphicData>
            </a:graphic>
          </wp:inline>
        </w:drawing>
      </w:r>
    </w:p>
    <w:p w14:paraId="5E342D71" w14:textId="03D9142F" w:rsidR="00213D05" w:rsidRPr="002C4C6F" w:rsidRDefault="002C4C6F" w:rsidP="00F85C9B">
      <w:pPr>
        <w:spacing w:after="240" w:line="360" w:lineRule="auto"/>
        <w:jc w:val="center"/>
        <w:rPr>
          <w:rFonts w:eastAsia="Times New Roman"/>
          <w:b/>
          <w:bCs/>
          <w:sz w:val="24"/>
          <w:szCs w:val="24"/>
        </w:rPr>
      </w:pPr>
      <w:r>
        <w:rPr>
          <w:rFonts w:eastAsia="Times New Roman"/>
          <w:b/>
          <w:bCs/>
          <w:sz w:val="24"/>
          <w:szCs w:val="24"/>
        </w:rPr>
        <w:t xml:space="preserve">Figure </w:t>
      </w:r>
      <w:r w:rsidR="00215BD5" w:rsidRPr="002C4C6F">
        <w:rPr>
          <w:rFonts w:eastAsia="Times New Roman"/>
          <w:b/>
          <w:bCs/>
          <w:sz w:val="24"/>
          <w:szCs w:val="24"/>
        </w:rPr>
        <w:t>2: Ansoff Matrix</w:t>
      </w:r>
    </w:p>
    <w:p w14:paraId="12C03E24" w14:textId="5E27ABE9" w:rsidR="00213D05" w:rsidRPr="002C4C6F" w:rsidRDefault="00215BD5" w:rsidP="00F85C9B">
      <w:pPr>
        <w:spacing w:after="240" w:line="360" w:lineRule="auto"/>
        <w:jc w:val="center"/>
        <w:rPr>
          <w:rFonts w:eastAsia="Times New Roman"/>
          <w:sz w:val="24"/>
          <w:szCs w:val="24"/>
        </w:rPr>
      </w:pPr>
      <w:r w:rsidRPr="002C4C6F">
        <w:rPr>
          <w:rFonts w:eastAsia="Times New Roman"/>
          <w:sz w:val="24"/>
          <w:szCs w:val="24"/>
        </w:rPr>
        <w:t>(Source:</w:t>
      </w:r>
      <w:r w:rsidR="00424C00" w:rsidRPr="002C4C6F">
        <w:rPr>
          <w:rFonts w:eastAsia="Times New Roman"/>
          <w:sz w:val="24"/>
          <w:szCs w:val="24"/>
        </w:rPr>
        <w:t xml:space="preserve"> </w:t>
      </w:r>
      <w:proofErr w:type="spellStart"/>
      <w:r w:rsidRPr="002C4C6F">
        <w:rPr>
          <w:rFonts w:eastAsia="Times New Roman"/>
          <w:sz w:val="24"/>
          <w:szCs w:val="24"/>
        </w:rPr>
        <w:t>Peterdy</w:t>
      </w:r>
      <w:proofErr w:type="spellEnd"/>
      <w:r w:rsidRPr="002C4C6F">
        <w:rPr>
          <w:rFonts w:eastAsia="Times New Roman"/>
          <w:sz w:val="24"/>
          <w:szCs w:val="24"/>
        </w:rPr>
        <w:t>, 2025)</w:t>
      </w:r>
    </w:p>
    <w:p w14:paraId="741CA8BE" w14:textId="77777777" w:rsidR="00213D05" w:rsidRPr="002C4C6F" w:rsidRDefault="00215BD5" w:rsidP="00F85C9B">
      <w:pPr>
        <w:pStyle w:val="Heading3"/>
        <w:spacing w:before="0" w:after="240"/>
      </w:pPr>
      <w:bookmarkStart w:id="16" w:name="_Toc235717015"/>
      <w:r w:rsidRPr="002C4C6F">
        <w:t>2.1.2 Strategic Justification and Response to Environmental Pressures</w:t>
      </w:r>
      <w:bookmarkEnd w:id="16"/>
    </w:p>
    <w:p w14:paraId="0A826DAC" w14:textId="77777777"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 xml:space="preserve">The Product Development plan is a direct response to the natural environmental and political-regulatory pressure that was established in Task 1. Growing climate change issues, resource depletion, price of carbon, biodiversity anticipation and more stringent environmental laws have radically reformed purchasing priorities on the industrial markets (Burgess and Barbier, 2025). This has made customers increasingly demand responsible sourced minerals that have a lesser carbon footprint, suppliers like BHP have to compete based on the environmental performance to the operational efficiency and the quality of the product. To act promptly, BHP can go the extra mile to create certified lower-carbon copper, nickel and potash products through increased mining using renewable energy, operational electrification and clear carbon reporting across its </w:t>
      </w:r>
      <w:r w:rsidRPr="002C4C6F">
        <w:rPr>
          <w:rFonts w:eastAsia="Times New Roman"/>
          <w:sz w:val="24"/>
          <w:szCs w:val="24"/>
        </w:rPr>
        <w:lastRenderedPageBreak/>
        <w:t>production lines. These programs add value to the environmental sustainability of the current products delivered to current clients, especially the manufacturers of electric cars, battery systems and renewable energy systems (</w:t>
      </w:r>
      <w:proofErr w:type="spellStart"/>
      <w:r w:rsidRPr="002C4C6F">
        <w:rPr>
          <w:rFonts w:eastAsia="Times New Roman"/>
          <w:sz w:val="24"/>
          <w:szCs w:val="24"/>
        </w:rPr>
        <w:t>Pouresmaieli</w:t>
      </w:r>
      <w:proofErr w:type="spellEnd"/>
      <w:r w:rsidRPr="002C4C6F">
        <w:rPr>
          <w:rFonts w:eastAsia="Times New Roman"/>
          <w:i/>
          <w:iCs/>
          <w:sz w:val="24"/>
          <w:szCs w:val="24"/>
        </w:rPr>
        <w:t xml:space="preserve"> et al.</w:t>
      </w:r>
      <w:r w:rsidRPr="002C4C6F">
        <w:rPr>
          <w:rFonts w:eastAsia="Times New Roman"/>
          <w:sz w:val="24"/>
          <w:szCs w:val="24"/>
        </w:rPr>
        <w:t xml:space="preserve"> 2023). In terms of marketing, this approach enhances the value proposition of BHP as it allows the customers to help cut Scope 3 emissions in their respective supply chains and enhances its corporate image as a responsible provider of essential minerals.</w:t>
      </w:r>
    </w:p>
    <w:p w14:paraId="48B621A5" w14:textId="77777777"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 xml:space="preserve">Even though Product Development will entail high investment in technological development, operational metamorphosis and sustainability certification, the investments would perhaps have long term strategic payoffs (Kotler </w:t>
      </w:r>
      <w:r w:rsidRPr="002C4C6F">
        <w:rPr>
          <w:rFonts w:eastAsia="Times New Roman"/>
          <w:i/>
          <w:iCs/>
          <w:sz w:val="24"/>
          <w:szCs w:val="24"/>
        </w:rPr>
        <w:t>et al.</w:t>
      </w:r>
      <w:r w:rsidRPr="002C4C6F">
        <w:rPr>
          <w:rFonts w:eastAsia="Times New Roman"/>
          <w:sz w:val="24"/>
          <w:szCs w:val="24"/>
        </w:rPr>
        <w:t xml:space="preserve"> 2024). By being proactive in terms of changing environmental demands and regulatory needs, BHP will be able to increase its level of customer loyalty, build brand credibility and stand out among its competitors in the global mining sector. Thus, Product Development is the most suitable Ansoff strategy since it helps BHP to move towards lower-carbon operations, strengthens its competitive position and ensures long-term growth in the current global markets. </w:t>
      </w:r>
    </w:p>
    <w:p w14:paraId="0E359FB2" w14:textId="76FC1424" w:rsidR="00213D05" w:rsidRDefault="00215BD5" w:rsidP="00F85C9B">
      <w:pPr>
        <w:pStyle w:val="Heading2"/>
        <w:spacing w:before="0" w:after="240"/>
      </w:pPr>
      <w:bookmarkStart w:id="17" w:name="_Toc235717016"/>
      <w:r w:rsidRPr="002C4C6F">
        <w:t>2.2 Competitive Advantage Through a Lower-Carbon Business Model</w:t>
      </w:r>
      <w:bookmarkEnd w:id="17"/>
    </w:p>
    <w:p w14:paraId="3D093882" w14:textId="77777777" w:rsidR="008E778A" w:rsidRPr="005655CD" w:rsidRDefault="008E778A" w:rsidP="00F85C9B">
      <w:pPr>
        <w:spacing w:after="240" w:line="360" w:lineRule="auto"/>
        <w:jc w:val="both"/>
        <w:rPr>
          <w:b/>
          <w:bCs/>
          <w:sz w:val="24"/>
        </w:rPr>
      </w:pPr>
      <w:r w:rsidRPr="005655CD">
        <w:rPr>
          <w:b/>
          <w:bCs/>
          <w:sz w:val="24"/>
        </w:rPr>
        <w:t>Strategic Recommendations</w:t>
      </w:r>
    </w:p>
    <w:p w14:paraId="3536F66A" w14:textId="62F8BD59" w:rsidR="008E778A" w:rsidRPr="005655CD" w:rsidRDefault="008E778A" w:rsidP="00F85C9B">
      <w:pPr>
        <w:spacing w:after="240" w:line="360" w:lineRule="auto"/>
        <w:jc w:val="both"/>
        <w:rPr>
          <w:sz w:val="24"/>
        </w:rPr>
      </w:pPr>
      <w:r w:rsidRPr="005655CD">
        <w:rPr>
          <w:sz w:val="24"/>
        </w:rPr>
        <w:t>BHP has several strategic initiatives to undertake if it is to position itself for greater competitiveness in the shift to a lower carbon business model. First, the Company has to invest in renewable energy technologies in the mining activities and make it renewable energy powered to reduce energy consumption and emission from the company's operations</w:t>
      </w:r>
      <w:r w:rsidR="00000808" w:rsidRPr="005655CD">
        <w:rPr>
          <w:sz w:val="24"/>
        </w:rPr>
        <w:t xml:space="preserve"> (</w:t>
      </w:r>
      <w:proofErr w:type="spellStart"/>
      <w:r w:rsidR="00000808" w:rsidRPr="005655CD">
        <w:rPr>
          <w:sz w:val="24"/>
        </w:rPr>
        <w:t>Luderer</w:t>
      </w:r>
      <w:proofErr w:type="spellEnd"/>
      <w:r w:rsidR="00000808" w:rsidRPr="005655CD">
        <w:rPr>
          <w:sz w:val="24"/>
        </w:rPr>
        <w:t xml:space="preserve"> et al., 2022)</w:t>
      </w:r>
      <w:r w:rsidRPr="005655CD">
        <w:rPr>
          <w:sz w:val="24"/>
        </w:rPr>
        <w:t>. Secondly, BHP must ramp up production and certification of lower carbon versions of its copper, nickel and potash assets to meet the increased demand of the EV and renewables industry</w:t>
      </w:r>
      <w:r w:rsidR="00000808" w:rsidRPr="005655CD">
        <w:rPr>
          <w:sz w:val="24"/>
        </w:rPr>
        <w:t xml:space="preserve"> (</w:t>
      </w:r>
      <w:proofErr w:type="spellStart"/>
      <w:r w:rsidR="00F85C9B" w:rsidRPr="005655CD">
        <w:rPr>
          <w:sz w:val="24"/>
        </w:rPr>
        <w:t>Bartzas</w:t>
      </w:r>
      <w:proofErr w:type="spellEnd"/>
      <w:r w:rsidR="00F85C9B" w:rsidRPr="005655CD">
        <w:rPr>
          <w:sz w:val="24"/>
        </w:rPr>
        <w:t xml:space="preserve"> et al., 2024</w:t>
      </w:r>
      <w:r w:rsidR="00000808" w:rsidRPr="005655CD">
        <w:rPr>
          <w:sz w:val="24"/>
        </w:rPr>
        <w:t>)</w:t>
      </w:r>
      <w:r w:rsidRPr="005655CD">
        <w:rPr>
          <w:sz w:val="24"/>
        </w:rPr>
        <w:t xml:space="preserve">. Third, the company needs to consolidate strategic cooperation with both governments and technology suppliers and downstream operators so that it can help to facilitate the innovation and ensure that long-term supplies are arranged. In addition, BHP should continue to improve its sustainability reporting by adhering to internationally recognised frameworks that share the same objectives of greater transparency and confidence, </w:t>
      </w:r>
      <w:r w:rsidRPr="005655CD">
        <w:rPr>
          <w:sz w:val="24"/>
        </w:rPr>
        <w:lastRenderedPageBreak/>
        <w:t>such as the TNFD and the TCFD. Lastly, the investment in digital technologies like artificial intelligence and predictive analytics could improve resource optimisation and management, enable better decision making about the environment and further position BHP competitively (BHP, 2025).</w:t>
      </w:r>
    </w:p>
    <w:p w14:paraId="3A3C2098" w14:textId="77777777" w:rsidR="00213D05" w:rsidRPr="005655CD" w:rsidRDefault="00215BD5" w:rsidP="00F85C9B">
      <w:pPr>
        <w:pStyle w:val="Heading3"/>
        <w:spacing w:before="0" w:after="240"/>
      </w:pPr>
      <w:bookmarkStart w:id="18" w:name="_Toc235717017"/>
      <w:r w:rsidRPr="005655CD">
        <w:t>2.2.1 Achieving Competitive Advantage Through Porter's Generic Strategies</w:t>
      </w:r>
      <w:bookmarkEnd w:id="18"/>
    </w:p>
    <w:p w14:paraId="2FBB3226" w14:textId="77777777" w:rsidR="00213D05" w:rsidRPr="005655CD" w:rsidRDefault="00215BD5" w:rsidP="00F85C9B">
      <w:pPr>
        <w:spacing w:after="240" w:line="360" w:lineRule="auto"/>
        <w:jc w:val="both"/>
        <w:rPr>
          <w:rFonts w:eastAsia="Times New Roman"/>
          <w:sz w:val="24"/>
          <w:szCs w:val="24"/>
        </w:rPr>
      </w:pPr>
      <w:r w:rsidRPr="005655CD">
        <w:rPr>
          <w:rFonts w:eastAsia="Times New Roman"/>
          <w:sz w:val="24"/>
          <w:szCs w:val="24"/>
        </w:rPr>
        <w:t>According to Porter's Generic Strategies, organisations may attain sustainable competitive advantage based on cost leadership, differentiation or focus, depending on their ability to develop an excellent customer value compared to their competitors (Ali and Anwar, 2021). In the global mining sector, Differentiation Strategy is the best strategy that would suit BHP since green performance has emerged as a more significant buying factor among industrial clients. Even though cost leadership will continue to play a crucial role in the commodity markets, it is not expected to be a sustainable competitive advantage since the production technologies and operational efficiencies can be reproduced among the competitors (</w:t>
      </w:r>
      <w:proofErr w:type="spellStart"/>
      <w:r w:rsidRPr="005655CD">
        <w:rPr>
          <w:rFonts w:eastAsia="Times New Roman"/>
          <w:sz w:val="24"/>
          <w:szCs w:val="24"/>
        </w:rPr>
        <w:t>Jerab</w:t>
      </w:r>
      <w:proofErr w:type="spellEnd"/>
      <w:r w:rsidRPr="005655CD">
        <w:rPr>
          <w:rFonts w:eastAsia="Times New Roman"/>
          <w:sz w:val="24"/>
          <w:szCs w:val="24"/>
        </w:rPr>
        <w:t xml:space="preserve"> and </w:t>
      </w:r>
      <w:proofErr w:type="spellStart"/>
      <w:r w:rsidRPr="005655CD">
        <w:rPr>
          <w:rFonts w:eastAsia="Times New Roman"/>
          <w:sz w:val="24"/>
          <w:szCs w:val="24"/>
        </w:rPr>
        <w:t>Mabrouk</w:t>
      </w:r>
      <w:proofErr w:type="spellEnd"/>
      <w:r w:rsidRPr="005655CD">
        <w:rPr>
          <w:rFonts w:eastAsia="Times New Roman"/>
          <w:sz w:val="24"/>
          <w:szCs w:val="24"/>
        </w:rPr>
        <w:t>, 2023). Rather, the shift towards lower-carbon production will allow BHP to generate more customer value by providing responsibly produced critical minerals that can help customers achieve decarbonisation.</w:t>
      </w:r>
    </w:p>
    <w:p w14:paraId="3B7FA7DC" w14:textId="5E2CE8AA" w:rsidR="00213D05" w:rsidRPr="005655CD" w:rsidRDefault="00215BD5" w:rsidP="00F85C9B">
      <w:pPr>
        <w:spacing w:after="240" w:line="360" w:lineRule="auto"/>
        <w:jc w:val="both"/>
        <w:rPr>
          <w:rFonts w:eastAsia="Times New Roman"/>
          <w:b/>
          <w:bCs/>
          <w:sz w:val="24"/>
          <w:szCs w:val="24"/>
        </w:rPr>
      </w:pPr>
      <w:r w:rsidRPr="005655CD">
        <w:rPr>
          <w:rFonts w:eastAsia="Times New Roman"/>
          <w:sz w:val="24"/>
          <w:szCs w:val="24"/>
        </w:rPr>
        <w:t>This plan is a direct reaction to the environmental and regulatory pressures listed in Task 1. The shift in purchasing behaviour in business-to-business markets is driven by climate change, carbon pricing, the expectations of biodiversity and the mandatory sustainability disclosures which have led to buying decisions now being based on environmental performance in addition to the cost and reliability of suppliers. As a result, certified lower-carbon copper, nickel and potash products position BHP as a strategic sustainability partner and not just a commodity supplier both in the eyes of its customers and in its competitive positioning (BHP, 2026</w:t>
      </w:r>
      <w:r w:rsidR="002C4C6F" w:rsidRPr="005655CD">
        <w:rPr>
          <w:rFonts w:eastAsia="Times New Roman"/>
          <w:sz w:val="24"/>
          <w:szCs w:val="24"/>
        </w:rPr>
        <w:t>). This</w:t>
      </w:r>
      <w:r w:rsidRPr="005655CD">
        <w:rPr>
          <w:rFonts w:eastAsia="Times New Roman"/>
          <w:sz w:val="24"/>
          <w:szCs w:val="24"/>
        </w:rPr>
        <w:t xml:space="preserve"> is a marketing perspective change to the traditional price-based competition to value-based marketing where proven environmental performance is considered a brand equity source and helps to achieve long-term customer loyalty. </w:t>
      </w:r>
    </w:p>
    <w:p w14:paraId="2B576469" w14:textId="77777777" w:rsidR="00213D05" w:rsidRPr="002C4C6F" w:rsidRDefault="00215BD5" w:rsidP="00F85C9B">
      <w:pPr>
        <w:pStyle w:val="Heading3"/>
        <w:spacing w:before="0" w:after="240"/>
      </w:pPr>
      <w:bookmarkStart w:id="19" w:name="_Toc235717018"/>
      <w:r w:rsidRPr="002C4C6F">
        <w:lastRenderedPageBreak/>
        <w:t>2.2.2 Sustaining Competitive Advantage</w:t>
      </w:r>
      <w:bookmarkEnd w:id="19"/>
    </w:p>
    <w:p w14:paraId="52B3E08B" w14:textId="77777777"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Although differentiation enhances the competitive advantage of BHP, it is a very difficult strategy to maintain. Switching to lower-carbon mining will demand significant investment in renewable energy integration, mine electrification, digital monitoring technologies and sustainability assurance systems, which will raise short-term capital expenditure and complexity of operations. Nevertheless, postponement of such investments may put BHP at a higher risk in the long-term, such as having less access to the market, losing investor confidence and losing industrial customers who can aim to lower Scope 3 emissions throughout their supply chains (Knaus and Morton, 2026). Thus, the expenses of decarbonisation are to be considered as a strategic investment and not as a working cost.</w:t>
      </w:r>
    </w:p>
    <w:p w14:paraId="59BA0A83" w14:textId="2AF4C20F" w:rsidR="00213D05" w:rsidRPr="002C4C6F" w:rsidRDefault="00215BD5" w:rsidP="00F85C9B">
      <w:pPr>
        <w:spacing w:after="240" w:line="360" w:lineRule="auto"/>
        <w:jc w:val="both"/>
        <w:rPr>
          <w:rFonts w:eastAsia="Times New Roman"/>
          <w:b/>
          <w:bCs/>
          <w:sz w:val="24"/>
          <w:szCs w:val="24"/>
        </w:rPr>
      </w:pPr>
      <w:r w:rsidRPr="002C4C6F">
        <w:rPr>
          <w:sz w:val="24"/>
          <w:szCs w:val="24"/>
          <w:highlight w:val="white"/>
        </w:rPr>
        <w:t xml:space="preserve">Yet, Sustainability practices should be adopted to assist managing externalities associated with </w:t>
      </w:r>
      <w:r w:rsidR="00424C00" w:rsidRPr="002C4C6F">
        <w:rPr>
          <w:sz w:val="24"/>
          <w:szCs w:val="24"/>
          <w:highlight w:val="white"/>
        </w:rPr>
        <w:t>mining.</w:t>
      </w:r>
      <w:r w:rsidR="00424C00" w:rsidRPr="002C4C6F">
        <w:rPr>
          <w:sz w:val="24"/>
          <w:szCs w:val="24"/>
        </w:rPr>
        <w:t xml:space="preserve"> These</w:t>
      </w:r>
      <w:r w:rsidRPr="002C4C6F">
        <w:rPr>
          <w:sz w:val="24"/>
          <w:szCs w:val="24"/>
        </w:rPr>
        <w:t xml:space="preserve"> requirements must be followed by suppliers.</w:t>
      </w:r>
      <w:r w:rsidRPr="002C4C6F">
        <w:rPr>
          <w:sz w:val="24"/>
          <w:szCs w:val="24"/>
          <w:highlight w:val="white"/>
        </w:rPr>
        <w:t xml:space="preserve"> The Olympic Dam Grade Lead Suitability and Responsiveness supplier framework (CIMIC, 2025) refers to assessing and improving sustainable procurement practices regarding environmental </w:t>
      </w:r>
      <w:r w:rsidR="00424C00" w:rsidRPr="002C4C6F">
        <w:rPr>
          <w:sz w:val="24"/>
          <w:szCs w:val="24"/>
          <w:highlight w:val="white"/>
        </w:rPr>
        <w:t>performance. These</w:t>
      </w:r>
      <w:r w:rsidRPr="002C4C6F">
        <w:rPr>
          <w:sz w:val="24"/>
          <w:szCs w:val="24"/>
          <w:highlight w:val="white"/>
        </w:rPr>
        <w:t xml:space="preserve"> practices are mentioned further in the tendering process.</w:t>
      </w:r>
      <w:r w:rsidRPr="002C4C6F">
        <w:rPr>
          <w:rFonts w:eastAsia="Times New Roman"/>
          <w:sz w:val="24"/>
          <w:szCs w:val="24"/>
        </w:rPr>
        <w:t xml:space="preserve"> This implies that BHP must incorporate lower carbon product development with transparent carbon reporting, inexorable technological development and customer-centric sustainability solutions to ensure that it maintains sustainable competitive advantage and ascertains its long-term market stance.</w:t>
      </w:r>
      <w:r w:rsidRPr="002C4C6F">
        <w:rPr>
          <w:rFonts w:eastAsia="Times New Roman"/>
          <w:b/>
          <w:bCs/>
          <w:sz w:val="24"/>
          <w:szCs w:val="24"/>
        </w:rPr>
        <w:t xml:space="preserve"> </w:t>
      </w:r>
    </w:p>
    <w:p w14:paraId="51323182" w14:textId="77777777" w:rsidR="00213D05" w:rsidRPr="002C4C6F" w:rsidRDefault="00215BD5" w:rsidP="00F85C9B">
      <w:pPr>
        <w:pStyle w:val="Heading1"/>
        <w:spacing w:before="0" w:after="240"/>
      </w:pPr>
      <w:bookmarkStart w:id="20" w:name="_Toc235717019"/>
      <w:r w:rsidRPr="002C4C6F">
        <w:t>3. Task 3: Critical Reflection on AI Usage</w:t>
      </w:r>
      <w:bookmarkEnd w:id="20"/>
      <w:r w:rsidRPr="002C4C6F">
        <w:t xml:space="preserve"> </w:t>
      </w:r>
    </w:p>
    <w:p w14:paraId="0DA233FA" w14:textId="77777777" w:rsidR="00213D05" w:rsidRPr="002C4C6F" w:rsidRDefault="00215BD5" w:rsidP="00F85C9B">
      <w:pPr>
        <w:pStyle w:val="Heading2"/>
        <w:spacing w:before="0" w:after="240"/>
      </w:pPr>
      <w:bookmarkStart w:id="21" w:name="_Toc235717020"/>
      <w:r w:rsidRPr="002C4C6F">
        <w:t>3.1 Tool Disclosure</w:t>
      </w:r>
      <w:bookmarkEnd w:id="21"/>
    </w:p>
    <w:p w14:paraId="22B0B8F1" w14:textId="77777777"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 xml:space="preserve">Generative Artificial Intelligence (AI) was used only within the scope permitted by the assessment guidelines. This report was independently carried out using academic journals, company reports and industry publications. The role of AI was implemented as an additional research assistance tool to help compare the information, clarify notions and verify the relevance of chosen sources in the course of the research. Moreover, the final report was proofread with the usage of AI that detected grammatical and spelling </w:t>
      </w:r>
      <w:r w:rsidRPr="002C4C6F">
        <w:rPr>
          <w:rFonts w:eastAsia="Times New Roman"/>
          <w:sz w:val="24"/>
          <w:szCs w:val="24"/>
        </w:rPr>
        <w:lastRenderedPageBreak/>
        <w:t>mistakes, sentence structures and provided recommendations regarding the way language could be more understandable and scholarly. The report structure, critical analysis, theoretical application, and final written text were created independently based on the assessment requirements, which do not allow using AI to structure or write text on assignment.</w:t>
      </w:r>
    </w:p>
    <w:p w14:paraId="70B3B516" w14:textId="77777777" w:rsidR="00213D05" w:rsidRPr="002C4C6F" w:rsidRDefault="00215BD5" w:rsidP="00F85C9B">
      <w:pPr>
        <w:pStyle w:val="Heading2"/>
        <w:spacing w:before="0" w:after="240"/>
      </w:pPr>
      <w:bookmarkStart w:id="22" w:name="_Toc235717021"/>
      <w:r w:rsidRPr="002C4C6F">
        <w:t>3.2 Critical Evaluation of AI Output</w:t>
      </w:r>
      <w:bookmarkEnd w:id="22"/>
    </w:p>
    <w:p w14:paraId="39370E65" w14:textId="545221DD"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 xml:space="preserve">Despite the research process being supported with the help of AI, all the AI-assisted information was critically </w:t>
      </w:r>
      <w:r w:rsidR="00424C00" w:rsidRPr="002C4C6F">
        <w:rPr>
          <w:rFonts w:eastAsia="Times New Roman"/>
          <w:sz w:val="24"/>
          <w:szCs w:val="24"/>
        </w:rPr>
        <w:t>analysed</w:t>
      </w:r>
      <w:r w:rsidRPr="002C4C6F">
        <w:rPr>
          <w:rFonts w:eastAsia="Times New Roman"/>
          <w:sz w:val="24"/>
          <w:szCs w:val="24"/>
        </w:rPr>
        <w:t xml:space="preserve"> before being taken into consideration to be included in the report. To ensure that the AI outputs are reliable, I used cross-docking of the results with peer-reviewed journal articles, official annual and sustainability reports of BHP, and other credible industry sources, such as International Energy Agency (IEA) reports. Special emphasis was placed on the verification of statistical information, date of publication, specifics of a company and theoretical principles. In cases where AI-generated information had no evidence, had inconsistencies or disagreed with academic sources, I dismissed or revised it with plausible sources. This verification method also guaranteed the report to be evidence-based, scholarly sound, and in line with the higher education research standards. </w:t>
      </w:r>
    </w:p>
    <w:p w14:paraId="103006D8" w14:textId="77777777" w:rsidR="00213D05" w:rsidRPr="002C4C6F" w:rsidRDefault="00215BD5" w:rsidP="00F85C9B">
      <w:pPr>
        <w:pStyle w:val="Heading2"/>
        <w:spacing w:before="0" w:after="240"/>
      </w:pPr>
      <w:bookmarkStart w:id="23" w:name="_Toc235717022"/>
      <w:r w:rsidRPr="002C4C6F">
        <w:t>3.3 Contribution Analysis</w:t>
      </w:r>
      <w:bookmarkEnd w:id="23"/>
    </w:p>
    <w:p w14:paraId="1D835141" w14:textId="71967C99"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 xml:space="preserve">The choice of the marketing theories and frameworks, evidence analysis, and formulation of critical arguments discussed in this report were independently made and developed by me. I did not rely on AI to create and organize the report. Rather, AI was solely utilized to facilitate the research process through comparison of information, clarifying concepts, verifying the relevance of the chosen sources and proofreading the final draft to ensure grammatical correctness and lack of language ambiguity. All my scholarly choices, such as the choice of the source, critical analysis, evidence synthesis, and the ultimate articulation of thoughts, were made on my own. Thus, the report represents rather personal analysis and scholarly opinion with AI being a rather narrowly focused supporting instrument. </w:t>
      </w:r>
    </w:p>
    <w:p w14:paraId="51D0FAB6" w14:textId="77777777" w:rsidR="00213D05" w:rsidRPr="002C4C6F" w:rsidRDefault="00215BD5" w:rsidP="00F85C9B">
      <w:pPr>
        <w:pStyle w:val="Heading2"/>
        <w:spacing w:before="0" w:after="240"/>
      </w:pPr>
      <w:bookmarkStart w:id="24" w:name="_Toc235717023"/>
      <w:r w:rsidRPr="002C4C6F">
        <w:lastRenderedPageBreak/>
        <w:t>3.4 Ethical and Professional Reflection</w:t>
      </w:r>
      <w:bookmarkEnd w:id="24"/>
    </w:p>
    <w:p w14:paraId="592EF8A0" w14:textId="4FD56871" w:rsidR="00213D05" w:rsidRPr="002C4C6F" w:rsidRDefault="00215BD5" w:rsidP="00F85C9B">
      <w:pPr>
        <w:spacing w:after="240" w:line="360" w:lineRule="auto"/>
        <w:jc w:val="both"/>
        <w:rPr>
          <w:rFonts w:eastAsia="Times New Roman"/>
          <w:sz w:val="24"/>
          <w:szCs w:val="24"/>
        </w:rPr>
      </w:pPr>
      <w:r w:rsidRPr="002C4C6F">
        <w:rPr>
          <w:rFonts w:eastAsia="Times New Roman"/>
          <w:sz w:val="24"/>
          <w:szCs w:val="24"/>
        </w:rPr>
        <w:t>In marketing analysis, AI offers tremendous possibilities in terms of efficiency, faster access to data and productivity. Nevertheless, I understand that overreliance on AI can decrease the ability to think and make independent decisions and lead to the adoption of erroneous, biased or obsolete facts in decisions. Thus, I considered AI to be a decision-support tool but not to substitute professional judgement. In order to maintain academ</w:t>
      </w:r>
      <w:r w:rsidR="00424C00" w:rsidRPr="002C4C6F">
        <w:rPr>
          <w:rFonts w:eastAsia="Times New Roman"/>
          <w:sz w:val="24"/>
          <w:szCs w:val="24"/>
        </w:rPr>
        <w:t>ic integrity,</w:t>
      </w:r>
      <w:r w:rsidRPr="002C4C6F">
        <w:rPr>
          <w:rFonts w:eastAsia="Times New Roman"/>
          <w:sz w:val="24"/>
          <w:szCs w:val="24"/>
        </w:rPr>
        <w:t xml:space="preserve"> I was open regarding the usage of AI and my work was my analysis. I also realize that AI outputs should be verified by marketing professionals, it should be evaluated whether it is risky or biased, keep information confidential and applied ethically. </w:t>
      </w:r>
    </w:p>
    <w:p w14:paraId="5EF067AC" w14:textId="77777777" w:rsidR="002C4C6F" w:rsidRDefault="002C4C6F" w:rsidP="00F85C9B">
      <w:pPr>
        <w:spacing w:after="240" w:line="360" w:lineRule="auto"/>
        <w:rPr>
          <w:b/>
          <w:bCs/>
          <w:sz w:val="28"/>
        </w:rPr>
      </w:pPr>
      <w:r>
        <w:br w:type="page"/>
      </w:r>
    </w:p>
    <w:p w14:paraId="4F963F95" w14:textId="0ABBBA8D" w:rsidR="00213D05" w:rsidRPr="002C4C6F" w:rsidRDefault="00215BD5" w:rsidP="00F85C9B">
      <w:pPr>
        <w:pStyle w:val="Heading1"/>
        <w:spacing w:before="0" w:after="240"/>
      </w:pPr>
      <w:bookmarkStart w:id="25" w:name="_Toc235717024"/>
      <w:r w:rsidRPr="002C4C6F">
        <w:lastRenderedPageBreak/>
        <w:t>References</w:t>
      </w:r>
      <w:bookmarkEnd w:id="25"/>
    </w:p>
    <w:p w14:paraId="61E3FF27" w14:textId="77777777" w:rsidR="00CF714D" w:rsidRPr="005655CD" w:rsidRDefault="00CF714D" w:rsidP="00F85C9B">
      <w:pPr>
        <w:spacing w:after="240" w:line="360" w:lineRule="auto"/>
        <w:jc w:val="both"/>
        <w:rPr>
          <w:rFonts w:eastAsia="Times New Roman"/>
          <w:sz w:val="24"/>
          <w:szCs w:val="24"/>
          <w:u w:val="single"/>
        </w:rPr>
      </w:pPr>
      <w:r w:rsidRPr="00F85C9B">
        <w:rPr>
          <w:rFonts w:eastAsia="Times New Roman"/>
          <w:sz w:val="24"/>
          <w:szCs w:val="24"/>
        </w:rPr>
        <w:t xml:space="preserve">Ali, B. and Anwar, K. (2021) ‘Porter’s generic competitive strategies and its influence on competitive advantage’, </w:t>
      </w:r>
      <w:r w:rsidRPr="00F85C9B">
        <w:rPr>
          <w:rFonts w:eastAsia="Times New Roman"/>
          <w:i/>
          <w:iCs/>
          <w:sz w:val="24"/>
          <w:szCs w:val="24"/>
        </w:rPr>
        <w:t>International Journal of Advanced Engineering, Management and Science</w:t>
      </w:r>
      <w:r w:rsidRPr="00F85C9B">
        <w:rPr>
          <w:rFonts w:eastAsia="Times New Roman"/>
          <w:sz w:val="24"/>
          <w:szCs w:val="24"/>
        </w:rPr>
        <w:t>. Available at:</w:t>
      </w:r>
      <w:hyperlink r:id="rId10">
        <w:r w:rsidRPr="00F85C9B">
          <w:rPr>
            <w:rFonts w:eastAsia="Times New Roman"/>
            <w:sz w:val="24"/>
            <w:szCs w:val="24"/>
          </w:rPr>
          <w:t xml:space="preserve"> </w:t>
        </w:r>
      </w:hyperlink>
      <w:hyperlink r:id="rId11">
        <w:r w:rsidRPr="00F85C9B">
          <w:rPr>
            <w:rFonts w:eastAsia="Times New Roman"/>
            <w:color w:val="1155CC"/>
            <w:sz w:val="24"/>
            <w:szCs w:val="24"/>
            <w:u w:val="single"/>
          </w:rPr>
          <w:t>https://www.researchgate.net/publication/352181915_Porter</w:t>
        </w:r>
      </w:hyperlink>
      <w:r w:rsidRPr="00F85C9B">
        <w:rPr>
          <w:rFonts w:eastAsia="Times New Roman"/>
          <w:color w:val="1155CC"/>
          <w:sz w:val="24"/>
          <w:szCs w:val="24"/>
          <w:u w:val="single"/>
        </w:rPr>
        <w:t xml:space="preserve"> </w:t>
      </w:r>
      <w:r w:rsidRPr="005655CD">
        <w:rPr>
          <w:sz w:val="24"/>
          <w:szCs w:val="24"/>
        </w:rPr>
        <w:t>(Accessed: 23 July 2026).</w:t>
      </w:r>
    </w:p>
    <w:p w14:paraId="02C07036" w14:textId="77777777" w:rsidR="00CF714D" w:rsidRPr="005655CD" w:rsidRDefault="00CF714D" w:rsidP="00F85C9B">
      <w:pPr>
        <w:spacing w:after="240" w:line="360" w:lineRule="auto"/>
        <w:jc w:val="both"/>
        <w:rPr>
          <w:sz w:val="24"/>
          <w:szCs w:val="24"/>
        </w:rPr>
      </w:pPr>
      <w:r w:rsidRPr="005655CD">
        <w:rPr>
          <w:sz w:val="24"/>
          <w:szCs w:val="24"/>
        </w:rPr>
        <w:t xml:space="preserve">Ansoff, H.I. (1957) ‘Strategies for diversification’, </w:t>
      </w:r>
      <w:r w:rsidRPr="005655CD">
        <w:rPr>
          <w:rStyle w:val="Emphasis"/>
          <w:sz w:val="24"/>
          <w:szCs w:val="24"/>
        </w:rPr>
        <w:t>Harvard Business Review</w:t>
      </w:r>
      <w:r w:rsidRPr="005655CD">
        <w:rPr>
          <w:sz w:val="24"/>
          <w:szCs w:val="24"/>
        </w:rPr>
        <w:t>, 35(5), pp. 113–124. (Accessed: 23 July 2026).</w:t>
      </w:r>
    </w:p>
    <w:p w14:paraId="2B9D7074" w14:textId="77777777" w:rsidR="00CF714D" w:rsidRPr="00F85C9B" w:rsidRDefault="00CF714D" w:rsidP="00F85C9B">
      <w:pPr>
        <w:spacing w:after="240" w:line="360" w:lineRule="auto"/>
        <w:jc w:val="both"/>
        <w:rPr>
          <w:sz w:val="24"/>
          <w:szCs w:val="24"/>
        </w:rPr>
      </w:pPr>
      <w:r w:rsidRPr="005655CD">
        <w:rPr>
          <w:sz w:val="24"/>
          <w:szCs w:val="24"/>
          <w:shd w:val="clear" w:color="auto" w:fill="FFFFFF"/>
        </w:rPr>
        <w:t xml:space="preserve">Bartzas, G., Doula, M., </w:t>
      </w:r>
      <w:proofErr w:type="spellStart"/>
      <w:r w:rsidRPr="005655CD">
        <w:rPr>
          <w:sz w:val="24"/>
          <w:szCs w:val="24"/>
          <w:shd w:val="clear" w:color="auto" w:fill="FFFFFF"/>
        </w:rPr>
        <w:t>Hliaoutakis</w:t>
      </w:r>
      <w:proofErr w:type="spellEnd"/>
      <w:r w:rsidRPr="005655CD">
        <w:rPr>
          <w:sz w:val="24"/>
          <w:szCs w:val="24"/>
          <w:shd w:val="clear" w:color="auto" w:fill="FFFFFF"/>
        </w:rPr>
        <w:t xml:space="preserve">, A., Papadopoulos, N.S., </w:t>
      </w:r>
      <w:proofErr w:type="spellStart"/>
      <w:r w:rsidRPr="005655CD">
        <w:rPr>
          <w:sz w:val="24"/>
          <w:szCs w:val="24"/>
          <w:shd w:val="clear" w:color="auto" w:fill="FFFFFF"/>
        </w:rPr>
        <w:t>Tsotsolas</w:t>
      </w:r>
      <w:proofErr w:type="spellEnd"/>
      <w:r w:rsidRPr="005655CD">
        <w:rPr>
          <w:sz w:val="24"/>
          <w:szCs w:val="24"/>
          <w:shd w:val="clear" w:color="auto" w:fill="FFFFFF"/>
        </w:rPr>
        <w:t xml:space="preserve">, N. and </w:t>
      </w:r>
      <w:proofErr w:type="spellStart"/>
      <w:r w:rsidRPr="005655CD">
        <w:rPr>
          <w:sz w:val="24"/>
          <w:szCs w:val="24"/>
          <w:shd w:val="clear" w:color="auto" w:fill="FFFFFF"/>
        </w:rPr>
        <w:t>Komnitsas</w:t>
      </w:r>
      <w:proofErr w:type="spellEnd"/>
      <w:r w:rsidRPr="005655CD">
        <w:rPr>
          <w:sz w:val="24"/>
          <w:szCs w:val="24"/>
          <w:shd w:val="clear" w:color="auto" w:fill="FFFFFF"/>
        </w:rPr>
        <w:t>, K., 2024. Low carbon certification of agricultural production using field GHG measurements. Development of an integrated framework with emphasis on mediterranean products. </w:t>
      </w:r>
      <w:r w:rsidRPr="005655CD">
        <w:rPr>
          <w:i/>
          <w:iCs/>
          <w:sz w:val="24"/>
          <w:szCs w:val="24"/>
          <w:shd w:val="clear" w:color="auto" w:fill="FFFFFF"/>
        </w:rPr>
        <w:t>Case Studies in Chemical and Environmental Engineering</w:t>
      </w:r>
      <w:r w:rsidRPr="005655CD">
        <w:rPr>
          <w:sz w:val="24"/>
          <w:szCs w:val="24"/>
          <w:shd w:val="clear" w:color="auto" w:fill="FFFFFF"/>
        </w:rPr>
        <w:t>, </w:t>
      </w:r>
      <w:r w:rsidRPr="005655CD">
        <w:rPr>
          <w:i/>
          <w:iCs/>
          <w:sz w:val="24"/>
          <w:szCs w:val="24"/>
          <w:shd w:val="clear" w:color="auto" w:fill="FFFFFF"/>
        </w:rPr>
        <w:t>9</w:t>
      </w:r>
      <w:r w:rsidRPr="005655CD">
        <w:rPr>
          <w:sz w:val="24"/>
          <w:szCs w:val="24"/>
          <w:shd w:val="clear" w:color="auto" w:fill="FFFFFF"/>
        </w:rPr>
        <w:t>, p.100666</w:t>
      </w:r>
      <w:r w:rsidRPr="00F85C9B">
        <w:rPr>
          <w:color w:val="FF0000"/>
          <w:sz w:val="24"/>
          <w:szCs w:val="24"/>
          <w:shd w:val="clear" w:color="auto" w:fill="FFFFFF"/>
        </w:rPr>
        <w:t xml:space="preserve">. </w:t>
      </w:r>
      <w:hyperlink r:id="rId12" w:history="1">
        <w:r w:rsidRPr="00F85C9B">
          <w:rPr>
            <w:rStyle w:val="Hyperlink"/>
            <w:sz w:val="24"/>
            <w:szCs w:val="24"/>
            <w:shd w:val="clear" w:color="auto" w:fill="FFFFFF"/>
          </w:rPr>
          <w:t>https://www.sciencedirect.com/science/article/pii/S2666016424000604</w:t>
        </w:r>
      </w:hyperlink>
      <w:r w:rsidRPr="00F85C9B">
        <w:rPr>
          <w:color w:val="222222"/>
          <w:sz w:val="24"/>
          <w:szCs w:val="24"/>
          <w:shd w:val="clear" w:color="auto" w:fill="FFFFFF"/>
        </w:rPr>
        <w:t xml:space="preserve"> </w:t>
      </w:r>
      <w:r w:rsidRPr="005655CD">
        <w:rPr>
          <w:sz w:val="24"/>
          <w:szCs w:val="24"/>
        </w:rPr>
        <w:t>(Accessed: 23 July 2026).</w:t>
      </w:r>
    </w:p>
    <w:p w14:paraId="51EFEBC2"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BHP (2021) </w:t>
      </w:r>
      <w:r w:rsidRPr="00F85C9B">
        <w:rPr>
          <w:rFonts w:eastAsia="Times New Roman"/>
          <w:i/>
          <w:iCs/>
          <w:sz w:val="24"/>
          <w:szCs w:val="24"/>
        </w:rPr>
        <w:t>Environment</w:t>
      </w:r>
      <w:r w:rsidRPr="00F85C9B">
        <w:rPr>
          <w:rFonts w:eastAsia="Times New Roman"/>
          <w:sz w:val="24"/>
          <w:szCs w:val="24"/>
        </w:rPr>
        <w:t>. Available at:</w:t>
      </w:r>
      <w:hyperlink r:id="rId13">
        <w:r w:rsidRPr="00F85C9B">
          <w:rPr>
            <w:rFonts w:eastAsia="Times New Roman"/>
            <w:sz w:val="24"/>
            <w:szCs w:val="24"/>
          </w:rPr>
          <w:t xml:space="preserve"> </w:t>
        </w:r>
      </w:hyperlink>
      <w:hyperlink r:id="rId14">
        <w:r w:rsidRPr="00F85C9B">
          <w:rPr>
            <w:rFonts w:eastAsia="Times New Roman"/>
            <w:color w:val="1155CC"/>
            <w:sz w:val="24"/>
            <w:szCs w:val="24"/>
            <w:u w:val="single"/>
          </w:rPr>
          <w:t>https://www.bhp.com/sustainability/environment</w:t>
        </w:r>
      </w:hyperlink>
      <w:r w:rsidRPr="00F85C9B">
        <w:rPr>
          <w:rFonts w:eastAsia="Times New Roman"/>
          <w:color w:val="1155CC"/>
          <w:sz w:val="24"/>
          <w:szCs w:val="24"/>
          <w:u w:val="single"/>
        </w:rPr>
        <w:t xml:space="preserve"> </w:t>
      </w:r>
      <w:r w:rsidRPr="005655CD">
        <w:rPr>
          <w:sz w:val="24"/>
          <w:szCs w:val="24"/>
        </w:rPr>
        <w:t>(Accessed: 23 July 2026).</w:t>
      </w:r>
    </w:p>
    <w:p w14:paraId="7C34453E"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BHP (2024) </w:t>
      </w:r>
      <w:r w:rsidRPr="00F85C9B">
        <w:rPr>
          <w:rFonts w:eastAsia="Times New Roman"/>
          <w:i/>
          <w:iCs/>
          <w:sz w:val="24"/>
          <w:szCs w:val="24"/>
        </w:rPr>
        <w:t>Climate change</w:t>
      </w:r>
      <w:r w:rsidRPr="00F85C9B">
        <w:rPr>
          <w:rFonts w:eastAsia="Times New Roman"/>
          <w:sz w:val="24"/>
          <w:szCs w:val="24"/>
        </w:rPr>
        <w:t>. Available at:</w:t>
      </w:r>
      <w:hyperlink r:id="rId15">
        <w:r w:rsidRPr="00F85C9B">
          <w:rPr>
            <w:rFonts w:eastAsia="Times New Roman"/>
            <w:sz w:val="24"/>
            <w:szCs w:val="24"/>
          </w:rPr>
          <w:t xml:space="preserve"> </w:t>
        </w:r>
      </w:hyperlink>
      <w:hyperlink r:id="rId16">
        <w:r w:rsidRPr="00F85C9B">
          <w:rPr>
            <w:rFonts w:eastAsia="Times New Roman"/>
            <w:color w:val="1155CC"/>
            <w:sz w:val="24"/>
            <w:szCs w:val="24"/>
            <w:u w:val="single"/>
          </w:rPr>
          <w:t>https://www.bhp.com/sustainability/climate-change</w:t>
        </w:r>
      </w:hyperlink>
      <w:r w:rsidRPr="005655CD">
        <w:rPr>
          <w:sz w:val="24"/>
          <w:szCs w:val="24"/>
        </w:rPr>
        <w:t>(Accessed: 23 July 2026).</w:t>
      </w:r>
    </w:p>
    <w:p w14:paraId="7C515E92"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BHP (2025) </w:t>
      </w:r>
      <w:r w:rsidRPr="00F85C9B">
        <w:rPr>
          <w:rFonts w:eastAsia="Times New Roman"/>
          <w:i/>
          <w:iCs/>
          <w:sz w:val="24"/>
          <w:szCs w:val="24"/>
        </w:rPr>
        <w:t>Annual Report 2025</w:t>
      </w:r>
      <w:r w:rsidRPr="00F85C9B">
        <w:rPr>
          <w:rFonts w:eastAsia="Times New Roman"/>
          <w:sz w:val="24"/>
          <w:szCs w:val="24"/>
        </w:rPr>
        <w:t>. Available at:</w:t>
      </w:r>
      <w:hyperlink r:id="rId17">
        <w:r w:rsidRPr="00F85C9B">
          <w:rPr>
            <w:rFonts w:eastAsia="Times New Roman"/>
            <w:sz w:val="24"/>
            <w:szCs w:val="24"/>
          </w:rPr>
          <w:t xml:space="preserve"> </w:t>
        </w:r>
      </w:hyperlink>
      <w:hyperlink r:id="rId18">
        <w:r w:rsidRPr="00F85C9B">
          <w:rPr>
            <w:rFonts w:eastAsia="Times New Roman"/>
            <w:color w:val="1155CC"/>
            <w:sz w:val="24"/>
            <w:szCs w:val="24"/>
            <w:u w:val="single"/>
          </w:rPr>
          <w:t>https://www.bhp.com/investor-hub/reports-and-presentations/annual-report</w:t>
        </w:r>
      </w:hyperlink>
      <w:r w:rsidRPr="00F85C9B">
        <w:rPr>
          <w:rFonts w:eastAsia="Times New Roman"/>
          <w:color w:val="1155CC"/>
          <w:sz w:val="24"/>
          <w:szCs w:val="24"/>
          <w:u w:val="single"/>
        </w:rPr>
        <w:t xml:space="preserve"> </w:t>
      </w:r>
      <w:r w:rsidRPr="005655CD">
        <w:rPr>
          <w:sz w:val="24"/>
          <w:szCs w:val="24"/>
        </w:rPr>
        <w:t>(Accessed: 23 July 2026).</w:t>
      </w:r>
    </w:p>
    <w:p w14:paraId="58A5FB67"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BHP (2026) </w:t>
      </w:r>
      <w:r w:rsidRPr="00F85C9B">
        <w:rPr>
          <w:rFonts w:eastAsia="Times New Roman"/>
          <w:i/>
          <w:iCs/>
          <w:sz w:val="24"/>
          <w:szCs w:val="24"/>
        </w:rPr>
        <w:t>BHP’s economic and commodity outlook</w:t>
      </w:r>
      <w:r w:rsidRPr="00F85C9B">
        <w:rPr>
          <w:rFonts w:eastAsia="Times New Roman"/>
          <w:sz w:val="24"/>
          <w:szCs w:val="24"/>
        </w:rPr>
        <w:t>. Available at:</w:t>
      </w:r>
      <w:hyperlink r:id="rId19">
        <w:r w:rsidRPr="00F85C9B">
          <w:rPr>
            <w:rFonts w:eastAsia="Times New Roman"/>
            <w:sz w:val="24"/>
            <w:szCs w:val="24"/>
          </w:rPr>
          <w:t xml:space="preserve"> </w:t>
        </w:r>
      </w:hyperlink>
      <w:hyperlink r:id="rId20">
        <w:r w:rsidRPr="00F85C9B">
          <w:rPr>
            <w:rFonts w:eastAsia="Times New Roman"/>
            <w:color w:val="1155CC"/>
            <w:sz w:val="24"/>
            <w:szCs w:val="24"/>
            <w:u w:val="single"/>
          </w:rPr>
          <w:t>https://www.bhp.com/investor-hub/reports-and-presentations/economic-and-commodity-outlook/2022/02/bhps-economic-and-commodity-outlook</w:t>
        </w:r>
      </w:hyperlink>
      <w:r w:rsidRPr="00F85C9B">
        <w:rPr>
          <w:rFonts w:eastAsia="Times New Roman"/>
          <w:color w:val="1155CC"/>
          <w:sz w:val="24"/>
          <w:szCs w:val="24"/>
          <w:u w:val="single"/>
        </w:rPr>
        <w:t xml:space="preserve"> </w:t>
      </w:r>
      <w:r w:rsidRPr="005655CD">
        <w:rPr>
          <w:sz w:val="24"/>
          <w:szCs w:val="24"/>
        </w:rPr>
        <w:t>(Accessed: 23 July 2026).</w:t>
      </w:r>
    </w:p>
    <w:p w14:paraId="72AA7BB3"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Burgess, J.C. and Barbier, E.B. (2025) ‘Trends and challenges in environmental markets for sustainable economic development’. Available at:</w:t>
      </w:r>
      <w:hyperlink r:id="rId21">
        <w:r w:rsidRPr="00F85C9B">
          <w:rPr>
            <w:rFonts w:eastAsia="Times New Roman"/>
            <w:sz w:val="24"/>
            <w:szCs w:val="24"/>
          </w:rPr>
          <w:t xml:space="preserve"> </w:t>
        </w:r>
      </w:hyperlink>
      <w:hyperlink r:id="rId22">
        <w:r w:rsidRPr="00F85C9B">
          <w:rPr>
            <w:rFonts w:eastAsia="Times New Roman"/>
            <w:color w:val="1155CC"/>
            <w:sz w:val="24"/>
            <w:szCs w:val="24"/>
            <w:u w:val="single"/>
          </w:rPr>
          <w:t>https://www.researchgate.net/publication/400361660_Trends_and_Challenges_in_Environmental_Markets_for_Sustainable_Economic_Development</w:t>
        </w:r>
      </w:hyperlink>
      <w:r w:rsidRPr="00F85C9B">
        <w:rPr>
          <w:rFonts w:eastAsia="Times New Roman"/>
          <w:color w:val="1155CC"/>
          <w:sz w:val="24"/>
          <w:szCs w:val="24"/>
          <w:u w:val="single"/>
        </w:rPr>
        <w:t xml:space="preserve"> </w:t>
      </w:r>
      <w:r w:rsidRPr="005655CD">
        <w:rPr>
          <w:sz w:val="24"/>
          <w:szCs w:val="24"/>
        </w:rPr>
        <w:t>(Accessed: 23 July 2026).</w:t>
      </w:r>
    </w:p>
    <w:p w14:paraId="115887B4" w14:textId="77777777" w:rsidR="00CF714D" w:rsidRPr="00F85C9B" w:rsidRDefault="00CF714D" w:rsidP="00F85C9B">
      <w:pPr>
        <w:spacing w:after="240" w:line="360" w:lineRule="auto"/>
        <w:jc w:val="both"/>
        <w:rPr>
          <w:rFonts w:eastAsia="Times New Roman"/>
          <w:sz w:val="24"/>
          <w:szCs w:val="24"/>
        </w:rPr>
      </w:pPr>
      <w:proofErr w:type="spellStart"/>
      <w:r w:rsidRPr="00F85C9B">
        <w:rPr>
          <w:rFonts w:eastAsia="Times New Roman"/>
          <w:sz w:val="24"/>
          <w:szCs w:val="24"/>
        </w:rPr>
        <w:lastRenderedPageBreak/>
        <w:t>Buzhymska</w:t>
      </w:r>
      <w:proofErr w:type="spellEnd"/>
      <w:r w:rsidRPr="00F85C9B">
        <w:rPr>
          <w:rFonts w:eastAsia="Times New Roman"/>
          <w:sz w:val="24"/>
          <w:szCs w:val="24"/>
        </w:rPr>
        <w:t xml:space="preserve">, K., </w:t>
      </w:r>
      <w:proofErr w:type="spellStart"/>
      <w:r w:rsidRPr="00F85C9B">
        <w:rPr>
          <w:rFonts w:eastAsia="Times New Roman"/>
          <w:sz w:val="24"/>
          <w:szCs w:val="24"/>
        </w:rPr>
        <w:t>Tsaruk</w:t>
      </w:r>
      <w:proofErr w:type="spellEnd"/>
      <w:r w:rsidRPr="00F85C9B">
        <w:rPr>
          <w:rFonts w:eastAsia="Times New Roman"/>
          <w:sz w:val="24"/>
          <w:szCs w:val="24"/>
        </w:rPr>
        <w:t xml:space="preserve">, I., </w:t>
      </w:r>
      <w:proofErr w:type="spellStart"/>
      <w:r w:rsidRPr="00F85C9B">
        <w:rPr>
          <w:rFonts w:eastAsia="Times New Roman"/>
          <w:sz w:val="24"/>
          <w:szCs w:val="24"/>
        </w:rPr>
        <w:t>Biriuchenko</w:t>
      </w:r>
      <w:proofErr w:type="spellEnd"/>
      <w:r w:rsidRPr="00F85C9B">
        <w:rPr>
          <w:rFonts w:eastAsia="Times New Roman"/>
          <w:sz w:val="24"/>
          <w:szCs w:val="24"/>
        </w:rPr>
        <w:t xml:space="preserve">, S., </w:t>
      </w:r>
      <w:proofErr w:type="spellStart"/>
      <w:r w:rsidRPr="00F85C9B">
        <w:rPr>
          <w:rFonts w:eastAsia="Times New Roman"/>
          <w:sz w:val="24"/>
          <w:szCs w:val="24"/>
        </w:rPr>
        <w:t>Pashchenko</w:t>
      </w:r>
      <w:proofErr w:type="spellEnd"/>
      <w:r w:rsidRPr="00F85C9B">
        <w:rPr>
          <w:rFonts w:eastAsia="Times New Roman"/>
          <w:sz w:val="24"/>
          <w:szCs w:val="24"/>
        </w:rPr>
        <w:t xml:space="preserve">, O. and </w:t>
      </w:r>
      <w:proofErr w:type="spellStart"/>
      <w:r w:rsidRPr="00F85C9B">
        <w:rPr>
          <w:rFonts w:eastAsia="Times New Roman"/>
          <w:sz w:val="24"/>
          <w:szCs w:val="24"/>
        </w:rPr>
        <w:t>Svitlyshyn</w:t>
      </w:r>
      <w:proofErr w:type="spellEnd"/>
      <w:r w:rsidRPr="00F85C9B">
        <w:rPr>
          <w:rFonts w:eastAsia="Times New Roman"/>
          <w:sz w:val="24"/>
          <w:szCs w:val="24"/>
        </w:rPr>
        <w:t xml:space="preserve">, I. (2024) ‘Impact of diversification on strategic business management’, </w:t>
      </w:r>
      <w:r w:rsidRPr="00F85C9B">
        <w:rPr>
          <w:rFonts w:eastAsia="Times New Roman"/>
          <w:i/>
          <w:iCs/>
          <w:sz w:val="24"/>
          <w:szCs w:val="24"/>
        </w:rPr>
        <w:t>Scientific Bulletin of Mukachevo State University Series “Economics”</w:t>
      </w:r>
      <w:r w:rsidRPr="00F85C9B">
        <w:rPr>
          <w:rFonts w:eastAsia="Times New Roman"/>
          <w:sz w:val="24"/>
          <w:szCs w:val="24"/>
        </w:rPr>
        <w:t xml:space="preserve">, </w:t>
      </w:r>
      <w:r w:rsidRPr="00F85C9B">
        <w:rPr>
          <w:rFonts w:eastAsia="Times New Roman"/>
          <w:b/>
          <w:bCs/>
          <w:sz w:val="24"/>
          <w:szCs w:val="24"/>
        </w:rPr>
        <w:t>11</w:t>
      </w:r>
      <w:r w:rsidRPr="00F85C9B">
        <w:rPr>
          <w:rFonts w:eastAsia="Times New Roman"/>
          <w:sz w:val="24"/>
          <w:szCs w:val="24"/>
        </w:rPr>
        <w:t>(3), pp. 34–46. doi:10.52566/msu-econ3.2024.34</w:t>
      </w:r>
      <w:r w:rsidRPr="005655CD">
        <w:rPr>
          <w:rFonts w:eastAsia="Times New Roman"/>
          <w:sz w:val="24"/>
          <w:szCs w:val="24"/>
        </w:rPr>
        <w:t xml:space="preserve">. </w:t>
      </w:r>
      <w:r w:rsidRPr="005655CD">
        <w:rPr>
          <w:sz w:val="24"/>
          <w:szCs w:val="24"/>
        </w:rPr>
        <w:t>(Accessed: 23 July 2026).</w:t>
      </w:r>
    </w:p>
    <w:p w14:paraId="0C5AB9AB"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CIBC (2024) </w:t>
      </w:r>
      <w:r w:rsidRPr="00F85C9B">
        <w:rPr>
          <w:rFonts w:eastAsia="Times New Roman"/>
          <w:i/>
          <w:iCs/>
          <w:sz w:val="24"/>
          <w:szCs w:val="24"/>
        </w:rPr>
        <w:t>Sustainability Newsletter – June 2024</w:t>
      </w:r>
      <w:r w:rsidRPr="00F85C9B">
        <w:rPr>
          <w:rFonts w:eastAsia="Times New Roman"/>
          <w:sz w:val="24"/>
          <w:szCs w:val="24"/>
        </w:rPr>
        <w:t>. Available at:</w:t>
      </w:r>
      <w:hyperlink r:id="rId23">
        <w:r w:rsidRPr="00F85C9B">
          <w:rPr>
            <w:rFonts w:eastAsia="Times New Roman"/>
            <w:sz w:val="24"/>
            <w:szCs w:val="24"/>
          </w:rPr>
          <w:t xml:space="preserve"> </w:t>
        </w:r>
      </w:hyperlink>
      <w:hyperlink r:id="rId24">
        <w:r w:rsidRPr="00F85C9B">
          <w:rPr>
            <w:rFonts w:eastAsia="Times New Roman"/>
            <w:color w:val="1155CC"/>
            <w:sz w:val="24"/>
            <w:szCs w:val="24"/>
            <w:u w:val="single"/>
          </w:rPr>
          <w:t>https://cibccm.com/en/insights/articles/sustainability-newsletter-edition-47/</w:t>
        </w:r>
      </w:hyperlink>
      <w:r w:rsidRPr="00F85C9B">
        <w:rPr>
          <w:rFonts w:eastAsia="Times New Roman"/>
          <w:color w:val="1155CC"/>
          <w:sz w:val="24"/>
          <w:szCs w:val="24"/>
          <w:u w:val="single"/>
        </w:rPr>
        <w:t xml:space="preserve"> </w:t>
      </w:r>
      <w:r w:rsidRPr="005655CD">
        <w:rPr>
          <w:sz w:val="24"/>
          <w:szCs w:val="24"/>
        </w:rPr>
        <w:t>(Accessed: 23 July 2026).</w:t>
      </w:r>
    </w:p>
    <w:p w14:paraId="0F918E38"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Delevingne, L., Glazener, W., </w:t>
      </w:r>
      <w:proofErr w:type="spellStart"/>
      <w:r w:rsidRPr="00F85C9B">
        <w:rPr>
          <w:rFonts w:eastAsia="Times New Roman"/>
          <w:sz w:val="24"/>
          <w:szCs w:val="24"/>
        </w:rPr>
        <w:t>Grégoir</w:t>
      </w:r>
      <w:proofErr w:type="spellEnd"/>
      <w:r w:rsidRPr="00F85C9B">
        <w:rPr>
          <w:rFonts w:eastAsia="Times New Roman"/>
          <w:sz w:val="24"/>
          <w:szCs w:val="24"/>
        </w:rPr>
        <w:t xml:space="preserve">, L. and Henderson, K. (2020) </w:t>
      </w:r>
      <w:r w:rsidRPr="00F85C9B">
        <w:rPr>
          <w:rFonts w:eastAsia="Times New Roman"/>
          <w:i/>
          <w:iCs/>
          <w:sz w:val="24"/>
          <w:szCs w:val="24"/>
        </w:rPr>
        <w:t>Climate risk and decarbonization: What every mining CEO needs to know</w:t>
      </w:r>
      <w:r w:rsidRPr="00F85C9B">
        <w:rPr>
          <w:rFonts w:eastAsia="Times New Roman"/>
          <w:sz w:val="24"/>
          <w:szCs w:val="24"/>
        </w:rPr>
        <w:t>. Available at:</w:t>
      </w:r>
      <w:hyperlink r:id="rId25">
        <w:r w:rsidRPr="00F85C9B">
          <w:rPr>
            <w:rFonts w:eastAsia="Times New Roman"/>
            <w:sz w:val="24"/>
            <w:szCs w:val="24"/>
          </w:rPr>
          <w:t xml:space="preserve"> </w:t>
        </w:r>
      </w:hyperlink>
      <w:hyperlink r:id="rId26">
        <w:r w:rsidRPr="00F85C9B">
          <w:rPr>
            <w:rFonts w:eastAsia="Times New Roman"/>
            <w:color w:val="1155CC"/>
            <w:sz w:val="24"/>
            <w:szCs w:val="24"/>
            <w:u w:val="single"/>
          </w:rPr>
          <w:t>https://www.mckinsey.com/capabilities/sustainability/our-insights/climate-risk-and-decarbonization-what-every-mining-ceo-needs-to-know</w:t>
        </w:r>
      </w:hyperlink>
      <w:r w:rsidRPr="00F85C9B">
        <w:rPr>
          <w:rFonts w:eastAsia="Times New Roman"/>
          <w:color w:val="1155CC"/>
          <w:sz w:val="24"/>
          <w:szCs w:val="24"/>
          <w:u w:val="single"/>
        </w:rPr>
        <w:t xml:space="preserve"> </w:t>
      </w:r>
      <w:r w:rsidRPr="005655CD">
        <w:rPr>
          <w:sz w:val="24"/>
          <w:szCs w:val="24"/>
        </w:rPr>
        <w:t>(Accessed: 23 July 2026).</w:t>
      </w:r>
    </w:p>
    <w:p w14:paraId="5E09BD8E" w14:textId="77777777" w:rsidR="00CF714D" w:rsidRPr="00F85C9B" w:rsidRDefault="00CF714D" w:rsidP="00F85C9B">
      <w:pPr>
        <w:spacing w:after="240" w:line="360" w:lineRule="auto"/>
        <w:jc w:val="both"/>
        <w:rPr>
          <w:rFonts w:eastAsia="Times New Roman"/>
          <w:sz w:val="24"/>
          <w:szCs w:val="24"/>
        </w:rPr>
      </w:pPr>
      <w:r w:rsidRPr="00F85C9B">
        <w:rPr>
          <w:rFonts w:eastAsia="Times New Roman"/>
          <w:sz w:val="24"/>
          <w:szCs w:val="24"/>
        </w:rPr>
        <w:t xml:space="preserve">Ekins, P., Christmann, P., Ciftci, M.M., Larosa, F. and Verrier, B. (2026) ‘Financing the responsible supply of energy transition minerals’, </w:t>
      </w:r>
      <w:r w:rsidRPr="00F85C9B">
        <w:rPr>
          <w:rFonts w:eastAsia="Times New Roman"/>
          <w:i/>
          <w:iCs/>
          <w:sz w:val="24"/>
          <w:szCs w:val="24"/>
        </w:rPr>
        <w:t>Mineral Economics</w:t>
      </w:r>
      <w:r w:rsidRPr="00F85C9B">
        <w:rPr>
          <w:rFonts w:eastAsia="Times New Roman"/>
          <w:sz w:val="24"/>
          <w:szCs w:val="24"/>
        </w:rPr>
        <w:t xml:space="preserve">, </w:t>
      </w:r>
      <w:r w:rsidRPr="00F85C9B">
        <w:rPr>
          <w:rFonts w:eastAsia="Times New Roman"/>
          <w:b/>
          <w:bCs/>
          <w:sz w:val="24"/>
          <w:szCs w:val="24"/>
        </w:rPr>
        <w:t>39</w:t>
      </w:r>
      <w:r w:rsidRPr="00F85C9B">
        <w:rPr>
          <w:rFonts w:eastAsia="Times New Roman"/>
          <w:sz w:val="24"/>
          <w:szCs w:val="24"/>
        </w:rPr>
        <w:t>(2), pp. 743–761. doi:10.1007/s13563-026-00637-8.</w:t>
      </w:r>
      <w:r w:rsidRPr="00F85C9B">
        <w:rPr>
          <w:rFonts w:eastAsia="Times New Roman"/>
          <w:color w:val="FF0000"/>
          <w:sz w:val="24"/>
          <w:szCs w:val="24"/>
        </w:rPr>
        <w:t xml:space="preserve"> </w:t>
      </w:r>
      <w:r w:rsidRPr="005655CD">
        <w:rPr>
          <w:sz w:val="24"/>
          <w:szCs w:val="24"/>
        </w:rPr>
        <w:t>(Accessed: 23 July 2026).</w:t>
      </w:r>
    </w:p>
    <w:p w14:paraId="36B9C7CE"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International Energy Agency (IEA) (2024) </w:t>
      </w:r>
      <w:r w:rsidRPr="00F85C9B">
        <w:rPr>
          <w:rFonts w:eastAsia="Times New Roman"/>
          <w:i/>
          <w:iCs/>
          <w:sz w:val="24"/>
          <w:szCs w:val="24"/>
        </w:rPr>
        <w:t>World Energy Outlook 2024: Executive Summary</w:t>
      </w:r>
      <w:r w:rsidRPr="00F85C9B">
        <w:rPr>
          <w:rFonts w:eastAsia="Times New Roman"/>
          <w:sz w:val="24"/>
          <w:szCs w:val="24"/>
        </w:rPr>
        <w:t>. Available at:</w:t>
      </w:r>
      <w:hyperlink r:id="rId27">
        <w:r w:rsidRPr="00F85C9B">
          <w:rPr>
            <w:rFonts w:eastAsia="Times New Roman"/>
            <w:sz w:val="24"/>
            <w:szCs w:val="24"/>
          </w:rPr>
          <w:t xml:space="preserve"> </w:t>
        </w:r>
      </w:hyperlink>
      <w:hyperlink r:id="rId28">
        <w:r w:rsidRPr="00F85C9B">
          <w:rPr>
            <w:rFonts w:eastAsia="Times New Roman"/>
            <w:color w:val="1155CC"/>
            <w:sz w:val="24"/>
            <w:szCs w:val="24"/>
            <w:u w:val="single"/>
          </w:rPr>
          <w:t>https://www.iea.org/reports/world-energy-outlook-2024/executive-summary</w:t>
        </w:r>
      </w:hyperlink>
      <w:r w:rsidRPr="00F85C9B">
        <w:rPr>
          <w:rFonts w:eastAsia="Times New Roman"/>
          <w:color w:val="1155CC"/>
          <w:sz w:val="24"/>
          <w:szCs w:val="24"/>
          <w:u w:val="single"/>
        </w:rPr>
        <w:t xml:space="preserve"> </w:t>
      </w:r>
      <w:r w:rsidRPr="005655CD">
        <w:rPr>
          <w:sz w:val="24"/>
          <w:szCs w:val="24"/>
        </w:rPr>
        <w:t>(Accessed: 23 July 2026).</w:t>
      </w:r>
    </w:p>
    <w:p w14:paraId="1032EDCD" w14:textId="77777777" w:rsidR="00CF714D" w:rsidRPr="00F85C9B" w:rsidRDefault="00CF714D" w:rsidP="00F85C9B">
      <w:pPr>
        <w:spacing w:after="240" w:line="360" w:lineRule="auto"/>
        <w:jc w:val="both"/>
        <w:rPr>
          <w:rFonts w:eastAsia="Times New Roman"/>
          <w:color w:val="1155CC"/>
          <w:sz w:val="24"/>
          <w:szCs w:val="24"/>
          <w:u w:val="single"/>
        </w:rPr>
      </w:pPr>
      <w:proofErr w:type="spellStart"/>
      <w:r w:rsidRPr="00F85C9B">
        <w:rPr>
          <w:rFonts w:eastAsia="Times New Roman"/>
          <w:sz w:val="24"/>
          <w:szCs w:val="24"/>
        </w:rPr>
        <w:t>Jerab</w:t>
      </w:r>
      <w:proofErr w:type="spellEnd"/>
      <w:r w:rsidRPr="00F85C9B">
        <w:rPr>
          <w:rFonts w:eastAsia="Times New Roman"/>
          <w:sz w:val="24"/>
          <w:szCs w:val="24"/>
        </w:rPr>
        <w:t xml:space="preserve">, D.A. and </w:t>
      </w:r>
      <w:proofErr w:type="spellStart"/>
      <w:r w:rsidRPr="00F85C9B">
        <w:rPr>
          <w:rFonts w:eastAsia="Times New Roman"/>
          <w:sz w:val="24"/>
          <w:szCs w:val="24"/>
        </w:rPr>
        <w:t>Mabrouk</w:t>
      </w:r>
      <w:proofErr w:type="spellEnd"/>
      <w:r w:rsidRPr="00F85C9B">
        <w:rPr>
          <w:rFonts w:eastAsia="Times New Roman"/>
          <w:sz w:val="24"/>
          <w:szCs w:val="24"/>
        </w:rPr>
        <w:t>, T. (2023) ‘Achieving competitive advantage through cost leadership strategy: Strategies for sustainable success’. Available at:</w:t>
      </w:r>
      <w:hyperlink r:id="rId29">
        <w:r w:rsidRPr="00F85C9B">
          <w:rPr>
            <w:rFonts w:eastAsia="Times New Roman"/>
            <w:sz w:val="24"/>
            <w:szCs w:val="24"/>
          </w:rPr>
          <w:t xml:space="preserve"> </w:t>
        </w:r>
      </w:hyperlink>
      <w:hyperlink r:id="rId30">
        <w:r w:rsidRPr="00F85C9B">
          <w:rPr>
            <w:rFonts w:eastAsia="Times New Roman"/>
            <w:color w:val="1155CC"/>
            <w:sz w:val="24"/>
            <w:szCs w:val="24"/>
            <w:u w:val="single"/>
          </w:rPr>
          <w:t>https://www.researchgate.net/publication/374000449_Achieving_Competitive_Advantage_through_Cost_Leadership_Strategy_Strategies_for_Sustainable_Success</w:t>
        </w:r>
      </w:hyperlink>
      <w:r w:rsidRPr="00F85C9B">
        <w:rPr>
          <w:rFonts w:eastAsia="Times New Roman"/>
          <w:color w:val="1155CC"/>
          <w:sz w:val="24"/>
          <w:szCs w:val="24"/>
          <w:u w:val="single"/>
        </w:rPr>
        <w:t xml:space="preserve"> </w:t>
      </w:r>
      <w:r w:rsidRPr="005655CD">
        <w:rPr>
          <w:sz w:val="24"/>
          <w:szCs w:val="24"/>
        </w:rPr>
        <w:t>(Accessed: 23 July 2026).</w:t>
      </w:r>
    </w:p>
    <w:p w14:paraId="0CD97B49"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Knaus, C. and Morton, A. (2026) ‘BHP admits to stalled emissions reductions as WA premier says miners have “moral obligation” to decarbonise’, </w:t>
      </w:r>
      <w:r w:rsidRPr="00F85C9B">
        <w:rPr>
          <w:rFonts w:eastAsia="Times New Roman"/>
          <w:i/>
          <w:iCs/>
          <w:sz w:val="24"/>
          <w:szCs w:val="24"/>
        </w:rPr>
        <w:t>The Guardian</w:t>
      </w:r>
      <w:r w:rsidRPr="00F85C9B">
        <w:rPr>
          <w:rFonts w:eastAsia="Times New Roman"/>
          <w:sz w:val="24"/>
          <w:szCs w:val="24"/>
        </w:rPr>
        <w:t>. Available at:</w:t>
      </w:r>
      <w:hyperlink r:id="rId31">
        <w:r w:rsidRPr="00F85C9B">
          <w:rPr>
            <w:rFonts w:eastAsia="Times New Roman"/>
            <w:sz w:val="24"/>
            <w:szCs w:val="24"/>
          </w:rPr>
          <w:t xml:space="preserve"> </w:t>
        </w:r>
      </w:hyperlink>
      <w:hyperlink r:id="rId32">
        <w:r w:rsidRPr="00F85C9B">
          <w:rPr>
            <w:rFonts w:eastAsia="Times New Roman"/>
            <w:color w:val="1155CC"/>
            <w:sz w:val="24"/>
            <w:szCs w:val="24"/>
            <w:u w:val="single"/>
          </w:rPr>
          <w:t>https://www.theguardian.com/world/2026/may/27/bhp-files-stalled-emissions-reductions-mining-company-moral-obligation-decarbonise</w:t>
        </w:r>
      </w:hyperlink>
      <w:r w:rsidRPr="00F85C9B">
        <w:rPr>
          <w:rFonts w:eastAsia="Times New Roman"/>
          <w:color w:val="1155CC"/>
          <w:sz w:val="24"/>
          <w:szCs w:val="24"/>
          <w:u w:val="single"/>
        </w:rPr>
        <w:t xml:space="preserve"> </w:t>
      </w:r>
      <w:r w:rsidRPr="005655CD">
        <w:rPr>
          <w:sz w:val="24"/>
          <w:szCs w:val="24"/>
        </w:rPr>
        <w:t>(Accessed: 23 July 2026).</w:t>
      </w:r>
    </w:p>
    <w:p w14:paraId="0E5B60A3" w14:textId="77777777" w:rsidR="00CF714D" w:rsidRPr="005655CD" w:rsidRDefault="00CF714D" w:rsidP="00F85C9B">
      <w:pPr>
        <w:spacing w:after="240" w:line="360" w:lineRule="auto"/>
        <w:jc w:val="both"/>
        <w:rPr>
          <w:sz w:val="24"/>
          <w:szCs w:val="24"/>
        </w:rPr>
      </w:pPr>
      <w:r w:rsidRPr="00F85C9B">
        <w:rPr>
          <w:rFonts w:eastAsia="Times New Roman"/>
          <w:sz w:val="24"/>
          <w:szCs w:val="24"/>
        </w:rPr>
        <w:lastRenderedPageBreak/>
        <w:t xml:space="preserve">Kotler, P., Armstrong, G., Harris, L.C. and He, H. (2024) </w:t>
      </w:r>
      <w:r w:rsidRPr="00F85C9B">
        <w:rPr>
          <w:rFonts w:eastAsia="Times New Roman"/>
          <w:i/>
          <w:iCs/>
          <w:sz w:val="24"/>
          <w:szCs w:val="24"/>
        </w:rPr>
        <w:t>Principles of Marketing</w:t>
      </w:r>
      <w:r w:rsidRPr="00F85C9B">
        <w:rPr>
          <w:rFonts w:eastAsia="Times New Roman"/>
          <w:sz w:val="24"/>
          <w:szCs w:val="24"/>
        </w:rPr>
        <w:t xml:space="preserve">. 19th </w:t>
      </w:r>
      <w:proofErr w:type="spellStart"/>
      <w:r w:rsidRPr="00F85C9B">
        <w:rPr>
          <w:rFonts w:eastAsia="Times New Roman"/>
          <w:sz w:val="24"/>
          <w:szCs w:val="24"/>
        </w:rPr>
        <w:t>edn</w:t>
      </w:r>
      <w:proofErr w:type="spellEnd"/>
      <w:r w:rsidRPr="00F85C9B">
        <w:rPr>
          <w:rFonts w:eastAsia="Times New Roman"/>
          <w:sz w:val="24"/>
          <w:szCs w:val="24"/>
        </w:rPr>
        <w:t>. Harlow: Pearson</w:t>
      </w:r>
      <w:r w:rsidRPr="005655CD">
        <w:rPr>
          <w:rFonts w:eastAsia="Times New Roman"/>
          <w:sz w:val="24"/>
          <w:szCs w:val="24"/>
        </w:rPr>
        <w:t>.</w:t>
      </w:r>
      <w:r w:rsidRPr="005655CD">
        <w:rPr>
          <w:sz w:val="24"/>
          <w:szCs w:val="24"/>
        </w:rPr>
        <w:t xml:space="preserve"> (Accessed: 23 July 2026).</w:t>
      </w:r>
    </w:p>
    <w:p w14:paraId="6296FAC5" w14:textId="77777777" w:rsidR="00CF714D" w:rsidRPr="005655CD" w:rsidRDefault="00CF714D" w:rsidP="00F85C9B">
      <w:pPr>
        <w:spacing w:after="240" w:line="360" w:lineRule="auto"/>
        <w:jc w:val="both"/>
        <w:rPr>
          <w:rFonts w:eastAsia="Times New Roman"/>
          <w:sz w:val="24"/>
          <w:szCs w:val="24"/>
          <w:u w:val="single"/>
        </w:rPr>
      </w:pPr>
      <w:r w:rsidRPr="005655CD">
        <w:rPr>
          <w:sz w:val="24"/>
          <w:szCs w:val="24"/>
        </w:rPr>
        <w:t xml:space="preserve">Kotler, P., Armstrong, G., Harris, L.C. and He, H. (2024) </w:t>
      </w:r>
      <w:r w:rsidRPr="005655CD">
        <w:rPr>
          <w:rStyle w:val="Emphasis"/>
          <w:sz w:val="24"/>
          <w:szCs w:val="24"/>
        </w:rPr>
        <w:t>Principles of Marketing</w:t>
      </w:r>
      <w:r w:rsidRPr="005655CD">
        <w:rPr>
          <w:sz w:val="24"/>
          <w:szCs w:val="24"/>
        </w:rPr>
        <w:t xml:space="preserve">. 19th </w:t>
      </w:r>
      <w:proofErr w:type="spellStart"/>
      <w:r w:rsidRPr="005655CD">
        <w:rPr>
          <w:sz w:val="24"/>
          <w:szCs w:val="24"/>
        </w:rPr>
        <w:t>edn</w:t>
      </w:r>
      <w:proofErr w:type="spellEnd"/>
      <w:r w:rsidRPr="005655CD">
        <w:rPr>
          <w:sz w:val="24"/>
          <w:szCs w:val="24"/>
        </w:rPr>
        <w:t>. Harlow: Pearson. (Accessed: 23 July 2026).</w:t>
      </w:r>
    </w:p>
    <w:p w14:paraId="551F4230" w14:textId="77777777" w:rsidR="00CF714D" w:rsidRPr="00F85C9B" w:rsidRDefault="00CF714D" w:rsidP="00F85C9B">
      <w:pPr>
        <w:spacing w:after="240" w:line="360" w:lineRule="auto"/>
        <w:jc w:val="both"/>
        <w:rPr>
          <w:color w:val="222222"/>
          <w:sz w:val="24"/>
          <w:szCs w:val="24"/>
          <w:shd w:val="clear" w:color="auto" w:fill="FFFFFF"/>
        </w:rPr>
      </w:pPr>
      <w:r w:rsidRPr="005655CD">
        <w:rPr>
          <w:sz w:val="24"/>
          <w:szCs w:val="24"/>
          <w:shd w:val="clear" w:color="auto" w:fill="FFFFFF"/>
        </w:rPr>
        <w:t xml:space="preserve">Luderer, G., Madeddu, S., </w:t>
      </w:r>
      <w:proofErr w:type="spellStart"/>
      <w:r w:rsidRPr="005655CD">
        <w:rPr>
          <w:sz w:val="24"/>
          <w:szCs w:val="24"/>
          <w:shd w:val="clear" w:color="auto" w:fill="FFFFFF"/>
        </w:rPr>
        <w:t>Merfort</w:t>
      </w:r>
      <w:proofErr w:type="spellEnd"/>
      <w:r w:rsidRPr="005655CD">
        <w:rPr>
          <w:sz w:val="24"/>
          <w:szCs w:val="24"/>
          <w:shd w:val="clear" w:color="auto" w:fill="FFFFFF"/>
        </w:rPr>
        <w:t xml:space="preserve">, L., </w:t>
      </w:r>
      <w:proofErr w:type="spellStart"/>
      <w:r w:rsidRPr="005655CD">
        <w:rPr>
          <w:sz w:val="24"/>
          <w:szCs w:val="24"/>
          <w:shd w:val="clear" w:color="auto" w:fill="FFFFFF"/>
        </w:rPr>
        <w:t>Ueckerdt</w:t>
      </w:r>
      <w:proofErr w:type="spellEnd"/>
      <w:r w:rsidRPr="005655CD">
        <w:rPr>
          <w:sz w:val="24"/>
          <w:szCs w:val="24"/>
          <w:shd w:val="clear" w:color="auto" w:fill="FFFFFF"/>
        </w:rPr>
        <w:t xml:space="preserve">, F., Pehl, M., </w:t>
      </w:r>
      <w:proofErr w:type="spellStart"/>
      <w:r w:rsidRPr="005655CD">
        <w:rPr>
          <w:sz w:val="24"/>
          <w:szCs w:val="24"/>
          <w:shd w:val="clear" w:color="auto" w:fill="FFFFFF"/>
        </w:rPr>
        <w:t>Pietzcker</w:t>
      </w:r>
      <w:proofErr w:type="spellEnd"/>
      <w:r w:rsidRPr="005655CD">
        <w:rPr>
          <w:sz w:val="24"/>
          <w:szCs w:val="24"/>
          <w:shd w:val="clear" w:color="auto" w:fill="FFFFFF"/>
        </w:rPr>
        <w:t xml:space="preserve">, R., </w:t>
      </w:r>
      <w:proofErr w:type="spellStart"/>
      <w:r w:rsidRPr="005655CD">
        <w:rPr>
          <w:sz w:val="24"/>
          <w:szCs w:val="24"/>
          <w:shd w:val="clear" w:color="auto" w:fill="FFFFFF"/>
        </w:rPr>
        <w:t>Rottoli</w:t>
      </w:r>
      <w:proofErr w:type="spellEnd"/>
      <w:r w:rsidRPr="005655CD">
        <w:rPr>
          <w:sz w:val="24"/>
          <w:szCs w:val="24"/>
          <w:shd w:val="clear" w:color="auto" w:fill="FFFFFF"/>
        </w:rPr>
        <w:t>, M., Schreyer, F., Bauer, N., Baumstark, L. and Bertram, C., 2022. Impact of declining renewable energy costs on electrification in low-emission scenarios. </w:t>
      </w:r>
      <w:r w:rsidRPr="005655CD">
        <w:rPr>
          <w:i/>
          <w:iCs/>
          <w:sz w:val="24"/>
          <w:szCs w:val="24"/>
          <w:shd w:val="clear" w:color="auto" w:fill="FFFFFF"/>
        </w:rPr>
        <w:t>Nature Energy</w:t>
      </w:r>
      <w:r w:rsidRPr="005655CD">
        <w:rPr>
          <w:sz w:val="24"/>
          <w:szCs w:val="24"/>
          <w:shd w:val="clear" w:color="auto" w:fill="FFFFFF"/>
        </w:rPr>
        <w:t>, </w:t>
      </w:r>
      <w:r w:rsidRPr="005655CD">
        <w:rPr>
          <w:i/>
          <w:iCs/>
          <w:sz w:val="24"/>
          <w:szCs w:val="24"/>
          <w:shd w:val="clear" w:color="auto" w:fill="FFFFFF"/>
        </w:rPr>
        <w:t>7</w:t>
      </w:r>
      <w:r w:rsidRPr="005655CD">
        <w:rPr>
          <w:sz w:val="24"/>
          <w:szCs w:val="24"/>
          <w:shd w:val="clear" w:color="auto" w:fill="FFFFFF"/>
        </w:rPr>
        <w:t>(1), pp.32-42.</w:t>
      </w:r>
      <w:r w:rsidRPr="005655CD">
        <w:t xml:space="preserve"> </w:t>
      </w:r>
      <w:hyperlink r:id="rId33" w:history="1">
        <w:r w:rsidRPr="00F85C9B">
          <w:rPr>
            <w:rStyle w:val="Hyperlink"/>
            <w:sz w:val="24"/>
            <w:szCs w:val="24"/>
            <w:shd w:val="clear" w:color="auto" w:fill="FFFFFF"/>
          </w:rPr>
          <w:t>https://publications.pik-potsdam.de/pubman/item/item_26440_16/component/file_32033/26440oa.pdf</w:t>
        </w:r>
      </w:hyperlink>
      <w:r w:rsidRPr="00F85C9B">
        <w:rPr>
          <w:color w:val="222222"/>
          <w:sz w:val="24"/>
          <w:szCs w:val="24"/>
          <w:shd w:val="clear" w:color="auto" w:fill="FFFFFF"/>
        </w:rPr>
        <w:t xml:space="preserve"> </w:t>
      </w:r>
      <w:r w:rsidRPr="005655CD">
        <w:rPr>
          <w:sz w:val="24"/>
          <w:szCs w:val="24"/>
        </w:rPr>
        <w:t>(Accessed: 23 July 2026).</w:t>
      </w:r>
    </w:p>
    <w:p w14:paraId="2B3B177C"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Manalo, P. (2026) </w:t>
      </w:r>
      <w:r w:rsidRPr="00F85C9B">
        <w:rPr>
          <w:rFonts w:eastAsia="Times New Roman"/>
          <w:i/>
          <w:iCs/>
          <w:sz w:val="24"/>
          <w:szCs w:val="24"/>
        </w:rPr>
        <w:t>Mine permitting delays stretch timelines to 30 years</w:t>
      </w:r>
      <w:r w:rsidRPr="00F85C9B">
        <w:rPr>
          <w:rFonts w:eastAsia="Times New Roman"/>
          <w:sz w:val="24"/>
          <w:szCs w:val="24"/>
        </w:rPr>
        <w:t>. Available at:</w:t>
      </w:r>
      <w:hyperlink r:id="rId34">
        <w:r w:rsidRPr="00F85C9B">
          <w:rPr>
            <w:rFonts w:eastAsia="Times New Roman"/>
            <w:sz w:val="24"/>
            <w:szCs w:val="24"/>
          </w:rPr>
          <w:t xml:space="preserve"> </w:t>
        </w:r>
      </w:hyperlink>
      <w:hyperlink r:id="rId35">
        <w:r w:rsidRPr="00F85C9B">
          <w:rPr>
            <w:rFonts w:eastAsia="Times New Roman"/>
            <w:color w:val="1155CC"/>
            <w:sz w:val="24"/>
            <w:szCs w:val="24"/>
            <w:u w:val="single"/>
          </w:rPr>
          <w:t>https://www.spglobal.com/market-intelligence/en/news-insights/research/2026/07/mine-permitting-delays-discovery-to-production-timeline</w:t>
        </w:r>
      </w:hyperlink>
      <w:r w:rsidRPr="00F85C9B">
        <w:rPr>
          <w:rFonts w:eastAsia="Times New Roman"/>
          <w:color w:val="1155CC"/>
          <w:sz w:val="24"/>
          <w:szCs w:val="24"/>
          <w:u w:val="single"/>
        </w:rPr>
        <w:t xml:space="preserve"> </w:t>
      </w:r>
      <w:r w:rsidRPr="005655CD">
        <w:rPr>
          <w:sz w:val="24"/>
          <w:szCs w:val="24"/>
        </w:rPr>
        <w:t>(Accessed: 23 July 2026).</w:t>
      </w:r>
    </w:p>
    <w:p w14:paraId="1500C70B" w14:textId="77777777" w:rsidR="00CF714D" w:rsidRPr="00F85C9B" w:rsidRDefault="00CF714D" w:rsidP="00F85C9B">
      <w:pPr>
        <w:spacing w:after="240" w:line="360" w:lineRule="auto"/>
        <w:jc w:val="both"/>
        <w:rPr>
          <w:rFonts w:eastAsia="Times New Roman"/>
          <w:color w:val="1155CC"/>
          <w:sz w:val="24"/>
          <w:szCs w:val="24"/>
          <w:u w:val="single"/>
        </w:rPr>
      </w:pPr>
      <w:r w:rsidRPr="00F85C9B">
        <w:rPr>
          <w:rFonts w:eastAsia="Times New Roman"/>
          <w:sz w:val="24"/>
          <w:szCs w:val="24"/>
        </w:rPr>
        <w:t xml:space="preserve">Maris, S. and Clarissia, S. (2019) ‘A study on Ansoff Matrix technique: As a growth strategy and an adaptive learning technique adopted in the leading brand of products’, </w:t>
      </w:r>
      <w:r w:rsidRPr="00F85C9B">
        <w:rPr>
          <w:rFonts w:eastAsia="Times New Roman"/>
          <w:i/>
          <w:iCs/>
          <w:sz w:val="24"/>
          <w:szCs w:val="24"/>
        </w:rPr>
        <w:t>JAC: A Journal of Composition Theory</w:t>
      </w:r>
      <w:r w:rsidRPr="00F85C9B">
        <w:rPr>
          <w:rFonts w:eastAsia="Times New Roman"/>
          <w:sz w:val="24"/>
          <w:szCs w:val="24"/>
        </w:rPr>
        <w:t xml:space="preserve">, </w:t>
      </w:r>
      <w:r w:rsidRPr="00F85C9B">
        <w:rPr>
          <w:rFonts w:eastAsia="Times New Roman"/>
          <w:b/>
          <w:bCs/>
          <w:sz w:val="24"/>
          <w:szCs w:val="24"/>
        </w:rPr>
        <w:t>12</w:t>
      </w:r>
      <w:r w:rsidRPr="00F85C9B">
        <w:rPr>
          <w:rFonts w:eastAsia="Times New Roman"/>
          <w:sz w:val="24"/>
          <w:szCs w:val="24"/>
        </w:rPr>
        <w:t>(9), pp. 1494–1506. Available at:</w:t>
      </w:r>
      <w:hyperlink r:id="rId36">
        <w:r w:rsidRPr="00F85C9B">
          <w:rPr>
            <w:rFonts w:eastAsia="Times New Roman"/>
            <w:sz w:val="24"/>
            <w:szCs w:val="24"/>
          </w:rPr>
          <w:t xml:space="preserve"> </w:t>
        </w:r>
      </w:hyperlink>
      <w:hyperlink r:id="rId37">
        <w:r w:rsidRPr="00F85C9B">
          <w:rPr>
            <w:rFonts w:eastAsia="Times New Roman"/>
            <w:color w:val="1155CC"/>
            <w:sz w:val="24"/>
            <w:szCs w:val="24"/>
            <w:u w:val="single"/>
          </w:rPr>
          <w:t>https://www.researchgate.net/publication/388495862_A_STUDY_ON_ANSOFF_MATRIX_TECHNIQUE_AS_A_GROWTH_STRATEGY_AND_AN_ADAPTIVE_LEARNING_TECHNIQUE_ADOPTED_IN_THE_LEADING_BRAND_OF_PRODUCTS</w:t>
        </w:r>
      </w:hyperlink>
      <w:r w:rsidRPr="00F85C9B">
        <w:rPr>
          <w:rFonts w:eastAsia="Times New Roman"/>
          <w:color w:val="1155CC"/>
          <w:sz w:val="24"/>
          <w:szCs w:val="24"/>
          <w:u w:val="single"/>
        </w:rPr>
        <w:t xml:space="preserve"> </w:t>
      </w:r>
      <w:r w:rsidRPr="005655CD">
        <w:rPr>
          <w:sz w:val="24"/>
          <w:szCs w:val="24"/>
        </w:rPr>
        <w:t>(Accessed: 23 July 2026).</w:t>
      </w:r>
    </w:p>
    <w:p w14:paraId="59E0A00D" w14:textId="77777777" w:rsidR="00CF714D" w:rsidRPr="00F85C9B" w:rsidRDefault="00CF714D" w:rsidP="00F85C9B">
      <w:pPr>
        <w:spacing w:after="240" w:line="360" w:lineRule="auto"/>
        <w:jc w:val="both"/>
        <w:rPr>
          <w:rFonts w:eastAsia="Times New Roman"/>
          <w:sz w:val="24"/>
          <w:szCs w:val="24"/>
        </w:rPr>
      </w:pPr>
      <w:r w:rsidRPr="00F85C9B">
        <w:rPr>
          <w:rFonts w:eastAsia="Times New Roman"/>
          <w:sz w:val="24"/>
          <w:szCs w:val="24"/>
        </w:rPr>
        <w:t xml:space="preserve">Paletta, A. (2025) ‘The interplay of eco-innovation and stakeholder engagement: Driving sustainability-oriented business practices’, </w:t>
      </w:r>
      <w:r w:rsidRPr="00F85C9B">
        <w:rPr>
          <w:rFonts w:eastAsia="Times New Roman"/>
          <w:i/>
          <w:iCs/>
          <w:sz w:val="24"/>
          <w:szCs w:val="24"/>
        </w:rPr>
        <w:t>Journal of Environmental Management</w:t>
      </w:r>
      <w:r w:rsidRPr="00F85C9B">
        <w:rPr>
          <w:rFonts w:eastAsia="Times New Roman"/>
          <w:sz w:val="24"/>
          <w:szCs w:val="24"/>
        </w:rPr>
        <w:t xml:space="preserve">, </w:t>
      </w:r>
      <w:r w:rsidRPr="00F85C9B">
        <w:rPr>
          <w:rFonts w:eastAsia="Times New Roman"/>
          <w:b/>
          <w:bCs/>
          <w:sz w:val="24"/>
          <w:szCs w:val="24"/>
        </w:rPr>
        <w:t>396</w:t>
      </w:r>
      <w:r w:rsidRPr="00F85C9B">
        <w:rPr>
          <w:rFonts w:eastAsia="Times New Roman"/>
          <w:sz w:val="24"/>
          <w:szCs w:val="24"/>
        </w:rPr>
        <w:t xml:space="preserve">, article 128194. </w:t>
      </w:r>
      <w:proofErr w:type="spellStart"/>
      <w:r w:rsidRPr="00F85C9B">
        <w:rPr>
          <w:rFonts w:eastAsia="Times New Roman"/>
          <w:sz w:val="24"/>
          <w:szCs w:val="24"/>
        </w:rPr>
        <w:t>doi</w:t>
      </w:r>
      <w:proofErr w:type="spellEnd"/>
      <w:r w:rsidRPr="00F85C9B">
        <w:rPr>
          <w:rFonts w:eastAsia="Times New Roman"/>
          <w:sz w:val="24"/>
          <w:szCs w:val="24"/>
        </w:rPr>
        <w:t>: 10.1016/j.jenvman.2025.128194</w:t>
      </w:r>
      <w:r w:rsidRPr="005655CD">
        <w:rPr>
          <w:rFonts w:eastAsia="Times New Roman"/>
          <w:sz w:val="24"/>
          <w:szCs w:val="24"/>
        </w:rPr>
        <w:t xml:space="preserve">. </w:t>
      </w:r>
      <w:r w:rsidRPr="005655CD">
        <w:rPr>
          <w:sz w:val="24"/>
          <w:szCs w:val="24"/>
        </w:rPr>
        <w:t>(Accessed: 23 July 2026).</w:t>
      </w:r>
    </w:p>
    <w:p w14:paraId="1968EF43" w14:textId="77777777" w:rsidR="00CF714D" w:rsidRPr="00F85C9B" w:rsidRDefault="00CF714D" w:rsidP="00F85C9B">
      <w:pPr>
        <w:spacing w:after="240" w:line="360" w:lineRule="auto"/>
        <w:jc w:val="both"/>
        <w:rPr>
          <w:rFonts w:eastAsia="Times New Roman"/>
          <w:color w:val="1155CC"/>
          <w:sz w:val="24"/>
          <w:szCs w:val="24"/>
          <w:u w:val="single"/>
        </w:rPr>
      </w:pPr>
      <w:proofErr w:type="spellStart"/>
      <w:r w:rsidRPr="00F85C9B">
        <w:rPr>
          <w:rFonts w:eastAsia="Times New Roman"/>
          <w:sz w:val="24"/>
          <w:szCs w:val="24"/>
        </w:rPr>
        <w:t>Peterdy</w:t>
      </w:r>
      <w:proofErr w:type="spellEnd"/>
      <w:r w:rsidRPr="00F85C9B">
        <w:rPr>
          <w:rFonts w:eastAsia="Times New Roman"/>
          <w:sz w:val="24"/>
          <w:szCs w:val="24"/>
        </w:rPr>
        <w:t xml:space="preserve">, K. (2025) </w:t>
      </w:r>
      <w:r w:rsidRPr="00F85C9B">
        <w:rPr>
          <w:rFonts w:eastAsia="Times New Roman"/>
          <w:i/>
          <w:iCs/>
          <w:sz w:val="24"/>
          <w:szCs w:val="24"/>
        </w:rPr>
        <w:t>Ansoff Matrix</w:t>
      </w:r>
      <w:r w:rsidRPr="00F85C9B">
        <w:rPr>
          <w:rFonts w:eastAsia="Times New Roman"/>
          <w:sz w:val="24"/>
          <w:szCs w:val="24"/>
        </w:rPr>
        <w:t>. Available at:</w:t>
      </w:r>
      <w:hyperlink r:id="rId38">
        <w:r w:rsidRPr="00F85C9B">
          <w:rPr>
            <w:rFonts w:eastAsia="Times New Roman"/>
            <w:sz w:val="24"/>
            <w:szCs w:val="24"/>
          </w:rPr>
          <w:t xml:space="preserve"> </w:t>
        </w:r>
      </w:hyperlink>
      <w:hyperlink r:id="rId39">
        <w:r w:rsidRPr="00F85C9B">
          <w:rPr>
            <w:rFonts w:eastAsia="Times New Roman"/>
            <w:color w:val="1155CC"/>
            <w:sz w:val="24"/>
            <w:szCs w:val="24"/>
            <w:u w:val="single"/>
          </w:rPr>
          <w:t>https://corporatefinanceinstitute.com/resources/management/ansoff-matrix/</w:t>
        </w:r>
      </w:hyperlink>
      <w:r w:rsidRPr="00F85C9B">
        <w:rPr>
          <w:rFonts w:eastAsia="Times New Roman"/>
          <w:color w:val="1155CC"/>
          <w:sz w:val="24"/>
          <w:szCs w:val="24"/>
          <w:u w:val="single"/>
        </w:rPr>
        <w:t xml:space="preserve"> </w:t>
      </w:r>
      <w:r w:rsidRPr="005655CD">
        <w:rPr>
          <w:sz w:val="24"/>
          <w:szCs w:val="24"/>
        </w:rPr>
        <w:t>(Accessed: 23 July 2026).</w:t>
      </w:r>
    </w:p>
    <w:p w14:paraId="69AF9D54" w14:textId="77777777" w:rsidR="00CF714D" w:rsidRPr="00F85C9B" w:rsidRDefault="00CF714D" w:rsidP="00F85C9B">
      <w:pPr>
        <w:spacing w:after="240" w:line="360" w:lineRule="auto"/>
        <w:jc w:val="both"/>
        <w:rPr>
          <w:rFonts w:eastAsia="Times New Roman"/>
          <w:sz w:val="24"/>
          <w:szCs w:val="24"/>
        </w:rPr>
      </w:pPr>
      <w:proofErr w:type="spellStart"/>
      <w:r w:rsidRPr="00F85C9B">
        <w:rPr>
          <w:rFonts w:eastAsia="Times New Roman"/>
          <w:sz w:val="24"/>
          <w:szCs w:val="24"/>
        </w:rPr>
        <w:lastRenderedPageBreak/>
        <w:t>Pouresmaieli</w:t>
      </w:r>
      <w:proofErr w:type="spellEnd"/>
      <w:r w:rsidRPr="00F85C9B">
        <w:rPr>
          <w:rFonts w:eastAsia="Times New Roman"/>
          <w:sz w:val="24"/>
          <w:szCs w:val="24"/>
        </w:rPr>
        <w:t xml:space="preserve">, M., Ataei, M., Nouri Qarahasanlou, A. and </w:t>
      </w:r>
      <w:proofErr w:type="spellStart"/>
      <w:r w:rsidRPr="00F85C9B">
        <w:rPr>
          <w:rFonts w:eastAsia="Times New Roman"/>
          <w:sz w:val="24"/>
          <w:szCs w:val="24"/>
        </w:rPr>
        <w:t>Barabadi</w:t>
      </w:r>
      <w:proofErr w:type="spellEnd"/>
      <w:r w:rsidRPr="00F85C9B">
        <w:rPr>
          <w:rFonts w:eastAsia="Times New Roman"/>
          <w:sz w:val="24"/>
          <w:szCs w:val="24"/>
        </w:rPr>
        <w:t xml:space="preserve">, A. (2023) ‘Integration of renewable energy and sustainable development with strategic planning in the mining industry’, </w:t>
      </w:r>
      <w:r w:rsidRPr="00F85C9B">
        <w:rPr>
          <w:rFonts w:eastAsia="Times New Roman"/>
          <w:i/>
          <w:iCs/>
          <w:sz w:val="24"/>
          <w:szCs w:val="24"/>
        </w:rPr>
        <w:t>Results in Engineering</w:t>
      </w:r>
      <w:r w:rsidRPr="00F85C9B">
        <w:rPr>
          <w:rFonts w:eastAsia="Times New Roman"/>
          <w:sz w:val="24"/>
          <w:szCs w:val="24"/>
        </w:rPr>
        <w:t xml:space="preserve">, </w:t>
      </w:r>
      <w:r w:rsidRPr="00F85C9B">
        <w:rPr>
          <w:rFonts w:eastAsia="Times New Roman"/>
          <w:b/>
          <w:bCs/>
          <w:sz w:val="24"/>
          <w:szCs w:val="24"/>
        </w:rPr>
        <w:t>20</w:t>
      </w:r>
      <w:r w:rsidRPr="00F85C9B">
        <w:rPr>
          <w:rFonts w:eastAsia="Times New Roman"/>
          <w:sz w:val="24"/>
          <w:szCs w:val="24"/>
        </w:rPr>
        <w:t>, article 101412. doi:10.1016/j.rineng.2023.101412</w:t>
      </w:r>
      <w:r w:rsidRPr="005655CD">
        <w:rPr>
          <w:rFonts w:eastAsia="Times New Roman"/>
          <w:sz w:val="24"/>
          <w:szCs w:val="24"/>
        </w:rPr>
        <w:t xml:space="preserve">. </w:t>
      </w:r>
      <w:r w:rsidRPr="005655CD">
        <w:rPr>
          <w:sz w:val="24"/>
          <w:szCs w:val="24"/>
        </w:rPr>
        <w:t>(Accessed: 23 July 2026).</w:t>
      </w:r>
    </w:p>
    <w:p w14:paraId="11337E01" w14:textId="77777777" w:rsidR="00CF714D" w:rsidRPr="005655CD" w:rsidRDefault="00CF714D" w:rsidP="00F85C9B">
      <w:pPr>
        <w:spacing w:after="240" w:line="360" w:lineRule="auto"/>
        <w:jc w:val="both"/>
        <w:rPr>
          <w:rFonts w:eastAsia="Times New Roman"/>
          <w:sz w:val="24"/>
          <w:szCs w:val="24"/>
        </w:rPr>
      </w:pPr>
      <w:proofErr w:type="spellStart"/>
      <w:r w:rsidRPr="00F85C9B">
        <w:rPr>
          <w:rFonts w:eastAsia="Times New Roman"/>
          <w:sz w:val="24"/>
          <w:szCs w:val="24"/>
        </w:rPr>
        <w:t>Qarahasanlou</w:t>
      </w:r>
      <w:proofErr w:type="spellEnd"/>
      <w:r w:rsidRPr="00F85C9B">
        <w:rPr>
          <w:rFonts w:eastAsia="Times New Roman"/>
          <w:sz w:val="24"/>
          <w:szCs w:val="24"/>
        </w:rPr>
        <w:t xml:space="preserve">, A.N., </w:t>
      </w:r>
      <w:proofErr w:type="spellStart"/>
      <w:r w:rsidRPr="00F85C9B">
        <w:rPr>
          <w:rFonts w:eastAsia="Times New Roman"/>
          <w:sz w:val="24"/>
          <w:szCs w:val="24"/>
        </w:rPr>
        <w:t>Garmabaki</w:t>
      </w:r>
      <w:proofErr w:type="spellEnd"/>
      <w:r w:rsidRPr="00F85C9B">
        <w:rPr>
          <w:rFonts w:eastAsia="Times New Roman"/>
          <w:sz w:val="24"/>
          <w:szCs w:val="24"/>
        </w:rPr>
        <w:t xml:space="preserve">, A.H.S., </w:t>
      </w:r>
      <w:proofErr w:type="spellStart"/>
      <w:r w:rsidRPr="00F85C9B">
        <w:rPr>
          <w:rFonts w:eastAsia="Times New Roman"/>
          <w:sz w:val="24"/>
          <w:szCs w:val="24"/>
        </w:rPr>
        <w:t>Kasraei</w:t>
      </w:r>
      <w:proofErr w:type="spellEnd"/>
      <w:r w:rsidRPr="00F85C9B">
        <w:rPr>
          <w:rFonts w:eastAsia="Times New Roman"/>
          <w:sz w:val="24"/>
          <w:szCs w:val="24"/>
        </w:rPr>
        <w:t xml:space="preserve">, A. and </w:t>
      </w:r>
      <w:proofErr w:type="spellStart"/>
      <w:r w:rsidRPr="00F85C9B">
        <w:rPr>
          <w:rFonts w:eastAsia="Times New Roman"/>
          <w:sz w:val="24"/>
          <w:szCs w:val="24"/>
        </w:rPr>
        <w:t>Barabady</w:t>
      </w:r>
      <w:proofErr w:type="spellEnd"/>
      <w:r w:rsidRPr="00F85C9B">
        <w:rPr>
          <w:rFonts w:eastAsia="Times New Roman"/>
          <w:sz w:val="24"/>
          <w:szCs w:val="24"/>
        </w:rPr>
        <w:t xml:space="preserve">, J. (2024) ‘Climate change impacts on mining value chain: A systematic literature review’, </w:t>
      </w:r>
      <w:r w:rsidRPr="00F85C9B">
        <w:rPr>
          <w:rFonts w:eastAsia="Times New Roman"/>
          <w:i/>
          <w:iCs/>
          <w:sz w:val="24"/>
          <w:szCs w:val="24"/>
        </w:rPr>
        <w:t>Lecture Notes in Mechanical Engineering</w:t>
      </w:r>
      <w:r w:rsidRPr="00F85C9B">
        <w:rPr>
          <w:rFonts w:eastAsia="Times New Roman"/>
          <w:sz w:val="24"/>
          <w:szCs w:val="24"/>
        </w:rPr>
        <w:t xml:space="preserve">, pp. 115–128. doi:10.1007/978-3-031-39619-9_9. </w:t>
      </w:r>
      <w:r w:rsidRPr="005655CD">
        <w:rPr>
          <w:sz w:val="24"/>
          <w:szCs w:val="24"/>
        </w:rPr>
        <w:t>(Accessed: 23 July 2026).</w:t>
      </w:r>
    </w:p>
    <w:p w14:paraId="7F75A1B5" w14:textId="77777777" w:rsidR="00CF714D" w:rsidRPr="005655CD" w:rsidRDefault="00CF714D" w:rsidP="00CF714D">
      <w:pPr>
        <w:pStyle w:val="NormalWeb"/>
        <w:spacing w:before="0" w:beforeAutospacing="0" w:after="240" w:afterAutospacing="0" w:line="360" w:lineRule="auto"/>
        <w:rPr>
          <w:rFonts w:ascii="Arial" w:hAnsi="Arial" w:cs="Arial"/>
        </w:rPr>
      </w:pPr>
      <w:proofErr w:type="spellStart"/>
      <w:r w:rsidRPr="005655CD">
        <w:rPr>
          <w:rFonts w:ascii="Arial" w:hAnsi="Arial" w:cs="Arial"/>
        </w:rPr>
        <w:t>Rathobei</w:t>
      </w:r>
      <w:proofErr w:type="spellEnd"/>
      <w:r w:rsidRPr="005655CD">
        <w:rPr>
          <w:rFonts w:ascii="Arial" w:hAnsi="Arial" w:cs="Arial"/>
        </w:rPr>
        <w:t xml:space="preserve">, K.E., </w:t>
      </w:r>
      <w:proofErr w:type="spellStart"/>
      <w:r w:rsidRPr="005655CD">
        <w:rPr>
          <w:rFonts w:ascii="Arial" w:hAnsi="Arial" w:cs="Arial"/>
        </w:rPr>
        <w:t>Ranängen</w:t>
      </w:r>
      <w:proofErr w:type="spellEnd"/>
      <w:r w:rsidRPr="005655CD">
        <w:rPr>
          <w:rFonts w:ascii="Arial" w:hAnsi="Arial" w:cs="Arial"/>
        </w:rPr>
        <w:t xml:space="preserve">, H. and Lindman, Å. (2024). Stakeholder integration in sustainable business models to enhance value delivery for a broader range of stakeholders. </w:t>
      </w:r>
      <w:r w:rsidRPr="005655CD">
        <w:rPr>
          <w:rFonts w:ascii="Arial" w:hAnsi="Arial" w:cs="Arial"/>
          <w:i/>
          <w:iCs/>
        </w:rPr>
        <w:t>Business strategy and the environment</w:t>
      </w:r>
      <w:r w:rsidRPr="005655CD">
        <w:rPr>
          <w:rFonts w:ascii="Arial" w:hAnsi="Arial" w:cs="Arial"/>
        </w:rPr>
        <w:t>, 33(4). doi:10.1002/bse.3651.</w:t>
      </w:r>
    </w:p>
    <w:p w14:paraId="5EC9A98B" w14:textId="77777777" w:rsidR="00CF714D" w:rsidRDefault="00CF714D" w:rsidP="00F85C9B">
      <w:pPr>
        <w:spacing w:after="240" w:line="360" w:lineRule="auto"/>
        <w:jc w:val="both"/>
        <w:rPr>
          <w:color w:val="FF0000"/>
          <w:sz w:val="24"/>
          <w:szCs w:val="24"/>
        </w:rPr>
      </w:pPr>
      <w:r w:rsidRPr="00F85C9B">
        <w:rPr>
          <w:rFonts w:eastAsia="Times New Roman"/>
          <w:sz w:val="24"/>
          <w:szCs w:val="24"/>
        </w:rPr>
        <w:t xml:space="preserve">Rio Tinto (2025) </w:t>
      </w:r>
      <w:r w:rsidRPr="00F85C9B">
        <w:rPr>
          <w:rFonts w:eastAsia="Times New Roman"/>
          <w:i/>
          <w:iCs/>
          <w:sz w:val="24"/>
          <w:szCs w:val="24"/>
        </w:rPr>
        <w:t>Climate reporting</w:t>
      </w:r>
      <w:r w:rsidRPr="00F85C9B">
        <w:rPr>
          <w:rFonts w:eastAsia="Times New Roman"/>
          <w:sz w:val="24"/>
          <w:szCs w:val="24"/>
        </w:rPr>
        <w:t>. Available at:</w:t>
      </w:r>
      <w:hyperlink r:id="rId40">
        <w:r w:rsidRPr="00F85C9B">
          <w:rPr>
            <w:rFonts w:eastAsia="Times New Roman"/>
            <w:sz w:val="24"/>
            <w:szCs w:val="24"/>
          </w:rPr>
          <w:t xml:space="preserve"> </w:t>
        </w:r>
      </w:hyperlink>
      <w:hyperlink r:id="rId41">
        <w:r w:rsidRPr="00F85C9B">
          <w:rPr>
            <w:rFonts w:eastAsia="Times New Roman"/>
            <w:color w:val="1155CC"/>
            <w:sz w:val="24"/>
            <w:szCs w:val="24"/>
            <w:u w:val="single"/>
          </w:rPr>
          <w:t>https://www.riotinto.com/en/invest/reports/climate-reporting</w:t>
        </w:r>
      </w:hyperlink>
      <w:r w:rsidRPr="00F85C9B">
        <w:rPr>
          <w:rFonts w:eastAsia="Times New Roman"/>
          <w:color w:val="1155CC"/>
          <w:sz w:val="24"/>
          <w:szCs w:val="24"/>
          <w:u w:val="single"/>
        </w:rPr>
        <w:t xml:space="preserve"> </w:t>
      </w:r>
      <w:r w:rsidRPr="005655CD">
        <w:rPr>
          <w:sz w:val="24"/>
          <w:szCs w:val="24"/>
        </w:rPr>
        <w:t>(Accessed: 23 July 2026).</w:t>
      </w:r>
    </w:p>
    <w:p w14:paraId="706BB846" w14:textId="77777777" w:rsidR="00CF714D" w:rsidRPr="00F85C9B" w:rsidRDefault="00CF714D" w:rsidP="00F85C9B">
      <w:pPr>
        <w:spacing w:after="240" w:line="360" w:lineRule="auto"/>
        <w:jc w:val="both"/>
        <w:rPr>
          <w:color w:val="FF0000"/>
          <w:sz w:val="24"/>
          <w:szCs w:val="24"/>
        </w:rPr>
      </w:pPr>
    </w:p>
    <w:sectPr w:rsidR="00CF714D" w:rsidRPr="00F85C9B" w:rsidSect="002C4C6F">
      <w:footerReference w:type="default" r:id="rId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21388" w14:textId="77777777" w:rsidR="005B0FF3" w:rsidRPr="00424C00" w:rsidRDefault="005B0FF3">
      <w:pPr>
        <w:spacing w:line="240" w:lineRule="auto"/>
      </w:pPr>
      <w:r w:rsidRPr="00424C00">
        <w:separator/>
      </w:r>
    </w:p>
  </w:endnote>
  <w:endnote w:type="continuationSeparator" w:id="0">
    <w:p w14:paraId="6722202D" w14:textId="77777777" w:rsidR="005B0FF3" w:rsidRPr="00424C00" w:rsidRDefault="005B0FF3">
      <w:pPr>
        <w:spacing w:line="240" w:lineRule="auto"/>
      </w:pPr>
      <w:r w:rsidRPr="00424C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3427434-CA60-4009-9BD7-BA5410B86BD0}"/>
  </w:font>
  <w:font w:name="Cambria">
    <w:panose1 w:val="02040503050406030204"/>
    <w:charset w:val="00"/>
    <w:family w:val="roman"/>
    <w:pitch w:val="variable"/>
    <w:sig w:usb0="E00006FF" w:usb1="420024FF" w:usb2="02000000" w:usb3="00000000" w:csb0="0000019F" w:csb1="00000000"/>
    <w:embedRegular r:id="rId2" w:fontKey="{0C54CA66-5DC2-4CC7-863E-E2DAACF8154D}"/>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embedRegular r:id="rId3" w:fontKey="{465A2BD3-FDD1-4141-9CD9-61F66EEEDB1B}"/>
  </w:font>
  <w:font w:name="Calibri">
    <w:panose1 w:val="020F0502020204030204"/>
    <w:charset w:val="00"/>
    <w:family w:val="swiss"/>
    <w:pitch w:val="variable"/>
    <w:sig w:usb0="E4002EFF" w:usb1="C200ACFF" w:usb2="00000009" w:usb3="00000000" w:csb0="000001FF" w:csb1="00000000"/>
    <w:embedRegular r:id="rId4" w:fontKey="{D3A91534-C453-4E61-BEF7-3A93F43933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801B8" w14:textId="67E6EE20" w:rsidR="00213D05" w:rsidRPr="002C4C6F" w:rsidRDefault="00215BD5">
    <w:pPr>
      <w:jc w:val="right"/>
      <w:rPr>
        <w:rFonts w:eastAsia="Times New Roman"/>
        <w:sz w:val="20"/>
        <w:szCs w:val="24"/>
      </w:rPr>
    </w:pPr>
    <w:r w:rsidRPr="002C4C6F">
      <w:rPr>
        <w:rFonts w:eastAsia="Times New Roman"/>
        <w:sz w:val="20"/>
        <w:szCs w:val="24"/>
      </w:rPr>
      <w:fldChar w:fldCharType="begin"/>
    </w:r>
    <w:r w:rsidRPr="002C4C6F">
      <w:rPr>
        <w:rFonts w:eastAsia="Times New Roman"/>
        <w:sz w:val="20"/>
        <w:szCs w:val="24"/>
      </w:rPr>
      <w:instrText>PAGE</w:instrText>
    </w:r>
    <w:r w:rsidRPr="002C4C6F">
      <w:rPr>
        <w:rFonts w:eastAsia="Times New Roman"/>
        <w:sz w:val="20"/>
        <w:szCs w:val="24"/>
      </w:rPr>
      <w:fldChar w:fldCharType="separate"/>
    </w:r>
    <w:r w:rsidR="00CF714D">
      <w:rPr>
        <w:rFonts w:eastAsia="Times New Roman"/>
        <w:noProof/>
        <w:sz w:val="20"/>
        <w:szCs w:val="24"/>
      </w:rPr>
      <w:t>18</w:t>
    </w:r>
    <w:r w:rsidRPr="002C4C6F">
      <w:rPr>
        <w:rFonts w:eastAsia="Times New Roman"/>
        <w:sz w:val="2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8962B" w14:textId="77777777" w:rsidR="005B0FF3" w:rsidRPr="00424C00" w:rsidRDefault="005B0FF3">
      <w:pPr>
        <w:spacing w:line="240" w:lineRule="auto"/>
      </w:pPr>
      <w:r w:rsidRPr="00424C00">
        <w:separator/>
      </w:r>
    </w:p>
  </w:footnote>
  <w:footnote w:type="continuationSeparator" w:id="0">
    <w:p w14:paraId="2BFAB310" w14:textId="77777777" w:rsidR="005B0FF3" w:rsidRPr="00424C00" w:rsidRDefault="005B0FF3">
      <w:pPr>
        <w:spacing w:line="240" w:lineRule="auto"/>
      </w:pPr>
      <w:r w:rsidRPr="00424C0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6168F"/>
    <w:multiLevelType w:val="hybridMultilevel"/>
    <w:tmpl w:val="AF90DCC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25A276D"/>
    <w:multiLevelType w:val="hybridMultilevel"/>
    <w:tmpl w:val="6F78DD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3497517">
    <w:abstractNumId w:val="0"/>
  </w:num>
  <w:num w:numId="2" w16cid:durableId="575431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3D05"/>
    <w:rsid w:val="00000808"/>
    <w:rsid w:val="001418F0"/>
    <w:rsid w:val="00213D05"/>
    <w:rsid w:val="00215BD5"/>
    <w:rsid w:val="002A04B8"/>
    <w:rsid w:val="002C4C6F"/>
    <w:rsid w:val="00344E5C"/>
    <w:rsid w:val="003F6C65"/>
    <w:rsid w:val="00424C00"/>
    <w:rsid w:val="004378FD"/>
    <w:rsid w:val="00471686"/>
    <w:rsid w:val="00484482"/>
    <w:rsid w:val="005655CD"/>
    <w:rsid w:val="005B0FF3"/>
    <w:rsid w:val="005F1778"/>
    <w:rsid w:val="005F7694"/>
    <w:rsid w:val="00892425"/>
    <w:rsid w:val="008E778A"/>
    <w:rsid w:val="00921169"/>
    <w:rsid w:val="00BB4EFD"/>
    <w:rsid w:val="00CF714D"/>
    <w:rsid w:val="00D10B1E"/>
    <w:rsid w:val="00E35146"/>
    <w:rsid w:val="00F24418"/>
    <w:rsid w:val="00F5008A"/>
    <w:rsid w:val="00F77F58"/>
    <w:rsid w:val="00F85C9B"/>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2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2C4C6F"/>
    <w:pPr>
      <w:keepNext/>
      <w:keepLines/>
      <w:spacing w:before="120" w:after="120" w:line="360" w:lineRule="auto"/>
      <w:jc w:val="both"/>
      <w:outlineLvl w:val="0"/>
    </w:pPr>
    <w:rPr>
      <w:b/>
      <w:bCs/>
      <w:sz w:val="28"/>
    </w:rPr>
  </w:style>
  <w:style w:type="paragraph" w:styleId="Heading2">
    <w:name w:val="heading 2"/>
    <w:basedOn w:val="Normal"/>
    <w:next w:val="Normal"/>
    <w:uiPriority w:val="9"/>
    <w:unhideWhenUsed/>
    <w:qFormat/>
    <w:rsid w:val="002C4C6F"/>
    <w:pPr>
      <w:keepNext/>
      <w:keepLines/>
      <w:spacing w:before="120" w:after="120" w:line="360" w:lineRule="auto"/>
      <w:jc w:val="both"/>
      <w:outlineLvl w:val="1"/>
    </w:pPr>
    <w:rPr>
      <w:b/>
      <w:bCs/>
      <w:iCs/>
      <w:sz w:val="26"/>
      <w:szCs w:val="26"/>
    </w:rPr>
  </w:style>
  <w:style w:type="paragraph" w:styleId="Heading3">
    <w:name w:val="heading 3"/>
    <w:basedOn w:val="Normal"/>
    <w:next w:val="Normal"/>
    <w:uiPriority w:val="9"/>
    <w:unhideWhenUsed/>
    <w:qFormat/>
    <w:rsid w:val="002C4C6F"/>
    <w:pPr>
      <w:keepNext/>
      <w:keepLines/>
      <w:spacing w:before="120" w:after="120" w:line="360" w:lineRule="auto"/>
      <w:jc w:val="both"/>
      <w:outlineLvl w:val="2"/>
    </w:pPr>
    <w:rPr>
      <w:rFonts w:eastAsia="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C4C6F"/>
    <w:pPr>
      <w:tabs>
        <w:tab w:val="center" w:pos="4680"/>
        <w:tab w:val="right" w:pos="9360"/>
      </w:tabs>
      <w:spacing w:line="240" w:lineRule="auto"/>
    </w:pPr>
  </w:style>
  <w:style w:type="character" w:customStyle="1" w:styleId="HeaderChar">
    <w:name w:val="Header Char"/>
    <w:basedOn w:val="DefaultParagraphFont"/>
    <w:link w:val="Header"/>
    <w:uiPriority w:val="99"/>
    <w:rsid w:val="002C4C6F"/>
    <w:rPr>
      <w:lang w:val="en-GB"/>
    </w:rPr>
  </w:style>
  <w:style w:type="paragraph" w:styleId="Footer">
    <w:name w:val="footer"/>
    <w:basedOn w:val="Normal"/>
    <w:link w:val="FooterChar"/>
    <w:uiPriority w:val="99"/>
    <w:unhideWhenUsed/>
    <w:rsid w:val="002C4C6F"/>
    <w:pPr>
      <w:tabs>
        <w:tab w:val="center" w:pos="4680"/>
        <w:tab w:val="right" w:pos="9360"/>
      </w:tabs>
      <w:spacing w:line="240" w:lineRule="auto"/>
    </w:pPr>
  </w:style>
  <w:style w:type="character" w:customStyle="1" w:styleId="FooterChar">
    <w:name w:val="Footer Char"/>
    <w:basedOn w:val="DefaultParagraphFont"/>
    <w:link w:val="Footer"/>
    <w:uiPriority w:val="99"/>
    <w:rsid w:val="002C4C6F"/>
    <w:rPr>
      <w:lang w:val="en-GB"/>
    </w:rPr>
  </w:style>
  <w:style w:type="paragraph" w:styleId="TOC1">
    <w:name w:val="toc 1"/>
    <w:basedOn w:val="Normal"/>
    <w:next w:val="Normal"/>
    <w:autoRedefine/>
    <w:uiPriority w:val="39"/>
    <w:unhideWhenUsed/>
    <w:rsid w:val="002C4C6F"/>
    <w:pPr>
      <w:spacing w:after="100"/>
    </w:pPr>
  </w:style>
  <w:style w:type="paragraph" w:styleId="TOC2">
    <w:name w:val="toc 2"/>
    <w:basedOn w:val="Normal"/>
    <w:next w:val="Normal"/>
    <w:autoRedefine/>
    <w:uiPriority w:val="39"/>
    <w:unhideWhenUsed/>
    <w:rsid w:val="002C4C6F"/>
    <w:pPr>
      <w:spacing w:after="100"/>
      <w:ind w:left="220"/>
    </w:pPr>
  </w:style>
  <w:style w:type="paragraph" w:styleId="TOC3">
    <w:name w:val="toc 3"/>
    <w:basedOn w:val="Normal"/>
    <w:next w:val="Normal"/>
    <w:autoRedefine/>
    <w:uiPriority w:val="39"/>
    <w:unhideWhenUsed/>
    <w:rsid w:val="002C4C6F"/>
    <w:pPr>
      <w:spacing w:after="100"/>
      <w:ind w:left="440"/>
    </w:pPr>
  </w:style>
  <w:style w:type="character" w:styleId="Hyperlink">
    <w:name w:val="Hyperlink"/>
    <w:basedOn w:val="DefaultParagraphFont"/>
    <w:uiPriority w:val="99"/>
    <w:unhideWhenUsed/>
    <w:rsid w:val="002C4C6F"/>
    <w:rPr>
      <w:color w:val="0000FF" w:themeColor="hyperlink"/>
      <w:u w:val="single"/>
    </w:rPr>
  </w:style>
  <w:style w:type="paragraph" w:styleId="BalloonText">
    <w:name w:val="Balloon Text"/>
    <w:basedOn w:val="Normal"/>
    <w:link w:val="BalloonTextChar"/>
    <w:uiPriority w:val="99"/>
    <w:semiHidden/>
    <w:unhideWhenUsed/>
    <w:rsid w:val="00BB4E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EFD"/>
    <w:rPr>
      <w:rFonts w:ascii="Tahoma" w:hAnsi="Tahoma" w:cs="Tahoma"/>
      <w:sz w:val="16"/>
      <w:szCs w:val="16"/>
      <w:lang w:val="en-GB"/>
    </w:rPr>
  </w:style>
  <w:style w:type="paragraph" w:styleId="ListParagraph">
    <w:name w:val="List Paragraph"/>
    <w:basedOn w:val="Normal"/>
    <w:uiPriority w:val="34"/>
    <w:qFormat/>
    <w:rsid w:val="00BB4EFD"/>
    <w:pPr>
      <w:ind w:left="720"/>
      <w:contextualSpacing/>
    </w:pPr>
  </w:style>
  <w:style w:type="character" w:styleId="Emphasis">
    <w:name w:val="Emphasis"/>
    <w:basedOn w:val="DefaultParagraphFont"/>
    <w:uiPriority w:val="20"/>
    <w:qFormat/>
    <w:rsid w:val="008E778A"/>
    <w:rPr>
      <w:i/>
      <w:iCs/>
    </w:rPr>
  </w:style>
  <w:style w:type="paragraph" w:styleId="NormalWeb">
    <w:name w:val="Normal (Web)"/>
    <w:basedOn w:val="Normal"/>
    <w:uiPriority w:val="99"/>
    <w:semiHidden/>
    <w:unhideWhenUsed/>
    <w:rsid w:val="00CF714D"/>
    <w:pPr>
      <w:spacing w:before="100" w:beforeAutospacing="1" w:after="100" w:afterAutospacing="1" w:line="240" w:lineRule="auto"/>
    </w:pPr>
    <w:rPr>
      <w:rFonts w:ascii="Times New Roman" w:eastAsia="Times New Roman" w:hAnsi="Times New Roman" w:cs="Times New Roman"/>
      <w:sz w:val="24"/>
      <w:szCs w:val="24"/>
      <w:lang w:val="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508132">
      <w:bodyDiv w:val="1"/>
      <w:marLeft w:val="0"/>
      <w:marRight w:val="0"/>
      <w:marTop w:val="0"/>
      <w:marBottom w:val="0"/>
      <w:divBdr>
        <w:top w:val="none" w:sz="0" w:space="0" w:color="auto"/>
        <w:left w:val="none" w:sz="0" w:space="0" w:color="auto"/>
        <w:bottom w:val="none" w:sz="0" w:space="0" w:color="auto"/>
        <w:right w:val="none" w:sz="0" w:space="0" w:color="auto"/>
      </w:divBdr>
    </w:div>
    <w:div w:id="1418672593">
      <w:bodyDiv w:val="1"/>
      <w:marLeft w:val="0"/>
      <w:marRight w:val="0"/>
      <w:marTop w:val="0"/>
      <w:marBottom w:val="0"/>
      <w:divBdr>
        <w:top w:val="none" w:sz="0" w:space="0" w:color="auto"/>
        <w:left w:val="none" w:sz="0" w:space="0" w:color="auto"/>
        <w:bottom w:val="none" w:sz="0" w:space="0" w:color="auto"/>
        <w:right w:val="none" w:sz="0" w:space="0" w:color="auto"/>
      </w:divBdr>
      <w:divsChild>
        <w:div w:id="3372016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bhp.com/sustainability/environment" TargetMode="External" /><Relationship Id="rId18" Type="http://schemas.openxmlformats.org/officeDocument/2006/relationships/hyperlink" Target="https://www.bhp.com/investor-hub/reports-and-presentations/annual-report" TargetMode="External" /><Relationship Id="rId26" Type="http://schemas.openxmlformats.org/officeDocument/2006/relationships/hyperlink" Target="https://www.mckinsey.com/capabilities/sustainability/our-insights/climate-risk-and-decarbonization-what-every-mining-ceo-needs-to-know" TargetMode="External" /><Relationship Id="rId39" Type="http://schemas.openxmlformats.org/officeDocument/2006/relationships/hyperlink" Target="https://corporatefinanceinstitute.com/resources/management/ansoff-matrix/" TargetMode="External" /><Relationship Id="rId3" Type="http://schemas.openxmlformats.org/officeDocument/2006/relationships/settings" Target="settings.xml" /><Relationship Id="rId21" Type="http://schemas.openxmlformats.org/officeDocument/2006/relationships/hyperlink" Target="https://www.researchgate.net/publication/400361660_Trends_and_Challenges_in_Environmental_Markets_for_Sustainable_Economic_Development" TargetMode="External" /><Relationship Id="rId34" Type="http://schemas.openxmlformats.org/officeDocument/2006/relationships/hyperlink" Target="https://www.spglobal.com/market-intelligence/en/news-insights/research/2026/07/mine-permitting-delays-discovery-to-production-timeline" TargetMode="External" /><Relationship Id="rId42"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hyperlink" Target="https://www.sciencedirect.com/science/article/pii/S2666016424000604" TargetMode="External" /><Relationship Id="rId17" Type="http://schemas.openxmlformats.org/officeDocument/2006/relationships/hyperlink" Target="https://www.bhp.com/investor-hub/reports-and-presentations/annual-report" TargetMode="External" /><Relationship Id="rId25" Type="http://schemas.openxmlformats.org/officeDocument/2006/relationships/hyperlink" Target="https://www.mckinsey.com/capabilities/sustainability/our-insights/climate-risk-and-decarbonization-what-every-mining-ceo-needs-to-know" TargetMode="External" /><Relationship Id="rId33" Type="http://schemas.openxmlformats.org/officeDocument/2006/relationships/hyperlink" Target="https://publications.pik-potsdam.de/pubman/item/item_26440_16/component/file_32033/26440oa.pdf" TargetMode="External" /><Relationship Id="rId38" Type="http://schemas.openxmlformats.org/officeDocument/2006/relationships/hyperlink" Target="https://corporatefinanceinstitute.com/resources/management/ansoff-matrix/" TargetMode="External" /><Relationship Id="rId2" Type="http://schemas.openxmlformats.org/officeDocument/2006/relationships/styles" Target="styles.xml" /><Relationship Id="rId16" Type="http://schemas.openxmlformats.org/officeDocument/2006/relationships/hyperlink" Target="https://www.bhp.com/sustainability/climate-change" TargetMode="External" /><Relationship Id="rId20" Type="http://schemas.openxmlformats.org/officeDocument/2006/relationships/hyperlink" Target="https://www.bhp.com/investor-hub/reports-and-presentations/economic-and-commodity-outlook/2022/02/bhps-economic-and-commodity-outlook" TargetMode="External" /><Relationship Id="rId29" Type="http://schemas.openxmlformats.org/officeDocument/2006/relationships/hyperlink" Target="https://www.researchgate.net/publication/374000449_Achieving_Competitive_Advantage_through_Cost_Leadership_Strategy_Strategies_for_Sustainable_Success" TargetMode="External" /><Relationship Id="rId41" Type="http://schemas.openxmlformats.org/officeDocument/2006/relationships/hyperlink" Target="https://www.riotinto.com/en/invest/reports/climate-reporting"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researchgate.net/publication/352181915_Porter" TargetMode="External" /><Relationship Id="rId24" Type="http://schemas.openxmlformats.org/officeDocument/2006/relationships/hyperlink" Target="https://cibccm.com/en/insights/articles/sustainability-newsletter-edition-47/" TargetMode="External" /><Relationship Id="rId32" Type="http://schemas.openxmlformats.org/officeDocument/2006/relationships/hyperlink" Target="https://www.theguardian.com/world/2026/may/27/bhp-files-stalled-emissions-reductions-mining-company-moral-obligation-decarbonise" TargetMode="External" /><Relationship Id="rId37" Type="http://schemas.openxmlformats.org/officeDocument/2006/relationships/hyperlink" Target="https://www.researchgate.net/publication/388495862_A_STUDY_ON_ANSOFF_MATRIX_TECHNIQUE_AS_A_GROWTH_STRATEGY_AND_AN_ADAPTIVE_LEARNING_TECHNIQUE_ADOPTED_IN_THE_LEADING_BRAND_OF_PRODUCTS" TargetMode="External" /><Relationship Id="rId40" Type="http://schemas.openxmlformats.org/officeDocument/2006/relationships/hyperlink" Target="https://www.riotinto.com/en/invest/reports/climate-reporting" TargetMode="External" /><Relationship Id="rId5" Type="http://schemas.openxmlformats.org/officeDocument/2006/relationships/footnotes" Target="footnotes.xml" /><Relationship Id="rId15" Type="http://schemas.openxmlformats.org/officeDocument/2006/relationships/hyperlink" Target="https://www.bhp.com/sustainability/climate-change" TargetMode="External" /><Relationship Id="rId23" Type="http://schemas.openxmlformats.org/officeDocument/2006/relationships/hyperlink" Target="https://cibccm.com/en/insights/articles/sustainability-newsletter-edition-47/" TargetMode="External" /><Relationship Id="rId28" Type="http://schemas.openxmlformats.org/officeDocument/2006/relationships/hyperlink" Target="https://www.iea.org/reports/world-energy-outlook-2024/executive-summary" TargetMode="External" /><Relationship Id="rId36" Type="http://schemas.openxmlformats.org/officeDocument/2006/relationships/hyperlink" Target="https://www.researchgate.net/publication/388495862_A_STUDY_ON_ANSOFF_MATRIX_TECHNIQUE_AS_A_GROWTH_STRATEGY_AND_AN_ADAPTIVE_LEARNING_TECHNIQUE_ADOPTED_IN_THE_LEADING_BRAND_OF_PRODUCTS" TargetMode="External" /><Relationship Id="rId10" Type="http://schemas.openxmlformats.org/officeDocument/2006/relationships/hyperlink" Target="https://www.researchgate.net/publication/352181915_Porter" TargetMode="External" /><Relationship Id="rId19" Type="http://schemas.openxmlformats.org/officeDocument/2006/relationships/hyperlink" Target="https://www.bhp.com/investor-hub/reports-and-presentations/economic-and-commodity-outlook/2022/02/bhps-economic-and-commodity-outlook" TargetMode="External" /><Relationship Id="rId31" Type="http://schemas.openxmlformats.org/officeDocument/2006/relationships/hyperlink" Target="https://www.theguardian.com/world/2026/may/27/bhp-files-stalled-emissions-reductions-mining-company-moral-obligation-decarbonise" TargetMode="External" /><Relationship Id="rId44"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bhp.com/sustainability/environment" TargetMode="External" /><Relationship Id="rId22" Type="http://schemas.openxmlformats.org/officeDocument/2006/relationships/hyperlink" Target="https://www.researchgate.net/publication/400361660_Trends_and_Challenges_in_Environmental_Markets_for_Sustainable_Economic_Development" TargetMode="External" /><Relationship Id="rId27" Type="http://schemas.openxmlformats.org/officeDocument/2006/relationships/hyperlink" Target="https://www.iea.org/reports/world-energy-outlook-2024/executive-summary" TargetMode="External" /><Relationship Id="rId30" Type="http://schemas.openxmlformats.org/officeDocument/2006/relationships/hyperlink" Target="https://www.researchgate.net/publication/374000449_Achieving_Competitive_Advantage_through_Cost_Leadership_Strategy_Strategies_for_Sustainable_Success" TargetMode="External" /><Relationship Id="rId35" Type="http://schemas.openxmlformats.org/officeDocument/2006/relationships/hyperlink" Target="https://www.spglobal.com/market-intelligence/en/news-insights/research/2026/07/mine-permitting-delays-discovery-to-production-timeline" TargetMode="External" /><Relationship Id="rId43"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5217</Words>
  <Characters>29737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Kunjan</dc:creator>
  <cp:lastModifiedBy/>
  <cp:revision>1</cp:revision>
  <dcterms:created xsi:type="dcterms:W3CDTF">2026-07-24T10:41:00Z</dcterms:created>
  <dcterms:modified xsi:type="dcterms:W3CDTF">2026-07-24T10:41:00Z</dcterms:modified>
</cp:coreProperties>
</file>