
<file path=[Content_Types].xml><?xml version="1.0" encoding="utf-8"?>
<Types xmlns="http://schemas.openxmlformats.org/package/2006/content-types">
  <Default Extension="emf" ContentType="image/x-emf"/>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275798" w14:textId="77777777" w:rsidR="007822A7" w:rsidRDefault="007822A7" w:rsidP="007822A7">
      <w:pPr>
        <w:spacing w:line="259" w:lineRule="auto"/>
        <w:jc w:val="center"/>
      </w:pPr>
      <w:r>
        <w:rPr>
          <w:noProof/>
          <w:lang w:eastAsia="en-GB"/>
        </w:rPr>
        <w:drawing>
          <wp:inline distT="0" distB="0" distL="0" distR="0" wp14:anchorId="5C7F1828" wp14:editId="12CE9ACA">
            <wp:extent cx="1914792" cy="809738"/>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54BA61.tmp"/>
                    <pic:cNvPicPr/>
                  </pic:nvPicPr>
                  <pic:blipFill>
                    <a:blip r:embed="rId8">
                      <a:extLst>
                        <a:ext uri="{28A0092B-C50C-407E-A947-70E740481C1C}">
                          <a14:useLocalDpi xmlns:a14="http://schemas.microsoft.com/office/drawing/2010/main" val="0"/>
                        </a:ext>
                      </a:extLst>
                    </a:blip>
                    <a:stretch>
                      <a:fillRect/>
                    </a:stretch>
                  </pic:blipFill>
                  <pic:spPr>
                    <a:xfrm>
                      <a:off x="0" y="0"/>
                      <a:ext cx="1914792" cy="809738"/>
                    </a:xfrm>
                    <a:prstGeom prst="rect">
                      <a:avLst/>
                    </a:prstGeom>
                  </pic:spPr>
                </pic:pic>
              </a:graphicData>
            </a:graphic>
          </wp:inline>
        </w:drawing>
      </w:r>
    </w:p>
    <w:p w14:paraId="25585AB5" w14:textId="2C4FC7F8" w:rsidR="007822A7" w:rsidRPr="00B661E8" w:rsidRDefault="007822A7" w:rsidP="00B661E8">
      <w:pPr>
        <w:spacing w:line="259" w:lineRule="auto"/>
        <w:jc w:val="center"/>
        <w:rPr>
          <w:sz w:val="32"/>
        </w:rPr>
      </w:pPr>
      <w:r w:rsidRPr="00B661E8">
        <w:rPr>
          <w:sz w:val="32"/>
        </w:rPr>
        <w:t>Student Name:</w:t>
      </w:r>
      <w:r w:rsidR="00B834ED">
        <w:rPr>
          <w:sz w:val="32"/>
        </w:rPr>
        <w:t xml:space="preserve"> Victoria Fantodji</w:t>
      </w:r>
    </w:p>
    <w:p w14:paraId="499C883A" w14:textId="18DE566B" w:rsidR="007822A7" w:rsidRPr="00B661E8" w:rsidRDefault="007822A7" w:rsidP="00B661E8">
      <w:pPr>
        <w:spacing w:line="259" w:lineRule="auto"/>
        <w:jc w:val="center"/>
        <w:rPr>
          <w:sz w:val="32"/>
        </w:rPr>
      </w:pPr>
      <w:r w:rsidRPr="00B661E8">
        <w:rPr>
          <w:sz w:val="32"/>
        </w:rPr>
        <w:t>Student ID:</w:t>
      </w:r>
      <w:r w:rsidR="00B834ED">
        <w:rPr>
          <w:sz w:val="32"/>
        </w:rPr>
        <w:t>2024740</w:t>
      </w:r>
    </w:p>
    <w:p w14:paraId="1522F4EF" w14:textId="77777777" w:rsidR="007822A7" w:rsidRPr="00B661E8" w:rsidRDefault="007822A7" w:rsidP="00B661E8">
      <w:pPr>
        <w:spacing w:line="259" w:lineRule="auto"/>
        <w:jc w:val="center"/>
        <w:rPr>
          <w:sz w:val="32"/>
        </w:rPr>
      </w:pPr>
      <w:r w:rsidRPr="00B661E8">
        <w:rPr>
          <w:sz w:val="32"/>
        </w:rPr>
        <w:t>Programme: BSc (Hons) Health and Social Care</w:t>
      </w:r>
    </w:p>
    <w:p w14:paraId="791B42D2" w14:textId="77777777" w:rsidR="007822A7" w:rsidRPr="00B661E8" w:rsidRDefault="007822A7" w:rsidP="00B661E8">
      <w:pPr>
        <w:spacing w:line="259" w:lineRule="auto"/>
        <w:jc w:val="center"/>
        <w:rPr>
          <w:sz w:val="32"/>
        </w:rPr>
      </w:pPr>
      <w:r w:rsidRPr="00B661E8">
        <w:rPr>
          <w:sz w:val="32"/>
        </w:rPr>
        <w:t>Module: Community Care and Development</w:t>
      </w:r>
    </w:p>
    <w:p w14:paraId="25DF75DD" w14:textId="77777777" w:rsidR="007822A7" w:rsidRPr="00B661E8" w:rsidRDefault="007822A7" w:rsidP="00B661E8">
      <w:pPr>
        <w:spacing w:line="259" w:lineRule="auto"/>
        <w:jc w:val="center"/>
        <w:rPr>
          <w:sz w:val="32"/>
        </w:rPr>
      </w:pPr>
      <w:r w:rsidRPr="00B661E8">
        <w:rPr>
          <w:sz w:val="32"/>
        </w:rPr>
        <w:t>Module code: BMHP6022</w:t>
      </w:r>
    </w:p>
    <w:p w14:paraId="08B977A1" w14:textId="77777777" w:rsidR="007822A7" w:rsidRPr="00B661E8" w:rsidRDefault="007822A7" w:rsidP="00B661E8">
      <w:pPr>
        <w:spacing w:line="259" w:lineRule="auto"/>
        <w:jc w:val="center"/>
        <w:rPr>
          <w:sz w:val="32"/>
        </w:rPr>
      </w:pPr>
      <w:r w:rsidRPr="00B661E8">
        <w:rPr>
          <w:sz w:val="32"/>
        </w:rPr>
        <w:t>Lecturer: Jolly Nwankwo</w:t>
      </w:r>
    </w:p>
    <w:p w14:paraId="4E2F14E2" w14:textId="77777777" w:rsidR="007822A7" w:rsidRPr="00B661E8" w:rsidRDefault="007822A7" w:rsidP="00B661E8">
      <w:pPr>
        <w:spacing w:line="259" w:lineRule="auto"/>
        <w:jc w:val="center"/>
        <w:rPr>
          <w:sz w:val="32"/>
        </w:rPr>
      </w:pPr>
      <w:r w:rsidRPr="00B661E8">
        <w:rPr>
          <w:sz w:val="32"/>
        </w:rPr>
        <w:t>Assignment Title: Component 2: Written Assignment (Report)</w:t>
      </w:r>
      <w:r w:rsidRPr="00B661E8">
        <w:rPr>
          <w:sz w:val="32"/>
        </w:rPr>
        <w:br/>
      </w:r>
    </w:p>
    <w:p w14:paraId="7F41012F" w14:textId="77777777" w:rsidR="007822A7" w:rsidRDefault="007822A7">
      <w:pPr>
        <w:spacing w:line="259" w:lineRule="auto"/>
        <w:jc w:val="left"/>
      </w:pPr>
    </w:p>
    <w:p w14:paraId="7BD7552B" w14:textId="77777777" w:rsidR="007822A7" w:rsidRDefault="007822A7">
      <w:pPr>
        <w:spacing w:line="259" w:lineRule="auto"/>
        <w:jc w:val="left"/>
      </w:pPr>
    </w:p>
    <w:p w14:paraId="0EEB3E72" w14:textId="77777777" w:rsidR="00B30E5E" w:rsidRDefault="00B30E5E">
      <w:pPr>
        <w:spacing w:line="259" w:lineRule="auto"/>
        <w:jc w:val="left"/>
      </w:pPr>
      <w:r>
        <w:br w:type="page"/>
      </w:r>
    </w:p>
    <w:sdt>
      <w:sdtPr>
        <w:rPr>
          <w:rFonts w:ascii="Times New Roman" w:eastAsiaTheme="minorHAnsi" w:hAnsi="Times New Roman" w:cstheme="minorBidi"/>
          <w:color w:val="auto"/>
          <w:sz w:val="24"/>
          <w:szCs w:val="22"/>
          <w:lang w:val="en-GB"/>
        </w:rPr>
        <w:id w:val="-333076007"/>
        <w:docPartObj>
          <w:docPartGallery w:val="Table of Contents"/>
          <w:docPartUnique/>
        </w:docPartObj>
      </w:sdtPr>
      <w:sdtEndPr>
        <w:rPr>
          <w:b/>
          <w:bCs/>
          <w:noProof/>
        </w:rPr>
      </w:sdtEndPr>
      <w:sdtContent>
        <w:p w14:paraId="71C75D93" w14:textId="77777777" w:rsidR="00B30E5E" w:rsidRDefault="00B30E5E">
          <w:pPr>
            <w:pStyle w:val="TOCHeading"/>
          </w:pPr>
          <w:r>
            <w:t>Table of Contents</w:t>
          </w:r>
        </w:p>
        <w:p w14:paraId="085DB928" w14:textId="77777777" w:rsidR="00B661E8" w:rsidRDefault="00B30E5E">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73952265" w:history="1">
            <w:r w:rsidR="00B661E8" w:rsidRPr="00974971">
              <w:rPr>
                <w:rStyle w:val="Hyperlink"/>
                <w:noProof/>
              </w:rPr>
              <w:t>Introduction</w:t>
            </w:r>
            <w:r w:rsidR="00B661E8">
              <w:rPr>
                <w:noProof/>
                <w:webHidden/>
              </w:rPr>
              <w:tab/>
            </w:r>
            <w:r w:rsidR="00B661E8">
              <w:rPr>
                <w:noProof/>
                <w:webHidden/>
              </w:rPr>
              <w:fldChar w:fldCharType="begin"/>
            </w:r>
            <w:r w:rsidR="00B661E8">
              <w:rPr>
                <w:noProof/>
                <w:webHidden/>
              </w:rPr>
              <w:instrText xml:space="preserve"> PAGEREF _Toc173952265 \h </w:instrText>
            </w:r>
            <w:r w:rsidR="00B661E8">
              <w:rPr>
                <w:noProof/>
                <w:webHidden/>
              </w:rPr>
            </w:r>
            <w:r w:rsidR="00B661E8">
              <w:rPr>
                <w:noProof/>
                <w:webHidden/>
              </w:rPr>
              <w:fldChar w:fldCharType="separate"/>
            </w:r>
            <w:r w:rsidR="00B661E8">
              <w:rPr>
                <w:noProof/>
                <w:webHidden/>
              </w:rPr>
              <w:t>3</w:t>
            </w:r>
            <w:r w:rsidR="00B661E8">
              <w:rPr>
                <w:noProof/>
                <w:webHidden/>
              </w:rPr>
              <w:fldChar w:fldCharType="end"/>
            </w:r>
          </w:hyperlink>
        </w:p>
        <w:p w14:paraId="0E94E49D" w14:textId="77777777" w:rsidR="00B661E8" w:rsidRDefault="00000000">
          <w:pPr>
            <w:pStyle w:val="TOC1"/>
            <w:tabs>
              <w:tab w:val="right" w:leader="dot" w:pos="9016"/>
            </w:tabs>
            <w:rPr>
              <w:rFonts w:asciiTheme="minorHAnsi" w:eastAsiaTheme="minorEastAsia" w:hAnsiTheme="minorHAnsi"/>
              <w:noProof/>
              <w:sz w:val="22"/>
              <w:lang w:eastAsia="en-GB"/>
            </w:rPr>
          </w:pPr>
          <w:hyperlink w:anchor="_Toc173952266" w:history="1">
            <w:r w:rsidR="00B661E8" w:rsidRPr="00974971">
              <w:rPr>
                <w:rStyle w:val="Hyperlink"/>
                <w:noProof/>
              </w:rPr>
              <w:t>Overview of the Community</w:t>
            </w:r>
            <w:r w:rsidR="00B661E8">
              <w:rPr>
                <w:noProof/>
                <w:webHidden/>
              </w:rPr>
              <w:tab/>
            </w:r>
            <w:r w:rsidR="00B661E8">
              <w:rPr>
                <w:noProof/>
                <w:webHidden/>
              </w:rPr>
              <w:fldChar w:fldCharType="begin"/>
            </w:r>
            <w:r w:rsidR="00B661E8">
              <w:rPr>
                <w:noProof/>
                <w:webHidden/>
              </w:rPr>
              <w:instrText xml:space="preserve"> PAGEREF _Toc173952266 \h </w:instrText>
            </w:r>
            <w:r w:rsidR="00B661E8">
              <w:rPr>
                <w:noProof/>
                <w:webHidden/>
              </w:rPr>
            </w:r>
            <w:r w:rsidR="00B661E8">
              <w:rPr>
                <w:noProof/>
                <w:webHidden/>
              </w:rPr>
              <w:fldChar w:fldCharType="separate"/>
            </w:r>
            <w:r w:rsidR="00B661E8">
              <w:rPr>
                <w:noProof/>
                <w:webHidden/>
              </w:rPr>
              <w:t>4</w:t>
            </w:r>
            <w:r w:rsidR="00B661E8">
              <w:rPr>
                <w:noProof/>
                <w:webHidden/>
              </w:rPr>
              <w:fldChar w:fldCharType="end"/>
            </w:r>
          </w:hyperlink>
        </w:p>
        <w:p w14:paraId="01130D8A" w14:textId="77777777" w:rsidR="00B661E8" w:rsidRDefault="00000000">
          <w:pPr>
            <w:pStyle w:val="TOC1"/>
            <w:tabs>
              <w:tab w:val="right" w:leader="dot" w:pos="9016"/>
            </w:tabs>
            <w:rPr>
              <w:rFonts w:asciiTheme="minorHAnsi" w:eastAsiaTheme="minorEastAsia" w:hAnsiTheme="minorHAnsi"/>
              <w:noProof/>
              <w:sz w:val="22"/>
              <w:lang w:eastAsia="en-GB"/>
            </w:rPr>
          </w:pPr>
          <w:hyperlink w:anchor="_Toc173952267" w:history="1">
            <w:r w:rsidR="00B661E8" w:rsidRPr="00974971">
              <w:rPr>
                <w:rStyle w:val="Hyperlink"/>
                <w:noProof/>
              </w:rPr>
              <w:t>Identified Health and Social Care Needs</w:t>
            </w:r>
            <w:r w:rsidR="00B661E8">
              <w:rPr>
                <w:noProof/>
                <w:webHidden/>
              </w:rPr>
              <w:tab/>
            </w:r>
            <w:r w:rsidR="00B661E8">
              <w:rPr>
                <w:noProof/>
                <w:webHidden/>
              </w:rPr>
              <w:fldChar w:fldCharType="begin"/>
            </w:r>
            <w:r w:rsidR="00B661E8">
              <w:rPr>
                <w:noProof/>
                <w:webHidden/>
              </w:rPr>
              <w:instrText xml:space="preserve"> PAGEREF _Toc173952267 \h </w:instrText>
            </w:r>
            <w:r w:rsidR="00B661E8">
              <w:rPr>
                <w:noProof/>
                <w:webHidden/>
              </w:rPr>
            </w:r>
            <w:r w:rsidR="00B661E8">
              <w:rPr>
                <w:noProof/>
                <w:webHidden/>
              </w:rPr>
              <w:fldChar w:fldCharType="separate"/>
            </w:r>
            <w:r w:rsidR="00B661E8">
              <w:rPr>
                <w:noProof/>
                <w:webHidden/>
              </w:rPr>
              <w:t>4</w:t>
            </w:r>
            <w:r w:rsidR="00B661E8">
              <w:rPr>
                <w:noProof/>
                <w:webHidden/>
              </w:rPr>
              <w:fldChar w:fldCharType="end"/>
            </w:r>
          </w:hyperlink>
        </w:p>
        <w:p w14:paraId="52FB2AF1" w14:textId="77777777" w:rsidR="00B661E8" w:rsidRDefault="00000000">
          <w:pPr>
            <w:pStyle w:val="TOC1"/>
            <w:tabs>
              <w:tab w:val="right" w:leader="dot" w:pos="9016"/>
            </w:tabs>
            <w:rPr>
              <w:rFonts w:asciiTheme="minorHAnsi" w:eastAsiaTheme="minorEastAsia" w:hAnsiTheme="minorHAnsi"/>
              <w:noProof/>
              <w:sz w:val="22"/>
              <w:lang w:eastAsia="en-GB"/>
            </w:rPr>
          </w:pPr>
          <w:hyperlink w:anchor="_Toc173952268" w:history="1">
            <w:r w:rsidR="00B661E8" w:rsidRPr="00974971">
              <w:rPr>
                <w:rStyle w:val="Hyperlink"/>
                <w:noProof/>
              </w:rPr>
              <w:t>Proposed Approach: Community-Based Health Promotion</w:t>
            </w:r>
            <w:r w:rsidR="00B661E8">
              <w:rPr>
                <w:noProof/>
                <w:webHidden/>
              </w:rPr>
              <w:tab/>
            </w:r>
            <w:r w:rsidR="00B661E8">
              <w:rPr>
                <w:noProof/>
                <w:webHidden/>
              </w:rPr>
              <w:fldChar w:fldCharType="begin"/>
            </w:r>
            <w:r w:rsidR="00B661E8">
              <w:rPr>
                <w:noProof/>
                <w:webHidden/>
              </w:rPr>
              <w:instrText xml:space="preserve"> PAGEREF _Toc173952268 \h </w:instrText>
            </w:r>
            <w:r w:rsidR="00B661E8">
              <w:rPr>
                <w:noProof/>
                <w:webHidden/>
              </w:rPr>
            </w:r>
            <w:r w:rsidR="00B661E8">
              <w:rPr>
                <w:noProof/>
                <w:webHidden/>
              </w:rPr>
              <w:fldChar w:fldCharType="separate"/>
            </w:r>
            <w:r w:rsidR="00B661E8">
              <w:rPr>
                <w:noProof/>
                <w:webHidden/>
              </w:rPr>
              <w:t>5</w:t>
            </w:r>
            <w:r w:rsidR="00B661E8">
              <w:rPr>
                <w:noProof/>
                <w:webHidden/>
              </w:rPr>
              <w:fldChar w:fldCharType="end"/>
            </w:r>
          </w:hyperlink>
        </w:p>
        <w:p w14:paraId="08AB4828" w14:textId="77777777" w:rsidR="00B661E8" w:rsidRDefault="00000000">
          <w:pPr>
            <w:pStyle w:val="TOC1"/>
            <w:tabs>
              <w:tab w:val="right" w:leader="dot" w:pos="9016"/>
            </w:tabs>
            <w:rPr>
              <w:rFonts w:asciiTheme="minorHAnsi" w:eastAsiaTheme="minorEastAsia" w:hAnsiTheme="minorHAnsi"/>
              <w:noProof/>
              <w:sz w:val="22"/>
              <w:lang w:eastAsia="en-GB"/>
            </w:rPr>
          </w:pPr>
          <w:hyperlink w:anchor="_Toc173952269" w:history="1">
            <w:r w:rsidR="00B661E8" w:rsidRPr="00974971">
              <w:rPr>
                <w:rStyle w:val="Hyperlink"/>
                <w:noProof/>
              </w:rPr>
              <w:t>Critical Examination: Digital Health Campaign</w:t>
            </w:r>
            <w:r w:rsidR="00B661E8">
              <w:rPr>
                <w:noProof/>
                <w:webHidden/>
              </w:rPr>
              <w:tab/>
            </w:r>
            <w:r w:rsidR="00B661E8">
              <w:rPr>
                <w:noProof/>
                <w:webHidden/>
              </w:rPr>
              <w:fldChar w:fldCharType="begin"/>
            </w:r>
            <w:r w:rsidR="00B661E8">
              <w:rPr>
                <w:noProof/>
                <w:webHidden/>
              </w:rPr>
              <w:instrText xml:space="preserve"> PAGEREF _Toc173952269 \h </w:instrText>
            </w:r>
            <w:r w:rsidR="00B661E8">
              <w:rPr>
                <w:noProof/>
                <w:webHidden/>
              </w:rPr>
            </w:r>
            <w:r w:rsidR="00B661E8">
              <w:rPr>
                <w:noProof/>
                <w:webHidden/>
              </w:rPr>
              <w:fldChar w:fldCharType="separate"/>
            </w:r>
            <w:r w:rsidR="00B661E8">
              <w:rPr>
                <w:noProof/>
                <w:webHidden/>
              </w:rPr>
              <w:t>6</w:t>
            </w:r>
            <w:r w:rsidR="00B661E8">
              <w:rPr>
                <w:noProof/>
                <w:webHidden/>
              </w:rPr>
              <w:fldChar w:fldCharType="end"/>
            </w:r>
          </w:hyperlink>
        </w:p>
        <w:p w14:paraId="2DFBD4FD" w14:textId="77777777" w:rsidR="00B661E8" w:rsidRDefault="00000000">
          <w:pPr>
            <w:pStyle w:val="TOC1"/>
            <w:tabs>
              <w:tab w:val="right" w:leader="dot" w:pos="9016"/>
            </w:tabs>
            <w:rPr>
              <w:rFonts w:asciiTheme="minorHAnsi" w:eastAsiaTheme="minorEastAsia" w:hAnsiTheme="minorHAnsi"/>
              <w:noProof/>
              <w:sz w:val="22"/>
              <w:lang w:eastAsia="en-GB"/>
            </w:rPr>
          </w:pPr>
          <w:hyperlink w:anchor="_Toc173952270" w:history="1">
            <w:r w:rsidR="00B661E8" w:rsidRPr="00974971">
              <w:rPr>
                <w:rStyle w:val="Hyperlink"/>
                <w:noProof/>
              </w:rPr>
              <w:t>Implementation Strategy</w:t>
            </w:r>
            <w:r w:rsidR="00B661E8">
              <w:rPr>
                <w:noProof/>
                <w:webHidden/>
              </w:rPr>
              <w:tab/>
            </w:r>
            <w:r w:rsidR="00B661E8">
              <w:rPr>
                <w:noProof/>
                <w:webHidden/>
              </w:rPr>
              <w:fldChar w:fldCharType="begin"/>
            </w:r>
            <w:r w:rsidR="00B661E8">
              <w:rPr>
                <w:noProof/>
                <w:webHidden/>
              </w:rPr>
              <w:instrText xml:space="preserve"> PAGEREF _Toc173952270 \h </w:instrText>
            </w:r>
            <w:r w:rsidR="00B661E8">
              <w:rPr>
                <w:noProof/>
                <w:webHidden/>
              </w:rPr>
            </w:r>
            <w:r w:rsidR="00B661E8">
              <w:rPr>
                <w:noProof/>
                <w:webHidden/>
              </w:rPr>
              <w:fldChar w:fldCharType="separate"/>
            </w:r>
            <w:r w:rsidR="00B661E8">
              <w:rPr>
                <w:noProof/>
                <w:webHidden/>
              </w:rPr>
              <w:t>8</w:t>
            </w:r>
            <w:r w:rsidR="00B661E8">
              <w:rPr>
                <w:noProof/>
                <w:webHidden/>
              </w:rPr>
              <w:fldChar w:fldCharType="end"/>
            </w:r>
          </w:hyperlink>
        </w:p>
        <w:p w14:paraId="3126B911" w14:textId="77777777" w:rsidR="00B661E8" w:rsidRDefault="00000000">
          <w:pPr>
            <w:pStyle w:val="TOC1"/>
            <w:tabs>
              <w:tab w:val="right" w:leader="dot" w:pos="9016"/>
            </w:tabs>
            <w:rPr>
              <w:rFonts w:asciiTheme="minorHAnsi" w:eastAsiaTheme="minorEastAsia" w:hAnsiTheme="minorHAnsi"/>
              <w:noProof/>
              <w:sz w:val="22"/>
              <w:lang w:eastAsia="en-GB"/>
            </w:rPr>
          </w:pPr>
          <w:hyperlink w:anchor="_Toc173952271" w:history="1">
            <w:r w:rsidR="00B661E8" w:rsidRPr="00974971">
              <w:rPr>
                <w:rStyle w:val="Hyperlink"/>
                <w:noProof/>
              </w:rPr>
              <w:t>Recommendations for Digital Adaptation</w:t>
            </w:r>
            <w:r w:rsidR="00B661E8">
              <w:rPr>
                <w:noProof/>
                <w:webHidden/>
              </w:rPr>
              <w:tab/>
            </w:r>
            <w:r w:rsidR="00B661E8">
              <w:rPr>
                <w:noProof/>
                <w:webHidden/>
              </w:rPr>
              <w:fldChar w:fldCharType="begin"/>
            </w:r>
            <w:r w:rsidR="00B661E8">
              <w:rPr>
                <w:noProof/>
                <w:webHidden/>
              </w:rPr>
              <w:instrText xml:space="preserve"> PAGEREF _Toc173952271 \h </w:instrText>
            </w:r>
            <w:r w:rsidR="00B661E8">
              <w:rPr>
                <w:noProof/>
                <w:webHidden/>
              </w:rPr>
            </w:r>
            <w:r w:rsidR="00B661E8">
              <w:rPr>
                <w:noProof/>
                <w:webHidden/>
              </w:rPr>
              <w:fldChar w:fldCharType="separate"/>
            </w:r>
            <w:r w:rsidR="00B661E8">
              <w:rPr>
                <w:noProof/>
                <w:webHidden/>
              </w:rPr>
              <w:t>8</w:t>
            </w:r>
            <w:r w:rsidR="00B661E8">
              <w:rPr>
                <w:noProof/>
                <w:webHidden/>
              </w:rPr>
              <w:fldChar w:fldCharType="end"/>
            </w:r>
          </w:hyperlink>
        </w:p>
        <w:p w14:paraId="35967BC5" w14:textId="77777777" w:rsidR="00B661E8" w:rsidRDefault="00000000">
          <w:pPr>
            <w:pStyle w:val="TOC1"/>
            <w:tabs>
              <w:tab w:val="right" w:leader="dot" w:pos="9016"/>
            </w:tabs>
            <w:rPr>
              <w:rFonts w:asciiTheme="minorHAnsi" w:eastAsiaTheme="minorEastAsia" w:hAnsiTheme="minorHAnsi"/>
              <w:noProof/>
              <w:sz w:val="22"/>
              <w:lang w:eastAsia="en-GB"/>
            </w:rPr>
          </w:pPr>
          <w:hyperlink w:anchor="_Toc173952272" w:history="1">
            <w:r w:rsidR="00B661E8" w:rsidRPr="00974971">
              <w:rPr>
                <w:rStyle w:val="Hyperlink"/>
                <w:bCs/>
                <w:noProof/>
              </w:rPr>
              <w:t>Conclusion</w:t>
            </w:r>
            <w:r w:rsidR="00B661E8">
              <w:rPr>
                <w:noProof/>
                <w:webHidden/>
              </w:rPr>
              <w:tab/>
            </w:r>
            <w:r w:rsidR="00B661E8">
              <w:rPr>
                <w:noProof/>
                <w:webHidden/>
              </w:rPr>
              <w:fldChar w:fldCharType="begin"/>
            </w:r>
            <w:r w:rsidR="00B661E8">
              <w:rPr>
                <w:noProof/>
                <w:webHidden/>
              </w:rPr>
              <w:instrText xml:space="preserve"> PAGEREF _Toc173952272 \h </w:instrText>
            </w:r>
            <w:r w:rsidR="00B661E8">
              <w:rPr>
                <w:noProof/>
                <w:webHidden/>
              </w:rPr>
            </w:r>
            <w:r w:rsidR="00B661E8">
              <w:rPr>
                <w:noProof/>
                <w:webHidden/>
              </w:rPr>
              <w:fldChar w:fldCharType="separate"/>
            </w:r>
            <w:r w:rsidR="00B661E8">
              <w:rPr>
                <w:noProof/>
                <w:webHidden/>
              </w:rPr>
              <w:t>10</w:t>
            </w:r>
            <w:r w:rsidR="00B661E8">
              <w:rPr>
                <w:noProof/>
                <w:webHidden/>
              </w:rPr>
              <w:fldChar w:fldCharType="end"/>
            </w:r>
          </w:hyperlink>
        </w:p>
        <w:p w14:paraId="6917100D" w14:textId="77777777" w:rsidR="00B661E8" w:rsidRDefault="00000000">
          <w:pPr>
            <w:pStyle w:val="TOC1"/>
            <w:tabs>
              <w:tab w:val="right" w:leader="dot" w:pos="9016"/>
            </w:tabs>
            <w:rPr>
              <w:rFonts w:asciiTheme="minorHAnsi" w:eastAsiaTheme="minorEastAsia" w:hAnsiTheme="minorHAnsi"/>
              <w:noProof/>
              <w:sz w:val="22"/>
              <w:lang w:eastAsia="en-GB"/>
            </w:rPr>
          </w:pPr>
          <w:hyperlink w:anchor="_Toc173952273" w:history="1">
            <w:r w:rsidR="00B661E8" w:rsidRPr="00974971">
              <w:rPr>
                <w:rStyle w:val="Hyperlink"/>
                <w:noProof/>
              </w:rPr>
              <w:t>References</w:t>
            </w:r>
            <w:r w:rsidR="00B661E8">
              <w:rPr>
                <w:noProof/>
                <w:webHidden/>
              </w:rPr>
              <w:tab/>
            </w:r>
            <w:r w:rsidR="00B661E8">
              <w:rPr>
                <w:noProof/>
                <w:webHidden/>
              </w:rPr>
              <w:fldChar w:fldCharType="begin"/>
            </w:r>
            <w:r w:rsidR="00B661E8">
              <w:rPr>
                <w:noProof/>
                <w:webHidden/>
              </w:rPr>
              <w:instrText xml:space="preserve"> PAGEREF _Toc173952273 \h </w:instrText>
            </w:r>
            <w:r w:rsidR="00B661E8">
              <w:rPr>
                <w:noProof/>
                <w:webHidden/>
              </w:rPr>
            </w:r>
            <w:r w:rsidR="00B661E8">
              <w:rPr>
                <w:noProof/>
                <w:webHidden/>
              </w:rPr>
              <w:fldChar w:fldCharType="separate"/>
            </w:r>
            <w:r w:rsidR="00B661E8">
              <w:rPr>
                <w:noProof/>
                <w:webHidden/>
              </w:rPr>
              <w:t>11</w:t>
            </w:r>
            <w:r w:rsidR="00B661E8">
              <w:rPr>
                <w:noProof/>
                <w:webHidden/>
              </w:rPr>
              <w:fldChar w:fldCharType="end"/>
            </w:r>
          </w:hyperlink>
        </w:p>
        <w:p w14:paraId="34CFBA9C" w14:textId="77777777" w:rsidR="00B30E5E" w:rsidRDefault="00B30E5E">
          <w:r>
            <w:rPr>
              <w:b/>
              <w:bCs/>
              <w:noProof/>
            </w:rPr>
            <w:fldChar w:fldCharType="end"/>
          </w:r>
        </w:p>
      </w:sdtContent>
    </w:sdt>
    <w:p w14:paraId="2036BE20" w14:textId="77777777" w:rsidR="00B30E5E" w:rsidRDefault="00B30E5E">
      <w:pPr>
        <w:spacing w:line="259" w:lineRule="auto"/>
        <w:jc w:val="left"/>
        <w:rPr>
          <w:rFonts w:eastAsiaTheme="majorEastAsia" w:cstheme="majorBidi"/>
          <w:b/>
          <w:color w:val="2E74B5" w:themeColor="accent1" w:themeShade="BF"/>
          <w:sz w:val="32"/>
          <w:szCs w:val="32"/>
        </w:rPr>
      </w:pPr>
      <w:r>
        <w:br w:type="page"/>
      </w:r>
    </w:p>
    <w:p w14:paraId="6F28A817" w14:textId="77777777" w:rsidR="00CC489D" w:rsidRDefault="00CC489D" w:rsidP="002807EE">
      <w:pPr>
        <w:pStyle w:val="Heading1"/>
      </w:pPr>
      <w:bookmarkStart w:id="0" w:name="_Toc173952265"/>
      <w:r>
        <w:t>Introduction</w:t>
      </w:r>
      <w:bookmarkEnd w:id="0"/>
    </w:p>
    <w:p w14:paraId="05C56BBA" w14:textId="77777777" w:rsidR="008F4803" w:rsidRDefault="00CB2A3D">
      <w:r>
        <w:t>T</w:t>
      </w:r>
      <w:r w:rsidRPr="00CB2A3D">
        <w:t xml:space="preserve">his report considers obesity in Birmingham by recommending a digital health campaign that will cover health promotion and social care. </w:t>
      </w:r>
      <w:r w:rsidR="007822A7">
        <w:t>This report</w:t>
      </w:r>
      <w:r w:rsidRPr="00CB2A3D">
        <w:t xml:space="preserve"> looks at demographic characteristics and health status of the community, the use of new media, community participation, and policies that promote the health of the community. As such, the strategies proposed intend to tackle obesity, its concomitant diseases, and social inequality thus encouraging healthier living among the diverse population of Birmingham.</w:t>
      </w:r>
    </w:p>
    <w:p w14:paraId="01C26B4E" w14:textId="77777777" w:rsidR="00B30E5E" w:rsidRDefault="00B30E5E">
      <w:pPr>
        <w:spacing w:line="259" w:lineRule="auto"/>
        <w:jc w:val="left"/>
        <w:rPr>
          <w:rFonts w:eastAsiaTheme="majorEastAsia" w:cstheme="majorBidi"/>
          <w:b/>
          <w:color w:val="2E74B5" w:themeColor="accent1" w:themeShade="BF"/>
          <w:sz w:val="32"/>
          <w:szCs w:val="32"/>
        </w:rPr>
      </w:pPr>
      <w:r>
        <w:br w:type="page"/>
      </w:r>
    </w:p>
    <w:p w14:paraId="1A9B53AC" w14:textId="77777777" w:rsidR="002807EE" w:rsidRDefault="00E97BD4" w:rsidP="002807EE">
      <w:pPr>
        <w:pStyle w:val="Heading1"/>
      </w:pPr>
      <w:bookmarkStart w:id="1" w:name="_Toc173952266"/>
      <w:r w:rsidRPr="00E97BD4">
        <w:t>Overview of the Community</w:t>
      </w:r>
      <w:bookmarkEnd w:id="1"/>
    </w:p>
    <w:p w14:paraId="53E5BA23" w14:textId="77777777" w:rsidR="00CC489D" w:rsidRDefault="00CC489D" w:rsidP="00CC489D">
      <w:r>
        <w:t xml:space="preserve">Birmingham is the second largest city in </w:t>
      </w:r>
      <w:r w:rsidR="002807EE">
        <w:t xml:space="preserve">the </w:t>
      </w:r>
      <w:r>
        <w:t xml:space="preserve">United Kingdom </w:t>
      </w:r>
      <w:r w:rsidR="002807EE">
        <w:t>with</w:t>
      </w:r>
      <w:r>
        <w:t xml:space="preserve"> has population of 1. 14 million, characterized by significant ethnic diversity: whites make up 57%, Asians 27%, and the remaining 9% are Blacks while the other 7% are either Mixed or belong to any other Ethnic group. The City’s demographics entail an average income per household of £30, 000, </w:t>
      </w:r>
      <w:r w:rsidR="002807EE">
        <w:t xml:space="preserve">and an </w:t>
      </w:r>
      <w:r>
        <w:t>unemployment rate of 7% though some wards are classified as deprived</w:t>
      </w:r>
      <w:r w:rsidR="007822A7" w:rsidRPr="007822A7">
        <w:t xml:space="preserve"> (Soley-Bori et al., 2021)</w:t>
      </w:r>
      <w:r>
        <w:t xml:space="preserve">. </w:t>
      </w:r>
      <w:proofErr w:type="spellStart"/>
      <w:r>
        <w:t>Analyzing</w:t>
      </w:r>
      <w:proofErr w:type="spellEnd"/>
      <w:r>
        <w:t xml:space="preserve"> health indicators, it can be concluded that obesity is a significant problem in Birmingham, which automatically raises the rates of such illnesses as diabetes and heart </w:t>
      </w:r>
      <w:r w:rsidR="002807EE">
        <w:t>disease</w:t>
      </w:r>
      <w:r>
        <w:t>.</w:t>
      </w:r>
    </w:p>
    <w:p w14:paraId="2F22BA97" w14:textId="77777777" w:rsidR="00E97BD4" w:rsidRPr="00E97BD4" w:rsidRDefault="00CC489D" w:rsidP="00CC489D">
      <w:r>
        <w:t xml:space="preserve">The demographic characteristics of the community as well as the economic status of the population </w:t>
      </w:r>
      <w:r w:rsidR="002807EE">
        <w:t>help</w:t>
      </w:r>
      <w:r>
        <w:t xml:space="preserve"> in the formulation of health promotion strategies. Their faith profiles vary; 46% are Christians, 22% </w:t>
      </w:r>
      <w:r w:rsidR="002807EE">
        <w:t xml:space="preserve">are </w:t>
      </w:r>
      <w:r>
        <w:t>Muslims, and 19% are without any religion; these affect their health practices and utilization of healthcare services</w:t>
      </w:r>
      <w:r w:rsidR="007822A7" w:rsidRPr="007822A7">
        <w:t xml:space="preserve"> (Benoit et al., 2023)</w:t>
      </w:r>
      <w:r>
        <w:t xml:space="preserve">. For such reasons, it is possible to conclude that addressing such demographics and socioeconomic concerns is critical </w:t>
      </w:r>
      <w:r w:rsidR="002807EE">
        <w:t>to</w:t>
      </w:r>
      <w:r>
        <w:t xml:space="preserve"> </w:t>
      </w:r>
      <w:r w:rsidR="002807EE">
        <w:t>designing</w:t>
      </w:r>
      <w:r>
        <w:t xml:space="preserve"> appropriate kinds of intercessions that may facilitate the needs of the people of Birmingham.</w:t>
      </w:r>
    </w:p>
    <w:p w14:paraId="625CFF95" w14:textId="77777777" w:rsidR="002807EE" w:rsidRDefault="00E97BD4" w:rsidP="002807EE">
      <w:pPr>
        <w:pStyle w:val="Heading1"/>
      </w:pPr>
      <w:bookmarkStart w:id="2" w:name="_Toc173952267"/>
      <w:r w:rsidRPr="00E97BD4">
        <w:t>Identified</w:t>
      </w:r>
      <w:r w:rsidR="00CC489D">
        <w:t xml:space="preserve"> Health and Social Care Needs</w:t>
      </w:r>
      <w:bookmarkEnd w:id="2"/>
    </w:p>
    <w:p w14:paraId="24C5D0F8" w14:textId="77777777" w:rsidR="00CC489D" w:rsidRDefault="00CC489D" w:rsidP="00CC489D">
      <w:r>
        <w:t xml:space="preserve">One of the critical health issues affecting Birmingham since majority of people is obesity, and this is associated with diseases like diabetes, heart </w:t>
      </w:r>
      <w:r w:rsidR="002807EE">
        <w:t>disease</w:t>
      </w:r>
      <w:r>
        <w:t>, and other complications. These health problems are compounded by socioeconomic differences and some of the wards are more deprived and this affects health greatly</w:t>
      </w:r>
      <w:r w:rsidR="007822A7" w:rsidRPr="007822A7">
        <w:t xml:space="preserve"> (Fisher et al., 2016)</w:t>
      </w:r>
      <w:r>
        <w:t xml:space="preserve">. Some of the economic drivers </w:t>
      </w:r>
      <w:r w:rsidR="002807EE">
        <w:t>of</w:t>
      </w:r>
      <w:r>
        <w:t xml:space="preserve"> the obesity problem include reduced disposable income and high unemployment rates that hinder healthy food and </w:t>
      </w:r>
      <w:r w:rsidR="002807EE">
        <w:t>healthcare</w:t>
      </w:r>
      <w:r>
        <w:t xml:space="preserve"> access.</w:t>
      </w:r>
    </w:p>
    <w:p w14:paraId="53EE8BC4" w14:textId="77777777" w:rsidR="00E97BD4" w:rsidRPr="00E97BD4" w:rsidRDefault="00CC489D" w:rsidP="00CC489D">
      <w:r>
        <w:t xml:space="preserve">Another important determinant of health is culture since it influences health practices and utilization of services. Therefore, the White, Asian, Black and Mixed or Other ethnic groups that are predominant in Birmingham create diversified health promotion challenges and advantages. There is also the aspect of religions; 46% are Christians, 22% are Muslims, </w:t>
      </w:r>
      <w:r w:rsidR="002807EE">
        <w:t>and</w:t>
      </w:r>
      <w:r>
        <w:t xml:space="preserve"> 19% are without any religion at all. The health interventions must be culturally sensitive to the differences in the respective religious beliefs</w:t>
      </w:r>
      <w:r w:rsidR="007822A7" w:rsidRPr="007822A7">
        <w:t xml:space="preserve"> (Chilukuri et al., 2021)</w:t>
      </w:r>
      <w:r>
        <w:t>.</w:t>
      </w:r>
    </w:p>
    <w:p w14:paraId="0174B799" w14:textId="77777777" w:rsidR="00CC489D" w:rsidRDefault="00E97BD4" w:rsidP="002807EE">
      <w:pPr>
        <w:pStyle w:val="Heading1"/>
      </w:pPr>
      <w:bookmarkStart w:id="3" w:name="_Toc173952268"/>
      <w:r w:rsidRPr="00E97BD4">
        <w:t>Proposed Approach: Co</w:t>
      </w:r>
      <w:r w:rsidR="00CC489D">
        <w:t>mmunity-Based Health Promotion</w:t>
      </w:r>
      <w:bookmarkEnd w:id="3"/>
    </w:p>
    <w:p w14:paraId="75B41071" w14:textId="77777777" w:rsidR="00CC489D" w:rsidRDefault="00CC489D" w:rsidP="00CC489D">
      <w:r>
        <w:t>The approaches are focused on community health promotion to combat obesity in Birmingham; the key principle here is community members’ engagement. This approach involves several key strategies:</w:t>
      </w:r>
    </w:p>
    <w:p w14:paraId="17E7B12C" w14:textId="77777777" w:rsidR="00CC489D" w:rsidRDefault="00CC489D" w:rsidP="002807EE">
      <w:r w:rsidRPr="002807EE">
        <w:rPr>
          <w:b/>
        </w:rPr>
        <w:t>1. Empowerment and Participation: There</w:t>
      </w:r>
      <w:r>
        <w:t xml:space="preserve"> are always advantages of involving the residents in the development and implementation of health programs since they will feel more ownership of such programs. Education can be done through workshops community meetings and volunteering </w:t>
      </w:r>
      <w:r w:rsidR="007822A7">
        <w:t>which</w:t>
      </w:r>
      <w:r>
        <w:t xml:space="preserve"> will enable people </w:t>
      </w:r>
      <w:r w:rsidR="002807EE">
        <w:t xml:space="preserve">to </w:t>
      </w:r>
      <w:r>
        <w:t>come up with activities that will help in the promotion of health in the community</w:t>
      </w:r>
      <w:r w:rsidR="007822A7" w:rsidRPr="007822A7">
        <w:t xml:space="preserve"> (Benoit et al., 2023)</w:t>
      </w:r>
      <w:r>
        <w:t xml:space="preserve">. This is in concordance with the Health Belief Model which postulates that perceived threats and perceived benefits are crucial in generating the necessary motivation towards health </w:t>
      </w:r>
      <w:r w:rsidR="002807EE">
        <w:t>behaviours</w:t>
      </w:r>
      <w:r>
        <w:t>.</w:t>
      </w:r>
    </w:p>
    <w:p w14:paraId="2E849637" w14:textId="77777777" w:rsidR="00CC489D" w:rsidRDefault="00CC489D" w:rsidP="002807EE">
      <w:r w:rsidRPr="002807EE">
        <w:rPr>
          <w:b/>
        </w:rPr>
        <w:t>2. Education and Awareness:</w:t>
      </w:r>
      <w:r>
        <w:t xml:space="preserve"> The education programs delivered in schools, community </w:t>
      </w:r>
      <w:r w:rsidR="002807EE">
        <w:t>centres</w:t>
      </w:r>
      <w:r>
        <w:t>, and local organizations should be put into practice to increase the awareness of healthful living. Such services can be nutritional awareness sessions, exercise sessions, and educational sessions on how to prepare healthy foods for consumption while observing the various constrained budgets</w:t>
      </w:r>
      <w:r w:rsidR="007822A7" w:rsidRPr="007822A7">
        <w:t xml:space="preserve"> (Hopley et al., 2022)</w:t>
      </w:r>
      <w:r>
        <w:t xml:space="preserve">. Knowledge and skills enhancement has the long-term goal of altering people’s </w:t>
      </w:r>
      <w:r w:rsidR="002807EE">
        <w:t>behaviour</w:t>
      </w:r>
      <w:r>
        <w:t xml:space="preserve"> to achieve better, lower obesity rates.</w:t>
      </w:r>
    </w:p>
    <w:p w14:paraId="2F837C6C" w14:textId="77777777" w:rsidR="00CC489D" w:rsidRDefault="00CC489D" w:rsidP="002807EE">
      <w:r w:rsidRPr="002807EE">
        <w:rPr>
          <w:b/>
        </w:rPr>
        <w:t>3. Collaboration with Stakeholders:</w:t>
      </w:r>
      <w:r>
        <w:t xml:space="preserve"> </w:t>
      </w:r>
      <w:r w:rsidR="002807EE">
        <w:t>Community-based</w:t>
      </w:r>
      <w:r>
        <w:t xml:space="preserve"> health promotion involves several players such as; health care facilities, academic institutions, non-profit organizations, and the business community. Government healthcare can provide professional advice and necessary materials, whereas educational </w:t>
      </w:r>
      <w:r w:rsidR="002807EE">
        <w:t>centres</w:t>
      </w:r>
      <w:r>
        <w:t xml:space="preserve"> can include the principles of healthy living </w:t>
      </w:r>
      <w:r w:rsidR="002807EE">
        <w:t>in</w:t>
      </w:r>
      <w:r>
        <w:t xml:space="preserve"> their programmes</w:t>
      </w:r>
      <w:r w:rsidR="007822A7" w:rsidRPr="007822A7">
        <w:t xml:space="preserve"> (Nickel and von dem Knesebeck, 2020)</w:t>
      </w:r>
      <w:r>
        <w:t>. Thus, non-profit organisations and local companies can contribute as sponsors, as well as by offering premises and other facilities.</w:t>
      </w:r>
    </w:p>
    <w:p w14:paraId="6248F6CD" w14:textId="77777777" w:rsidR="00CC489D" w:rsidRDefault="00CC489D" w:rsidP="002807EE">
      <w:r w:rsidRPr="002807EE">
        <w:rPr>
          <w:b/>
        </w:rPr>
        <w:t>4. Theoretical Underpinning</w:t>
      </w:r>
      <w:r>
        <w:t xml:space="preserve">: The conceptual framework for this approach is the Health Belief Model and Bronfenbrenner’s Ecological Systems Theory. According to </w:t>
      </w:r>
      <w:r w:rsidR="002807EE">
        <w:t xml:space="preserve">the </w:t>
      </w:r>
      <w:r>
        <w:t xml:space="preserve">Health Belief Model, the understanding of perceived qualities and hazards by the individual influences the extent of health commitment, reasoning that an individual will participate in health constructive activities if they feel vulnerable and the advantages exceed the restraints. According to Bronfenbrenner’s Ecological Systems Theory, the </w:t>
      </w:r>
      <w:r w:rsidR="002807EE">
        <w:t>behaviour</w:t>
      </w:r>
      <w:r>
        <w:t xml:space="preserve"> of a person is affected by different systems within the environment, which </w:t>
      </w:r>
      <w:r w:rsidR="002807EE">
        <w:t>are</w:t>
      </w:r>
      <w:r>
        <w:t xml:space="preserve"> comprised of the family, community, and </w:t>
      </w:r>
      <w:r w:rsidR="002807EE">
        <w:t>societal</w:t>
      </w:r>
      <w:r>
        <w:t xml:space="preserve"> levels</w:t>
      </w:r>
      <w:r w:rsidR="007822A7" w:rsidRPr="007822A7">
        <w:t xml:space="preserve"> (Chen and Hsieh, 2021)</w:t>
      </w:r>
      <w:r>
        <w:t>.</w:t>
      </w:r>
    </w:p>
    <w:p w14:paraId="2430FFD3" w14:textId="77777777" w:rsidR="00E97BD4" w:rsidRPr="00E97BD4" w:rsidRDefault="00CC489D" w:rsidP="002807EE">
      <w:r w:rsidRPr="002807EE">
        <w:rPr>
          <w:b/>
        </w:rPr>
        <w:t>5. Policy and Practice Integration:</w:t>
      </w:r>
      <w:r>
        <w:t xml:space="preserve"> It is important to integrate such </w:t>
      </w:r>
      <w:r w:rsidR="002807EE">
        <w:t>community-based</w:t>
      </w:r>
      <w:r>
        <w:t xml:space="preserve"> interventions with the existing health policies and practices for a sustainable and productive result. Consulting with Birmingham City Council and Public Health England may assist in incorporating these strategies into a wider framework</w:t>
      </w:r>
      <w:r w:rsidR="007822A7" w:rsidRPr="007822A7">
        <w:t xml:space="preserve"> (Philip et al., 2018)</w:t>
      </w:r>
      <w:r>
        <w:t xml:space="preserve">. Strategies like the NHS Long Term Plan and the Equality Act, </w:t>
      </w:r>
      <w:r w:rsidR="002807EE">
        <w:t xml:space="preserve">of </w:t>
      </w:r>
      <w:r>
        <w:t>2010 create a conducive environment for increasing health equity and access to care</w:t>
      </w:r>
      <w:r w:rsidR="002807EE">
        <w:t>.</w:t>
      </w:r>
    </w:p>
    <w:p w14:paraId="06D303F8" w14:textId="77777777" w:rsidR="00CC489D" w:rsidRDefault="00E97BD4" w:rsidP="002807EE">
      <w:pPr>
        <w:pStyle w:val="Heading1"/>
      </w:pPr>
      <w:bookmarkStart w:id="4" w:name="_Toc173952269"/>
      <w:r>
        <w:t>Critical Exami</w:t>
      </w:r>
      <w:r w:rsidR="00CC489D">
        <w:t>nation: Digital Health Campaign</w:t>
      </w:r>
      <w:bookmarkEnd w:id="4"/>
    </w:p>
    <w:p w14:paraId="684BEB0D" w14:textId="77777777" w:rsidR="00CC489D" w:rsidRDefault="00CC489D" w:rsidP="00CC489D">
      <w:r>
        <w:t xml:space="preserve">The strategy that can be implemented to combat obesity in Birmingham is the new digital health campaign which </w:t>
      </w:r>
      <w:r w:rsidR="002807EE">
        <w:t>uses</w:t>
      </w:r>
      <w:r>
        <w:t xml:space="preserve"> social media, mobile applications, and </w:t>
      </w:r>
      <w:r w:rsidR="002807EE">
        <w:t>telehealth</w:t>
      </w:r>
      <w:r>
        <w:t xml:space="preserve"> </w:t>
      </w:r>
      <w:r w:rsidR="002807EE">
        <w:t>to encourage</w:t>
      </w:r>
      <w:r>
        <w:t xml:space="preserve"> </w:t>
      </w:r>
      <w:r w:rsidR="002807EE">
        <w:t>healthy</w:t>
      </w:r>
      <w:r>
        <w:t xml:space="preserve"> living and </w:t>
      </w:r>
      <w:r w:rsidR="002807EE">
        <w:t>support</w:t>
      </w:r>
      <w:r>
        <w:t xml:space="preserve"> weight loss initiatives. It is based on the Social Learning Theory that focuses on the changes in </w:t>
      </w:r>
      <w:r w:rsidR="002807EE">
        <w:t>behaviour</w:t>
      </w:r>
      <w:r>
        <w:t xml:space="preserve"> especially through observation, imitation, and </w:t>
      </w:r>
      <w:proofErr w:type="spellStart"/>
      <w:r>
        <w:t>modeling</w:t>
      </w:r>
      <w:proofErr w:type="spellEnd"/>
      <w:r>
        <w:t>. Using web applications, the campaign plans to affect as many people as possible and post easily understandable information on health promotion</w:t>
      </w:r>
      <w:r w:rsidR="007822A7" w:rsidRPr="007822A7">
        <w:t xml:space="preserve"> (Lee et al., 2022)</w:t>
      </w:r>
      <w:r>
        <w:t>.</w:t>
      </w:r>
    </w:p>
    <w:p w14:paraId="43854723" w14:textId="195CF471" w:rsidR="00CC489D" w:rsidRDefault="00CC489D" w:rsidP="00CC489D">
      <w:r w:rsidRPr="00B30E5E">
        <w:rPr>
          <w:b/>
        </w:rPr>
        <w:t>Social Media Engagement</w:t>
      </w:r>
      <w:r>
        <w:t xml:space="preserve">: Official web pages, blogs, and forums are effective for working with the community; however, Facebook, Instagram, and Twitter are also useful. They can be used to pass information </w:t>
      </w:r>
      <w:r w:rsidR="002807EE">
        <w:t>on</w:t>
      </w:r>
      <w:r>
        <w:t xml:space="preserve"> healthy diets, exercise patterns, and fairs within the health facilities. For instance, Facebook groups are effective in establishing coherence since members of </w:t>
      </w:r>
      <w:r w:rsidR="002807EE">
        <w:t>groups</w:t>
      </w:r>
      <w:r>
        <w:t xml:space="preserve"> working in similar </w:t>
      </w:r>
      <w:r w:rsidR="002807EE">
        <w:t>occupations</w:t>
      </w:r>
      <w:r>
        <w:t>, experiences, difficulties, and achievements can share. Instagram can be employed to share –pictures and videos of healthy meals and workouts that can help others be inspired</w:t>
      </w:r>
      <w:r w:rsidR="007822A7" w:rsidRPr="007822A7">
        <w:t xml:space="preserve"> (McGrath et al., 2022)</w:t>
      </w:r>
      <w:r>
        <w:t xml:space="preserve">. The usefulness of social media is found in the social relations and peer support that they create. Since people in the virtual community are equals, they can motivate and facilitate each other thus making it easier to embrace and practice </w:t>
      </w:r>
      <w:r w:rsidR="002807EE">
        <w:t>health-promoting</w:t>
      </w:r>
      <w:r>
        <w:t xml:space="preserve"> </w:t>
      </w:r>
      <w:r w:rsidR="00B834ED">
        <w:t>behaviours</w:t>
      </w:r>
      <w:r>
        <w:t>.</w:t>
      </w:r>
    </w:p>
    <w:p w14:paraId="6B06D564" w14:textId="0938F811" w:rsidR="00CC489D" w:rsidRDefault="00CC489D" w:rsidP="00CC489D">
      <w:r w:rsidRPr="00B30E5E">
        <w:rPr>
          <w:b/>
        </w:rPr>
        <w:t>Mobile Apps for Health Management:</w:t>
      </w:r>
      <w:r>
        <w:t xml:space="preserve"> These smart tools </w:t>
      </w:r>
      <w:r w:rsidR="002807EE">
        <w:t>including</w:t>
      </w:r>
      <w:r>
        <w:t xml:space="preserve"> MyFitnessPal and the NHS Weight Loss Plan are crucial in the digital health fight. Some examples include MyFitnessPal where a user </w:t>
      </w:r>
      <w:r w:rsidR="002807EE">
        <w:t>can</w:t>
      </w:r>
      <w:r>
        <w:t xml:space="preserve"> input the food they consume in a day and the physical activities they engage in and get to know their eating habits and energy intake. NHS Weight Loss Plan is a diet plan that provides guidelines on the recommended food portions and regular encouragement to the users on the process of weight loss</w:t>
      </w:r>
      <w:r w:rsidR="007822A7" w:rsidRPr="007822A7">
        <w:t xml:space="preserve"> (Thomson et al., 2023)</w:t>
      </w:r>
      <w:r>
        <w:t xml:space="preserve">. These apps are based on the Theory of Health Belief which postulates that people will participate in healthy </w:t>
      </w:r>
      <w:r w:rsidR="00B834ED">
        <w:t>behaviours</w:t>
      </w:r>
      <w:r>
        <w:t xml:space="preserve"> if the perceived benefits are m</w:t>
      </w:r>
      <w:r w:rsidR="002807EE">
        <w:t>ore than the perceived threats.</w:t>
      </w:r>
    </w:p>
    <w:p w14:paraId="003548B4" w14:textId="77777777" w:rsidR="00CC489D" w:rsidRDefault="00CC489D" w:rsidP="00CC489D">
      <w:r w:rsidRPr="00B30E5E">
        <w:rPr>
          <w:b/>
        </w:rPr>
        <w:t>Online Forums and Telehealth:</w:t>
      </w:r>
      <w:r>
        <w:t xml:space="preserve"> Reddit and similar communities as well as telemedicine services are critical sources of self-supporting groups and means to access healthcare. Considering weight loss and healthy living communities on Reddit, these can be used in the way that people can turn to boards to share personal </w:t>
      </w:r>
      <w:r w:rsidR="002807EE">
        <w:t>experiences</w:t>
      </w:r>
      <w:r>
        <w:t xml:space="preserve">; ask questions; </w:t>
      </w:r>
      <w:r w:rsidR="007822A7">
        <w:t xml:space="preserve">and </w:t>
      </w:r>
      <w:r>
        <w:t>get advice from those who faced similar issues</w:t>
      </w:r>
      <w:r w:rsidR="007822A7" w:rsidRPr="007822A7">
        <w:t xml:space="preserve"> (Mudyarabikwa et al., 2021)</w:t>
      </w:r>
      <w:r>
        <w:t xml:space="preserve">. Telehealth services on the other hand are an easy way through which people can easily access health professionals without having to make the physical journeys. It is especially advantageous for people with different kinds of mobility impairments, lack of own or limited access to transportation, or tight schedules. </w:t>
      </w:r>
    </w:p>
    <w:p w14:paraId="1732E01C" w14:textId="77777777" w:rsidR="00CC489D" w:rsidRDefault="00CC489D" w:rsidP="00CC489D">
      <w:r w:rsidRPr="00B30E5E">
        <w:rPr>
          <w:b/>
        </w:rPr>
        <w:t>Policy Context:</w:t>
      </w:r>
      <w:r>
        <w:t xml:space="preserve"> The digital health campaign has policy backing from the Government policies such as the NHS Long Term Plan and the Equality Act 2010. The NHS Long Term Plan identified digital technology as critical to enhancing the provision of care and patients’ health</w:t>
      </w:r>
      <w:r w:rsidR="007822A7" w:rsidRPr="007822A7">
        <w:t xml:space="preserve"> (</w:t>
      </w:r>
      <w:proofErr w:type="spellStart"/>
      <w:r w:rsidR="007822A7" w:rsidRPr="007822A7">
        <w:t>Waigwa</w:t>
      </w:r>
      <w:proofErr w:type="spellEnd"/>
      <w:r w:rsidR="007822A7" w:rsidRPr="007822A7">
        <w:t>, 2021)</w:t>
      </w:r>
      <w:r>
        <w:t>. This type of health promotion calls for the support of health promotion policies through the use of digital support. Health Promotion includes all people and there is protection against discrimination with the help of the Equality Act 2010.</w:t>
      </w:r>
    </w:p>
    <w:p w14:paraId="15CC46ED" w14:textId="77777777" w:rsidR="00CC489D" w:rsidRDefault="00CC489D" w:rsidP="00CC489D">
      <w:r w:rsidRPr="00B30E5E">
        <w:rPr>
          <w:b/>
        </w:rPr>
        <w:t>Challenges and Considerations:</w:t>
      </w:r>
      <w:r>
        <w:t xml:space="preserve"> Of course, digital health tools have many advantages, but there are also some difficulties to pay attention to. Technology availability and technology use competence may not be the same for all the different demographic groups. This is why eradicating these disparities is necessary so that all members of the community can benefit from the digital health campaign</w:t>
      </w:r>
      <w:r w:rsidR="007822A7" w:rsidRPr="007822A7">
        <w:t xml:space="preserve"> (Barry and Blythe, 2018)</w:t>
      </w:r>
      <w:r>
        <w:t xml:space="preserve">. The next steps are to offer digital literacy </w:t>
      </w:r>
      <w:r w:rsidR="002807EE">
        <w:t xml:space="preserve">and </w:t>
      </w:r>
      <w:r>
        <w:t>set up an affordable device and affordable internet services to disseminate the campaign.</w:t>
      </w:r>
    </w:p>
    <w:p w14:paraId="58C9AF25" w14:textId="77777777" w:rsidR="00CB2A3D" w:rsidRDefault="00CC489D" w:rsidP="00CC489D">
      <w:r w:rsidRPr="00B30E5E">
        <w:rPr>
          <w:b/>
        </w:rPr>
        <w:t>Effectiveness and Impact:</w:t>
      </w:r>
      <w:r>
        <w:t xml:space="preserve"> Assessment of the outcome of the digital health campaign can be </w:t>
      </w:r>
      <w:r w:rsidR="002807EE">
        <w:t xml:space="preserve">done </w:t>
      </w:r>
      <w:r>
        <w:t xml:space="preserve">through various indicators like engagement, change of </w:t>
      </w:r>
      <w:r w:rsidR="002807EE">
        <w:t>behaviour</w:t>
      </w:r>
      <w:r>
        <w:t xml:space="preserve"> and health. Measuring the number of the actively using the app, how often the application is used and the degree of participation in the forum can be used to determine the extent of the campaign</w:t>
      </w:r>
      <w:r w:rsidR="007822A7" w:rsidRPr="007822A7">
        <w:t xml:space="preserve"> (Wood et al., 2023)</w:t>
      </w:r>
      <w:r>
        <w:t xml:space="preserve">. Also, changes in diet and exercise </w:t>
      </w:r>
      <w:r w:rsidR="002807EE">
        <w:t>behaviours</w:t>
      </w:r>
      <w:r>
        <w:t xml:space="preserve"> and weight loss reported by the participants can be measured to evaluate the effectiveness of the campaign on health-related </w:t>
      </w:r>
      <w:r w:rsidR="002807EE">
        <w:t>behaviours</w:t>
      </w:r>
      <w:r>
        <w:t>.</w:t>
      </w:r>
    </w:p>
    <w:p w14:paraId="4C51018D" w14:textId="77777777" w:rsidR="00CC489D" w:rsidRDefault="00CB2A3D" w:rsidP="00B30E5E">
      <w:pPr>
        <w:pStyle w:val="Heading1"/>
      </w:pPr>
      <w:bookmarkStart w:id="5" w:name="_Toc173952270"/>
      <w:r w:rsidRPr="00CB2A3D">
        <w:t>Implementation Strategy</w:t>
      </w:r>
      <w:bookmarkEnd w:id="5"/>
      <w:r w:rsidRPr="00CB2A3D">
        <w:t xml:space="preserve"> </w:t>
      </w:r>
    </w:p>
    <w:p w14:paraId="5AB56BD7" w14:textId="77777777" w:rsidR="00CC489D" w:rsidRDefault="00CC489D" w:rsidP="00CC489D">
      <w:r>
        <w:t xml:space="preserve">To successfully launch the digital health campaign, </w:t>
      </w:r>
      <w:r w:rsidR="002807EE">
        <w:t>several strategies need</w:t>
      </w:r>
      <w:r>
        <w:t xml:space="preserve"> to be followed which are, engagement methods, partnerships and policy alignment.</w:t>
      </w:r>
    </w:p>
    <w:p w14:paraId="7CF70D57" w14:textId="77777777" w:rsidR="00CC489D" w:rsidRDefault="00CC489D" w:rsidP="007822A7">
      <w:pPr>
        <w:pStyle w:val="ListParagraph"/>
        <w:numPr>
          <w:ilvl w:val="0"/>
          <w:numId w:val="2"/>
        </w:numPr>
      </w:pPr>
      <w:r w:rsidRPr="00B30E5E">
        <w:rPr>
          <w:b/>
        </w:rPr>
        <w:t>Engagement Methods:</w:t>
      </w:r>
      <w:r>
        <w:t xml:space="preserve"> Stakeholder engagement is therefore very crucial for the achievement of the goals of the digital health campaign. Seminars and presentations can be held to create awareness </w:t>
      </w:r>
      <w:r w:rsidR="002807EE">
        <w:t>in</w:t>
      </w:r>
      <w:r>
        <w:t xml:space="preserve"> the community on the use of technology in managing health status</w:t>
      </w:r>
      <w:r w:rsidR="007822A7" w:rsidRPr="007822A7">
        <w:t xml:space="preserve"> (Budhwani et al., 2022)</w:t>
      </w:r>
      <w:r>
        <w:t xml:space="preserve">. Outreaching to the community can be </w:t>
      </w:r>
      <w:r w:rsidR="002807EE">
        <w:t>daily</w:t>
      </w:r>
      <w:r>
        <w:t xml:space="preserve"> or weekly basis or even </w:t>
      </w:r>
      <w:r w:rsidR="002807EE">
        <w:t xml:space="preserve">on </w:t>
      </w:r>
      <w:r>
        <w:t xml:space="preserve">a biweekly basis through posts, live sessions, </w:t>
      </w:r>
      <w:r w:rsidR="002807EE">
        <w:t xml:space="preserve">and </w:t>
      </w:r>
      <w:r>
        <w:t>Q&amp;A sessions.</w:t>
      </w:r>
    </w:p>
    <w:p w14:paraId="2CC7B493" w14:textId="77777777" w:rsidR="00CC489D" w:rsidRDefault="00CC489D" w:rsidP="007822A7">
      <w:pPr>
        <w:pStyle w:val="ListParagraph"/>
        <w:numPr>
          <w:ilvl w:val="0"/>
          <w:numId w:val="2"/>
        </w:numPr>
      </w:pPr>
      <w:r w:rsidRPr="00B30E5E">
        <w:rPr>
          <w:b/>
        </w:rPr>
        <w:t>Partnerships:</w:t>
      </w:r>
      <w:r w:rsidR="007822A7">
        <w:rPr>
          <w:b/>
        </w:rPr>
        <w:t xml:space="preserve"> </w:t>
      </w:r>
      <w:r>
        <w:t xml:space="preserve">Local companies must embrace the idea through waivers on particular foods and gym </w:t>
      </w:r>
      <w:r w:rsidR="002807EE">
        <w:t>subscriptions</w:t>
      </w:r>
      <w:r>
        <w:t xml:space="preserve"> to the participants. Industry players can play this role by creating </w:t>
      </w:r>
      <w:r w:rsidR="002807EE">
        <w:t>easy-to-use</w:t>
      </w:r>
      <w:r>
        <w:t xml:space="preserve"> applications and interfaces specific to the populace of Birmingham. Birmingham City Council and Public Health England are some of the government organizations that can offer funding, policies, and other relevant materials to support the campaign’s continuation</w:t>
      </w:r>
      <w:r w:rsidR="007822A7" w:rsidRPr="007822A7">
        <w:t xml:space="preserve"> (Mudyarabikwa et al., 2021)</w:t>
      </w:r>
      <w:r>
        <w:t>.</w:t>
      </w:r>
    </w:p>
    <w:p w14:paraId="04672986" w14:textId="77777777" w:rsidR="00CB2A3D" w:rsidRPr="00CB2A3D" w:rsidRDefault="00CC489D" w:rsidP="007822A7">
      <w:pPr>
        <w:pStyle w:val="ListParagraph"/>
        <w:numPr>
          <w:ilvl w:val="0"/>
          <w:numId w:val="2"/>
        </w:numPr>
      </w:pPr>
      <w:r w:rsidRPr="00B30E5E">
        <w:rPr>
          <w:b/>
        </w:rPr>
        <w:t>Policy Alignment:</w:t>
      </w:r>
      <w:r>
        <w:t xml:space="preserve"> Ensuring the policies of the digital health campaign do not contradict existing health policies makes sure that the campaign is supported and can meet the needs of the target population in terms of health. As such, the direction of the NHS Long Term Plan focusing on the use of digital technology corresponds to the campaign. Also, the Equality Act 2010 guarantees that the campaign advocates for a non-discriminatory approach to the provision of health services</w:t>
      </w:r>
      <w:r w:rsidR="007822A7" w:rsidRPr="007822A7">
        <w:t xml:space="preserve"> (Chen and Hsieh, 2021)</w:t>
      </w:r>
      <w:r>
        <w:t xml:space="preserve">. There should be monthly assessment and </w:t>
      </w:r>
      <w:r w:rsidR="002807EE">
        <w:t>report-back</w:t>
      </w:r>
      <w:r>
        <w:t xml:space="preserve"> mechanisms </w:t>
      </w:r>
      <w:r w:rsidR="002807EE">
        <w:t>to</w:t>
      </w:r>
      <w:r>
        <w:t xml:space="preserve"> check progress and make any </w:t>
      </w:r>
      <w:r w:rsidR="002807EE">
        <w:t>much-needed</w:t>
      </w:r>
      <w:r>
        <w:t xml:space="preserve"> alterations to increase the impact of the said campaign within the mentioned community.</w:t>
      </w:r>
    </w:p>
    <w:p w14:paraId="04B09D0D" w14:textId="77777777" w:rsidR="002807EE" w:rsidRDefault="00CB2A3D" w:rsidP="00B30E5E">
      <w:pPr>
        <w:pStyle w:val="Heading1"/>
      </w:pPr>
      <w:bookmarkStart w:id="6" w:name="_Toc173952271"/>
      <w:r w:rsidRPr="00CB2A3D">
        <w:t>Recommendations for Digital Adaptation</w:t>
      </w:r>
      <w:bookmarkEnd w:id="6"/>
    </w:p>
    <w:p w14:paraId="0685A503" w14:textId="77777777" w:rsidR="00F07A9F" w:rsidRDefault="00F07A9F" w:rsidP="00B30E5E">
      <w:pPr>
        <w:pStyle w:val="ListParagraph"/>
        <w:numPr>
          <w:ilvl w:val="0"/>
          <w:numId w:val="3"/>
        </w:numPr>
      </w:pPr>
      <w:r w:rsidRPr="00B30E5E">
        <w:rPr>
          <w:b/>
        </w:rPr>
        <w:t>Enhancing Digital Outreach:</w:t>
      </w:r>
      <w:r>
        <w:t xml:space="preserve"> Tweaking the social media strategies is vital to try to enhance users’ engagement levels. Adapting the content produced to the cultural and linguistic characteristics of people living in Birmingham can also make the campaign more familiar.</w:t>
      </w:r>
    </w:p>
    <w:p w14:paraId="50181AC9" w14:textId="77777777" w:rsidR="00F07A9F" w:rsidRDefault="00F07A9F" w:rsidP="007822A7">
      <w:pPr>
        <w:pStyle w:val="ListParagraph"/>
        <w:numPr>
          <w:ilvl w:val="0"/>
          <w:numId w:val="3"/>
        </w:numPr>
      </w:pPr>
      <w:r w:rsidRPr="00B30E5E">
        <w:rPr>
          <w:b/>
        </w:rPr>
        <w:t>Improving App Functionalities:</w:t>
      </w:r>
      <w:r>
        <w:t xml:space="preserve"> Mobile applications should be easy to use and usable by people of all ages. Elements such as voice commands and </w:t>
      </w:r>
      <w:r w:rsidR="002807EE">
        <w:t xml:space="preserve">a </w:t>
      </w:r>
      <w:r>
        <w:t>simple user interface can enable the applications to be easily understood by First Age citizens and those who have low ICT literacy</w:t>
      </w:r>
      <w:r w:rsidR="007822A7" w:rsidRPr="007822A7">
        <w:t xml:space="preserve"> (McGrath et al., 2022)</w:t>
      </w:r>
      <w:r>
        <w:t>. Some of the features that can be incorporated are the use of challenges and the use of rewards; these will make the user dedicated and stay on the right path.</w:t>
      </w:r>
    </w:p>
    <w:p w14:paraId="47C881C9" w14:textId="77777777" w:rsidR="00F07A9F" w:rsidRDefault="00F07A9F" w:rsidP="00B30E5E">
      <w:pPr>
        <w:pStyle w:val="ListParagraph"/>
        <w:numPr>
          <w:ilvl w:val="0"/>
          <w:numId w:val="3"/>
        </w:numPr>
      </w:pPr>
      <w:r w:rsidRPr="00B30E5E">
        <w:rPr>
          <w:b/>
        </w:rPr>
        <w:t>Inclusive Communication:</w:t>
      </w:r>
      <w:r>
        <w:t xml:space="preserve"> It is important to discuss health issues and design the corresponding messages taking into account the target population. For instance, when giving dietary advice and exercising regimes, it is more relevant and acceptable to ethnic groups to be delivered in </w:t>
      </w:r>
      <w:r w:rsidR="002807EE">
        <w:t xml:space="preserve">a </w:t>
      </w:r>
      <w:r>
        <w:t xml:space="preserve">culturally sensitive manner. The opinion of the community should be further sought </w:t>
      </w:r>
      <w:r w:rsidR="002807EE">
        <w:t>about</w:t>
      </w:r>
      <w:r>
        <w:t xml:space="preserve"> the continuous enhancement of the existing campaign.</w:t>
      </w:r>
    </w:p>
    <w:p w14:paraId="7227E404" w14:textId="77777777" w:rsidR="00F07A9F" w:rsidRDefault="00F07A9F" w:rsidP="00B30E5E">
      <w:pPr>
        <w:pStyle w:val="ListParagraph"/>
        <w:numPr>
          <w:ilvl w:val="0"/>
          <w:numId w:val="3"/>
        </w:numPr>
      </w:pPr>
      <w:r w:rsidRPr="00B30E5E">
        <w:rPr>
          <w:b/>
        </w:rPr>
        <w:t>Future-Proofing the Initiative:</w:t>
      </w:r>
      <w:r>
        <w:t xml:space="preserve"> The continuous changes in technology and the need for people to embrace the use of the internet is something the campaign must embrace. To support this argument, it is advisable to organize digital literacy training workshops because it will enable the members of the community to use the available digital tools properly.</w:t>
      </w:r>
    </w:p>
    <w:p w14:paraId="7F637226" w14:textId="77777777" w:rsidR="00CB2A3D" w:rsidRPr="00CB2A3D" w:rsidRDefault="00F07A9F" w:rsidP="00B30E5E">
      <w:pPr>
        <w:pStyle w:val="ListParagraph"/>
        <w:numPr>
          <w:ilvl w:val="0"/>
          <w:numId w:val="3"/>
        </w:numPr>
      </w:pPr>
      <w:r w:rsidRPr="00B30E5E">
        <w:rPr>
          <w:b/>
        </w:rPr>
        <w:t>Integrating Traditional and Digital Methods:</w:t>
      </w:r>
      <w:r>
        <w:t xml:space="preserve"> However, incorporating digital tools into conventional health promotion strategies can help in making a better system. Traditional media such as </w:t>
      </w:r>
      <w:r w:rsidR="002807EE">
        <w:t>face-to-face</w:t>
      </w:r>
      <w:r>
        <w:t xml:space="preserve"> meetings, fliers, and local radio can help in achieving better coverage and can supplement the online campaign.</w:t>
      </w:r>
    </w:p>
    <w:p w14:paraId="251F1005" w14:textId="77777777" w:rsidR="00B30E5E" w:rsidRDefault="00B30E5E">
      <w:pPr>
        <w:spacing w:line="259" w:lineRule="auto"/>
        <w:jc w:val="left"/>
        <w:rPr>
          <w:rFonts w:eastAsiaTheme="majorEastAsia" w:cstheme="majorBidi"/>
          <w:b/>
          <w:bCs/>
          <w:color w:val="2E74B5" w:themeColor="accent1" w:themeShade="BF"/>
          <w:sz w:val="32"/>
          <w:szCs w:val="32"/>
        </w:rPr>
      </w:pPr>
      <w:r>
        <w:rPr>
          <w:bCs/>
        </w:rPr>
        <w:br w:type="page"/>
      </w:r>
    </w:p>
    <w:p w14:paraId="33B65F2B" w14:textId="77777777" w:rsidR="00B30E5E" w:rsidRDefault="00CB2A3D" w:rsidP="00B30E5E">
      <w:pPr>
        <w:pStyle w:val="Heading1"/>
        <w:rPr>
          <w:bCs/>
        </w:rPr>
      </w:pPr>
      <w:bookmarkStart w:id="7" w:name="_Toc173952272"/>
      <w:r w:rsidRPr="00CB2A3D">
        <w:rPr>
          <w:bCs/>
        </w:rPr>
        <w:t>Conclusion</w:t>
      </w:r>
      <w:bookmarkEnd w:id="7"/>
    </w:p>
    <w:p w14:paraId="766DB5CE" w14:textId="77777777" w:rsidR="007822A7" w:rsidRDefault="00F07A9F" w:rsidP="00B30E5E">
      <w:r w:rsidRPr="00F07A9F">
        <w:t xml:space="preserve">To solve obesity in Birmingham it is necessary to involve people in the solution, use information and communication technologies, and create </w:t>
      </w:r>
      <w:r w:rsidR="002807EE">
        <w:t>favourable</w:t>
      </w:r>
      <w:r w:rsidRPr="00F07A9F">
        <w:t xml:space="preserve"> conditions for exercising and receiving proper nutrition. The campaign for enabling healthy living that is proposed here involves social media outlets, mobile applications, and telemedicine. In this way, </w:t>
      </w:r>
      <w:r w:rsidR="002807EE">
        <w:t xml:space="preserve">by </w:t>
      </w:r>
      <w:r w:rsidRPr="00F07A9F">
        <w:t xml:space="preserve">promoting cooperation </w:t>
      </w:r>
      <w:r w:rsidR="002807EE">
        <w:t>among</w:t>
      </w:r>
      <w:r w:rsidRPr="00F07A9F">
        <w:t xml:space="preserve"> the stakeholders, adapting the message to the target audience, and aligning policies, the campaign strives </w:t>
      </w:r>
      <w:r w:rsidR="002807EE">
        <w:t>to make</w:t>
      </w:r>
      <w:r w:rsidRPr="00F07A9F">
        <w:t xml:space="preserve"> lasting changes in people’s health. These strategies will improve the quality of living of the people of Birmingham by bringing down the level of obesity and diseases related to it in the population of the city.</w:t>
      </w:r>
    </w:p>
    <w:p w14:paraId="69E4A116" w14:textId="77777777" w:rsidR="007822A7" w:rsidRDefault="007822A7">
      <w:pPr>
        <w:spacing w:line="259" w:lineRule="auto"/>
        <w:jc w:val="left"/>
      </w:pPr>
      <w:r>
        <w:br w:type="page"/>
      </w:r>
    </w:p>
    <w:p w14:paraId="0304AF93" w14:textId="77777777" w:rsidR="00CB2A3D" w:rsidRDefault="007822A7" w:rsidP="007822A7">
      <w:pPr>
        <w:pStyle w:val="Heading1"/>
      </w:pPr>
      <w:bookmarkStart w:id="8" w:name="_Toc173952273"/>
      <w:r>
        <w:t>References</w:t>
      </w:r>
      <w:bookmarkEnd w:id="8"/>
    </w:p>
    <w:p w14:paraId="65D04110" w14:textId="77777777" w:rsidR="007822A7" w:rsidRPr="007822A7" w:rsidRDefault="007822A7" w:rsidP="007822A7">
      <w:r w:rsidRPr="007822A7">
        <w:t>Barry, V. and Blythe, C. (2018). Growing pathways to well-being through community gardens and greenspace: Case studies from Birmingham and the West Midlands, UK. In </w:t>
      </w:r>
      <w:r w:rsidRPr="007822A7">
        <w:rPr>
          <w:i/>
          <w:iCs/>
        </w:rPr>
        <w:t>Pathways to Well-Being in Design</w:t>
      </w:r>
      <w:r w:rsidRPr="007822A7">
        <w:t> (pp. 76-96). Routledge.</w:t>
      </w:r>
    </w:p>
    <w:p w14:paraId="015CF888" w14:textId="77777777" w:rsidR="007822A7" w:rsidRPr="007822A7" w:rsidRDefault="007822A7" w:rsidP="007822A7">
      <w:r w:rsidRPr="007822A7">
        <w:t>Benoit, C., Jeffery, A., Cleary, S., Masood, A., Paton, A. and Burt, C. (2023). Health inequalities in Birmingham: Barriers encountered in underserved wards in East and West Birmingham. In </w:t>
      </w:r>
      <w:r w:rsidRPr="007822A7">
        <w:rPr>
          <w:i/>
          <w:iCs/>
        </w:rPr>
        <w:t>ESRC Festival of Social of Social Sciences: Tackling Health Inequalities in Birmingham</w:t>
      </w:r>
      <w:r w:rsidRPr="007822A7">
        <w:t>.</w:t>
      </w:r>
    </w:p>
    <w:p w14:paraId="66B72B3B" w14:textId="77777777" w:rsidR="007822A7" w:rsidRPr="007822A7" w:rsidRDefault="007822A7" w:rsidP="007822A7">
      <w:r w:rsidRPr="007822A7">
        <w:t>Budhwani, H., Kiszla, B.M., Outlaw, A.Y., Oster, R.A., Mugavero, M.J., Johnson, M.O., Hightow-Weidman, L.B., Naar, S. and Turan, J.M. (2022). Adapting a motivational interviewing intervention to improve HIV prevention among young, black, sexual minority men in Alabama: Protocol for the development of the kings digital health intervention. </w:t>
      </w:r>
      <w:r w:rsidRPr="007822A7">
        <w:rPr>
          <w:i/>
          <w:iCs/>
        </w:rPr>
        <w:t>JMIR Research Protocols</w:t>
      </w:r>
      <w:r w:rsidRPr="007822A7">
        <w:t>, </w:t>
      </w:r>
      <w:r w:rsidRPr="007822A7">
        <w:rPr>
          <w:i/>
          <w:iCs/>
        </w:rPr>
        <w:t>11</w:t>
      </w:r>
      <w:r w:rsidRPr="007822A7">
        <w:t>(7), p.e36655.</w:t>
      </w:r>
    </w:p>
    <w:p w14:paraId="1C026E9F" w14:textId="77777777" w:rsidR="007822A7" w:rsidRPr="007822A7" w:rsidRDefault="007822A7" w:rsidP="007822A7">
      <w:r w:rsidRPr="007822A7">
        <w:t>Chen, H.H. and Hsieh, P.L. (2021). Applying the Pender’s health promotion model to identify the factors related to older adults’ participation in community-based health promotion activities. </w:t>
      </w:r>
      <w:r w:rsidRPr="007822A7">
        <w:rPr>
          <w:i/>
          <w:iCs/>
        </w:rPr>
        <w:t>International journal of environmental research and public health</w:t>
      </w:r>
      <w:r w:rsidRPr="007822A7">
        <w:t>, </w:t>
      </w:r>
      <w:r w:rsidRPr="007822A7">
        <w:rPr>
          <w:i/>
          <w:iCs/>
        </w:rPr>
        <w:t>18</w:t>
      </w:r>
      <w:r w:rsidRPr="007822A7">
        <w:t>(19), p.9985.</w:t>
      </w:r>
    </w:p>
    <w:p w14:paraId="245A9631" w14:textId="77777777" w:rsidR="007822A7" w:rsidRPr="007822A7" w:rsidRDefault="007822A7" w:rsidP="007822A7">
      <w:r w:rsidRPr="007822A7">
        <w:t>Chilukuri, P., Williams, C., Dowla, S., Paul, S., Sheets, L., Zinski, A. and Van Wagoner, N. (2021). Findings from a qualitative needs assessment of Equal Access Birmingham, a student-run free clinic in the southern United States. </w:t>
      </w:r>
      <w:r w:rsidRPr="007822A7">
        <w:rPr>
          <w:i/>
          <w:iCs/>
        </w:rPr>
        <w:t>Journal of Student-Run Clinics</w:t>
      </w:r>
      <w:r w:rsidRPr="007822A7">
        <w:t>, </w:t>
      </w:r>
      <w:r w:rsidRPr="007822A7">
        <w:rPr>
          <w:i/>
          <w:iCs/>
        </w:rPr>
        <w:t>7</w:t>
      </w:r>
      <w:r w:rsidRPr="007822A7">
        <w:t>(1).</w:t>
      </w:r>
    </w:p>
    <w:p w14:paraId="424093C4" w14:textId="77777777" w:rsidR="007822A7" w:rsidRPr="007822A7" w:rsidRDefault="007822A7" w:rsidP="007822A7">
      <w:r w:rsidRPr="007822A7">
        <w:t>Fisher, A.M., Ding, M.Q., Hochheiser, H. and Douglas, G.P. (2016). Measuring time utilization of pharmacists in the Birmingham Free Clinic dispensary. </w:t>
      </w:r>
      <w:r w:rsidRPr="007822A7">
        <w:rPr>
          <w:i/>
          <w:iCs/>
        </w:rPr>
        <w:t>BMC Health Services Research</w:t>
      </w:r>
      <w:r w:rsidRPr="007822A7">
        <w:t>, </w:t>
      </w:r>
      <w:r w:rsidRPr="007822A7">
        <w:rPr>
          <w:i/>
          <w:iCs/>
        </w:rPr>
        <w:t>16</w:t>
      </w:r>
      <w:r w:rsidRPr="007822A7">
        <w:t>, pp.1-7.</w:t>
      </w:r>
    </w:p>
    <w:p w14:paraId="4271A85C" w14:textId="77777777" w:rsidR="007822A7" w:rsidRPr="007822A7" w:rsidRDefault="007822A7" w:rsidP="007822A7">
      <w:r w:rsidRPr="007822A7">
        <w:t>Hopley, R., Castro Bilbrough, A., Wilson, S. and Caulfield, L. (2022). Birmingham City Council’s adult social care prevention portfolio–Review of the performance evaluation framework.</w:t>
      </w:r>
    </w:p>
    <w:p w14:paraId="1D54A951" w14:textId="77777777" w:rsidR="007822A7" w:rsidRPr="007822A7" w:rsidRDefault="007822A7" w:rsidP="007822A7">
      <w:r w:rsidRPr="007822A7">
        <w:t>Lee, C., Kuhn, I., McGrath, M., Remes, O., Cowan, A., Duncan, F., Baskin, C., Oliver, E.J., Osborn, D.P., Dykxhoorn, J. and Kaner, E. (2022). A systematic scoping review of community‐based interventions for the prevention of mental ill‐health and the promotion of mental health in older adults in the UK. </w:t>
      </w:r>
      <w:r w:rsidRPr="007822A7">
        <w:rPr>
          <w:i/>
          <w:iCs/>
        </w:rPr>
        <w:t>Health &amp; social care in the community</w:t>
      </w:r>
      <w:r w:rsidRPr="007822A7">
        <w:t>, </w:t>
      </w:r>
      <w:r w:rsidRPr="007822A7">
        <w:rPr>
          <w:i/>
          <w:iCs/>
        </w:rPr>
        <w:t>30</w:t>
      </w:r>
      <w:r w:rsidRPr="007822A7">
        <w:t>(1), pp.27-57.</w:t>
      </w:r>
    </w:p>
    <w:p w14:paraId="53F03E60" w14:textId="77777777" w:rsidR="007822A7" w:rsidRPr="007822A7" w:rsidRDefault="007822A7" w:rsidP="007822A7">
      <w:r w:rsidRPr="007822A7">
        <w:t>McGrath, A., Murphy, N., Egan, T. and Richardson, N. (2022). Sheds for life: health and wellbeing outcomes of a tailored community-based health promotion initiative for men’s sheds in Ireland. </w:t>
      </w:r>
      <w:r w:rsidRPr="007822A7">
        <w:rPr>
          <w:i/>
          <w:iCs/>
        </w:rPr>
        <w:t>BMC public health</w:t>
      </w:r>
      <w:r w:rsidRPr="007822A7">
        <w:t>, </w:t>
      </w:r>
      <w:r w:rsidRPr="007822A7">
        <w:rPr>
          <w:i/>
          <w:iCs/>
        </w:rPr>
        <w:t>22</w:t>
      </w:r>
      <w:r w:rsidRPr="007822A7">
        <w:t>(1), p.1590.</w:t>
      </w:r>
    </w:p>
    <w:p w14:paraId="4295BA52" w14:textId="77777777" w:rsidR="007822A7" w:rsidRPr="007822A7" w:rsidRDefault="007822A7" w:rsidP="007822A7">
      <w:r w:rsidRPr="007822A7">
        <w:t>Mudyarabikwa, O., Regmi, K., Ouillon, S. and Simmonds, R. (2021). Opportunities and Challenges in Designing a Public Health Knowledge and Skills Curriculum for Refugee and Migrant Community Health Champions in the West Midlands, England (UK). </w:t>
      </w:r>
      <w:r w:rsidRPr="007822A7">
        <w:rPr>
          <w:i/>
          <w:iCs/>
        </w:rPr>
        <w:t>Pedagogy in Health Promotion</w:t>
      </w:r>
      <w:r w:rsidRPr="007822A7">
        <w:t>, </w:t>
      </w:r>
      <w:r w:rsidRPr="007822A7">
        <w:rPr>
          <w:i/>
          <w:iCs/>
        </w:rPr>
        <w:t>7</w:t>
      </w:r>
      <w:r w:rsidRPr="007822A7">
        <w:t>(1), pp.71-81.</w:t>
      </w:r>
    </w:p>
    <w:p w14:paraId="0519C6A4" w14:textId="77777777" w:rsidR="007822A7" w:rsidRPr="007822A7" w:rsidRDefault="007822A7" w:rsidP="007822A7">
      <w:r w:rsidRPr="007822A7">
        <w:t>Nickel, S. and von dem Knesebeck, O. (2020). Effectiveness of community-based health promotion interventions in urban areas: a systematic review. </w:t>
      </w:r>
      <w:r w:rsidRPr="007822A7">
        <w:rPr>
          <w:i/>
          <w:iCs/>
        </w:rPr>
        <w:t>Journal of community health</w:t>
      </w:r>
      <w:r w:rsidRPr="007822A7">
        <w:t>, </w:t>
      </w:r>
      <w:r w:rsidRPr="007822A7">
        <w:rPr>
          <w:i/>
          <w:iCs/>
        </w:rPr>
        <w:t>45</w:t>
      </w:r>
      <w:r w:rsidRPr="007822A7">
        <w:t>(2), pp.419-434.</w:t>
      </w:r>
    </w:p>
    <w:p w14:paraId="48E635CE" w14:textId="77777777" w:rsidR="007822A7" w:rsidRPr="007822A7" w:rsidRDefault="007822A7" w:rsidP="007822A7">
      <w:r w:rsidRPr="007822A7">
        <w:t>Philip, P.M., Kannan, S. and Parambil, N.A. (2018). Community-based interventions for health promotion and disease prevention in noncommunicable diseases: A narrative review. </w:t>
      </w:r>
      <w:r w:rsidRPr="007822A7">
        <w:rPr>
          <w:i/>
          <w:iCs/>
        </w:rPr>
        <w:t>Journal of education and health promotion</w:t>
      </w:r>
      <w:r w:rsidRPr="007822A7">
        <w:t>, </w:t>
      </w:r>
      <w:r w:rsidRPr="007822A7">
        <w:rPr>
          <w:i/>
          <w:iCs/>
        </w:rPr>
        <w:t>7</w:t>
      </w:r>
      <w:r w:rsidRPr="007822A7">
        <w:t>(1), p.141.</w:t>
      </w:r>
    </w:p>
    <w:p w14:paraId="42AAEA77" w14:textId="77777777" w:rsidR="007822A7" w:rsidRPr="007822A7" w:rsidRDefault="007822A7" w:rsidP="007822A7">
      <w:r w:rsidRPr="007822A7">
        <w:t>Soley-Bori, M., Ashworth, M., Bisquera, A., Dodhia, H., Lynch, R., Wang, Y. and Fox-Rushby, J. (2021). Impact of multimorbidity on healthcare costs and utilisation: a systematic review of the UK literature. </w:t>
      </w:r>
      <w:r w:rsidRPr="007822A7">
        <w:rPr>
          <w:i/>
          <w:iCs/>
        </w:rPr>
        <w:t>British Journal of General Practice</w:t>
      </w:r>
      <w:r w:rsidRPr="007822A7">
        <w:t>, </w:t>
      </w:r>
      <w:r w:rsidRPr="007822A7">
        <w:rPr>
          <w:i/>
          <w:iCs/>
        </w:rPr>
        <w:t>71</w:t>
      </w:r>
      <w:r w:rsidRPr="007822A7">
        <w:t>(702), pp.e39-e46.</w:t>
      </w:r>
    </w:p>
    <w:p w14:paraId="31F1ADC6" w14:textId="77777777" w:rsidR="007822A7" w:rsidRPr="007822A7" w:rsidRDefault="007822A7" w:rsidP="007822A7">
      <w:r w:rsidRPr="007822A7">
        <w:t>Thomson, A., Harriss, E., Peters-Corbett, A., Koppel, K. and Creswell, C. (2023). Barriers and facilitators of community-based implementation of evidence-based interventions in the UK, for children and young people's mental health promotion, prevention and treatment: rapid scoping review. </w:t>
      </w:r>
      <w:r w:rsidRPr="007822A7">
        <w:rPr>
          <w:i/>
          <w:iCs/>
        </w:rPr>
        <w:t>BJPsych Open</w:t>
      </w:r>
      <w:r w:rsidRPr="007822A7">
        <w:t>, </w:t>
      </w:r>
      <w:r w:rsidRPr="007822A7">
        <w:rPr>
          <w:i/>
          <w:iCs/>
        </w:rPr>
        <w:t>9</w:t>
      </w:r>
      <w:r w:rsidRPr="007822A7">
        <w:t>(4), p.e132.</w:t>
      </w:r>
    </w:p>
    <w:p w14:paraId="1FA456E7" w14:textId="77777777" w:rsidR="007822A7" w:rsidRPr="007822A7" w:rsidRDefault="007822A7" w:rsidP="007822A7">
      <w:proofErr w:type="spellStart"/>
      <w:r w:rsidRPr="007822A7">
        <w:t>Waigwa</w:t>
      </w:r>
      <w:proofErr w:type="spellEnd"/>
      <w:r w:rsidRPr="007822A7">
        <w:t>, S. (2021). </w:t>
      </w:r>
      <w:r w:rsidRPr="007822A7">
        <w:rPr>
          <w:i/>
          <w:iCs/>
        </w:rPr>
        <w:t>Health education interventions and Female Genital Mutilation/Cutting (FGM/C) in Birmingham, UK: a mixed method inquiry</w:t>
      </w:r>
      <w:r w:rsidRPr="007822A7">
        <w:t> (Doctoral dissertation, University of Birmingham).</w:t>
      </w:r>
    </w:p>
    <w:p w14:paraId="7EA6AAD0" w14:textId="77777777" w:rsidR="007822A7" w:rsidRPr="007822A7" w:rsidRDefault="007822A7" w:rsidP="007822A7">
      <w:r w:rsidRPr="007822A7">
        <w:t>Wood, G.E.R., Pykett, J., Banchoff, A., King, A.C., Stathi, A. and Scientists, I.Y.L.A.C. (2023). Employing citizen science to enhance active and healthy ageing in urban environments. </w:t>
      </w:r>
      <w:r w:rsidRPr="007822A7">
        <w:rPr>
          <w:i/>
          <w:iCs/>
        </w:rPr>
        <w:t>Health &amp; Place</w:t>
      </w:r>
      <w:r w:rsidRPr="007822A7">
        <w:t>, </w:t>
      </w:r>
      <w:r w:rsidRPr="007822A7">
        <w:rPr>
          <w:i/>
          <w:iCs/>
        </w:rPr>
        <w:t>79</w:t>
      </w:r>
      <w:r w:rsidRPr="007822A7">
        <w:t>, p.102954.</w:t>
      </w:r>
    </w:p>
    <w:p w14:paraId="5AF3F807" w14:textId="77777777" w:rsidR="007822A7" w:rsidRPr="007822A7" w:rsidRDefault="007822A7" w:rsidP="007822A7"/>
    <w:sectPr w:rsidR="007822A7" w:rsidRPr="007822A7">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D0CA5A" w14:textId="77777777" w:rsidR="003747B7" w:rsidRDefault="003747B7" w:rsidP="00B661E8">
      <w:pPr>
        <w:spacing w:after="0" w:line="240" w:lineRule="auto"/>
      </w:pPr>
      <w:r>
        <w:separator/>
      </w:r>
    </w:p>
  </w:endnote>
  <w:endnote w:type="continuationSeparator" w:id="0">
    <w:p w14:paraId="1E84A898" w14:textId="77777777" w:rsidR="003747B7" w:rsidRDefault="003747B7" w:rsidP="00B66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7935625"/>
      <w:docPartObj>
        <w:docPartGallery w:val="Page Numbers (Bottom of Page)"/>
        <w:docPartUnique/>
      </w:docPartObj>
    </w:sdtPr>
    <w:sdtEndPr>
      <w:rPr>
        <w:noProof/>
      </w:rPr>
    </w:sdtEndPr>
    <w:sdtContent>
      <w:p w14:paraId="10B002BC" w14:textId="77777777" w:rsidR="00B661E8" w:rsidRDefault="00B661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65950D" w14:textId="77777777" w:rsidR="00B661E8" w:rsidRDefault="00B661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EB8BEB" w14:textId="77777777" w:rsidR="003747B7" w:rsidRDefault="003747B7" w:rsidP="00B661E8">
      <w:pPr>
        <w:spacing w:after="0" w:line="240" w:lineRule="auto"/>
      </w:pPr>
      <w:r>
        <w:separator/>
      </w:r>
    </w:p>
  </w:footnote>
  <w:footnote w:type="continuationSeparator" w:id="0">
    <w:p w14:paraId="59F44394" w14:textId="77777777" w:rsidR="003747B7" w:rsidRDefault="003747B7" w:rsidP="00B661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46126B"/>
    <w:multiLevelType w:val="multilevel"/>
    <w:tmpl w:val="7A0CC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B125DA"/>
    <w:multiLevelType w:val="hybridMultilevel"/>
    <w:tmpl w:val="C6762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6266B3"/>
    <w:multiLevelType w:val="hybridMultilevel"/>
    <w:tmpl w:val="AD5E6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2635327">
    <w:abstractNumId w:val="0"/>
  </w:num>
  <w:num w:numId="2" w16cid:durableId="1026981310">
    <w:abstractNumId w:val="2"/>
  </w:num>
  <w:num w:numId="3" w16cid:durableId="7867046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BD4"/>
    <w:rsid w:val="00186B1B"/>
    <w:rsid w:val="001E72AB"/>
    <w:rsid w:val="002807EE"/>
    <w:rsid w:val="002D3CD2"/>
    <w:rsid w:val="003747B7"/>
    <w:rsid w:val="0037543B"/>
    <w:rsid w:val="00450942"/>
    <w:rsid w:val="006C78AF"/>
    <w:rsid w:val="00747E71"/>
    <w:rsid w:val="007822A7"/>
    <w:rsid w:val="008F4803"/>
    <w:rsid w:val="00B30E5E"/>
    <w:rsid w:val="00B661E8"/>
    <w:rsid w:val="00B834ED"/>
    <w:rsid w:val="00C83410"/>
    <w:rsid w:val="00C912E7"/>
    <w:rsid w:val="00CB2A3D"/>
    <w:rsid w:val="00CC489D"/>
    <w:rsid w:val="00DE145B"/>
    <w:rsid w:val="00E402E0"/>
    <w:rsid w:val="00E65C46"/>
    <w:rsid w:val="00E97BD4"/>
    <w:rsid w:val="00F07A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50831A"/>
  <w15:chartTrackingRefBased/>
  <w15:docId w15:val="{508267DD-975C-4B7E-A52E-B94A50841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7E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807EE"/>
    <w:pPr>
      <w:keepNext/>
      <w:keepLines/>
      <w:spacing w:before="240" w:after="0"/>
      <w:outlineLvl w:val="0"/>
    </w:pPr>
    <w:rPr>
      <w:rFonts w:eastAsiaTheme="majorEastAsia"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89D"/>
    <w:pPr>
      <w:ind w:left="720"/>
      <w:contextualSpacing/>
    </w:pPr>
  </w:style>
  <w:style w:type="character" w:customStyle="1" w:styleId="Heading1Char">
    <w:name w:val="Heading 1 Char"/>
    <w:basedOn w:val="DefaultParagraphFont"/>
    <w:link w:val="Heading1"/>
    <w:uiPriority w:val="9"/>
    <w:rsid w:val="002807EE"/>
    <w:rPr>
      <w:rFonts w:ascii="Times New Roman" w:eastAsiaTheme="majorEastAsia" w:hAnsi="Times New Roman" w:cstheme="majorBidi"/>
      <w:b/>
      <w:color w:val="2E74B5" w:themeColor="accent1" w:themeShade="BF"/>
      <w:sz w:val="32"/>
      <w:szCs w:val="32"/>
    </w:rPr>
  </w:style>
  <w:style w:type="paragraph" w:styleId="TOCHeading">
    <w:name w:val="TOC Heading"/>
    <w:basedOn w:val="Heading1"/>
    <w:next w:val="Normal"/>
    <w:uiPriority w:val="39"/>
    <w:unhideWhenUsed/>
    <w:qFormat/>
    <w:rsid w:val="00B30E5E"/>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B30E5E"/>
    <w:pPr>
      <w:spacing w:after="100"/>
    </w:pPr>
  </w:style>
  <w:style w:type="character" w:styleId="Hyperlink">
    <w:name w:val="Hyperlink"/>
    <w:basedOn w:val="DefaultParagraphFont"/>
    <w:uiPriority w:val="99"/>
    <w:unhideWhenUsed/>
    <w:rsid w:val="00B30E5E"/>
    <w:rPr>
      <w:color w:val="0563C1" w:themeColor="hyperlink"/>
      <w:u w:val="single"/>
    </w:rPr>
  </w:style>
  <w:style w:type="paragraph" w:styleId="Header">
    <w:name w:val="header"/>
    <w:basedOn w:val="Normal"/>
    <w:link w:val="HeaderChar"/>
    <w:uiPriority w:val="99"/>
    <w:unhideWhenUsed/>
    <w:rsid w:val="00B661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1E8"/>
    <w:rPr>
      <w:rFonts w:ascii="Times New Roman" w:hAnsi="Times New Roman"/>
      <w:sz w:val="24"/>
    </w:rPr>
  </w:style>
  <w:style w:type="paragraph" w:styleId="Footer">
    <w:name w:val="footer"/>
    <w:basedOn w:val="Normal"/>
    <w:link w:val="FooterChar"/>
    <w:uiPriority w:val="99"/>
    <w:unhideWhenUsed/>
    <w:rsid w:val="00B661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1E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65488">
      <w:bodyDiv w:val="1"/>
      <w:marLeft w:val="0"/>
      <w:marRight w:val="0"/>
      <w:marTop w:val="0"/>
      <w:marBottom w:val="0"/>
      <w:divBdr>
        <w:top w:val="none" w:sz="0" w:space="0" w:color="auto"/>
        <w:left w:val="none" w:sz="0" w:space="0" w:color="auto"/>
        <w:bottom w:val="none" w:sz="0" w:space="0" w:color="auto"/>
        <w:right w:val="none" w:sz="0" w:space="0" w:color="auto"/>
      </w:divBdr>
    </w:div>
    <w:div w:id="584193153">
      <w:bodyDiv w:val="1"/>
      <w:marLeft w:val="0"/>
      <w:marRight w:val="0"/>
      <w:marTop w:val="0"/>
      <w:marBottom w:val="0"/>
      <w:divBdr>
        <w:top w:val="none" w:sz="0" w:space="0" w:color="auto"/>
        <w:left w:val="none" w:sz="0" w:space="0" w:color="auto"/>
        <w:bottom w:val="none" w:sz="0" w:space="0" w:color="auto"/>
        <w:right w:val="none" w:sz="0" w:space="0" w:color="auto"/>
      </w:divBdr>
    </w:div>
    <w:div w:id="1635408609">
      <w:bodyDiv w:val="1"/>
      <w:marLeft w:val="0"/>
      <w:marRight w:val="0"/>
      <w:marTop w:val="0"/>
      <w:marBottom w:val="0"/>
      <w:divBdr>
        <w:top w:val="none" w:sz="0" w:space="0" w:color="auto"/>
        <w:left w:val="none" w:sz="0" w:space="0" w:color="auto"/>
        <w:bottom w:val="none" w:sz="0" w:space="0" w:color="auto"/>
        <w:right w:val="none" w:sz="0" w:space="0" w:color="auto"/>
      </w:divBdr>
    </w:div>
    <w:div w:id="1982230995">
      <w:bodyDiv w:val="1"/>
      <w:marLeft w:val="0"/>
      <w:marRight w:val="0"/>
      <w:marTop w:val="0"/>
      <w:marBottom w:val="0"/>
      <w:divBdr>
        <w:top w:val="none" w:sz="0" w:space="0" w:color="auto"/>
        <w:left w:val="none" w:sz="0" w:space="0" w:color="auto"/>
        <w:bottom w:val="none" w:sz="0" w:space="0" w:color="auto"/>
        <w:right w:val="none" w:sz="0" w:space="0" w:color="auto"/>
      </w:divBdr>
    </w:div>
    <w:div w:id="2103137240">
      <w:bodyDiv w:val="1"/>
      <w:marLeft w:val="0"/>
      <w:marRight w:val="0"/>
      <w:marTop w:val="0"/>
      <w:marBottom w:val="0"/>
      <w:divBdr>
        <w:top w:val="none" w:sz="0" w:space="0" w:color="auto"/>
        <w:left w:val="none" w:sz="0" w:space="0" w:color="auto"/>
        <w:bottom w:val="none" w:sz="0" w:space="0" w:color="auto"/>
        <w:right w:val="none" w:sz="0" w:space="0" w:color="auto"/>
      </w:divBdr>
      <w:divsChild>
        <w:div w:id="1826235951">
          <w:marLeft w:val="0"/>
          <w:marRight w:val="0"/>
          <w:marTop w:val="0"/>
          <w:marBottom w:val="0"/>
          <w:divBdr>
            <w:top w:val="none" w:sz="0" w:space="0" w:color="auto"/>
            <w:left w:val="none" w:sz="0" w:space="0" w:color="auto"/>
            <w:bottom w:val="none" w:sz="0" w:space="0" w:color="auto"/>
            <w:right w:val="none" w:sz="0" w:space="0" w:color="auto"/>
          </w:divBdr>
          <w:divsChild>
            <w:div w:id="1530874174">
              <w:marLeft w:val="0"/>
              <w:marRight w:val="0"/>
              <w:marTop w:val="0"/>
              <w:marBottom w:val="0"/>
              <w:divBdr>
                <w:top w:val="none" w:sz="0" w:space="0" w:color="auto"/>
                <w:left w:val="none" w:sz="0" w:space="0" w:color="auto"/>
                <w:bottom w:val="none" w:sz="0" w:space="0" w:color="auto"/>
                <w:right w:val="none" w:sz="0" w:space="0" w:color="auto"/>
              </w:divBdr>
              <w:divsChild>
                <w:div w:id="1109352280">
                  <w:marLeft w:val="0"/>
                  <w:marRight w:val="0"/>
                  <w:marTop w:val="0"/>
                  <w:marBottom w:val="0"/>
                  <w:divBdr>
                    <w:top w:val="none" w:sz="0" w:space="0" w:color="auto"/>
                    <w:left w:val="none" w:sz="0" w:space="0" w:color="auto"/>
                    <w:bottom w:val="none" w:sz="0" w:space="0" w:color="auto"/>
                    <w:right w:val="none" w:sz="0" w:space="0" w:color="auto"/>
                  </w:divBdr>
                  <w:divsChild>
                    <w:div w:id="570117564">
                      <w:marLeft w:val="0"/>
                      <w:marRight w:val="0"/>
                      <w:marTop w:val="0"/>
                      <w:marBottom w:val="0"/>
                      <w:divBdr>
                        <w:top w:val="none" w:sz="0" w:space="0" w:color="auto"/>
                        <w:left w:val="none" w:sz="0" w:space="0" w:color="auto"/>
                        <w:bottom w:val="none" w:sz="0" w:space="0" w:color="auto"/>
                        <w:right w:val="none" w:sz="0" w:space="0" w:color="auto"/>
                      </w:divBdr>
                      <w:divsChild>
                        <w:div w:id="78867061">
                          <w:marLeft w:val="0"/>
                          <w:marRight w:val="0"/>
                          <w:marTop w:val="0"/>
                          <w:marBottom w:val="0"/>
                          <w:divBdr>
                            <w:top w:val="none" w:sz="0" w:space="0" w:color="auto"/>
                            <w:left w:val="none" w:sz="0" w:space="0" w:color="auto"/>
                            <w:bottom w:val="none" w:sz="0" w:space="0" w:color="auto"/>
                            <w:right w:val="none" w:sz="0" w:space="0" w:color="auto"/>
                          </w:divBdr>
                          <w:divsChild>
                            <w:div w:id="124599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D57EA-509B-4AEF-9F02-7EF942E09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3001</Words>
  <Characters>17112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Victoria Fantodji (2024740)</cp:lastModifiedBy>
  <cp:revision>2</cp:revision>
  <dcterms:created xsi:type="dcterms:W3CDTF">2024-08-12T08:40:00Z</dcterms:created>
  <dcterms:modified xsi:type="dcterms:W3CDTF">2024-08-12T08:40:00Z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659d85a5-6f4c-490e-aa78-d68299ffa21a</vt:lpwstr>
  </property>
</Properties>
</file>