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232043670"/>
        <w:docPartObj>
          <w:docPartGallery w:val="Cover Pages"/>
          <w:docPartUnique/>
        </w:docPartObj>
      </w:sdtPr>
      <w:sdtEndPr>
        <w:rPr>
          <w:rFonts w:ascii="Aptos" w:eastAsia="Aptos" w:hAnsi="Aptos" w:cs="Times New Roman"/>
          <w:color w:val="000000"/>
          <w:kern w:val="2"/>
          <w:szCs w:val="24"/>
          <w:lang w:val="en" w:eastAsia="en"/>
          <w14:ligatures w14:val="standardContextual"/>
        </w:rPr>
      </w:sdtEndPr>
      <w:sdtContent>
        <w:p w14:paraId="6103EFC7" w14:textId="4CF316A1" w:rsidR="00A14D0C" w:rsidRDefault="00A14D0C">
          <w:pPr>
            <w:pStyle w:val="NoSpacing"/>
            <w:spacing w:before="1540" w:after="240"/>
            <w:jc w:val="center"/>
            <w:rPr>
              <w:color w:val="156082" w:themeColor="accent1"/>
            </w:rPr>
          </w:pPr>
          <w:r>
            <w:rPr>
              <w:noProof/>
              <w:color w:val="156082" w:themeColor="accent1"/>
            </w:rPr>
            <w:drawing>
              <wp:inline distT="0" distB="0" distL="0" distR="0" wp14:anchorId="15CF8ACE" wp14:editId="560CCC24">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F128666" w14:textId="5CB204FF" w:rsidR="00A14D0C" w:rsidRDefault="00A14D0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Written </w:t>
          </w:r>
          <w:proofErr w:type="gramStart"/>
          <w:r>
            <w:rPr>
              <w:rFonts w:asciiTheme="majorHAnsi" w:eastAsiaTheme="majorEastAsia" w:hAnsiTheme="majorHAnsi" w:cstheme="majorBidi"/>
              <w:caps/>
              <w:color w:val="156082" w:themeColor="accent1"/>
              <w:sz w:val="72"/>
              <w:szCs w:val="72"/>
            </w:rPr>
            <w:t>assignment :</w:t>
          </w:r>
          <w:proofErr w:type="gramEnd"/>
        </w:p>
        <w:p w14:paraId="41635264" w14:textId="0BC140FF" w:rsidR="00A14D0C" w:rsidRDefault="00A14D0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Component two</w:t>
          </w:r>
        </w:p>
        <w:p w14:paraId="1D1D9471" w14:textId="3B91590C" w:rsidR="00A14D0C" w:rsidRDefault="00A14D0C">
          <w:pPr>
            <w:pStyle w:val="NoSpacing"/>
            <w:jc w:val="center"/>
            <w:rPr>
              <w:color w:val="156082" w:themeColor="accent1"/>
              <w:sz w:val="28"/>
              <w:szCs w:val="28"/>
            </w:rPr>
          </w:pPr>
          <w:r>
            <w:rPr>
              <w:color w:val="156082" w:themeColor="accent1"/>
              <w:sz w:val="28"/>
              <w:szCs w:val="28"/>
            </w:rPr>
            <w:t>Andrea Berry (2506999)</w:t>
          </w:r>
        </w:p>
        <w:p w14:paraId="34BAE07B" w14:textId="66F6CAA5" w:rsidR="00A14D0C" w:rsidRDefault="00A14D0C">
          <w:pPr>
            <w:pStyle w:val="NoSpacing"/>
            <w:jc w:val="center"/>
            <w:rPr>
              <w:color w:val="156082" w:themeColor="accent1"/>
              <w:sz w:val="28"/>
              <w:szCs w:val="28"/>
            </w:rPr>
          </w:pPr>
          <w:r>
            <w:rPr>
              <w:color w:val="156082" w:themeColor="accent1"/>
              <w:sz w:val="28"/>
              <w:szCs w:val="28"/>
            </w:rPr>
            <w:t xml:space="preserve">Case Study: </w:t>
          </w:r>
          <w:proofErr w:type="spellStart"/>
          <w:r>
            <w:rPr>
              <w:color w:val="156082" w:themeColor="accent1"/>
              <w:sz w:val="28"/>
              <w:szCs w:val="28"/>
            </w:rPr>
            <w:t>Mrs</w:t>
          </w:r>
          <w:proofErr w:type="spellEnd"/>
          <w:r>
            <w:rPr>
              <w:color w:val="156082" w:themeColor="accent1"/>
              <w:sz w:val="28"/>
              <w:szCs w:val="28"/>
            </w:rPr>
            <w:t xml:space="preserve"> Thompson, </w:t>
          </w:r>
          <w:proofErr w:type="gramStart"/>
          <w:r>
            <w:rPr>
              <w:color w:val="156082" w:themeColor="accent1"/>
              <w:sz w:val="28"/>
              <w:szCs w:val="28"/>
            </w:rPr>
            <w:t>1500 word</w:t>
          </w:r>
          <w:proofErr w:type="gramEnd"/>
          <w:r>
            <w:rPr>
              <w:color w:val="156082" w:themeColor="accent1"/>
              <w:sz w:val="28"/>
              <w:szCs w:val="28"/>
            </w:rPr>
            <w:t xml:space="preserve"> essay</w:t>
          </w:r>
        </w:p>
        <w:p w14:paraId="3432F618" w14:textId="100E7FD3" w:rsidR="00A14D0C" w:rsidRDefault="00A14D0C">
          <w:pPr>
            <w:pStyle w:val="NoSpacing"/>
            <w:jc w:val="center"/>
            <w:rPr>
              <w:color w:val="156082" w:themeColor="accent1"/>
              <w:sz w:val="28"/>
              <w:szCs w:val="28"/>
            </w:rPr>
          </w:pPr>
          <w:r>
            <w:rPr>
              <w:color w:val="156082" w:themeColor="accent1"/>
              <w:sz w:val="28"/>
              <w:szCs w:val="28"/>
            </w:rPr>
            <w:t xml:space="preserve">Module code: LCHS4003 </w:t>
          </w:r>
          <w:r>
            <w:rPr>
              <w:color w:val="156082" w:themeColor="accent1"/>
              <w:sz w:val="28"/>
              <w:szCs w:val="28"/>
            </w:rPr>
            <w:br/>
            <w:t>Module Title: Introduction to Health and Social Care</w:t>
          </w:r>
        </w:p>
        <w:p w14:paraId="13CEAC7E" w14:textId="22CCA01A" w:rsidR="00A14D0C" w:rsidRDefault="00A14D0C">
          <w:pPr>
            <w:pStyle w:val="NoSpacing"/>
            <w:jc w:val="center"/>
            <w:rPr>
              <w:color w:val="156082" w:themeColor="accent1"/>
              <w:sz w:val="28"/>
              <w:szCs w:val="28"/>
            </w:rPr>
          </w:pPr>
          <w:r>
            <w:rPr>
              <w:color w:val="156082" w:themeColor="accent1"/>
              <w:sz w:val="28"/>
              <w:szCs w:val="28"/>
            </w:rPr>
            <w:t>Lecturer: Farah Islam</w:t>
          </w:r>
        </w:p>
        <w:p w14:paraId="166E8A3F" w14:textId="456CB108" w:rsidR="00A14D0C" w:rsidRDefault="00A14D0C">
          <w:pPr>
            <w:pStyle w:val="NoSpacing"/>
            <w:jc w:val="center"/>
            <w:rPr>
              <w:color w:val="156082" w:themeColor="accent1"/>
              <w:sz w:val="28"/>
              <w:szCs w:val="28"/>
            </w:rPr>
          </w:pPr>
          <w:r>
            <w:rPr>
              <w:color w:val="156082" w:themeColor="accent1"/>
              <w:sz w:val="28"/>
              <w:szCs w:val="28"/>
            </w:rPr>
            <w:t>University of Wales Trinity Saint David</w:t>
          </w:r>
        </w:p>
        <w:p w14:paraId="5A1E43E8" w14:textId="77777777" w:rsidR="00A14D0C" w:rsidRDefault="00A14D0C">
          <w:pPr>
            <w:pStyle w:val="NoSpacing"/>
            <w:jc w:val="center"/>
            <w:rPr>
              <w:color w:val="156082" w:themeColor="accent1"/>
              <w:sz w:val="28"/>
              <w:szCs w:val="28"/>
            </w:rPr>
          </w:pPr>
        </w:p>
        <w:p w14:paraId="0042980B" w14:textId="29EDCB3C" w:rsidR="00A14D0C" w:rsidRDefault="00A14D0C">
          <w:pPr>
            <w:pStyle w:val="NoSpacing"/>
            <w:spacing w:before="480"/>
            <w:jc w:val="center"/>
            <w:rPr>
              <w:color w:val="156082" w:themeColor="accent1"/>
            </w:rPr>
          </w:pPr>
          <w:r>
            <w:rPr>
              <w:noProof/>
              <w:color w:val="156082" w:themeColor="accent1"/>
            </w:rPr>
            <w:drawing>
              <wp:inline distT="0" distB="0" distL="0" distR="0" wp14:anchorId="01456A26" wp14:editId="229A8328">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0E4E33" w14:textId="3E0ADE28" w:rsidR="00A14D0C" w:rsidRDefault="00A14D0C">
          <w:pPr>
            <w:spacing w:after="160" w:line="278" w:lineRule="auto"/>
            <w:ind w:left="0" w:firstLine="0"/>
          </w:pPr>
          <w:r>
            <w:br w:type="page"/>
          </w:r>
        </w:p>
      </w:sdtContent>
    </w:sdt>
    <w:p w14:paraId="226F7B1D" w14:textId="60313014" w:rsidR="00A14D0C" w:rsidRDefault="00000000" w:rsidP="00A14D0C">
      <w:pPr>
        <w:spacing w:after="335" w:line="360" w:lineRule="auto"/>
        <w:ind w:left="-5"/>
      </w:pPr>
      <w:r>
        <w:rPr>
          <w:u w:val="single" w:color="000000"/>
        </w:rPr>
        <w:lastRenderedPageBreak/>
        <w:t xml:space="preserve">Case study: </w:t>
      </w:r>
      <w:proofErr w:type="spellStart"/>
      <w:r>
        <w:rPr>
          <w:u w:val="single" w:color="000000"/>
        </w:rPr>
        <w:t>Mrs</w:t>
      </w:r>
      <w:proofErr w:type="spellEnd"/>
      <w:r>
        <w:rPr>
          <w:u w:val="single" w:color="000000"/>
        </w:rPr>
        <w:t xml:space="preserve"> Thompson</w:t>
      </w:r>
      <w:r>
        <w:rPr>
          <w:sz w:val="24"/>
        </w:rPr>
        <w:t xml:space="preserve"> </w:t>
      </w:r>
    </w:p>
    <w:p w14:paraId="6A6C2BBD" w14:textId="273C793E" w:rsidR="0031204B" w:rsidRDefault="00000000" w:rsidP="00A14D0C">
      <w:pPr>
        <w:spacing w:after="335" w:line="360" w:lineRule="auto"/>
        <w:ind w:left="-5"/>
      </w:pPr>
      <w:r>
        <w:rPr>
          <w:u w:val="single" w:color="000000"/>
        </w:rPr>
        <w:t>Introduction</w:t>
      </w:r>
      <w:r>
        <w:t xml:space="preserve"> </w:t>
      </w:r>
      <w:r w:rsidR="00A14D0C">
        <w:br/>
      </w:r>
      <w:proofErr w:type="spellStart"/>
      <w:r>
        <w:t>Mrs</w:t>
      </w:r>
      <w:proofErr w:type="spellEnd"/>
      <w:r>
        <w:t xml:space="preserve"> Thompson is an 84-year-old woman who has recently been discharged from the hospital following treatment for pneumonia</w:t>
      </w:r>
      <w:r w:rsidR="00A14D0C">
        <w:t>.</w:t>
      </w:r>
      <w:r>
        <w:t xml:space="preserve"> </w:t>
      </w:r>
      <w:r w:rsidR="00A14D0C">
        <w:t>S</w:t>
      </w:r>
      <w:r>
        <w:t xml:space="preserve">he lives alone in sheltered accommodation and receives domiciliary care twice daily. She suffers mild dementia which affects her memory, leading to missed medication and an increase in confusion. Further concerns have been raised after she was found outdoors without the appropriate clothing for cold weather, leading to a review by the local council. These circumstances highlight the importance of effective communication, accurate administration and record keeping as well as collaborative working between health and social care professionals. This report examines the significance of these areas within the </w:t>
      </w:r>
      <w:r>
        <w:rPr>
          <w:rFonts w:cs="Aptos"/>
        </w:rPr>
        <w:t xml:space="preserve">context of </w:t>
      </w:r>
      <w:proofErr w:type="spellStart"/>
      <w:r>
        <w:rPr>
          <w:rFonts w:cs="Aptos"/>
        </w:rPr>
        <w:t>Mrs</w:t>
      </w:r>
      <w:proofErr w:type="spellEnd"/>
      <w:r>
        <w:rPr>
          <w:rFonts w:cs="Aptos"/>
        </w:rPr>
        <w:t xml:space="preserve"> Thompson’s care, drawing on the </w:t>
      </w:r>
      <w:r>
        <w:t xml:space="preserve">relevant legislation and professional practice principals. </w:t>
      </w:r>
    </w:p>
    <w:p w14:paraId="52D6DA2F" w14:textId="77777777" w:rsidR="0031204B" w:rsidRDefault="00000000" w:rsidP="00A14D0C">
      <w:pPr>
        <w:spacing w:after="273" w:line="360" w:lineRule="auto"/>
        <w:ind w:left="-5"/>
      </w:pPr>
      <w:r>
        <w:rPr>
          <w:u w:val="single" w:color="000000"/>
        </w:rPr>
        <w:t>The Importance of Effective Communication</w:t>
      </w:r>
      <w:r>
        <w:t xml:space="preserve"> </w:t>
      </w:r>
    </w:p>
    <w:p w14:paraId="177D25D4" w14:textId="77777777" w:rsidR="0031204B" w:rsidRDefault="00000000" w:rsidP="00A14D0C">
      <w:pPr>
        <w:spacing w:line="360" w:lineRule="auto"/>
        <w:ind w:left="-5"/>
      </w:pPr>
      <w:r>
        <w:t>Communication is essential within the health and social care sector for professionals to be able to carry out and administer safe, person-</w:t>
      </w:r>
      <w:proofErr w:type="spellStart"/>
      <w:r>
        <w:t>centred</w:t>
      </w:r>
      <w:proofErr w:type="spellEnd"/>
      <w:r>
        <w:t xml:space="preserve"> care. In the case of </w:t>
      </w:r>
      <w:proofErr w:type="spellStart"/>
      <w:r>
        <w:t>Mrs</w:t>
      </w:r>
      <w:proofErr w:type="spellEnd"/>
      <w:r>
        <w:t xml:space="preserve"> Thompson communication is significantly important due to her mild dementia having the possibility to affect her ability to understand, remember and act on information relating to her personal health and wellbeing. Clear communication can immensely help to reduce the risk of medication errors, help to improve her understanding of the care plans set in place and support her independence. Communication enabled medical professionals to identify changes in her condition and make sure to respond appropriately; this has the potential to have a major positive impact on </w:t>
      </w:r>
      <w:proofErr w:type="spellStart"/>
      <w:r>
        <w:t>Mrs</w:t>
      </w:r>
      <w:proofErr w:type="spellEnd"/>
      <w:r>
        <w:t xml:space="preserve"> Thompson's quality of life. </w:t>
      </w:r>
    </w:p>
    <w:p w14:paraId="3720E6F2" w14:textId="42B7D984" w:rsidR="0031204B" w:rsidRDefault="00A14D0C" w:rsidP="00A14D0C">
      <w:pPr>
        <w:spacing w:line="360" w:lineRule="auto"/>
        <w:ind w:left="-5"/>
      </w:pPr>
      <w:r>
        <w:t>To</w:t>
      </w:r>
      <w:r w:rsidR="00000000">
        <w:t xml:space="preserve"> communicate with </w:t>
      </w:r>
      <w:proofErr w:type="spellStart"/>
      <w:r w:rsidR="00000000">
        <w:t>Mrs</w:t>
      </w:r>
      <w:proofErr w:type="spellEnd"/>
      <w:r w:rsidR="00000000">
        <w:t xml:space="preserve"> Thompson professionals should make sure to use clear and simple language, avoiding any unnecessary complicated terminology which may provoke confusion, distress or anxiety and information should be provided in manageable stages. As stated by NHS England, "patients should be supported to understand their care, treatment and support options" (NHS England, 2023). Allowing for additional time for responses and checking understanding can help overcome communication difficulties associated with dementia as well as keep watch of </w:t>
      </w:r>
      <w:proofErr w:type="spellStart"/>
      <w:r w:rsidR="00000000">
        <w:t>Mrs</w:t>
      </w:r>
      <w:proofErr w:type="spellEnd"/>
      <w:r w:rsidR="00000000">
        <w:t xml:space="preserve"> Thompson's condition and both mental and physical health. Active listening and careful documentation are also essential as it demonstrates respect and enables professionals to identify concerns that </w:t>
      </w:r>
      <w:proofErr w:type="spellStart"/>
      <w:r w:rsidR="00000000">
        <w:t>Mrs</w:t>
      </w:r>
      <w:proofErr w:type="spellEnd"/>
      <w:r w:rsidR="00000000">
        <w:t xml:space="preserve"> Thompson may have regarding her medication, health, or daily living activities. </w:t>
      </w:r>
    </w:p>
    <w:p w14:paraId="04489CD9" w14:textId="77777777" w:rsidR="0031204B" w:rsidRDefault="00000000" w:rsidP="00A14D0C">
      <w:pPr>
        <w:spacing w:line="360" w:lineRule="auto"/>
        <w:ind w:left="-5"/>
      </w:pPr>
      <w:r>
        <w:lastRenderedPageBreak/>
        <w:t xml:space="preserve">The communication between healthcare professionals and </w:t>
      </w:r>
      <w:proofErr w:type="spellStart"/>
      <w:r>
        <w:t>Mrs</w:t>
      </w:r>
      <w:proofErr w:type="spellEnd"/>
      <w:r>
        <w:t xml:space="preserve"> Thompson's family members is extremely valuable. Family members have the potential to give healthcare professionals valuable insight into </w:t>
      </w:r>
      <w:proofErr w:type="spellStart"/>
      <w:r>
        <w:t>Mrs</w:t>
      </w:r>
      <w:proofErr w:type="spellEnd"/>
      <w:r>
        <w:t xml:space="preserve"> Thompson's condition which would otherwise be hard to come by due to her mild dementia. The active involvement of family members can greatly support the continuity and flow of car as well as contribute towards informed decision making. This communication is extremely supported by NICE (2018), stating patients should always have a say in their care with their family members being involved, and they should work closely alongside the care teams </w:t>
      </w:r>
      <w:proofErr w:type="gramStart"/>
      <w:r>
        <w:t>in order for</w:t>
      </w:r>
      <w:proofErr w:type="gramEnd"/>
      <w:r>
        <w:t xml:space="preserve"> needs to be known and met. </w:t>
      </w:r>
    </w:p>
    <w:p w14:paraId="70B5D685" w14:textId="77777777" w:rsidR="0031204B" w:rsidRDefault="00000000" w:rsidP="00A14D0C">
      <w:pPr>
        <w:spacing w:line="360" w:lineRule="auto"/>
        <w:ind w:left="-5"/>
      </w:pPr>
      <w:r>
        <w:t xml:space="preserve">The Equality Act (2010) protects individuals from discrimination based on protected characteristics including age and disability. Dementia has been considered a disability under the act if it is shown to have a significant long-term impact on daily activities and overall day-today functioning. Healthcare professionals should therefore make reasonable adjustments to communication methods to ensure </w:t>
      </w:r>
      <w:proofErr w:type="spellStart"/>
      <w:r>
        <w:t>Mrs</w:t>
      </w:r>
      <w:proofErr w:type="spellEnd"/>
      <w:r>
        <w:t xml:space="preserve"> Thompson can easily and effectively access health and social care information and services. These may include written reminders, medication prompts, set alarms or simplified explanations which they may ask her to repeat back to them for confirmation of understanding. </w:t>
      </w:r>
    </w:p>
    <w:p w14:paraId="0AF3942C" w14:textId="77777777" w:rsidR="0031204B" w:rsidRDefault="00000000" w:rsidP="00A14D0C">
      <w:pPr>
        <w:spacing w:line="360" w:lineRule="auto"/>
        <w:ind w:left="-5"/>
      </w:pPr>
      <w:r>
        <w:rPr>
          <w:rFonts w:cs="Aptos"/>
        </w:rPr>
        <w:t xml:space="preserve">Argyle’s Communication Cycle identifies communication as a process involving the formation </w:t>
      </w:r>
      <w:r>
        <w:t xml:space="preserve">of an idea, encoding a message, transmitting it, receiving it, decoding it, and providing feedback. Within the context of </w:t>
      </w:r>
      <w:proofErr w:type="spellStart"/>
      <w:r>
        <w:t>Mrs</w:t>
      </w:r>
      <w:proofErr w:type="spellEnd"/>
      <w:r>
        <w:t xml:space="preserve"> Thompson's situation, a care worker explaining medication instructions should not simply deliver information but should also seek feedback to confirm her understanding. For example, asking </w:t>
      </w:r>
      <w:proofErr w:type="spellStart"/>
      <w:r>
        <w:t>Mrs</w:t>
      </w:r>
      <w:proofErr w:type="spellEnd"/>
      <w:r>
        <w:t xml:space="preserve"> Thompson to repeat key instructions back to them after it has been said can help identify misunderstandings and reduce the likelihood of missed medication windows. The communication cycle therefore supports safer and more effective care delivery as well as </w:t>
      </w:r>
      <w:proofErr w:type="spellStart"/>
      <w:r>
        <w:t>Mrs</w:t>
      </w:r>
      <w:proofErr w:type="spellEnd"/>
      <w:r>
        <w:t xml:space="preserve"> Thompson's autonomy and independence, positively impacting the quality of life. </w:t>
      </w:r>
    </w:p>
    <w:p w14:paraId="3D880605" w14:textId="77777777" w:rsidR="0031204B" w:rsidRDefault="00000000" w:rsidP="00A14D0C">
      <w:pPr>
        <w:spacing w:after="273" w:line="360" w:lineRule="auto"/>
        <w:ind w:left="-5"/>
      </w:pPr>
      <w:r>
        <w:rPr>
          <w:u w:val="single" w:color="000000"/>
        </w:rPr>
        <w:t>The Importance of Administrative Skills and Record Keeping</w:t>
      </w:r>
      <w:r>
        <w:t xml:space="preserve"> </w:t>
      </w:r>
    </w:p>
    <w:p w14:paraId="265BC3D6" w14:textId="77777777" w:rsidR="0031204B" w:rsidRDefault="00000000" w:rsidP="00A14D0C">
      <w:pPr>
        <w:spacing w:line="360" w:lineRule="auto"/>
        <w:ind w:left="-5"/>
      </w:pPr>
      <w:r>
        <w:t xml:space="preserve">Good administrative practice is essential in maintaining a safe, effective and accountable health and social care service. Accurate documentation and record keeping ensures health and social care professionals have access to the most current and recent information, this in turn supports the continuity of care as well as providing evidence of decisions made and </w:t>
      </w:r>
      <w:r>
        <w:rPr>
          <w:rFonts w:cs="Aptos"/>
        </w:rPr>
        <w:t xml:space="preserve">interventions needed. Without the clear and proper record keeping of </w:t>
      </w:r>
      <w:proofErr w:type="spellStart"/>
      <w:r>
        <w:rPr>
          <w:rFonts w:cs="Aptos"/>
        </w:rPr>
        <w:t>Mrs</w:t>
      </w:r>
      <w:proofErr w:type="spellEnd"/>
      <w:r>
        <w:rPr>
          <w:rFonts w:cs="Aptos"/>
        </w:rPr>
        <w:t xml:space="preserve"> Thompson’s case, </w:t>
      </w:r>
      <w:r>
        <w:t xml:space="preserve">any important changes could have been overlooked, having the potential to place her health at a much greater risk. </w:t>
      </w:r>
    </w:p>
    <w:p w14:paraId="2974B04D" w14:textId="50AB503D" w:rsidR="0031204B" w:rsidRDefault="00000000" w:rsidP="00A14D0C">
      <w:pPr>
        <w:spacing w:after="133" w:line="360" w:lineRule="auto"/>
        <w:ind w:left="-5"/>
      </w:pPr>
      <w:r>
        <w:lastRenderedPageBreak/>
        <w:t xml:space="preserve">According to </w:t>
      </w:r>
      <w:proofErr w:type="gramStart"/>
      <w:r>
        <w:t>High Speed</w:t>
      </w:r>
      <w:proofErr w:type="gramEnd"/>
      <w:r>
        <w:t xml:space="preserve"> Training (2025), accurate record keeping is extremely important and beneficial to everyone within the health and social care sector, including the users of the service, the care providers, health and social care employees and the health and social care </w:t>
      </w:r>
      <w:r w:rsidR="00A14D0C">
        <w:t>system</w:t>
      </w:r>
      <w:r>
        <w:t xml:space="preserve">. Making sure the records kept are good quality is an essential part of </w:t>
      </w:r>
      <w:r>
        <w:rPr>
          <w:rFonts w:cs="Aptos"/>
        </w:rPr>
        <w:t>ensuring the people using the health and social care services receive good outcomes, it’s</w:t>
      </w:r>
      <w:r>
        <w:t xml:space="preserve"> an extremely important part of providing high quality and safe care to those who need it. </w:t>
      </w:r>
      <w:r>
        <w:rPr>
          <w:rFonts w:cs="Aptos"/>
        </w:rPr>
        <w:t>“</w:t>
      </w:r>
      <w:r>
        <w:t xml:space="preserve">It will enhance your practice and the support you can offer people if you can make good recording a </w:t>
      </w:r>
      <w:r>
        <w:rPr>
          <w:rFonts w:cs="Aptos"/>
        </w:rPr>
        <w:t>central part of your work.” (Scie, 2021)</w:t>
      </w:r>
      <w:r>
        <w:rPr>
          <w:sz w:val="24"/>
        </w:rPr>
        <w:t xml:space="preserve"> </w:t>
      </w:r>
    </w:p>
    <w:p w14:paraId="7C9C3F5A" w14:textId="77777777" w:rsidR="0031204B" w:rsidRDefault="00000000" w:rsidP="00A14D0C">
      <w:pPr>
        <w:spacing w:line="360" w:lineRule="auto"/>
        <w:ind w:left="-5"/>
      </w:pPr>
      <w:r>
        <w:t xml:space="preserve">Record keeping allows information to be communicated to the right people at the right time and ensures decisions relevant to the care of the individual can be made based on what has been observed. For documentation to be as effective as possible they should be updated as soon as possible after an event has occurred, including a date, time if known and signatures.  </w:t>
      </w:r>
    </w:p>
    <w:p w14:paraId="1137678B" w14:textId="77777777" w:rsidR="0031204B" w:rsidRDefault="00000000" w:rsidP="00A14D0C">
      <w:pPr>
        <w:spacing w:line="360" w:lineRule="auto"/>
        <w:ind w:left="-5"/>
      </w:pPr>
      <w:r>
        <w:t xml:space="preserve">Keeping records up to date would mean different professionals would be able to monitor </w:t>
      </w:r>
      <w:proofErr w:type="spellStart"/>
      <w:r>
        <w:t>Mrs</w:t>
      </w:r>
      <w:proofErr w:type="spellEnd"/>
      <w:r>
        <w:t xml:space="preserve"> </w:t>
      </w:r>
      <w:r>
        <w:rPr>
          <w:rFonts w:cs="Aptos"/>
        </w:rPr>
        <w:t>Thompson’s condition, identify any patterns of deterioration</w:t>
      </w:r>
      <w:r>
        <w:t xml:space="preserve"> and make informed and clinical </w:t>
      </w:r>
      <w:r>
        <w:rPr>
          <w:rFonts w:cs="Aptos"/>
        </w:rPr>
        <w:t xml:space="preserve">decisions based on the records. Documenting </w:t>
      </w:r>
      <w:proofErr w:type="spellStart"/>
      <w:r>
        <w:rPr>
          <w:rFonts w:cs="Aptos"/>
        </w:rPr>
        <w:t>Mrs</w:t>
      </w:r>
      <w:proofErr w:type="spellEnd"/>
      <w:r>
        <w:rPr>
          <w:rFonts w:cs="Aptos"/>
        </w:rPr>
        <w:t xml:space="preserve"> Thompson’s two days of missed medication </w:t>
      </w:r>
      <w:r>
        <w:t xml:space="preserve">and increased confusion ensures that all health and social care professionals are made aware of the changes in her condition and are therefore able to response appropriately, </w:t>
      </w:r>
      <w:proofErr w:type="spellStart"/>
      <w:r>
        <w:t>recognising</w:t>
      </w:r>
      <w:proofErr w:type="spellEnd"/>
      <w:r>
        <w:t xml:space="preserve"> the link between her non-adherence and increased confusion. Additionally, the documentation of the incident in which she was found outside without clothing appropriate to the weather ensured that any safeguarding concerns could be appropriately addressed. </w:t>
      </w:r>
    </w:p>
    <w:p w14:paraId="158BFF1D" w14:textId="77777777" w:rsidR="0031204B" w:rsidRDefault="00000000" w:rsidP="00A14D0C">
      <w:pPr>
        <w:spacing w:line="360" w:lineRule="auto"/>
        <w:ind w:left="-5"/>
      </w:pPr>
      <w:r>
        <w:t xml:space="preserve">The Data Protection Act 2018 alongside the UK General Data Protection Regulation (UK GDPR) establish the legal framework and requirements for the collection, storage and sharing of personal information. Health and social care </w:t>
      </w:r>
      <w:proofErr w:type="spellStart"/>
      <w:r>
        <w:t>organisations</w:t>
      </w:r>
      <w:proofErr w:type="spellEnd"/>
      <w:r>
        <w:t xml:space="preserve"> and services must ensure that the personal data acquired are processed lawfully, fairly and transparently. Information should only be collected for legitimate </w:t>
      </w:r>
      <w:proofErr w:type="gramStart"/>
      <w:r>
        <w:t>purposes</w:t>
      </w:r>
      <w:proofErr w:type="gramEnd"/>
      <w:r>
        <w:t xml:space="preserve"> when necessary, stored away securely, kept accurate and shared only with the </w:t>
      </w:r>
      <w:proofErr w:type="spellStart"/>
      <w:r>
        <w:t>authorised</w:t>
      </w:r>
      <w:proofErr w:type="spellEnd"/>
      <w:r>
        <w:t xml:space="preserve"> individuals who require access to this information to provide care and support. Maintaining confidentiality is essential in protecting </w:t>
      </w:r>
      <w:proofErr w:type="spellStart"/>
      <w:r>
        <w:t>Mrs</w:t>
      </w:r>
      <w:proofErr w:type="spellEnd"/>
      <w:r>
        <w:t xml:space="preserve"> </w:t>
      </w:r>
      <w:r>
        <w:rPr>
          <w:rFonts w:cs="Aptos"/>
        </w:rPr>
        <w:t xml:space="preserve">Thompson’s </w:t>
      </w:r>
      <w:r>
        <w:t xml:space="preserve">privacy regarding her health, medication and safeguarding concerns whilst ensuring that the appropriate professionals receive the relevant information necessary to deliver safe care. </w:t>
      </w:r>
    </w:p>
    <w:p w14:paraId="36C6B72E" w14:textId="77777777" w:rsidR="0031204B" w:rsidRDefault="00000000" w:rsidP="00A14D0C">
      <w:pPr>
        <w:spacing w:line="360" w:lineRule="auto"/>
        <w:ind w:left="-5"/>
      </w:pPr>
      <w:r>
        <w:t>The Care Act 2014 also provides an important framework for practice, emphasis is placed on safeguarding adults around risk and promoting wellbeing through coordinated assessment, support and person-</w:t>
      </w:r>
      <w:proofErr w:type="spellStart"/>
      <w:r>
        <w:t>centred</w:t>
      </w:r>
      <w:proofErr w:type="spellEnd"/>
      <w:r>
        <w:t xml:space="preserve"> care. The incident in which </w:t>
      </w:r>
      <w:proofErr w:type="spellStart"/>
      <w:r>
        <w:t>Mrs</w:t>
      </w:r>
      <w:proofErr w:type="spellEnd"/>
      <w:r>
        <w:t xml:space="preserve"> Thompson had been found outside </w:t>
      </w:r>
      <w:r>
        <w:lastRenderedPageBreak/>
        <w:t xml:space="preserve">without appropriate clothing will have raised safeguarding concerns due to suggesting that her health and safety may have been at risk. </w:t>
      </w:r>
    </w:p>
    <w:p w14:paraId="006E29AB" w14:textId="77777777" w:rsidR="0031204B" w:rsidRDefault="00000000" w:rsidP="00A14D0C">
      <w:pPr>
        <w:spacing w:line="360" w:lineRule="auto"/>
        <w:ind w:left="-5"/>
      </w:pPr>
      <w:r>
        <w:t xml:space="preserve">The incident would require accurate documentation, timely reporting and appropriate referral procedures, therefore accurate records providing evidence of professionals acting responsibly and following safeguarding procedures are essential to support safeguarding investigations and demonstration of the appropriate actions taking place. Poor documentation and administration could result in medication errors, duplicated interventions or failure to identify deterioration, potentially placing </w:t>
      </w:r>
      <w:proofErr w:type="spellStart"/>
      <w:r>
        <w:t>Mrs</w:t>
      </w:r>
      <w:proofErr w:type="spellEnd"/>
      <w:r>
        <w:t xml:space="preserve"> Thompson at greater risk. </w:t>
      </w:r>
    </w:p>
    <w:p w14:paraId="1D414350" w14:textId="77777777" w:rsidR="0031204B" w:rsidRDefault="00000000" w:rsidP="00A14D0C">
      <w:pPr>
        <w:spacing w:after="273" w:line="360" w:lineRule="auto"/>
        <w:ind w:left="-5"/>
      </w:pPr>
      <w:r>
        <w:rPr>
          <w:u w:val="single" w:color="000000"/>
        </w:rPr>
        <w:t>Collaborative Working</w:t>
      </w:r>
      <w:r>
        <w:t xml:space="preserve"> </w:t>
      </w:r>
    </w:p>
    <w:p w14:paraId="6BC024C2" w14:textId="77777777" w:rsidR="0031204B" w:rsidRDefault="00000000" w:rsidP="00A14D0C">
      <w:pPr>
        <w:spacing w:line="360" w:lineRule="auto"/>
        <w:ind w:left="-5"/>
      </w:pPr>
      <w:r>
        <w:t xml:space="preserve">Collaborative working is essential when supporting individuals with complex physical, cognitive and social care needs such as </w:t>
      </w:r>
      <w:proofErr w:type="spellStart"/>
      <w:r>
        <w:t>Mrs</w:t>
      </w:r>
      <w:proofErr w:type="spellEnd"/>
      <w:r>
        <w:t xml:space="preserve"> Thompson. Her care involves multiple professionals including her GP. Community nurses, domiciliary care workers pharmacists and local authority safeguarding team staff. Each professional will contribute specialist knowledge which would support her needs. </w:t>
      </w:r>
    </w:p>
    <w:p w14:paraId="454F23DE" w14:textId="77777777" w:rsidR="0031204B" w:rsidRDefault="00000000" w:rsidP="00A14D0C">
      <w:pPr>
        <w:spacing w:line="360" w:lineRule="auto"/>
        <w:ind w:left="-5"/>
      </w:pPr>
      <w:r>
        <w:t xml:space="preserve">Effective collaboration can be promoted through regular communication, shared care plans and clearly defined professional roles. Domiciliary care workers may identify and report concerns regarding medication adherence by observing her day-to-day functioning where </w:t>
      </w:r>
      <w:proofErr w:type="spellStart"/>
      <w:r>
        <w:t>Mrs</w:t>
      </w:r>
      <w:proofErr w:type="spellEnd"/>
      <w:r>
        <w:t xml:space="preserve"> </w:t>
      </w:r>
      <w:r>
        <w:rPr>
          <w:rFonts w:cs="Aptos"/>
        </w:rPr>
        <w:t xml:space="preserve">Thompson’s GP or pharmacist could then review her medication and investigate whether </w:t>
      </w:r>
      <w:r>
        <w:t xml:space="preserve">changes in her treatment may improve the adherence. Community nurses will monitor her recovery from pneumonia, assess her physical health and identify any signs of deterioration. A social care and safeguarding professional can assess the risks associated with independent living before coordinating any necessary support services to be </w:t>
      </w:r>
      <w:proofErr w:type="spellStart"/>
      <w:r>
        <w:t>organised</w:t>
      </w:r>
      <w:proofErr w:type="spellEnd"/>
      <w:r>
        <w:t xml:space="preserve">. </w:t>
      </w:r>
    </w:p>
    <w:p w14:paraId="081FE7C6" w14:textId="77777777" w:rsidR="0031204B" w:rsidRDefault="00000000" w:rsidP="00A14D0C">
      <w:pPr>
        <w:spacing w:after="128" w:line="360" w:lineRule="auto"/>
        <w:ind w:left="-5"/>
      </w:pPr>
      <w:r>
        <w:t xml:space="preserve">Regular multidisciplinary meetings, shared care plans and accurate documentation enable professionals to exchange the relevant information and coordinate interventions for </w:t>
      </w:r>
      <w:proofErr w:type="spellStart"/>
      <w:r>
        <w:t>Mrs</w:t>
      </w:r>
      <w:proofErr w:type="spellEnd"/>
      <w:r>
        <w:t xml:space="preserve"> Thompson, these approaches mean a significantly reduced risk of duplication, improve decision making and ensure that. </w:t>
      </w:r>
      <w:proofErr w:type="spellStart"/>
      <w:r>
        <w:t>Mrs</w:t>
      </w:r>
      <w:proofErr w:type="spellEnd"/>
      <w:r>
        <w:t xml:space="preserve"> Thompson receives consistent, person-</w:t>
      </w:r>
      <w:proofErr w:type="spellStart"/>
      <w:r>
        <w:t>centred</w:t>
      </w:r>
      <w:proofErr w:type="spellEnd"/>
      <w:r>
        <w:t xml:space="preserve"> care. However, multi-agency work can present challenges. Differences in </w:t>
      </w:r>
      <w:proofErr w:type="spellStart"/>
      <w:r>
        <w:t>organisational</w:t>
      </w:r>
      <w:proofErr w:type="spellEnd"/>
      <w:r>
        <w:t xml:space="preserve"> priorities, communication failures, delays in information sharing and uncertainty regarding professional responsibilities may affect the continuity of the care given.</w:t>
      </w:r>
      <w:r>
        <w:rPr>
          <w:sz w:val="24"/>
        </w:rPr>
        <w:t xml:space="preserve"> </w:t>
      </w:r>
    </w:p>
    <w:p w14:paraId="4B0B4E87" w14:textId="77777777" w:rsidR="0031204B" w:rsidRDefault="00000000" w:rsidP="00A14D0C">
      <w:pPr>
        <w:spacing w:line="360" w:lineRule="auto"/>
        <w:ind w:left="-5"/>
      </w:pPr>
      <w:r>
        <w:t xml:space="preserve">These challenges can be overcome through the establishment of effective communication channels in which different health and social care professionals are able to coordinate </w:t>
      </w:r>
      <w:r>
        <w:lastRenderedPageBreak/>
        <w:t xml:space="preserve">interventions, reduce the chance odds of duplications and ensure </w:t>
      </w:r>
      <w:proofErr w:type="spellStart"/>
      <w:r>
        <w:t>Mrs</w:t>
      </w:r>
      <w:proofErr w:type="spellEnd"/>
      <w:r>
        <w:t xml:space="preserve"> Thompson receives the most consistent, continuous person-</w:t>
      </w:r>
      <w:proofErr w:type="spellStart"/>
      <w:r>
        <w:t>centred</w:t>
      </w:r>
      <w:proofErr w:type="spellEnd"/>
      <w:r>
        <w:t xml:space="preserve"> care.</w:t>
      </w:r>
      <w:r>
        <w:rPr>
          <w:sz w:val="24"/>
        </w:rPr>
        <w:t xml:space="preserve"> </w:t>
      </w:r>
    </w:p>
    <w:p w14:paraId="0BD06258" w14:textId="77777777" w:rsidR="0031204B" w:rsidRDefault="00000000" w:rsidP="00A14D0C">
      <w:pPr>
        <w:spacing w:after="273" w:line="360" w:lineRule="auto"/>
        <w:ind w:left="-5"/>
      </w:pPr>
      <w:r>
        <w:rPr>
          <w:u w:val="single" w:color="000000"/>
        </w:rPr>
        <w:t>Conclusion</w:t>
      </w:r>
      <w:r>
        <w:t xml:space="preserve"> </w:t>
      </w:r>
    </w:p>
    <w:p w14:paraId="54598084" w14:textId="77777777" w:rsidR="0031204B" w:rsidRDefault="00000000" w:rsidP="00A14D0C">
      <w:pPr>
        <w:spacing w:after="0" w:line="360" w:lineRule="auto"/>
        <w:ind w:left="-5"/>
      </w:pPr>
      <w:r>
        <w:t xml:space="preserve">The case of </w:t>
      </w:r>
      <w:proofErr w:type="spellStart"/>
      <w:r>
        <w:t>Mrs</w:t>
      </w:r>
      <w:proofErr w:type="spellEnd"/>
      <w:r>
        <w:t xml:space="preserve"> Thompson demonstrates the importance of effective communication between the different healthcare professionals, the individuals and service users, the importance of accurate administration practice and record keeping as well as collaborative working to deliver high-quality health and social care. </w:t>
      </w:r>
      <w:r>
        <w:rPr>
          <w:sz w:val="24"/>
        </w:rPr>
        <w:t xml:space="preserve"> </w:t>
      </w:r>
    </w:p>
    <w:p w14:paraId="08A42ACA" w14:textId="77777777" w:rsidR="0031204B" w:rsidRDefault="00000000" w:rsidP="00A14D0C">
      <w:pPr>
        <w:spacing w:line="360" w:lineRule="auto"/>
        <w:ind w:left="-5"/>
      </w:pPr>
      <w:r>
        <w:t>Effective communication supports clear understanding and person-</w:t>
      </w:r>
      <w:proofErr w:type="spellStart"/>
      <w:r>
        <w:t>centred</w:t>
      </w:r>
      <w:proofErr w:type="spellEnd"/>
      <w:r>
        <w:t xml:space="preserve"> care whilst helping to reduce the risks associated with dementia and medication management. Good administrative skills and accurate record keeping ensure that the correct important information is documented and shared appropriately and carefully to support safe decision making which supports the legal requirements of the Data Protection Act 2018. Collaborative working enables professionals from different sectors to coordinate care and address the complex needs as effectively and efficiently as possible. Together these approaches contribute to </w:t>
      </w:r>
      <w:proofErr w:type="spellStart"/>
      <w:r>
        <w:t>Mrs</w:t>
      </w:r>
      <w:proofErr w:type="spellEnd"/>
      <w:r>
        <w:t xml:space="preserve"> </w:t>
      </w:r>
      <w:r>
        <w:rPr>
          <w:rFonts w:cs="Aptos"/>
        </w:rPr>
        <w:t>Thompson’s improved safety, wellbeing, continuity of care and quality of life.</w:t>
      </w:r>
      <w:r>
        <w:t xml:space="preserve"> </w:t>
      </w:r>
    </w:p>
    <w:p w14:paraId="1D0A2AE7" w14:textId="77777777" w:rsidR="0031204B" w:rsidRDefault="00000000" w:rsidP="00A14D0C">
      <w:pPr>
        <w:spacing w:after="275" w:line="360" w:lineRule="auto"/>
        <w:ind w:left="0" w:firstLine="0"/>
      </w:pPr>
      <w:r>
        <w:rPr>
          <w:color w:val="303030"/>
        </w:rPr>
        <w:t xml:space="preserve"> </w:t>
      </w:r>
    </w:p>
    <w:p w14:paraId="2A1C9724" w14:textId="77777777" w:rsidR="0031204B" w:rsidRDefault="00000000" w:rsidP="00A14D0C">
      <w:pPr>
        <w:spacing w:after="275" w:line="360" w:lineRule="auto"/>
        <w:ind w:left="0" w:firstLine="0"/>
      </w:pPr>
      <w:r>
        <w:rPr>
          <w:color w:val="303030"/>
          <w:u w:val="single" w:color="303030"/>
        </w:rPr>
        <w:t>REFERENCE LIST:</w:t>
      </w:r>
      <w:r>
        <w:rPr>
          <w:color w:val="303030"/>
        </w:rPr>
        <w:t xml:space="preserve"> </w:t>
      </w:r>
    </w:p>
    <w:p w14:paraId="25DF14E6" w14:textId="77777777" w:rsidR="0031204B" w:rsidRDefault="00000000" w:rsidP="00A14D0C">
      <w:pPr>
        <w:spacing w:after="271" w:line="360" w:lineRule="auto"/>
        <w:ind w:left="0" w:firstLine="0"/>
      </w:pPr>
      <w:r>
        <w:rPr>
          <w:color w:val="303030"/>
        </w:rPr>
        <w:t xml:space="preserve">Argyle, M. (1972) </w:t>
      </w:r>
      <w:r>
        <w:rPr>
          <w:rFonts w:cs="Aptos"/>
          <w:i/>
          <w:color w:val="303030"/>
        </w:rPr>
        <w:t xml:space="preserve">The Psychology of Interpersonal </w:t>
      </w:r>
      <w:proofErr w:type="spellStart"/>
      <w:r>
        <w:rPr>
          <w:rFonts w:cs="Aptos"/>
          <w:i/>
          <w:color w:val="303030"/>
        </w:rPr>
        <w:t>Behaviour</w:t>
      </w:r>
      <w:proofErr w:type="spellEnd"/>
      <w:r>
        <w:rPr>
          <w:rFonts w:cs="Aptos"/>
          <w:i/>
          <w:color w:val="303030"/>
        </w:rPr>
        <w:t xml:space="preserve">. </w:t>
      </w:r>
      <w:r>
        <w:rPr>
          <w:color w:val="303030"/>
        </w:rPr>
        <w:t xml:space="preserve">London: Penguin Books. </w:t>
      </w:r>
    </w:p>
    <w:p w14:paraId="7A3186B4" w14:textId="0D50EF01" w:rsidR="0031204B" w:rsidRDefault="00000000" w:rsidP="00A14D0C">
      <w:pPr>
        <w:spacing w:after="158" w:line="360" w:lineRule="auto"/>
        <w:ind w:left="-5"/>
      </w:pPr>
      <w:r>
        <w:rPr>
          <w:color w:val="303030"/>
        </w:rPr>
        <w:t>Great</w:t>
      </w:r>
      <w:r w:rsidR="00A14D0C">
        <w:rPr>
          <w:color w:val="303030"/>
        </w:rPr>
        <w:t xml:space="preserve"> </w:t>
      </w:r>
      <w:r>
        <w:rPr>
          <w:color w:val="303030"/>
        </w:rPr>
        <w:t xml:space="preserve">Britain (2014) </w:t>
      </w:r>
      <w:r>
        <w:rPr>
          <w:rFonts w:cs="Aptos"/>
          <w:i/>
          <w:color w:val="303030"/>
        </w:rPr>
        <w:t>Care Act 2014.</w:t>
      </w:r>
      <w:r>
        <w:rPr>
          <w:color w:val="303030"/>
        </w:rPr>
        <w:t xml:space="preserve"> Available at: </w:t>
      </w:r>
      <w:hyperlink r:id="rId8">
        <w:r>
          <w:rPr>
            <w:color w:val="467886"/>
            <w:u w:val="single" w:color="467886"/>
          </w:rPr>
          <w:t>https://www.legislation.gov.uk/ukpga/2014/23/contents</w:t>
        </w:r>
      </w:hyperlink>
      <w:hyperlink r:id="rId9">
        <w:r>
          <w:t xml:space="preserve"> </w:t>
        </w:r>
      </w:hyperlink>
      <w:r>
        <w:t xml:space="preserve">(Accessed: 10/07/2026) </w:t>
      </w:r>
    </w:p>
    <w:p w14:paraId="5909AEB6" w14:textId="77777777" w:rsidR="0031204B" w:rsidRDefault="00000000" w:rsidP="00A14D0C">
      <w:pPr>
        <w:spacing w:after="158" w:line="360" w:lineRule="auto"/>
        <w:ind w:left="-5"/>
      </w:pPr>
      <w:r>
        <w:rPr>
          <w:color w:val="303030"/>
        </w:rPr>
        <w:t>Great Britain (2018)</w:t>
      </w:r>
      <w:r>
        <w:rPr>
          <w:rFonts w:cs="Aptos"/>
          <w:i/>
          <w:color w:val="303030"/>
        </w:rPr>
        <w:t xml:space="preserve"> Data Protection Act 2018. </w:t>
      </w:r>
      <w:r>
        <w:rPr>
          <w:color w:val="303030"/>
        </w:rPr>
        <w:t xml:space="preserve">Available at: </w:t>
      </w:r>
      <w:hyperlink r:id="rId10">
        <w:r>
          <w:rPr>
            <w:color w:val="467886"/>
            <w:u w:val="single" w:color="467886"/>
          </w:rPr>
          <w:t>https://www.legislation.gov.uk/ukpga/2018/12/contents</w:t>
        </w:r>
      </w:hyperlink>
      <w:hyperlink r:id="rId11">
        <w:r>
          <w:t xml:space="preserve"> </w:t>
        </w:r>
      </w:hyperlink>
      <w:r>
        <w:t xml:space="preserve">(Accessed: 12/07/2026) </w:t>
      </w:r>
    </w:p>
    <w:p w14:paraId="6380579A" w14:textId="77777777" w:rsidR="0031204B" w:rsidRDefault="00000000" w:rsidP="00A14D0C">
      <w:pPr>
        <w:spacing w:after="158" w:line="360" w:lineRule="auto"/>
        <w:ind w:left="-5"/>
      </w:pPr>
      <w:r>
        <w:rPr>
          <w:color w:val="303030"/>
        </w:rPr>
        <w:t xml:space="preserve">Great Britain (2010) </w:t>
      </w:r>
      <w:r>
        <w:rPr>
          <w:rFonts w:cs="Aptos"/>
          <w:i/>
          <w:color w:val="303030"/>
        </w:rPr>
        <w:t>Equality Act 2010.</w:t>
      </w:r>
      <w:r>
        <w:rPr>
          <w:color w:val="303030"/>
        </w:rPr>
        <w:t xml:space="preserve"> Available at: </w:t>
      </w:r>
      <w:hyperlink r:id="rId12">
        <w:r>
          <w:rPr>
            <w:color w:val="467886"/>
            <w:u w:val="single" w:color="467886"/>
          </w:rPr>
          <w:t>https://www.legislation.gov.uk/ukpga/2010/15/contents</w:t>
        </w:r>
      </w:hyperlink>
      <w:hyperlink r:id="rId13">
        <w:r>
          <w:t xml:space="preserve"> </w:t>
        </w:r>
      </w:hyperlink>
      <w:r>
        <w:t xml:space="preserve">(Accessed: 09/07/2026) </w:t>
      </w:r>
    </w:p>
    <w:p w14:paraId="4DADA6D4" w14:textId="77777777" w:rsidR="0031204B" w:rsidRDefault="00000000" w:rsidP="00A14D0C">
      <w:pPr>
        <w:spacing w:after="158" w:line="360" w:lineRule="auto"/>
        <w:ind w:left="-5" w:right="932"/>
      </w:pPr>
      <w:r>
        <w:rPr>
          <w:color w:val="303030"/>
        </w:rPr>
        <w:t xml:space="preserve">High Speed Training (2025) </w:t>
      </w:r>
      <w:r>
        <w:rPr>
          <w:rFonts w:cs="Aptos"/>
          <w:i/>
          <w:color w:val="303030"/>
        </w:rPr>
        <w:t>Record Keeping in Health and Social Care.</w:t>
      </w:r>
      <w:r>
        <w:rPr>
          <w:color w:val="303030"/>
        </w:rPr>
        <w:t xml:space="preserve"> Available at: </w:t>
      </w:r>
      <w:hyperlink r:id="rId14">
        <w:r>
          <w:rPr>
            <w:color w:val="467886"/>
            <w:u w:val="single" w:color="467886"/>
          </w:rPr>
          <w:t>https://www.highspeedtraining.co.uk/hub/record</w:t>
        </w:r>
      </w:hyperlink>
      <w:hyperlink r:id="rId15">
        <w:r>
          <w:rPr>
            <w:color w:val="467886"/>
            <w:u w:val="single" w:color="467886"/>
          </w:rPr>
          <w:t>-</w:t>
        </w:r>
      </w:hyperlink>
      <w:hyperlink r:id="rId16">
        <w:r>
          <w:rPr>
            <w:color w:val="467886"/>
            <w:u w:val="single" w:color="467886"/>
          </w:rPr>
          <w:t>keeping</w:t>
        </w:r>
      </w:hyperlink>
      <w:hyperlink r:id="rId17">
        <w:r>
          <w:rPr>
            <w:color w:val="467886"/>
            <w:u w:val="single" w:color="467886"/>
          </w:rPr>
          <w:t>-</w:t>
        </w:r>
      </w:hyperlink>
      <w:hyperlink r:id="rId18">
        <w:r>
          <w:rPr>
            <w:color w:val="467886"/>
            <w:u w:val="single" w:color="467886"/>
          </w:rPr>
          <w:t>in</w:t>
        </w:r>
      </w:hyperlink>
      <w:hyperlink r:id="rId19">
        <w:r>
          <w:rPr>
            <w:color w:val="467886"/>
            <w:u w:val="single" w:color="467886"/>
          </w:rPr>
          <w:t>-</w:t>
        </w:r>
      </w:hyperlink>
      <w:hyperlink r:id="rId20">
        <w:r>
          <w:rPr>
            <w:color w:val="467886"/>
            <w:u w:val="single" w:color="467886"/>
          </w:rPr>
          <w:t>health</w:t>
        </w:r>
      </w:hyperlink>
      <w:hyperlink r:id="rId21">
        <w:r>
          <w:rPr>
            <w:color w:val="467886"/>
            <w:u w:val="single" w:color="467886"/>
          </w:rPr>
          <w:t>-</w:t>
        </w:r>
      </w:hyperlink>
      <w:hyperlink r:id="rId22">
        <w:r>
          <w:rPr>
            <w:color w:val="467886"/>
            <w:u w:val="single" w:color="467886"/>
          </w:rPr>
          <w:t>and</w:t>
        </w:r>
      </w:hyperlink>
      <w:hyperlink r:id="rId23">
        <w:r>
          <w:rPr>
            <w:color w:val="467886"/>
            <w:u w:val="single" w:color="467886"/>
          </w:rPr>
          <w:t>-</w:t>
        </w:r>
      </w:hyperlink>
      <w:hyperlink r:id="rId24">
        <w:r>
          <w:rPr>
            <w:color w:val="467886"/>
            <w:u w:val="single" w:color="467886"/>
          </w:rPr>
          <w:t>social</w:t>
        </w:r>
      </w:hyperlink>
      <w:hyperlink r:id="rId25">
        <w:r>
          <w:rPr>
            <w:color w:val="467886"/>
            <w:u w:val="single" w:color="467886"/>
          </w:rPr>
          <w:t>-</w:t>
        </w:r>
      </w:hyperlink>
      <w:hyperlink r:id="rId26">
        <w:r>
          <w:rPr>
            <w:color w:val="467886"/>
            <w:u w:val="single" w:color="467886"/>
          </w:rPr>
          <w:t>care/</w:t>
        </w:r>
      </w:hyperlink>
      <w:hyperlink r:id="rId27">
        <w:r>
          <w:t xml:space="preserve"> </w:t>
        </w:r>
      </w:hyperlink>
      <w:r>
        <w:t xml:space="preserve">(Accessed: 10/07/2026) </w:t>
      </w:r>
    </w:p>
    <w:p w14:paraId="19E604D6" w14:textId="77777777" w:rsidR="0031204B" w:rsidRDefault="00000000" w:rsidP="00A14D0C">
      <w:pPr>
        <w:spacing w:after="115" w:line="360" w:lineRule="auto"/>
        <w:ind w:left="0" w:firstLine="0"/>
      </w:pPr>
      <w:r>
        <w:t xml:space="preserve">NHS England (2023) </w:t>
      </w:r>
      <w:r>
        <w:rPr>
          <w:rFonts w:cs="Aptos"/>
          <w:i/>
        </w:rPr>
        <w:t xml:space="preserve">Good communication with patients waiting for care. </w:t>
      </w:r>
      <w:r>
        <w:t xml:space="preserve">Available at: </w:t>
      </w:r>
    </w:p>
    <w:p w14:paraId="285435D9" w14:textId="77777777" w:rsidR="0031204B" w:rsidRDefault="00000000" w:rsidP="00A14D0C">
      <w:pPr>
        <w:spacing w:after="110" w:line="360" w:lineRule="auto"/>
        <w:ind w:left="-5"/>
      </w:pPr>
      <w:hyperlink r:id="rId28">
        <w:r>
          <w:rPr>
            <w:color w:val="467886"/>
            <w:u w:val="single" w:color="467886"/>
          </w:rPr>
          <w:t>https://www.england.nhs.uk/long</w:t>
        </w:r>
      </w:hyperlink>
      <w:hyperlink r:id="rId29">
        <w:r>
          <w:rPr>
            <w:color w:val="467886"/>
            <w:u w:val="single" w:color="467886"/>
          </w:rPr>
          <w:t>-</w:t>
        </w:r>
      </w:hyperlink>
      <w:hyperlink r:id="rId30">
        <w:r>
          <w:rPr>
            <w:color w:val="467886"/>
            <w:u w:val="single" w:color="467886"/>
          </w:rPr>
          <w:t>read/good</w:t>
        </w:r>
      </w:hyperlink>
      <w:hyperlink r:id="rId31">
        <w:r>
          <w:rPr>
            <w:color w:val="467886"/>
            <w:u w:val="single" w:color="467886"/>
          </w:rPr>
          <w:t>-</w:t>
        </w:r>
      </w:hyperlink>
      <w:hyperlink r:id="rId32">
        <w:r>
          <w:rPr>
            <w:color w:val="467886"/>
            <w:u w:val="single" w:color="467886"/>
          </w:rPr>
          <w:t>communication</w:t>
        </w:r>
      </w:hyperlink>
      <w:hyperlink r:id="rId33">
        <w:r>
          <w:rPr>
            <w:color w:val="467886"/>
            <w:u w:val="single" w:color="467886"/>
          </w:rPr>
          <w:t>-</w:t>
        </w:r>
      </w:hyperlink>
      <w:hyperlink r:id="rId34">
        <w:r>
          <w:rPr>
            <w:color w:val="467886"/>
            <w:u w:val="single" w:color="467886"/>
          </w:rPr>
          <w:t>with</w:t>
        </w:r>
      </w:hyperlink>
      <w:hyperlink r:id="rId35">
        <w:r>
          <w:rPr>
            <w:color w:val="467886"/>
            <w:u w:val="single" w:color="467886"/>
          </w:rPr>
          <w:t>-</w:t>
        </w:r>
      </w:hyperlink>
      <w:hyperlink r:id="rId36">
        <w:r>
          <w:rPr>
            <w:color w:val="467886"/>
            <w:u w:val="single" w:color="467886"/>
          </w:rPr>
          <w:t>patients</w:t>
        </w:r>
      </w:hyperlink>
      <w:hyperlink r:id="rId37">
        <w:r>
          <w:rPr>
            <w:color w:val="467886"/>
            <w:u w:val="single" w:color="467886"/>
          </w:rPr>
          <w:t>-</w:t>
        </w:r>
      </w:hyperlink>
      <w:hyperlink r:id="rId38">
        <w:r>
          <w:rPr>
            <w:color w:val="467886"/>
            <w:u w:val="single" w:color="467886"/>
          </w:rPr>
          <w:t>waiting</w:t>
        </w:r>
      </w:hyperlink>
      <w:hyperlink r:id="rId39">
        <w:r>
          <w:rPr>
            <w:color w:val="467886"/>
            <w:u w:val="single" w:color="467886"/>
          </w:rPr>
          <w:t>-</w:t>
        </w:r>
      </w:hyperlink>
      <w:hyperlink r:id="rId40">
        <w:r>
          <w:rPr>
            <w:color w:val="467886"/>
            <w:u w:val="single" w:color="467886"/>
          </w:rPr>
          <w:t>for</w:t>
        </w:r>
      </w:hyperlink>
      <w:hyperlink r:id="rId41">
        <w:r>
          <w:rPr>
            <w:color w:val="467886"/>
            <w:u w:val="single" w:color="467886"/>
          </w:rPr>
          <w:t>-</w:t>
        </w:r>
      </w:hyperlink>
      <w:hyperlink r:id="rId42">
        <w:r>
          <w:rPr>
            <w:color w:val="467886"/>
            <w:u w:val="single" w:color="467886"/>
          </w:rPr>
          <w:t>care/</w:t>
        </w:r>
      </w:hyperlink>
      <w:hyperlink r:id="rId43">
        <w:r>
          <w:t xml:space="preserve"> </w:t>
        </w:r>
      </w:hyperlink>
    </w:p>
    <w:p w14:paraId="41A290D6" w14:textId="77777777" w:rsidR="0031204B" w:rsidRDefault="00000000" w:rsidP="00A14D0C">
      <w:pPr>
        <w:spacing w:line="360" w:lineRule="auto"/>
        <w:ind w:left="-5"/>
      </w:pPr>
      <w:r>
        <w:lastRenderedPageBreak/>
        <w:t xml:space="preserve">(Accessed: 08/07/2026) </w:t>
      </w:r>
    </w:p>
    <w:p w14:paraId="149B34C4" w14:textId="77777777" w:rsidR="0031204B" w:rsidRDefault="00000000" w:rsidP="00A14D0C">
      <w:pPr>
        <w:spacing w:after="163" w:line="360" w:lineRule="auto"/>
        <w:ind w:left="0" w:right="134" w:firstLine="0"/>
      </w:pPr>
      <w:r>
        <w:t xml:space="preserve">NICE (2018) </w:t>
      </w:r>
      <w:r>
        <w:rPr>
          <w:color w:val="0E0E0E"/>
        </w:rPr>
        <w:t xml:space="preserve">Dementia: assessment, management and support for people living with dementia and their carers (NG97). Available at: </w:t>
      </w:r>
      <w:hyperlink r:id="rId44">
        <w:r>
          <w:rPr>
            <w:color w:val="467886"/>
            <w:u w:val="single" w:color="467886"/>
          </w:rPr>
          <w:t>https://www.nice.org.uk/guidance/ng97/informationforpublic</w:t>
        </w:r>
      </w:hyperlink>
      <w:hyperlink r:id="rId45">
        <w:r>
          <w:t xml:space="preserve"> </w:t>
        </w:r>
      </w:hyperlink>
      <w:r>
        <w:t xml:space="preserve">(Accessed: 12/07/2026) </w:t>
      </w:r>
    </w:p>
    <w:p w14:paraId="21440092" w14:textId="77777777" w:rsidR="0031204B" w:rsidRDefault="00000000" w:rsidP="00A14D0C">
      <w:pPr>
        <w:spacing w:line="360" w:lineRule="auto"/>
        <w:ind w:left="-5"/>
      </w:pPr>
      <w:r>
        <w:t xml:space="preserve">Scie (2021) Social Care Recording. Available at: </w:t>
      </w:r>
      <w:hyperlink r:id="rId46">
        <w:r>
          <w:rPr>
            <w:color w:val="467886"/>
            <w:u w:val="single" w:color="467886"/>
          </w:rPr>
          <w:t>https://www.scie.org.uk/providing</w:t>
        </w:r>
      </w:hyperlink>
      <w:hyperlink r:id="rId47"/>
      <w:hyperlink r:id="rId48">
        <w:r>
          <w:rPr>
            <w:color w:val="467886"/>
            <w:u w:val="single" w:color="467886"/>
          </w:rPr>
          <w:t>care/recording/</w:t>
        </w:r>
      </w:hyperlink>
      <w:hyperlink r:id="rId49">
        <w:r>
          <w:t xml:space="preserve"> </w:t>
        </w:r>
      </w:hyperlink>
      <w:r>
        <w:t xml:space="preserve">(Accessed: 05/07/2026) </w:t>
      </w:r>
    </w:p>
    <w:p w14:paraId="48D6B1D0" w14:textId="77777777" w:rsidR="0031204B" w:rsidRDefault="00000000" w:rsidP="00A14D0C">
      <w:pPr>
        <w:spacing w:after="0" w:line="259" w:lineRule="auto"/>
        <w:ind w:left="0" w:firstLine="0"/>
      </w:pPr>
      <w:r>
        <w:t xml:space="preserve"> </w:t>
      </w:r>
    </w:p>
    <w:sectPr w:rsidR="0031204B" w:rsidSect="00A14D0C">
      <w:footerReference w:type="even" r:id="rId50"/>
      <w:footerReference w:type="default" r:id="rId51"/>
      <w:pgSz w:w="11905" w:h="16840"/>
      <w:pgMar w:top="1444" w:right="1454" w:bottom="1434" w:left="1441"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C9AED" w14:textId="77777777" w:rsidR="00AF7DAD" w:rsidRDefault="00AF7DAD" w:rsidP="00A14D0C">
      <w:pPr>
        <w:spacing w:after="0" w:line="240" w:lineRule="auto"/>
      </w:pPr>
      <w:r>
        <w:separator/>
      </w:r>
    </w:p>
  </w:endnote>
  <w:endnote w:type="continuationSeparator" w:id="0">
    <w:p w14:paraId="58ED5CB5" w14:textId="77777777" w:rsidR="00AF7DAD" w:rsidRDefault="00AF7DAD" w:rsidP="00A14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3555613"/>
      <w:docPartObj>
        <w:docPartGallery w:val="Page Numbers (Bottom of Page)"/>
        <w:docPartUnique/>
      </w:docPartObj>
    </w:sdtPr>
    <w:sdtContent>
      <w:p w14:paraId="49ED113F" w14:textId="031D7307" w:rsidR="00A14D0C" w:rsidRDefault="00A14D0C"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9FEA52" w14:textId="77777777" w:rsidR="00A14D0C" w:rsidRDefault="00A14D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6703418"/>
      <w:docPartObj>
        <w:docPartGallery w:val="Page Numbers (Bottom of Page)"/>
        <w:docPartUnique/>
      </w:docPartObj>
    </w:sdtPr>
    <w:sdtContent>
      <w:p w14:paraId="304D13E9" w14:textId="2A5B62A2" w:rsidR="00A14D0C" w:rsidRDefault="00A14D0C"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99D354" w14:textId="77777777" w:rsidR="00A14D0C" w:rsidRDefault="00A14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FFEA9" w14:textId="77777777" w:rsidR="00AF7DAD" w:rsidRDefault="00AF7DAD" w:rsidP="00A14D0C">
      <w:pPr>
        <w:spacing w:after="0" w:line="240" w:lineRule="auto"/>
      </w:pPr>
      <w:r>
        <w:separator/>
      </w:r>
    </w:p>
  </w:footnote>
  <w:footnote w:type="continuationSeparator" w:id="0">
    <w:p w14:paraId="2DE4EB6C" w14:textId="77777777" w:rsidR="00AF7DAD" w:rsidRDefault="00AF7DAD" w:rsidP="00A14D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204B"/>
    <w:rsid w:val="0031204B"/>
    <w:rsid w:val="007E58D8"/>
    <w:rsid w:val="00A14D0C"/>
    <w:rsid w:val="00A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D9BBE"/>
  <w15:docId w15:val="{E20F9452-1C86-124E-B45F-AA4B796B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358" w:lineRule="auto"/>
      <w:ind w:left="10" w:hanging="10"/>
    </w:pPr>
    <w:rPr>
      <w:rFonts w:ascii="Aptos" w:eastAsia="Aptos" w:hAnsi="Aptos"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14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D0C"/>
    <w:rPr>
      <w:rFonts w:ascii="Aptos" w:eastAsia="Aptos" w:hAnsi="Aptos" w:cs="Times New Roman"/>
      <w:color w:val="000000"/>
      <w:sz w:val="22"/>
      <w:lang w:val="en" w:eastAsia="en"/>
    </w:rPr>
  </w:style>
  <w:style w:type="character" w:styleId="PageNumber">
    <w:name w:val="page number"/>
    <w:basedOn w:val="DefaultParagraphFont"/>
    <w:uiPriority w:val="99"/>
    <w:semiHidden/>
    <w:unhideWhenUsed/>
    <w:rsid w:val="00A14D0C"/>
  </w:style>
  <w:style w:type="paragraph" w:styleId="NoSpacing">
    <w:name w:val="No Spacing"/>
    <w:link w:val="NoSpacingChar"/>
    <w:uiPriority w:val="1"/>
    <w:qFormat/>
    <w:rsid w:val="00A14D0C"/>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A14D0C"/>
    <w:rPr>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contents" TargetMode="External"/><Relationship Id="rId18" Type="http://schemas.openxmlformats.org/officeDocument/2006/relationships/hyperlink" Target="https://www.highspeedtraining.co.uk/hub/record-keeping-in-health-and-social-care/" TargetMode="External"/><Relationship Id="rId26" Type="http://schemas.openxmlformats.org/officeDocument/2006/relationships/hyperlink" Target="https://www.highspeedtraining.co.uk/hub/record-keeping-in-health-and-social-care/" TargetMode="External"/><Relationship Id="rId39" Type="http://schemas.openxmlformats.org/officeDocument/2006/relationships/hyperlink" Target="https://www.england.nhs.uk/long-read/good-communication-with-patients-waiting-for-care/" TargetMode="External"/><Relationship Id="rId21" Type="http://schemas.openxmlformats.org/officeDocument/2006/relationships/hyperlink" Target="https://www.highspeedtraining.co.uk/hub/record-keeping-in-health-and-social-care/" TargetMode="External"/><Relationship Id="rId34" Type="http://schemas.openxmlformats.org/officeDocument/2006/relationships/hyperlink" Target="https://www.england.nhs.uk/long-read/good-communication-with-patients-waiting-for-care/" TargetMode="External"/><Relationship Id="rId42" Type="http://schemas.openxmlformats.org/officeDocument/2006/relationships/hyperlink" Target="https://www.england.nhs.uk/long-read/good-communication-with-patients-waiting-for-care/" TargetMode="External"/><Relationship Id="rId47" Type="http://schemas.openxmlformats.org/officeDocument/2006/relationships/hyperlink" Target="https://www.scie.org.uk/providing-care/recording/" TargetMode="External"/><Relationship Id="rId50"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highspeedtraining.co.uk/hub/record-keeping-in-health-and-social-care/" TargetMode="External"/><Relationship Id="rId29" Type="http://schemas.openxmlformats.org/officeDocument/2006/relationships/hyperlink" Target="https://www.england.nhs.uk/long-read/good-communication-with-patients-waiting-for-care/" TargetMode="External"/><Relationship Id="rId11" Type="http://schemas.openxmlformats.org/officeDocument/2006/relationships/hyperlink" Target="https://www.legislation.gov.uk/ukpga/2018/12/contents" TargetMode="External"/><Relationship Id="rId24" Type="http://schemas.openxmlformats.org/officeDocument/2006/relationships/hyperlink" Target="https://www.highspeedtraining.co.uk/hub/record-keeping-in-health-and-social-care/" TargetMode="External"/><Relationship Id="rId32" Type="http://schemas.openxmlformats.org/officeDocument/2006/relationships/hyperlink" Target="https://www.england.nhs.uk/long-read/good-communication-with-patients-waiting-for-care/" TargetMode="External"/><Relationship Id="rId37" Type="http://schemas.openxmlformats.org/officeDocument/2006/relationships/hyperlink" Target="https://www.england.nhs.uk/long-read/good-communication-with-patients-waiting-for-care/" TargetMode="External"/><Relationship Id="rId40" Type="http://schemas.openxmlformats.org/officeDocument/2006/relationships/hyperlink" Target="https://www.england.nhs.uk/long-read/good-communication-with-patients-waiting-for-care/" TargetMode="External"/><Relationship Id="rId45" Type="http://schemas.openxmlformats.org/officeDocument/2006/relationships/hyperlink" Target="https://www.nice.org.uk/guidance/ng97/informationforpublic"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legislation.gov.uk/ukpga/2018/12/contents" TargetMode="External"/><Relationship Id="rId19" Type="http://schemas.openxmlformats.org/officeDocument/2006/relationships/hyperlink" Target="https://www.highspeedtraining.co.uk/hub/record-keeping-in-health-and-social-care/" TargetMode="External"/><Relationship Id="rId31" Type="http://schemas.openxmlformats.org/officeDocument/2006/relationships/hyperlink" Target="https://www.england.nhs.uk/long-read/good-communication-with-patients-waiting-for-care/" TargetMode="External"/><Relationship Id="rId44" Type="http://schemas.openxmlformats.org/officeDocument/2006/relationships/hyperlink" Target="https://www.nice.org.uk/guidance/ng97/informationforpublic"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gislation.gov.uk/ukpga/2014/23/contents" TargetMode="External"/><Relationship Id="rId14" Type="http://schemas.openxmlformats.org/officeDocument/2006/relationships/hyperlink" Target="https://www.highspeedtraining.co.uk/hub/record-keeping-in-health-and-social-care/" TargetMode="External"/><Relationship Id="rId22" Type="http://schemas.openxmlformats.org/officeDocument/2006/relationships/hyperlink" Target="https://www.highspeedtraining.co.uk/hub/record-keeping-in-health-and-social-care/" TargetMode="External"/><Relationship Id="rId27" Type="http://schemas.openxmlformats.org/officeDocument/2006/relationships/hyperlink" Target="https://www.highspeedtraining.co.uk/hub/record-keeping-in-health-and-social-care/" TargetMode="External"/><Relationship Id="rId30" Type="http://schemas.openxmlformats.org/officeDocument/2006/relationships/hyperlink" Target="https://www.england.nhs.uk/long-read/good-communication-with-patients-waiting-for-care/" TargetMode="External"/><Relationship Id="rId35" Type="http://schemas.openxmlformats.org/officeDocument/2006/relationships/hyperlink" Target="https://www.england.nhs.uk/long-read/good-communication-with-patients-waiting-for-care/" TargetMode="External"/><Relationship Id="rId43" Type="http://schemas.openxmlformats.org/officeDocument/2006/relationships/hyperlink" Target="https://www.england.nhs.uk/long-read/good-communication-with-patients-waiting-for-care/" TargetMode="External"/><Relationship Id="rId48" Type="http://schemas.openxmlformats.org/officeDocument/2006/relationships/hyperlink" Target="https://www.scie.org.uk/providing-care/recording/" TargetMode="External"/><Relationship Id="rId8" Type="http://schemas.openxmlformats.org/officeDocument/2006/relationships/hyperlink" Target="https://www.legislation.gov.uk/ukpga/2014/23/contents" TargetMode="External"/><Relationship Id="rId51" Type="http://schemas.openxmlformats.org/officeDocument/2006/relationships/footer" Target="footer2.xml"/><Relationship Id="rId3" Type="http://schemas.openxmlformats.org/officeDocument/2006/relationships/webSettings" Target="web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highspeedtraining.co.uk/hub/record-keeping-in-health-and-social-care/" TargetMode="External"/><Relationship Id="rId25" Type="http://schemas.openxmlformats.org/officeDocument/2006/relationships/hyperlink" Target="https://www.highspeedtraining.co.uk/hub/record-keeping-in-health-and-social-care/" TargetMode="External"/><Relationship Id="rId33" Type="http://schemas.openxmlformats.org/officeDocument/2006/relationships/hyperlink" Target="https://www.england.nhs.uk/long-read/good-communication-with-patients-waiting-for-care/" TargetMode="External"/><Relationship Id="rId38" Type="http://schemas.openxmlformats.org/officeDocument/2006/relationships/hyperlink" Target="https://www.england.nhs.uk/long-read/good-communication-with-patients-waiting-for-care/" TargetMode="External"/><Relationship Id="rId46" Type="http://schemas.openxmlformats.org/officeDocument/2006/relationships/hyperlink" Target="https://www.scie.org.uk/providing-care/recording/" TargetMode="External"/><Relationship Id="rId20" Type="http://schemas.openxmlformats.org/officeDocument/2006/relationships/hyperlink" Target="https://www.highspeedtraining.co.uk/hub/record-keeping-in-health-and-social-care/" TargetMode="External"/><Relationship Id="rId41" Type="http://schemas.openxmlformats.org/officeDocument/2006/relationships/hyperlink" Target="https://www.england.nhs.uk/long-read/good-communication-with-patients-waiting-for-care/"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highspeedtraining.co.uk/hub/record-keeping-in-health-and-social-care/" TargetMode="External"/><Relationship Id="rId23" Type="http://schemas.openxmlformats.org/officeDocument/2006/relationships/hyperlink" Target="https://www.highspeedtraining.co.uk/hub/record-keeping-in-health-and-social-care/" TargetMode="External"/><Relationship Id="rId28" Type="http://schemas.openxmlformats.org/officeDocument/2006/relationships/hyperlink" Target="https://www.england.nhs.uk/long-read/good-communication-with-patients-waiting-for-care/" TargetMode="External"/><Relationship Id="rId36" Type="http://schemas.openxmlformats.org/officeDocument/2006/relationships/hyperlink" Target="https://www.england.nhs.uk/long-read/good-communication-with-patients-waiting-for-care/" TargetMode="External"/><Relationship Id="rId49" Type="http://schemas.openxmlformats.org/officeDocument/2006/relationships/hyperlink" Target="https://www.scie.org.uk/providing-care/reco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2579</Words>
  <Characters>14705</Characters>
  <Application>Microsoft Office Word</Application>
  <DocSecurity>0</DocSecurity>
  <Lines>122</Lines>
  <Paragraphs>34</Paragraphs>
  <ScaleCrop>false</ScaleCrop>
  <Company/>
  <LinksUpToDate>false</LinksUpToDate>
  <CharactersWithSpaces>17250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
  <dc:creator>Andrea Berry (2506999)</dc:creator>
  <cp:keywords/>
  <cp:lastModifiedBy>Andrea Berry</cp:lastModifiedBy>
  <cp:revision>2</cp:revision>
  <dcterms:created xsi:type="dcterms:W3CDTF">2026-07-24T06:26:00Z</dcterms:created>
  <dcterms:modified xsi:type="dcterms:W3CDTF">2026-07-24T06:26:00Z</dcterms:modified>
</cp:coreProperties>
</file>