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AB195C" w14:textId="77777777" w:rsidR="008935A5" w:rsidRDefault="008935A5" w:rsidP="008935A5">
      <w:pPr>
        <w:spacing w:after="0" w:line="360" w:lineRule="auto"/>
        <w:jc w:val="center"/>
        <w:rPr>
          <w:rFonts w:ascii="Times New Roman" w:eastAsia="Times New Roman" w:hAnsi="Times New Roman" w:cs="Times New Roman"/>
          <w:b/>
          <w:bCs/>
          <w:color w:val="000000"/>
          <w:sz w:val="24"/>
          <w:szCs w:val="24"/>
          <w:lang w:eastAsia="en-IN"/>
        </w:rPr>
      </w:pPr>
    </w:p>
    <w:p w14:paraId="704AD194" w14:textId="015BB39B" w:rsidR="008935A5" w:rsidRDefault="00613C53" w:rsidP="00901F2A">
      <w:pPr>
        <w:spacing w:after="0" w:line="360" w:lineRule="auto"/>
        <w:rPr>
          <w:rFonts w:ascii="Times New Roman" w:eastAsia="Times New Roman" w:hAnsi="Times New Roman" w:cs="Times New Roman"/>
          <w:b/>
          <w:bCs/>
          <w:color w:val="000000"/>
          <w:sz w:val="32"/>
          <w:szCs w:val="32"/>
          <w:lang w:eastAsia="en-IN"/>
        </w:rPr>
      </w:pPr>
      <w:r>
        <w:rPr>
          <w:rFonts w:ascii="Times New Roman" w:eastAsia="Times New Roman" w:hAnsi="Times New Roman" w:cs="Times New Roman"/>
          <w:b/>
          <w:bCs/>
          <w:noProof/>
          <w:color w:val="000000"/>
          <w:sz w:val="32"/>
          <w:szCs w:val="32"/>
          <w:lang w:eastAsia="en-IN"/>
        </w:rPr>
        <w:drawing>
          <wp:inline distT="0" distB="0" distL="0" distR="0" wp14:anchorId="4CAC788D" wp14:editId="3EFCBFED">
            <wp:extent cx="1749425" cy="621665"/>
            <wp:effectExtent l="0" t="0" r="317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9425" cy="621665"/>
                    </a:xfrm>
                    <a:prstGeom prst="rect">
                      <a:avLst/>
                    </a:prstGeom>
                    <a:noFill/>
                  </pic:spPr>
                </pic:pic>
              </a:graphicData>
            </a:graphic>
          </wp:inline>
        </w:drawing>
      </w:r>
    </w:p>
    <w:p w14:paraId="4A312B9E" w14:textId="77777777" w:rsidR="00213E53" w:rsidRDefault="00213E53" w:rsidP="008935A5">
      <w:pPr>
        <w:spacing w:after="0" w:line="360" w:lineRule="auto"/>
        <w:jc w:val="center"/>
        <w:rPr>
          <w:rFonts w:ascii="Times New Roman" w:eastAsia="Times New Roman" w:hAnsi="Times New Roman" w:cs="Times New Roman"/>
          <w:b/>
          <w:bCs/>
          <w:color w:val="000000"/>
          <w:sz w:val="32"/>
          <w:szCs w:val="32"/>
          <w:lang w:eastAsia="en-IN"/>
        </w:rPr>
      </w:pPr>
    </w:p>
    <w:p w14:paraId="06AA793B" w14:textId="77777777" w:rsidR="00213E53" w:rsidRDefault="00213E53" w:rsidP="008935A5">
      <w:pPr>
        <w:spacing w:after="0" w:line="360" w:lineRule="auto"/>
        <w:jc w:val="center"/>
        <w:rPr>
          <w:rFonts w:ascii="Times New Roman" w:eastAsia="Times New Roman" w:hAnsi="Times New Roman" w:cs="Times New Roman"/>
          <w:b/>
          <w:bCs/>
          <w:color w:val="000000"/>
          <w:sz w:val="32"/>
          <w:szCs w:val="32"/>
          <w:lang w:eastAsia="en-IN"/>
        </w:rPr>
      </w:pPr>
    </w:p>
    <w:p w14:paraId="03B5536C" w14:textId="77777777" w:rsidR="00213E53" w:rsidRDefault="00213E53" w:rsidP="008935A5">
      <w:pPr>
        <w:spacing w:after="0" w:line="360" w:lineRule="auto"/>
        <w:jc w:val="center"/>
        <w:rPr>
          <w:rFonts w:ascii="Times New Roman" w:eastAsia="Times New Roman" w:hAnsi="Times New Roman" w:cs="Times New Roman"/>
          <w:b/>
          <w:bCs/>
          <w:color w:val="000000"/>
          <w:sz w:val="32"/>
          <w:szCs w:val="32"/>
          <w:lang w:eastAsia="en-IN"/>
        </w:rPr>
      </w:pPr>
    </w:p>
    <w:p w14:paraId="52E3409C" w14:textId="77777777" w:rsidR="00D27BD4" w:rsidRDefault="00D27BD4" w:rsidP="008935A5">
      <w:pPr>
        <w:spacing w:after="0" w:line="360" w:lineRule="auto"/>
        <w:jc w:val="center"/>
        <w:rPr>
          <w:rFonts w:ascii="Times New Roman" w:eastAsia="Times New Roman" w:hAnsi="Times New Roman" w:cs="Times New Roman"/>
          <w:b/>
          <w:bCs/>
          <w:color w:val="000000"/>
          <w:sz w:val="32"/>
          <w:szCs w:val="32"/>
          <w:lang w:eastAsia="en-IN"/>
        </w:rPr>
      </w:pPr>
    </w:p>
    <w:p w14:paraId="1300B55E" w14:textId="54F986CD" w:rsidR="008935A5" w:rsidRDefault="00132764" w:rsidP="008935A5">
      <w:pPr>
        <w:spacing w:after="0" w:line="360" w:lineRule="auto"/>
        <w:jc w:val="center"/>
        <w:rPr>
          <w:rFonts w:ascii="Times New Roman" w:eastAsia="Times New Roman" w:hAnsi="Times New Roman" w:cs="Times New Roman"/>
          <w:b/>
          <w:bCs/>
          <w:color w:val="000000"/>
          <w:sz w:val="32"/>
          <w:szCs w:val="32"/>
          <w:lang w:eastAsia="en-IN"/>
        </w:rPr>
      </w:pPr>
      <w:r>
        <w:rPr>
          <w:rFonts w:ascii="Times New Roman" w:eastAsia="Times New Roman" w:hAnsi="Times New Roman" w:cs="Times New Roman"/>
          <w:b/>
          <w:bCs/>
          <w:color w:val="000000"/>
          <w:sz w:val="32"/>
          <w:szCs w:val="32"/>
          <w:lang w:eastAsia="en-IN"/>
        </w:rPr>
        <w:t>LCBB</w:t>
      </w:r>
      <w:r w:rsidR="00213E53">
        <w:rPr>
          <w:rFonts w:ascii="Times New Roman" w:eastAsia="Times New Roman" w:hAnsi="Times New Roman" w:cs="Times New Roman"/>
          <w:b/>
          <w:bCs/>
          <w:color w:val="000000"/>
          <w:sz w:val="32"/>
          <w:szCs w:val="32"/>
          <w:lang w:eastAsia="en-IN"/>
        </w:rPr>
        <w:t xml:space="preserve">4002-Community Engagement </w:t>
      </w:r>
    </w:p>
    <w:p w14:paraId="22C92A1A" w14:textId="77777777" w:rsidR="00213E53" w:rsidRDefault="00213E53" w:rsidP="008935A5">
      <w:pPr>
        <w:spacing w:after="0" w:line="360" w:lineRule="auto"/>
        <w:jc w:val="center"/>
        <w:rPr>
          <w:rFonts w:ascii="Times New Roman" w:eastAsia="Times New Roman" w:hAnsi="Times New Roman" w:cs="Times New Roman"/>
          <w:b/>
          <w:bCs/>
          <w:color w:val="000000"/>
          <w:sz w:val="32"/>
          <w:szCs w:val="32"/>
          <w:lang w:eastAsia="en-IN"/>
        </w:rPr>
      </w:pPr>
    </w:p>
    <w:p w14:paraId="10F4DED3" w14:textId="77777777" w:rsidR="00213E53" w:rsidRDefault="00213E53" w:rsidP="00283034">
      <w:pPr>
        <w:spacing w:after="0" w:line="360" w:lineRule="auto"/>
        <w:rPr>
          <w:rFonts w:ascii="Times New Roman" w:eastAsia="Times New Roman" w:hAnsi="Times New Roman" w:cs="Times New Roman"/>
          <w:b/>
          <w:bCs/>
          <w:color w:val="000000"/>
          <w:sz w:val="32"/>
          <w:szCs w:val="32"/>
          <w:lang w:eastAsia="en-IN"/>
        </w:rPr>
      </w:pPr>
    </w:p>
    <w:p w14:paraId="5D789BE8" w14:textId="77777777" w:rsidR="00283034" w:rsidRDefault="00283034" w:rsidP="004D2D0A">
      <w:pPr>
        <w:spacing w:after="0" w:line="360" w:lineRule="auto"/>
        <w:rPr>
          <w:rFonts w:ascii="Times New Roman" w:eastAsia="Times New Roman" w:hAnsi="Times New Roman" w:cs="Times New Roman"/>
          <w:b/>
          <w:bCs/>
          <w:color w:val="000000"/>
          <w:sz w:val="32"/>
          <w:szCs w:val="32"/>
          <w:lang w:eastAsia="en-IN"/>
        </w:rPr>
      </w:pPr>
    </w:p>
    <w:p w14:paraId="7CA38FF5" w14:textId="77777777" w:rsidR="004D2D0A" w:rsidRDefault="00283034" w:rsidP="004D2D0A">
      <w:pPr>
        <w:spacing w:after="0" w:line="360" w:lineRule="auto"/>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Student name: Alexandra-</w:t>
      </w:r>
      <w:proofErr w:type="spellStart"/>
      <w:r>
        <w:rPr>
          <w:rFonts w:ascii="Times New Roman" w:eastAsia="Times New Roman" w:hAnsi="Times New Roman" w:cs="Times New Roman"/>
          <w:color w:val="000000"/>
          <w:sz w:val="24"/>
          <w:szCs w:val="24"/>
          <w:lang w:eastAsia="en-IN"/>
        </w:rPr>
        <w:t>Lenuta</w:t>
      </w:r>
      <w:proofErr w:type="spellEnd"/>
      <w:r>
        <w:rPr>
          <w:rFonts w:ascii="Times New Roman" w:eastAsia="Times New Roman" w:hAnsi="Times New Roman" w:cs="Times New Roman"/>
          <w:color w:val="000000"/>
          <w:sz w:val="24"/>
          <w:szCs w:val="24"/>
          <w:lang w:eastAsia="en-IN"/>
        </w:rPr>
        <w:t xml:space="preserve"> Creanga</w:t>
      </w:r>
    </w:p>
    <w:p w14:paraId="47942644" w14:textId="29D6A2F1" w:rsidR="00213E53" w:rsidRPr="00283034" w:rsidRDefault="004D2D0A" w:rsidP="004D2D0A">
      <w:pPr>
        <w:spacing w:after="0" w:line="360" w:lineRule="auto"/>
        <w:rPr>
          <w:rFonts w:ascii="Times New Roman" w:eastAsia="Times New Roman" w:hAnsi="Times New Roman" w:cs="Times New Roman"/>
          <w:color w:val="000000"/>
          <w:sz w:val="24"/>
          <w:szCs w:val="24"/>
          <w:lang w:eastAsia="en-IN"/>
        </w:rPr>
      </w:pPr>
      <w:r w:rsidRPr="00901F2A">
        <w:rPr>
          <w:rFonts w:ascii="Times New Roman" w:eastAsia="Times New Roman" w:hAnsi="Times New Roman" w:cs="Times New Roman"/>
          <w:color w:val="000000"/>
          <w:sz w:val="24"/>
          <w:szCs w:val="24"/>
          <w:lang w:eastAsia="en-IN"/>
        </w:rPr>
        <w:t>Student ID:</w:t>
      </w:r>
      <w:r>
        <w:rPr>
          <w:rFonts w:ascii="Times New Roman" w:eastAsia="Times New Roman" w:hAnsi="Times New Roman" w:cs="Times New Roman"/>
          <w:color w:val="000000"/>
          <w:sz w:val="24"/>
          <w:szCs w:val="24"/>
          <w:lang w:eastAsia="en-IN"/>
        </w:rPr>
        <w:t xml:space="preserve"> 2113195</w:t>
      </w:r>
    </w:p>
    <w:p w14:paraId="5D6BFAE5" w14:textId="2A35B19F" w:rsidR="008935A5" w:rsidRDefault="00BB4599" w:rsidP="004D2D0A">
      <w:pPr>
        <w:spacing w:after="0" w:line="360" w:lineRule="auto"/>
        <w:rPr>
          <w:rFonts w:ascii="Times New Roman" w:eastAsia="Times New Roman" w:hAnsi="Times New Roman" w:cs="Times New Roman"/>
          <w:color w:val="000000"/>
          <w:sz w:val="24"/>
          <w:szCs w:val="24"/>
          <w:lang w:eastAsia="en-IN"/>
        </w:rPr>
      </w:pPr>
      <w:r w:rsidRPr="00901F2A">
        <w:rPr>
          <w:rFonts w:ascii="Times New Roman" w:eastAsia="Times New Roman" w:hAnsi="Times New Roman" w:cs="Times New Roman"/>
          <w:color w:val="000000"/>
          <w:sz w:val="24"/>
          <w:szCs w:val="24"/>
          <w:lang w:eastAsia="en-IN"/>
        </w:rPr>
        <w:t>Module name</w:t>
      </w:r>
      <w:r w:rsidR="00901F2A" w:rsidRPr="00901F2A">
        <w:rPr>
          <w:rFonts w:ascii="Times New Roman" w:eastAsia="Times New Roman" w:hAnsi="Times New Roman" w:cs="Times New Roman"/>
          <w:color w:val="000000"/>
          <w:sz w:val="24"/>
          <w:szCs w:val="24"/>
          <w:lang w:eastAsia="en-IN"/>
        </w:rPr>
        <w:t>:</w:t>
      </w:r>
      <w:r w:rsidR="00847CDB">
        <w:rPr>
          <w:rFonts w:ascii="Times New Roman" w:eastAsia="Times New Roman" w:hAnsi="Times New Roman" w:cs="Times New Roman"/>
          <w:color w:val="000000"/>
          <w:sz w:val="24"/>
          <w:szCs w:val="24"/>
          <w:lang w:eastAsia="en-IN"/>
        </w:rPr>
        <w:t xml:space="preserve"> Community </w:t>
      </w:r>
      <w:r w:rsidR="00C127DF">
        <w:rPr>
          <w:rFonts w:ascii="Times New Roman" w:eastAsia="Times New Roman" w:hAnsi="Times New Roman" w:cs="Times New Roman"/>
          <w:color w:val="000000"/>
          <w:sz w:val="24"/>
          <w:szCs w:val="24"/>
          <w:lang w:eastAsia="en-IN"/>
        </w:rPr>
        <w:t>E</w:t>
      </w:r>
      <w:r w:rsidR="00847CDB">
        <w:rPr>
          <w:rFonts w:ascii="Times New Roman" w:eastAsia="Times New Roman" w:hAnsi="Times New Roman" w:cs="Times New Roman"/>
          <w:color w:val="000000"/>
          <w:sz w:val="24"/>
          <w:szCs w:val="24"/>
          <w:lang w:eastAsia="en-IN"/>
        </w:rPr>
        <w:t>nga</w:t>
      </w:r>
      <w:r w:rsidR="00C127DF">
        <w:rPr>
          <w:rFonts w:ascii="Times New Roman" w:eastAsia="Times New Roman" w:hAnsi="Times New Roman" w:cs="Times New Roman"/>
          <w:color w:val="000000"/>
          <w:sz w:val="24"/>
          <w:szCs w:val="24"/>
          <w:lang w:eastAsia="en-IN"/>
        </w:rPr>
        <w:t>gement</w:t>
      </w:r>
    </w:p>
    <w:p w14:paraId="6B5379CE" w14:textId="21D5452E" w:rsidR="008935A5" w:rsidRPr="00901F2A" w:rsidRDefault="00BB4599" w:rsidP="004D2D0A">
      <w:pPr>
        <w:spacing w:after="0" w:line="360" w:lineRule="auto"/>
        <w:rPr>
          <w:rFonts w:ascii="Times New Roman" w:eastAsia="Times New Roman" w:hAnsi="Times New Roman" w:cs="Times New Roman"/>
          <w:color w:val="000000"/>
          <w:sz w:val="24"/>
          <w:szCs w:val="24"/>
          <w:lang w:eastAsia="en-IN"/>
        </w:rPr>
      </w:pPr>
      <w:r w:rsidRPr="00901F2A">
        <w:rPr>
          <w:rFonts w:ascii="Times New Roman" w:eastAsia="Times New Roman" w:hAnsi="Times New Roman" w:cs="Times New Roman"/>
          <w:color w:val="000000"/>
          <w:sz w:val="24"/>
          <w:szCs w:val="24"/>
          <w:lang w:eastAsia="en-IN"/>
        </w:rPr>
        <w:t>Module ID</w:t>
      </w:r>
      <w:r w:rsidR="00901F2A" w:rsidRPr="00901F2A">
        <w:rPr>
          <w:rFonts w:ascii="Times New Roman" w:eastAsia="Times New Roman" w:hAnsi="Times New Roman" w:cs="Times New Roman"/>
          <w:color w:val="000000"/>
          <w:sz w:val="24"/>
          <w:szCs w:val="24"/>
          <w:lang w:eastAsia="en-IN"/>
        </w:rPr>
        <w:t>:</w:t>
      </w:r>
      <w:r w:rsidR="00C127DF">
        <w:rPr>
          <w:rFonts w:ascii="Times New Roman" w:eastAsia="Times New Roman" w:hAnsi="Times New Roman" w:cs="Times New Roman"/>
          <w:color w:val="000000"/>
          <w:sz w:val="24"/>
          <w:szCs w:val="24"/>
          <w:lang w:eastAsia="en-IN"/>
        </w:rPr>
        <w:t xml:space="preserve"> LCBB4002</w:t>
      </w:r>
    </w:p>
    <w:p w14:paraId="011D5967" w14:textId="68EBF1D5" w:rsidR="00901F2A" w:rsidRPr="00901F2A" w:rsidRDefault="008120DC" w:rsidP="004D2D0A">
      <w:pPr>
        <w:spacing w:after="0" w:line="360" w:lineRule="auto"/>
        <w:rPr>
          <w:rFonts w:ascii="Times New Roman" w:eastAsia="Times New Roman" w:hAnsi="Times New Roman" w:cs="Times New Roman"/>
          <w:color w:val="000000"/>
          <w:sz w:val="24"/>
          <w:szCs w:val="24"/>
          <w:lang w:eastAsia="en-IN"/>
        </w:rPr>
      </w:pPr>
      <w:proofErr w:type="spellStart"/>
      <w:r>
        <w:rPr>
          <w:rFonts w:ascii="Times New Roman" w:eastAsia="Times New Roman" w:hAnsi="Times New Roman" w:cs="Times New Roman"/>
          <w:color w:val="000000"/>
          <w:sz w:val="24"/>
          <w:szCs w:val="24"/>
          <w:lang w:eastAsia="en-IN"/>
        </w:rPr>
        <w:t>Assingnment</w:t>
      </w:r>
      <w:proofErr w:type="spellEnd"/>
      <w:r>
        <w:rPr>
          <w:rFonts w:ascii="Times New Roman" w:eastAsia="Times New Roman" w:hAnsi="Times New Roman" w:cs="Times New Roman"/>
          <w:color w:val="000000"/>
          <w:sz w:val="24"/>
          <w:szCs w:val="24"/>
          <w:lang w:eastAsia="en-IN"/>
        </w:rPr>
        <w:t xml:space="preserve"> Title: </w:t>
      </w:r>
      <w:r w:rsidR="00D27BD4">
        <w:rPr>
          <w:rFonts w:ascii="Times New Roman" w:eastAsia="Times New Roman" w:hAnsi="Times New Roman" w:cs="Times New Roman"/>
          <w:color w:val="000000"/>
          <w:sz w:val="24"/>
          <w:szCs w:val="24"/>
          <w:lang w:eastAsia="en-IN"/>
        </w:rPr>
        <w:t>Assessment 1 Community Engagement</w:t>
      </w:r>
    </w:p>
    <w:p w14:paraId="17303C70" w14:textId="77777777" w:rsidR="008935A5" w:rsidRDefault="00BB4599" w:rsidP="004D2D0A">
      <w:pPr>
        <w:spacing w:line="360" w:lineRule="auto"/>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br w:type="page"/>
      </w:r>
    </w:p>
    <w:p w14:paraId="58E5E63A" w14:textId="397F3073" w:rsidR="008935A5" w:rsidRDefault="008935A5" w:rsidP="008935A5">
      <w:pPr>
        <w:spacing w:after="0" w:line="360" w:lineRule="auto"/>
        <w:jc w:val="both"/>
        <w:rPr>
          <w:rFonts w:ascii="Times New Roman" w:eastAsia="Times New Roman" w:hAnsi="Times New Roman" w:cs="Times New Roman"/>
          <w:b/>
          <w:bCs/>
          <w:color w:val="000000"/>
          <w:sz w:val="24"/>
          <w:szCs w:val="24"/>
          <w:lang w:eastAsia="en-IN"/>
        </w:rPr>
      </w:pPr>
    </w:p>
    <w:sdt>
      <w:sdtPr>
        <w:rPr>
          <w:rFonts w:asciiTheme="minorHAnsi" w:eastAsiaTheme="minorHAnsi" w:hAnsiTheme="minorHAnsi" w:cstheme="minorBidi"/>
          <w:b w:val="0"/>
          <w:color w:val="auto"/>
          <w:sz w:val="22"/>
          <w:szCs w:val="22"/>
          <w:lang w:val="en-IN"/>
        </w:rPr>
        <w:id w:val="-1266307747"/>
        <w:docPartObj>
          <w:docPartGallery w:val="Table of Contents"/>
          <w:docPartUnique/>
        </w:docPartObj>
      </w:sdtPr>
      <w:sdtEndPr>
        <w:rPr>
          <w:bCs/>
          <w:noProof/>
        </w:rPr>
      </w:sdtEndPr>
      <w:sdtContent>
        <w:p w14:paraId="43D7D97A" w14:textId="5E14AD23" w:rsidR="00611B17" w:rsidRDefault="00BB4599" w:rsidP="00611B17">
          <w:pPr>
            <w:pStyle w:val="TOCHeading"/>
            <w:jc w:val="center"/>
          </w:pPr>
          <w:r>
            <w:t>Table of Contents</w:t>
          </w:r>
        </w:p>
        <w:p w14:paraId="50FB1EF5" w14:textId="21F8DB58" w:rsidR="00611B17" w:rsidRDefault="00BB4599">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9555120" w:history="1">
            <w:r w:rsidRPr="00113387">
              <w:rPr>
                <w:rStyle w:val="Hyperlink"/>
                <w:rFonts w:eastAsia="Times New Roman"/>
                <w:noProof/>
                <w:lang w:eastAsia="en-IN"/>
              </w:rPr>
              <w:t>Introduction</w:t>
            </w:r>
            <w:r>
              <w:rPr>
                <w:noProof/>
                <w:webHidden/>
              </w:rPr>
              <w:tab/>
            </w:r>
            <w:r>
              <w:rPr>
                <w:noProof/>
                <w:webHidden/>
              </w:rPr>
              <w:fldChar w:fldCharType="begin"/>
            </w:r>
            <w:r>
              <w:rPr>
                <w:noProof/>
                <w:webHidden/>
              </w:rPr>
              <w:instrText xml:space="preserve"> PAGEREF _Toc99555120 \h </w:instrText>
            </w:r>
            <w:r>
              <w:rPr>
                <w:noProof/>
                <w:webHidden/>
              </w:rPr>
            </w:r>
            <w:r>
              <w:rPr>
                <w:noProof/>
                <w:webHidden/>
              </w:rPr>
              <w:fldChar w:fldCharType="separate"/>
            </w:r>
            <w:r>
              <w:rPr>
                <w:noProof/>
                <w:webHidden/>
              </w:rPr>
              <w:t>3</w:t>
            </w:r>
            <w:r>
              <w:rPr>
                <w:noProof/>
                <w:webHidden/>
              </w:rPr>
              <w:fldChar w:fldCharType="end"/>
            </w:r>
          </w:hyperlink>
        </w:p>
        <w:p w14:paraId="4CDF8F92" w14:textId="7427D3B8" w:rsidR="00611B17" w:rsidRDefault="00FE7EF3">
          <w:pPr>
            <w:pStyle w:val="TOC1"/>
            <w:tabs>
              <w:tab w:val="right" w:leader="dot" w:pos="9016"/>
            </w:tabs>
            <w:rPr>
              <w:rFonts w:asciiTheme="minorHAnsi" w:eastAsiaTheme="minorEastAsia" w:hAnsiTheme="minorHAnsi"/>
              <w:noProof/>
              <w:sz w:val="22"/>
              <w:lang w:val="en-IN" w:eastAsia="en-IN"/>
            </w:rPr>
          </w:pPr>
          <w:hyperlink w:anchor="_Toc99555121" w:history="1">
            <w:r w:rsidR="00BB4599" w:rsidRPr="00113387">
              <w:rPr>
                <w:rStyle w:val="Hyperlink"/>
                <w:rFonts w:eastAsia="Times New Roman"/>
                <w:noProof/>
                <w:lang w:eastAsia="en-IN"/>
              </w:rPr>
              <w:t>Description of project</w:t>
            </w:r>
            <w:r w:rsidR="00BB4599">
              <w:rPr>
                <w:noProof/>
                <w:webHidden/>
              </w:rPr>
              <w:tab/>
            </w:r>
            <w:r w:rsidR="00BB4599">
              <w:rPr>
                <w:noProof/>
                <w:webHidden/>
              </w:rPr>
              <w:fldChar w:fldCharType="begin"/>
            </w:r>
            <w:r w:rsidR="00BB4599">
              <w:rPr>
                <w:noProof/>
                <w:webHidden/>
              </w:rPr>
              <w:instrText xml:space="preserve"> PAGEREF _Toc99555121 \h </w:instrText>
            </w:r>
            <w:r w:rsidR="00BB4599">
              <w:rPr>
                <w:noProof/>
                <w:webHidden/>
              </w:rPr>
            </w:r>
            <w:r w:rsidR="00BB4599">
              <w:rPr>
                <w:noProof/>
                <w:webHidden/>
              </w:rPr>
              <w:fldChar w:fldCharType="separate"/>
            </w:r>
            <w:r w:rsidR="00BB4599">
              <w:rPr>
                <w:noProof/>
                <w:webHidden/>
              </w:rPr>
              <w:t>3</w:t>
            </w:r>
            <w:r w:rsidR="00BB4599">
              <w:rPr>
                <w:noProof/>
                <w:webHidden/>
              </w:rPr>
              <w:fldChar w:fldCharType="end"/>
            </w:r>
          </w:hyperlink>
        </w:p>
        <w:p w14:paraId="3793A377" w14:textId="5F915DDD" w:rsidR="00611B17" w:rsidRDefault="00FE7EF3">
          <w:pPr>
            <w:pStyle w:val="TOC1"/>
            <w:tabs>
              <w:tab w:val="right" w:leader="dot" w:pos="9016"/>
            </w:tabs>
            <w:rPr>
              <w:rFonts w:asciiTheme="minorHAnsi" w:eastAsiaTheme="minorEastAsia" w:hAnsiTheme="minorHAnsi"/>
              <w:noProof/>
              <w:sz w:val="22"/>
              <w:lang w:val="en-IN" w:eastAsia="en-IN"/>
            </w:rPr>
          </w:pPr>
          <w:hyperlink w:anchor="_Toc99555122" w:history="1">
            <w:r w:rsidR="00BB4599" w:rsidRPr="00113387">
              <w:rPr>
                <w:rStyle w:val="Hyperlink"/>
                <w:rFonts w:eastAsia="Times New Roman"/>
                <w:noProof/>
                <w:shd w:val="clear" w:color="auto" w:fill="FFFFFF"/>
                <w:lang w:eastAsia="en-IN"/>
              </w:rPr>
              <w:t>Relationship between the stakeholders</w:t>
            </w:r>
            <w:r w:rsidR="00BB4599">
              <w:rPr>
                <w:noProof/>
                <w:webHidden/>
              </w:rPr>
              <w:tab/>
            </w:r>
            <w:r w:rsidR="00BB4599">
              <w:rPr>
                <w:noProof/>
                <w:webHidden/>
              </w:rPr>
              <w:fldChar w:fldCharType="begin"/>
            </w:r>
            <w:r w:rsidR="00BB4599">
              <w:rPr>
                <w:noProof/>
                <w:webHidden/>
              </w:rPr>
              <w:instrText xml:space="preserve"> PAGEREF _Toc99555122 \h </w:instrText>
            </w:r>
            <w:r w:rsidR="00BB4599">
              <w:rPr>
                <w:noProof/>
                <w:webHidden/>
              </w:rPr>
            </w:r>
            <w:r w:rsidR="00BB4599">
              <w:rPr>
                <w:noProof/>
                <w:webHidden/>
              </w:rPr>
              <w:fldChar w:fldCharType="separate"/>
            </w:r>
            <w:r w:rsidR="00BB4599">
              <w:rPr>
                <w:noProof/>
                <w:webHidden/>
              </w:rPr>
              <w:t>5</w:t>
            </w:r>
            <w:r w:rsidR="00BB4599">
              <w:rPr>
                <w:noProof/>
                <w:webHidden/>
              </w:rPr>
              <w:fldChar w:fldCharType="end"/>
            </w:r>
          </w:hyperlink>
        </w:p>
        <w:p w14:paraId="35F2D463" w14:textId="2C3B9903" w:rsidR="00611B17" w:rsidRDefault="00FE7EF3">
          <w:pPr>
            <w:pStyle w:val="TOC1"/>
            <w:tabs>
              <w:tab w:val="right" w:leader="dot" w:pos="9016"/>
            </w:tabs>
            <w:rPr>
              <w:rFonts w:asciiTheme="minorHAnsi" w:eastAsiaTheme="minorEastAsia" w:hAnsiTheme="minorHAnsi"/>
              <w:noProof/>
              <w:sz w:val="22"/>
              <w:lang w:val="en-IN" w:eastAsia="en-IN"/>
            </w:rPr>
          </w:pPr>
          <w:hyperlink w:anchor="_Toc99555123" w:history="1">
            <w:r w:rsidR="00BB4599" w:rsidRPr="00113387">
              <w:rPr>
                <w:rStyle w:val="Hyperlink"/>
                <w:rFonts w:eastAsia="Times New Roman"/>
                <w:noProof/>
                <w:shd w:val="clear" w:color="auto" w:fill="FFFFFF"/>
                <w:lang w:eastAsia="en-IN"/>
              </w:rPr>
              <w:t>Social media strategies for socio-cultural integration and multiculturalism</w:t>
            </w:r>
            <w:r w:rsidR="00BB4599">
              <w:rPr>
                <w:noProof/>
                <w:webHidden/>
              </w:rPr>
              <w:tab/>
            </w:r>
            <w:r w:rsidR="00BB4599">
              <w:rPr>
                <w:noProof/>
                <w:webHidden/>
              </w:rPr>
              <w:fldChar w:fldCharType="begin"/>
            </w:r>
            <w:r w:rsidR="00BB4599">
              <w:rPr>
                <w:noProof/>
                <w:webHidden/>
              </w:rPr>
              <w:instrText xml:space="preserve"> PAGEREF _Toc99555123 \h </w:instrText>
            </w:r>
            <w:r w:rsidR="00BB4599">
              <w:rPr>
                <w:noProof/>
                <w:webHidden/>
              </w:rPr>
            </w:r>
            <w:r w:rsidR="00BB4599">
              <w:rPr>
                <w:noProof/>
                <w:webHidden/>
              </w:rPr>
              <w:fldChar w:fldCharType="separate"/>
            </w:r>
            <w:r w:rsidR="00BB4599">
              <w:rPr>
                <w:noProof/>
                <w:webHidden/>
              </w:rPr>
              <w:t>6</w:t>
            </w:r>
            <w:r w:rsidR="00BB4599">
              <w:rPr>
                <w:noProof/>
                <w:webHidden/>
              </w:rPr>
              <w:fldChar w:fldCharType="end"/>
            </w:r>
          </w:hyperlink>
        </w:p>
        <w:p w14:paraId="3FCAB0BB" w14:textId="4ECF2A06" w:rsidR="00611B17" w:rsidRDefault="00FE7EF3">
          <w:pPr>
            <w:pStyle w:val="TOC1"/>
            <w:tabs>
              <w:tab w:val="right" w:leader="dot" w:pos="9016"/>
            </w:tabs>
            <w:rPr>
              <w:rFonts w:asciiTheme="minorHAnsi" w:eastAsiaTheme="minorEastAsia" w:hAnsiTheme="minorHAnsi"/>
              <w:noProof/>
              <w:sz w:val="22"/>
              <w:lang w:val="en-IN" w:eastAsia="en-IN"/>
            </w:rPr>
          </w:pPr>
          <w:hyperlink w:anchor="_Toc99555124" w:history="1">
            <w:r w:rsidR="00BB4599" w:rsidRPr="00113387">
              <w:rPr>
                <w:rStyle w:val="Hyperlink"/>
                <w:rFonts w:eastAsia="Times New Roman"/>
                <w:noProof/>
                <w:lang w:eastAsia="en-IN"/>
              </w:rPr>
              <w:t>Forward-looking approach</w:t>
            </w:r>
            <w:r w:rsidR="00BB4599">
              <w:rPr>
                <w:noProof/>
                <w:webHidden/>
              </w:rPr>
              <w:tab/>
            </w:r>
            <w:r w:rsidR="00BB4599">
              <w:rPr>
                <w:noProof/>
                <w:webHidden/>
              </w:rPr>
              <w:fldChar w:fldCharType="begin"/>
            </w:r>
            <w:r w:rsidR="00BB4599">
              <w:rPr>
                <w:noProof/>
                <w:webHidden/>
              </w:rPr>
              <w:instrText xml:space="preserve"> PAGEREF _Toc99555124 \h </w:instrText>
            </w:r>
            <w:r w:rsidR="00BB4599">
              <w:rPr>
                <w:noProof/>
                <w:webHidden/>
              </w:rPr>
            </w:r>
            <w:r w:rsidR="00BB4599">
              <w:rPr>
                <w:noProof/>
                <w:webHidden/>
              </w:rPr>
              <w:fldChar w:fldCharType="separate"/>
            </w:r>
            <w:r w:rsidR="00BB4599">
              <w:rPr>
                <w:noProof/>
                <w:webHidden/>
              </w:rPr>
              <w:t>7</w:t>
            </w:r>
            <w:r w:rsidR="00BB4599">
              <w:rPr>
                <w:noProof/>
                <w:webHidden/>
              </w:rPr>
              <w:fldChar w:fldCharType="end"/>
            </w:r>
          </w:hyperlink>
        </w:p>
        <w:p w14:paraId="5DEADCCF" w14:textId="77C2F30C" w:rsidR="00611B17" w:rsidRDefault="00FE7EF3">
          <w:pPr>
            <w:pStyle w:val="TOC1"/>
            <w:tabs>
              <w:tab w:val="right" w:leader="dot" w:pos="9016"/>
            </w:tabs>
            <w:rPr>
              <w:rFonts w:asciiTheme="minorHAnsi" w:eastAsiaTheme="minorEastAsia" w:hAnsiTheme="minorHAnsi"/>
              <w:noProof/>
              <w:sz w:val="22"/>
              <w:lang w:val="en-IN" w:eastAsia="en-IN"/>
            </w:rPr>
          </w:pPr>
          <w:hyperlink w:anchor="_Toc99555125" w:history="1">
            <w:r w:rsidR="00BB4599" w:rsidRPr="00113387">
              <w:rPr>
                <w:rStyle w:val="Hyperlink"/>
                <w:rFonts w:eastAsia="Times New Roman"/>
                <w:noProof/>
                <w:lang w:eastAsia="en-IN"/>
              </w:rPr>
              <w:t>Conclusion</w:t>
            </w:r>
            <w:r w:rsidR="00BB4599">
              <w:rPr>
                <w:noProof/>
                <w:webHidden/>
              </w:rPr>
              <w:tab/>
            </w:r>
            <w:r w:rsidR="00BB4599">
              <w:rPr>
                <w:noProof/>
                <w:webHidden/>
              </w:rPr>
              <w:fldChar w:fldCharType="begin"/>
            </w:r>
            <w:r w:rsidR="00BB4599">
              <w:rPr>
                <w:noProof/>
                <w:webHidden/>
              </w:rPr>
              <w:instrText xml:space="preserve"> PAGEREF _Toc99555125 \h </w:instrText>
            </w:r>
            <w:r w:rsidR="00BB4599">
              <w:rPr>
                <w:noProof/>
                <w:webHidden/>
              </w:rPr>
            </w:r>
            <w:r w:rsidR="00BB4599">
              <w:rPr>
                <w:noProof/>
                <w:webHidden/>
              </w:rPr>
              <w:fldChar w:fldCharType="separate"/>
            </w:r>
            <w:r w:rsidR="00BB4599">
              <w:rPr>
                <w:noProof/>
                <w:webHidden/>
              </w:rPr>
              <w:t>7</w:t>
            </w:r>
            <w:r w:rsidR="00BB4599">
              <w:rPr>
                <w:noProof/>
                <w:webHidden/>
              </w:rPr>
              <w:fldChar w:fldCharType="end"/>
            </w:r>
          </w:hyperlink>
        </w:p>
        <w:p w14:paraId="1625DA1A" w14:textId="06AF804D" w:rsidR="00611B17" w:rsidRDefault="00FE7EF3">
          <w:pPr>
            <w:pStyle w:val="TOC1"/>
            <w:tabs>
              <w:tab w:val="right" w:leader="dot" w:pos="9016"/>
            </w:tabs>
            <w:rPr>
              <w:rFonts w:asciiTheme="minorHAnsi" w:eastAsiaTheme="minorEastAsia" w:hAnsiTheme="minorHAnsi"/>
              <w:noProof/>
              <w:sz w:val="22"/>
              <w:lang w:val="en-IN" w:eastAsia="en-IN"/>
            </w:rPr>
          </w:pPr>
          <w:hyperlink w:anchor="_Toc99555126" w:history="1">
            <w:r w:rsidR="00BB4599" w:rsidRPr="00113387">
              <w:rPr>
                <w:rStyle w:val="Hyperlink"/>
                <w:rFonts w:eastAsia="Times New Roman"/>
                <w:noProof/>
                <w:lang w:eastAsia="en-IN"/>
              </w:rPr>
              <w:t>References</w:t>
            </w:r>
            <w:r w:rsidR="00BB4599">
              <w:rPr>
                <w:noProof/>
                <w:webHidden/>
              </w:rPr>
              <w:tab/>
            </w:r>
            <w:r w:rsidR="00BB4599">
              <w:rPr>
                <w:noProof/>
                <w:webHidden/>
              </w:rPr>
              <w:fldChar w:fldCharType="begin"/>
            </w:r>
            <w:r w:rsidR="00BB4599">
              <w:rPr>
                <w:noProof/>
                <w:webHidden/>
              </w:rPr>
              <w:instrText xml:space="preserve"> PAGEREF _Toc99555126 \h </w:instrText>
            </w:r>
            <w:r w:rsidR="00BB4599">
              <w:rPr>
                <w:noProof/>
                <w:webHidden/>
              </w:rPr>
            </w:r>
            <w:r w:rsidR="00BB4599">
              <w:rPr>
                <w:noProof/>
                <w:webHidden/>
              </w:rPr>
              <w:fldChar w:fldCharType="separate"/>
            </w:r>
            <w:r w:rsidR="00BB4599">
              <w:rPr>
                <w:noProof/>
                <w:webHidden/>
              </w:rPr>
              <w:t>8</w:t>
            </w:r>
            <w:r w:rsidR="00BB4599">
              <w:rPr>
                <w:noProof/>
                <w:webHidden/>
              </w:rPr>
              <w:fldChar w:fldCharType="end"/>
            </w:r>
          </w:hyperlink>
        </w:p>
        <w:p w14:paraId="4ABEE866" w14:textId="15D9C2D9" w:rsidR="00611B17" w:rsidRDefault="00BB4599">
          <w:r>
            <w:rPr>
              <w:b/>
              <w:bCs/>
              <w:noProof/>
            </w:rPr>
            <w:fldChar w:fldCharType="end"/>
          </w:r>
        </w:p>
      </w:sdtContent>
    </w:sdt>
    <w:p w14:paraId="4846D7DD" w14:textId="77777777" w:rsidR="008935A5" w:rsidRDefault="00BB4599">
      <w:pP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br w:type="page"/>
      </w:r>
    </w:p>
    <w:p w14:paraId="7EF8BCCA" w14:textId="06BE2966" w:rsidR="008935A5" w:rsidRPr="008935A5" w:rsidRDefault="00BB4599" w:rsidP="008935A5">
      <w:pPr>
        <w:pStyle w:val="Heading1"/>
        <w:rPr>
          <w:rFonts w:eastAsia="Times New Roman"/>
          <w:lang w:eastAsia="en-IN"/>
        </w:rPr>
      </w:pPr>
      <w:bookmarkStart w:id="0" w:name="_Toc99555120"/>
      <w:r w:rsidRPr="008935A5">
        <w:rPr>
          <w:rFonts w:eastAsia="Times New Roman"/>
          <w:lang w:eastAsia="en-IN"/>
        </w:rPr>
        <w:lastRenderedPageBreak/>
        <w:t>Introduction</w:t>
      </w:r>
      <w:bookmarkEnd w:id="0"/>
    </w:p>
    <w:p w14:paraId="276FA033"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Community engagement is the procedure of working together or collaboratively with some groups of people. These groups should be affiliated with special interests, similar situations, or geographic proximity (Tuttle et al., 2021). So that they can address the problems which affect the welfare of those people. This tool is extremely powerful and it helps to bring changes in both behavioural and environmental. These changes help in improving the community health and members of those communities. Coalitions and partnerships are included in this. It helps to organise the resources as well as influence the system to bring changes in the relationships of the partners. It also acts as a catalyst to change the policies, practices, and programs. An example of community engagement is to fill a shift of volunteers in the local organisation, building up social media tools for that organisation or building up a community mural.</w:t>
      </w:r>
    </w:p>
    <w:p w14:paraId="00618019"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In this report, the author will describe the project with its overview. Also, the best practices in community engagement will be discussed here. The author will talk about the way a local community conducts community engagement as well as some relevant avenues that help to promote community participation and diversity. In this report, the relationship between the stakeholders will also be justified here. Along with that, the benefit of the stakeholder’s participation in community engagement will get enlightened. Not only these but also the social media strategies for social culture integration and multiculturalism will be discussed. The author will also enlighten the forward-looking approach.</w:t>
      </w:r>
    </w:p>
    <w:p w14:paraId="377C0212" w14:textId="37FE2E16" w:rsidR="008935A5" w:rsidRPr="008935A5" w:rsidRDefault="00BB4599" w:rsidP="008935A5">
      <w:pPr>
        <w:pStyle w:val="Heading1"/>
        <w:rPr>
          <w:rFonts w:eastAsia="Times New Roman"/>
          <w:lang w:eastAsia="en-IN"/>
        </w:rPr>
      </w:pPr>
      <w:bookmarkStart w:id="1" w:name="_Toc99555121"/>
      <w:r w:rsidRPr="008935A5">
        <w:rPr>
          <w:rFonts w:eastAsia="Times New Roman"/>
          <w:lang w:eastAsia="en-IN"/>
        </w:rPr>
        <w:t>Description of project</w:t>
      </w:r>
      <w:bookmarkEnd w:id="1"/>
    </w:p>
    <w:p w14:paraId="2B682EDB"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00000"/>
          <w:sz w:val="24"/>
          <w:szCs w:val="24"/>
          <w:lang w:eastAsia="en-IN"/>
        </w:rPr>
        <w:t xml:space="preserve">Overview of the project and program: </w:t>
      </w:r>
      <w:r w:rsidRPr="008935A5">
        <w:rPr>
          <w:rFonts w:ascii="Times New Roman" w:eastAsia="Times New Roman" w:hAnsi="Times New Roman" w:cs="Times New Roman"/>
          <w:color w:val="000000"/>
          <w:sz w:val="24"/>
          <w:szCs w:val="24"/>
          <w:lang w:eastAsia="en-IN"/>
        </w:rPr>
        <w:t>The Scope is currently working on community engagement (Key et al., 2019). This program helps to empower the local people in taking action and bring change to the local community. The program is mainly for those people who are abled differently and are aged from 12 to 65. The program also works for the parents, unpaid carers, and the families of those children who are abled differently. People’s health trust funds this project. This program of community engagement is now running in locations like West Norfolk, Southend, Thurrock, Brighton, and Hove UK. Their working process is also very interesting. Mainly, the local people create some groups and once a month they meet. The gatherings are usually informal where they meet several new people, talk about new ideas, and build up new projects. All the area has their dedicated funds provided by the local people to expand on the local projects. The local projects include improvement of the beach access, workshops on sleep for the parents, art workshops, accessible allotments, and so on.</w:t>
      </w:r>
    </w:p>
    <w:p w14:paraId="56DA3FE7"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202124"/>
          <w:sz w:val="24"/>
          <w:szCs w:val="24"/>
          <w:shd w:val="clear" w:color="auto" w:fill="FFFFFF"/>
          <w:lang w:eastAsia="en-IN"/>
        </w:rPr>
        <w:lastRenderedPageBreak/>
        <w:t xml:space="preserve">Best practices in community engagement: </w:t>
      </w:r>
      <w:r w:rsidRPr="008935A5">
        <w:rPr>
          <w:rFonts w:ascii="Times New Roman" w:eastAsia="Times New Roman" w:hAnsi="Times New Roman" w:cs="Times New Roman"/>
          <w:color w:val="202124"/>
          <w:sz w:val="24"/>
          <w:szCs w:val="24"/>
          <w:shd w:val="clear" w:color="auto" w:fill="FFFFFF"/>
          <w:lang w:eastAsia="en-IN"/>
        </w:rPr>
        <w:t>The best practices in community engagement are discussed here. For that, at first, what is needed is to determine the goal and purpose of that community engagement (Firestone et al., 2018). After that, the target audiences should be identified. Next, the methods of engagement should be defined. There are several ways, through which the effort can be reached by a large number of people. After that, find a perfect location where all the work can be accomplished. Also, create a partnership that will be dependable. As well, talk about engagement. Proper communication can solve a lot of problems. Also, create the materials that are needed for informing people about those efforts. Try to impress the asset-based perspectives. Also, value social justice as well as diversity. Try to engage the local community and the people in reflection and education.</w:t>
      </w:r>
    </w:p>
    <w:p w14:paraId="0DD2718A"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202124"/>
          <w:sz w:val="24"/>
          <w:szCs w:val="24"/>
          <w:shd w:val="clear" w:color="auto" w:fill="FFFFFF"/>
          <w:lang w:eastAsia="en-IN"/>
        </w:rPr>
        <w:t>The way a local community conducts community engagement:</w:t>
      </w:r>
      <w:r w:rsidRPr="008935A5">
        <w:rPr>
          <w:rFonts w:ascii="Times New Roman" w:eastAsia="Times New Roman" w:hAnsi="Times New Roman" w:cs="Times New Roman"/>
          <w:color w:val="202124"/>
          <w:sz w:val="24"/>
          <w:szCs w:val="24"/>
          <w:shd w:val="clear" w:color="auto" w:fill="FFFFFF"/>
          <w:lang w:eastAsia="en-IN"/>
        </w:rPr>
        <w:t xml:space="preserve"> Now, the discussion will be on the way a local community can conduct community engagement. For that, what the project lead can do is communicate with the local people and can choose a person as a leader. After that, he or she will discuss with that person and build up a good relationship (Pratt and de Vries, 2018). But still the project lead or the members should take participation in the local events with the residents. Communication should be continuous so that the local leader can inform the neighbours about the prospect of the project. He or she should try to educate the community with proper knowledge and education. The project lead should give space to the ambassador so that he or she can take the community forward according to his or her way. Also, the team should give him or her a chance so that the person can work on the differently-abled person. But the project manager or the leader should be consistent and they should stay involved in the matter of locality.</w:t>
      </w:r>
    </w:p>
    <w:p w14:paraId="085FCF37" w14:textId="77777777" w:rsidR="00901F2A" w:rsidRDefault="00BB4599" w:rsidP="008935A5">
      <w:pPr>
        <w:spacing w:after="0" w:line="360" w:lineRule="auto"/>
        <w:jc w:val="both"/>
        <w:rPr>
          <w:rFonts w:ascii="Times New Roman" w:eastAsia="Times New Roman" w:hAnsi="Times New Roman" w:cs="Times New Roman"/>
          <w:color w:val="202124"/>
          <w:sz w:val="24"/>
          <w:szCs w:val="24"/>
          <w:shd w:val="clear" w:color="auto" w:fill="FFFFFF"/>
          <w:lang w:eastAsia="en-IN"/>
        </w:rPr>
      </w:pPr>
      <w:r w:rsidRPr="008935A5">
        <w:rPr>
          <w:rFonts w:ascii="Times New Roman" w:eastAsia="Times New Roman" w:hAnsi="Times New Roman" w:cs="Times New Roman"/>
          <w:b/>
          <w:bCs/>
          <w:color w:val="202124"/>
          <w:sz w:val="24"/>
          <w:szCs w:val="24"/>
          <w:shd w:val="clear" w:color="auto" w:fill="FFFFFF"/>
          <w:lang w:eastAsia="en-IN"/>
        </w:rPr>
        <w:t>Relevant avenues to promote community participation and diversity:</w:t>
      </w:r>
      <w:r w:rsidRPr="008935A5">
        <w:rPr>
          <w:rFonts w:ascii="Times New Roman" w:eastAsia="Times New Roman" w:hAnsi="Times New Roman" w:cs="Times New Roman"/>
          <w:color w:val="202124"/>
          <w:sz w:val="24"/>
          <w:szCs w:val="24"/>
          <w:shd w:val="clear" w:color="auto" w:fill="FFFFFF"/>
          <w:lang w:eastAsia="en-IN"/>
        </w:rPr>
        <w:t xml:space="preserve"> There are several ways through which a project lead can encourage community engagement in different and diverse communities. Here are some tips that will be helpful in this case. The team should plan to expend their time in the process of engagement. For that, they have to be prepared, should consult, and publish a report of the whole thing (Jimenez et al., 2019). To last the relationship with the participants what the leader or the members should do is to stay at the forefront and in contact with them even afterwards. The project team should research the culture of the local community. This is very wrong when a project team is communicating with a particular community and they do not have any idea about them. To stay away from any type of barriers, researching is extremely important in this case. Everyone should be aware of the fact that cultural differences can happen for sure. That is why they should not take anything personally while communicating with the local people. Patience is another plus point that a project leader </w:t>
      </w:r>
      <w:r w:rsidRPr="008935A5">
        <w:rPr>
          <w:rFonts w:ascii="Times New Roman" w:eastAsia="Times New Roman" w:hAnsi="Times New Roman" w:cs="Times New Roman"/>
          <w:color w:val="202124"/>
          <w:sz w:val="24"/>
          <w:szCs w:val="24"/>
          <w:shd w:val="clear" w:color="auto" w:fill="FFFFFF"/>
          <w:lang w:eastAsia="en-IN"/>
        </w:rPr>
        <w:lastRenderedPageBreak/>
        <w:t xml:space="preserve">and the members should have. They also should be aware of the fact that the different communities have different understanding and thoughts along with cultural and language barriers. So, keeping patience is the most needed thing in this. </w:t>
      </w:r>
    </w:p>
    <w:p w14:paraId="5D5A6ED5" w14:textId="6ED54FB5"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202124"/>
          <w:sz w:val="24"/>
          <w:szCs w:val="24"/>
          <w:shd w:val="clear" w:color="auto" w:fill="FFFFFF"/>
          <w:lang w:eastAsia="en-IN"/>
        </w:rPr>
        <w:t>To encourage community engagement, the team should be very creative so that they can make the local people feel free to participate (Cheung et al., 2020). Always stay connected and build up the relationship with the local community members by creating a social group. Also, the team should try to arrange a digital option. This can be used by those people who are willing to join the project anonymously that too from their homes. As those people are differently-abled, it will be helpful for them. Every community and the people feel important when other people show interest in their culture. That is why the project team should explore the community by communicating with the members and asking a question. The last but not the least thing that the project team should keep in their mind is to make the community and the people feel safe. The team should be acceptable enough to the community so that they can give their opinion and it does not matter whether the opinion is opposing the majority or not.</w:t>
      </w:r>
    </w:p>
    <w:p w14:paraId="715AC7F4" w14:textId="77777777" w:rsidR="008935A5" w:rsidRPr="008935A5" w:rsidRDefault="00BB4599" w:rsidP="008935A5">
      <w:pPr>
        <w:pStyle w:val="Heading1"/>
        <w:rPr>
          <w:rFonts w:eastAsia="Times New Roman"/>
          <w:lang w:eastAsia="en-IN"/>
        </w:rPr>
      </w:pPr>
      <w:bookmarkStart w:id="2" w:name="_Toc99555122"/>
      <w:r w:rsidRPr="008935A5">
        <w:rPr>
          <w:rFonts w:eastAsia="Times New Roman"/>
          <w:shd w:val="clear" w:color="auto" w:fill="FFFFFF"/>
          <w:lang w:eastAsia="en-IN"/>
        </w:rPr>
        <w:t>Relationship between the stakeholders</w:t>
      </w:r>
      <w:bookmarkEnd w:id="2"/>
    </w:p>
    <w:p w14:paraId="42B5CF08"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E101A"/>
          <w:sz w:val="24"/>
          <w:szCs w:val="24"/>
          <w:shd w:val="clear" w:color="auto" w:fill="FFFFFF"/>
          <w:lang w:eastAsia="en-IN"/>
        </w:rPr>
        <w:t>The relationship between the stakeholders builds new networks that help to develop reliable and combined voices about different issues, services, and products that are important to the organisation (Childs and Grooms, 2018). The Scope shares an outstanding relationship with the stakeholders. It helps them in their sustainable growth and to secure their economic contribution. Below the stakeholders of Scope are mentioned. </w:t>
      </w:r>
    </w:p>
    <w:p w14:paraId="53D43541"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E101A"/>
          <w:sz w:val="24"/>
          <w:szCs w:val="24"/>
          <w:shd w:val="clear" w:color="auto" w:fill="FFFFFF"/>
          <w:lang w:eastAsia="en-IN"/>
        </w:rPr>
        <w:t>Employees:</w:t>
      </w:r>
      <w:r w:rsidRPr="008935A5">
        <w:rPr>
          <w:rFonts w:ascii="Times New Roman" w:eastAsia="Times New Roman" w:hAnsi="Times New Roman" w:cs="Times New Roman"/>
          <w:color w:val="0E101A"/>
          <w:sz w:val="24"/>
          <w:szCs w:val="24"/>
          <w:shd w:val="clear" w:color="auto" w:fill="FFFFFF"/>
          <w:lang w:eastAsia="en-IN"/>
        </w:rPr>
        <w:t xml:space="preserve"> The hierarchy has a positive attitude towards the employees of the company. In this organisation, the working atmosphere is extremely friendly and it allows the employees to self-develop. The organisation also tries to involve the employees in every moral campaign which makes them energised to work better.</w:t>
      </w:r>
    </w:p>
    <w:p w14:paraId="0F0BE62B"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E101A"/>
          <w:sz w:val="24"/>
          <w:szCs w:val="24"/>
          <w:shd w:val="clear" w:color="auto" w:fill="FFFFFF"/>
          <w:lang w:eastAsia="en-IN"/>
        </w:rPr>
        <w:t>Members:</w:t>
      </w:r>
      <w:r w:rsidRPr="008935A5">
        <w:rPr>
          <w:rFonts w:ascii="Times New Roman" w:eastAsia="Times New Roman" w:hAnsi="Times New Roman" w:cs="Times New Roman"/>
          <w:color w:val="0E101A"/>
          <w:sz w:val="24"/>
          <w:szCs w:val="24"/>
          <w:shd w:val="clear" w:color="auto" w:fill="FFFFFF"/>
          <w:lang w:eastAsia="en-IN"/>
        </w:rPr>
        <w:t xml:space="preserve"> This organisation maintains a good relationship with its members and that is why most of them renew their membership every year. The members also donate to the contribution fund of the Scope trust.</w:t>
      </w:r>
    </w:p>
    <w:p w14:paraId="5689B425"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E101A"/>
          <w:sz w:val="24"/>
          <w:szCs w:val="24"/>
          <w:shd w:val="clear" w:color="auto" w:fill="FFFFFF"/>
          <w:lang w:eastAsia="en-IN"/>
        </w:rPr>
        <w:t>Donors:</w:t>
      </w:r>
      <w:r w:rsidRPr="008935A5">
        <w:rPr>
          <w:rFonts w:ascii="Times New Roman" w:eastAsia="Times New Roman" w:hAnsi="Times New Roman" w:cs="Times New Roman"/>
          <w:color w:val="0E101A"/>
          <w:sz w:val="24"/>
          <w:szCs w:val="24"/>
          <w:shd w:val="clear" w:color="auto" w:fill="FFFFFF"/>
          <w:lang w:eastAsia="en-IN"/>
        </w:rPr>
        <w:t xml:space="preserve"> In this organisation, not only the members but several donors also donate a good amount of money to the projects. With those, this organisation tries to change the world positively.</w:t>
      </w:r>
    </w:p>
    <w:p w14:paraId="7BD0D5F1"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E101A"/>
          <w:sz w:val="24"/>
          <w:szCs w:val="24"/>
          <w:shd w:val="clear" w:color="auto" w:fill="FFFFFF"/>
          <w:lang w:eastAsia="en-IN"/>
        </w:rPr>
        <w:t xml:space="preserve">Local community: </w:t>
      </w:r>
      <w:r w:rsidRPr="008935A5">
        <w:rPr>
          <w:rFonts w:ascii="Times New Roman" w:eastAsia="Times New Roman" w:hAnsi="Times New Roman" w:cs="Times New Roman"/>
          <w:color w:val="0E101A"/>
          <w:sz w:val="24"/>
          <w:szCs w:val="24"/>
          <w:shd w:val="clear" w:color="auto" w:fill="FFFFFF"/>
          <w:lang w:eastAsia="en-IN"/>
        </w:rPr>
        <w:t>The Scope arranges several campaigns to uphold their social responsibilities within the local community and involve them too. The organisation tries to maintain a healthy relationship with them to bring changes in the community.</w:t>
      </w:r>
    </w:p>
    <w:p w14:paraId="15AC6AFA"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202124"/>
          <w:sz w:val="24"/>
          <w:szCs w:val="24"/>
          <w:shd w:val="clear" w:color="auto" w:fill="FFFFFF"/>
          <w:lang w:eastAsia="en-IN"/>
        </w:rPr>
        <w:lastRenderedPageBreak/>
        <w:t>Benefits of stakeholders’ participation in community engagement:</w:t>
      </w:r>
      <w:r w:rsidRPr="008935A5">
        <w:rPr>
          <w:rFonts w:ascii="Times New Roman" w:eastAsia="Times New Roman" w:hAnsi="Times New Roman" w:cs="Times New Roman"/>
          <w:color w:val="202124"/>
          <w:sz w:val="24"/>
          <w:szCs w:val="24"/>
          <w:shd w:val="clear" w:color="auto" w:fill="FFFFFF"/>
          <w:lang w:eastAsia="en-IN"/>
        </w:rPr>
        <w:t xml:space="preserve"> Engaging in the community with the participation of stakeholders has several benefits. It helps in the improvement of competitiveness, legitimacy, and the decision-making of the company (Yanes et al., 2019). These can be done by gathering local knowledge, boosting the recruitment rate, reducing conflict, and preventing unwanted delays. Also, it helps the organisation in cost savings, accountability, risk management, and so on.</w:t>
      </w:r>
    </w:p>
    <w:p w14:paraId="1290A601" w14:textId="77777777" w:rsidR="008935A5" w:rsidRPr="008935A5" w:rsidRDefault="00BB4599" w:rsidP="008935A5">
      <w:pPr>
        <w:pStyle w:val="Heading1"/>
        <w:rPr>
          <w:rFonts w:eastAsia="Times New Roman"/>
          <w:lang w:eastAsia="en-IN"/>
        </w:rPr>
      </w:pPr>
      <w:bookmarkStart w:id="3" w:name="_Toc99555123"/>
      <w:r w:rsidRPr="008935A5">
        <w:rPr>
          <w:rFonts w:eastAsia="Times New Roman"/>
          <w:shd w:val="clear" w:color="auto" w:fill="FFFFFF"/>
          <w:lang w:eastAsia="en-IN"/>
        </w:rPr>
        <w:t>Social media strategies for socio-cultural integration and multiculturalism</w:t>
      </w:r>
      <w:bookmarkEnd w:id="3"/>
    </w:p>
    <w:p w14:paraId="523D3C25" w14:textId="4BDD4193"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E101A"/>
          <w:sz w:val="24"/>
          <w:szCs w:val="24"/>
          <w:shd w:val="clear" w:color="auto" w:fill="FFFFFF"/>
          <w:lang w:eastAsia="en-IN"/>
        </w:rPr>
        <w:t xml:space="preserve">Role of social media in multiculturalism: </w:t>
      </w:r>
      <w:r w:rsidR="00901F2A" w:rsidRPr="008935A5">
        <w:rPr>
          <w:rFonts w:ascii="Times New Roman" w:eastAsia="Times New Roman" w:hAnsi="Times New Roman" w:cs="Times New Roman"/>
          <w:color w:val="0E101A"/>
          <w:sz w:val="24"/>
          <w:szCs w:val="24"/>
          <w:shd w:val="clear" w:color="auto" w:fill="FFFFFF"/>
          <w:lang w:eastAsia="en-IN"/>
        </w:rPr>
        <w:t>social media</w:t>
      </w:r>
      <w:r w:rsidRPr="008935A5">
        <w:rPr>
          <w:rFonts w:ascii="Times New Roman" w:eastAsia="Times New Roman" w:hAnsi="Times New Roman" w:cs="Times New Roman"/>
          <w:color w:val="0E101A"/>
          <w:sz w:val="24"/>
          <w:szCs w:val="24"/>
          <w:shd w:val="clear" w:color="auto" w:fill="FFFFFF"/>
          <w:lang w:eastAsia="en-IN"/>
        </w:rPr>
        <w:t xml:space="preserve"> has helped people to get accustomed to the fact that there are so many cultures throughout the world. Most people have heard about that before the internet became a part of the household, but after that people started to get familiar with that too (Anwar and Haq, 2019). After the revolutionary invention of internet technology, powerful applications, and smartphones the world has become literally in the palm of people. Various social media platforms like Twitter, Facebook, Instagram, YouTube, and so on have brought the whole world together in terms of communication. Using the internet, Scope is also trying to spread its work to the world. People from different cultural backgrounds are also reacting to the post and it helps the fundraising process easier. This organisation uses Facebook to receive different and multi-cultural opinions that help them to upgrade their project. Twitter is also another tool for them that they use to accomplish their work. The fundraising activities are also mostly done by this. The Scope also uses the hashtag concept on their Instagram pages. Through that, they can examine the essence of multiculturalism. This has helped the company to spread its name and work not only in the UK but also outside of this country.</w:t>
      </w:r>
    </w:p>
    <w:p w14:paraId="123931BC"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E101A"/>
          <w:sz w:val="24"/>
          <w:szCs w:val="24"/>
          <w:shd w:val="clear" w:color="auto" w:fill="FFFFFF"/>
          <w:lang w:eastAsia="en-IN"/>
        </w:rPr>
        <w:t>Role of social media in cultural integration:</w:t>
      </w:r>
      <w:r w:rsidRPr="008935A5">
        <w:rPr>
          <w:rFonts w:ascii="Times New Roman" w:eastAsia="Times New Roman" w:hAnsi="Times New Roman" w:cs="Times New Roman"/>
          <w:color w:val="0E101A"/>
          <w:sz w:val="24"/>
          <w:szCs w:val="24"/>
          <w:shd w:val="clear" w:color="auto" w:fill="FFFFFF"/>
          <w:lang w:eastAsia="en-IN"/>
        </w:rPr>
        <w:t xml:space="preserve"> In the recent world, social media handles get extreme involvement in terms of cultural integration. It helps to get the benefit in societal and humanitarian aspects also. Nowadays, people not only use social media accounts to share information about their personal life but also to help the public to maintain friendly relationships within several communities (Alencar, 2018). People who have common aspects always try to build sustainable communication among the common community throughout the countries. In this case, the cultural background, as well as the mother tongue, can be different but with the help of the common factors, the people focus on that to communicate as well as integrate. The Scope also uses social media handles for their cultural integration. The organisation posts about their activities and all other information on their accounts, where people from different countries and cultures react. In the comment section and inbox, different </w:t>
      </w:r>
      <w:r w:rsidRPr="008935A5">
        <w:rPr>
          <w:rFonts w:ascii="Times New Roman" w:eastAsia="Times New Roman" w:hAnsi="Times New Roman" w:cs="Times New Roman"/>
          <w:color w:val="0E101A"/>
          <w:sz w:val="24"/>
          <w:szCs w:val="24"/>
          <w:shd w:val="clear" w:color="auto" w:fill="FFFFFF"/>
          <w:lang w:eastAsia="en-IN"/>
        </w:rPr>
        <w:lastRenderedPageBreak/>
        <w:t>types of questions and answering are also accomplished. Thus, cultural integration becomes sustainable.</w:t>
      </w:r>
    </w:p>
    <w:p w14:paraId="10FCEBA5" w14:textId="77777777" w:rsidR="008935A5" w:rsidRDefault="00BB4599" w:rsidP="008935A5">
      <w:pPr>
        <w:pStyle w:val="Heading1"/>
        <w:rPr>
          <w:rFonts w:eastAsia="Times New Roman"/>
          <w:lang w:eastAsia="en-IN"/>
        </w:rPr>
      </w:pPr>
      <w:bookmarkStart w:id="4" w:name="_Toc99555124"/>
      <w:r w:rsidRPr="008935A5">
        <w:rPr>
          <w:rFonts w:eastAsia="Times New Roman"/>
          <w:lang w:eastAsia="en-IN"/>
        </w:rPr>
        <w:t>Forward-looking approach</w:t>
      </w:r>
      <w:bookmarkEnd w:id="4"/>
    </w:p>
    <w:p w14:paraId="338F1771" w14:textId="77777777" w:rsid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E101A"/>
          <w:sz w:val="24"/>
          <w:szCs w:val="24"/>
          <w:lang w:eastAsia="en-IN"/>
        </w:rPr>
        <w:t>The Scope has several future work opportunities in hand and that too for the upcoming 5 years (Levin et al., 2019). To accomplish their forward-looking approach toward the differently-abled person they are trying to follow some steps. </w:t>
      </w:r>
    </w:p>
    <w:p w14:paraId="45E66B0B" w14:textId="77777777" w:rsid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E101A"/>
          <w:sz w:val="24"/>
          <w:szCs w:val="24"/>
          <w:lang w:eastAsia="en-IN"/>
        </w:rPr>
        <w:t>Employ the differently-abled person:</w:t>
      </w:r>
      <w:r w:rsidRPr="008935A5">
        <w:rPr>
          <w:rFonts w:ascii="Times New Roman" w:eastAsia="Times New Roman" w:hAnsi="Times New Roman" w:cs="Times New Roman"/>
          <w:color w:val="0E101A"/>
          <w:sz w:val="24"/>
          <w:szCs w:val="24"/>
          <w:lang w:eastAsia="en-IN"/>
        </w:rPr>
        <w:t xml:space="preserve"> Scope has researched and surveyed the people who are differently-abled in that community. They have come to know that most of them are extremely ambitious and they want to work in the future. That is why Scope is trying to educate them and make them accustomed to the real world to cope properly (Bungău et al., 2019). They are also trying to teach those people to fight against discrimination so that they never lose hope while finding their job.</w:t>
      </w:r>
    </w:p>
    <w:p w14:paraId="389E8EB2" w14:textId="480A1578"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b/>
          <w:bCs/>
          <w:color w:val="0E101A"/>
          <w:sz w:val="24"/>
          <w:szCs w:val="24"/>
          <w:lang w:eastAsia="en-IN"/>
        </w:rPr>
        <w:t>Promoting social inclusion in the institutions:</w:t>
      </w:r>
      <w:r w:rsidRPr="008935A5">
        <w:rPr>
          <w:rFonts w:ascii="Times New Roman" w:eastAsia="Times New Roman" w:hAnsi="Times New Roman" w:cs="Times New Roman"/>
          <w:color w:val="0E101A"/>
          <w:sz w:val="24"/>
          <w:szCs w:val="24"/>
          <w:lang w:eastAsia="en-IN"/>
        </w:rPr>
        <w:t xml:space="preserve"> Scope is also trying to promote social inclusion in the institutions like schools and colleges. A person who will interact with and treat a differently-abled person learns in the preliminary period of their school. That is why Scope has decided to do some workshops in those schools so that the children of mild age get to know how to behave properly with the disabled person. The organisation will also let the children know how a person feels when someone hurts them for their disability. Scope believes that this will create an impact on the children and that will change their minds and behaviour.</w:t>
      </w:r>
    </w:p>
    <w:p w14:paraId="35D5062D" w14:textId="77777777" w:rsidR="008935A5" w:rsidRPr="008935A5" w:rsidRDefault="00BB4599" w:rsidP="008935A5">
      <w:pPr>
        <w:pStyle w:val="Heading1"/>
        <w:rPr>
          <w:rFonts w:eastAsia="Times New Roman"/>
          <w:lang w:eastAsia="en-IN"/>
        </w:rPr>
      </w:pPr>
      <w:bookmarkStart w:id="5" w:name="_Toc99555125"/>
      <w:r w:rsidRPr="008935A5">
        <w:rPr>
          <w:rFonts w:eastAsia="Times New Roman"/>
          <w:lang w:eastAsia="en-IN"/>
        </w:rPr>
        <w:t>Conclusion</w:t>
      </w:r>
      <w:bookmarkEnd w:id="5"/>
      <w:r w:rsidRPr="008935A5">
        <w:rPr>
          <w:rFonts w:eastAsia="Times New Roman"/>
          <w:lang w:eastAsia="en-IN"/>
        </w:rPr>
        <w:t> </w:t>
      </w:r>
    </w:p>
    <w:p w14:paraId="485AB913" w14:textId="77777777" w:rsidR="008935A5" w:rsidRPr="008935A5" w:rsidRDefault="00BB4599" w:rsidP="008935A5">
      <w:pPr>
        <w:spacing w:after="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E101A"/>
          <w:sz w:val="24"/>
          <w:szCs w:val="24"/>
          <w:lang w:eastAsia="en-IN"/>
        </w:rPr>
        <w:t>To conclude, it can be said that the report has discussed community engagement. Here the discussion is on an organisation named Scope which is working on differently-abled persons. In this report, the author has also enlightened about the projects taken by the Scope and has discussed their work overview. Also, the best practices in community engagement along with the relevant avenues to promote community participation and diversity have been discussed. The author has also focused on the relationship between the stakeholders and the benefits of their participation in community engagement. As well, the social media strategies for socio-cultural integration and multiculturalism have been justified here. The forward-looking approach of Scope is also discussed in this piece.</w:t>
      </w:r>
      <w:r w:rsidRPr="008935A5">
        <w:rPr>
          <w:rFonts w:ascii="Times New Roman" w:eastAsia="Times New Roman" w:hAnsi="Times New Roman" w:cs="Times New Roman"/>
          <w:b/>
          <w:bCs/>
          <w:color w:val="0E101A"/>
          <w:sz w:val="24"/>
          <w:szCs w:val="24"/>
          <w:lang w:eastAsia="en-IN"/>
        </w:rPr>
        <w:t> </w:t>
      </w:r>
    </w:p>
    <w:p w14:paraId="5B7AE7BD" w14:textId="77777777" w:rsidR="008935A5" w:rsidRPr="008935A5" w:rsidRDefault="008935A5" w:rsidP="008935A5">
      <w:pPr>
        <w:spacing w:after="0" w:line="360" w:lineRule="auto"/>
        <w:jc w:val="both"/>
        <w:rPr>
          <w:rFonts w:ascii="Times New Roman" w:eastAsia="Times New Roman" w:hAnsi="Times New Roman" w:cs="Times New Roman"/>
          <w:sz w:val="24"/>
          <w:szCs w:val="24"/>
          <w:lang w:eastAsia="en-IN"/>
        </w:rPr>
      </w:pPr>
    </w:p>
    <w:p w14:paraId="33DE0F8B" w14:textId="77777777" w:rsidR="008935A5" w:rsidRDefault="00BB4599">
      <w:pPr>
        <w:rPr>
          <w:rFonts w:ascii="Times New Roman" w:eastAsia="Times New Roman" w:hAnsi="Times New Roman" w:cs="Times New Roman"/>
          <w:b/>
          <w:bCs/>
          <w:color w:val="000000"/>
          <w:sz w:val="24"/>
          <w:szCs w:val="24"/>
          <w:lang w:eastAsia="en-IN"/>
        </w:rPr>
      </w:pPr>
      <w:r>
        <w:rPr>
          <w:rFonts w:ascii="Times New Roman" w:eastAsia="Times New Roman" w:hAnsi="Times New Roman" w:cs="Times New Roman"/>
          <w:b/>
          <w:bCs/>
          <w:color w:val="000000"/>
          <w:sz w:val="24"/>
          <w:szCs w:val="24"/>
          <w:lang w:eastAsia="en-IN"/>
        </w:rPr>
        <w:br w:type="page"/>
      </w:r>
    </w:p>
    <w:p w14:paraId="151935B3" w14:textId="0C51A971" w:rsidR="008935A5" w:rsidRPr="008935A5" w:rsidRDefault="00BB4599" w:rsidP="008935A5">
      <w:pPr>
        <w:pStyle w:val="Heading1"/>
        <w:rPr>
          <w:rFonts w:eastAsia="Times New Roman"/>
          <w:lang w:eastAsia="en-IN"/>
        </w:rPr>
      </w:pPr>
      <w:bookmarkStart w:id="6" w:name="_Toc99555126"/>
      <w:r w:rsidRPr="008935A5">
        <w:rPr>
          <w:rFonts w:eastAsia="Times New Roman"/>
          <w:lang w:eastAsia="en-IN"/>
        </w:rPr>
        <w:lastRenderedPageBreak/>
        <w:t>References</w:t>
      </w:r>
      <w:bookmarkEnd w:id="6"/>
    </w:p>
    <w:p w14:paraId="032DC70F"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Alencar, A., 2018. Refugee integration and social media: A local and experiential perspective. </w:t>
      </w:r>
      <w:r w:rsidRPr="008935A5">
        <w:rPr>
          <w:rFonts w:ascii="Times New Roman" w:eastAsia="Times New Roman" w:hAnsi="Times New Roman" w:cs="Times New Roman"/>
          <w:i/>
          <w:iCs/>
          <w:color w:val="000000"/>
          <w:sz w:val="24"/>
          <w:szCs w:val="24"/>
          <w:lang w:eastAsia="en-IN"/>
        </w:rPr>
        <w:t>Information, Communication &amp; Society</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21</w:t>
      </w:r>
      <w:r w:rsidRPr="008935A5">
        <w:rPr>
          <w:rFonts w:ascii="Times New Roman" w:eastAsia="Times New Roman" w:hAnsi="Times New Roman" w:cs="Times New Roman"/>
          <w:color w:val="000000"/>
          <w:sz w:val="24"/>
          <w:szCs w:val="24"/>
          <w:lang w:eastAsia="en-IN"/>
        </w:rPr>
        <w:t>(11), pp.1588-1603. Available at:</w:t>
      </w:r>
      <w:hyperlink r:id="rId9"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https://www.tandfonline.com/doi/abs/10.1080/1369118X.2017.1340500</w:t>
        </w:r>
      </w:hyperlink>
    </w:p>
    <w:p w14:paraId="0E3A3250"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Anwar, F. and Haq, I., 2019. Religious Moderation Campaign Through Social Media at Multicultural Communities. </w:t>
      </w:r>
      <w:r w:rsidRPr="008935A5">
        <w:rPr>
          <w:rFonts w:ascii="Times New Roman" w:eastAsia="Times New Roman" w:hAnsi="Times New Roman" w:cs="Times New Roman"/>
          <w:i/>
          <w:iCs/>
          <w:color w:val="000000"/>
          <w:sz w:val="24"/>
          <w:szCs w:val="24"/>
          <w:lang w:eastAsia="en-IN"/>
        </w:rPr>
        <w:t>KURIOSITAS: Media Komunikasi Sosial dan Keagamaan</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12</w:t>
      </w:r>
      <w:r w:rsidRPr="008935A5">
        <w:rPr>
          <w:rFonts w:ascii="Times New Roman" w:eastAsia="Times New Roman" w:hAnsi="Times New Roman" w:cs="Times New Roman"/>
          <w:color w:val="000000"/>
          <w:sz w:val="24"/>
          <w:szCs w:val="24"/>
          <w:lang w:eastAsia="en-IN"/>
        </w:rPr>
        <w:t>(2), pp.177-187. Available at:</w:t>
      </w:r>
      <w:hyperlink r:id="rId10"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https://ejurnal.iainpare.ac.id/index.php/kuriositas/article/view/1392</w:t>
        </w:r>
      </w:hyperlink>
    </w:p>
    <w:p w14:paraId="69A8F2D1"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Bungău, S., Ţiţ, D.M., Popa, V.C., Sabău, A. and Cioca, G., 2019. Practices and attitudes regarding the employment of people with disabilities in Romania. </w:t>
      </w:r>
      <w:r w:rsidRPr="008935A5">
        <w:rPr>
          <w:rFonts w:ascii="Times New Roman" w:eastAsia="Times New Roman" w:hAnsi="Times New Roman" w:cs="Times New Roman"/>
          <w:i/>
          <w:iCs/>
          <w:color w:val="000000"/>
          <w:sz w:val="24"/>
          <w:szCs w:val="24"/>
          <w:lang w:eastAsia="en-IN"/>
        </w:rPr>
        <w:t>Calitatea</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20</w:t>
      </w:r>
      <w:r w:rsidRPr="008935A5">
        <w:rPr>
          <w:rFonts w:ascii="Times New Roman" w:eastAsia="Times New Roman" w:hAnsi="Times New Roman" w:cs="Times New Roman"/>
          <w:color w:val="000000"/>
          <w:sz w:val="24"/>
          <w:szCs w:val="24"/>
          <w:lang w:eastAsia="en-IN"/>
        </w:rPr>
        <w:t>(170), pp.154-159. Available at:</w:t>
      </w:r>
      <w:hyperlink r:id="rId11"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www.researchgate.net/profile/Simona-Bungau/publication/333045075_Practices_and_attitudes_regarding_the_employment_of_people_with_disabilities_in_Romania/links/5cd949aa458515712ea6d5ad/Practices-and-attitudes-regarding-the-employment-of-people-with-disabilities-in-Romania.pdf</w:t>
        </w:r>
      </w:hyperlink>
    </w:p>
    <w:p w14:paraId="11781EE9"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Cheung, C., Gamez, S., Carballar-Lejarazú, R., Ferman, V., Vásquez, V.N., Terradas, G., Ishikawa, J., Schairer, C.E., Bier, E., Marshall, J.M. and James, A.A., 2020. Translating gene drive science to promote linguistic diversity in community and stakeholder engagement. </w:t>
      </w:r>
      <w:r w:rsidRPr="008935A5">
        <w:rPr>
          <w:rFonts w:ascii="Times New Roman" w:eastAsia="Times New Roman" w:hAnsi="Times New Roman" w:cs="Times New Roman"/>
          <w:i/>
          <w:iCs/>
          <w:color w:val="000000"/>
          <w:sz w:val="24"/>
          <w:szCs w:val="24"/>
          <w:lang w:eastAsia="en-IN"/>
        </w:rPr>
        <w:t>Global public health</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15</w:t>
      </w:r>
      <w:r w:rsidRPr="008935A5">
        <w:rPr>
          <w:rFonts w:ascii="Times New Roman" w:eastAsia="Times New Roman" w:hAnsi="Times New Roman" w:cs="Times New Roman"/>
          <w:color w:val="000000"/>
          <w:sz w:val="24"/>
          <w:szCs w:val="24"/>
          <w:lang w:eastAsia="en-IN"/>
        </w:rPr>
        <w:t>(10), pp.1551-1565. Available at:</w:t>
      </w:r>
      <w:hyperlink r:id="rId12"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https://www.tandfonline.com/doi/abs/10.1080/17441692.2020.1779328</w:t>
        </w:r>
      </w:hyperlink>
    </w:p>
    <w:p w14:paraId="48468219"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Childs, J. and Grooms, A.A., 2018. Improving school attendance through collaboration: A catalyst for community involvement and change. </w:t>
      </w:r>
      <w:r w:rsidRPr="008935A5">
        <w:rPr>
          <w:rFonts w:ascii="Times New Roman" w:eastAsia="Times New Roman" w:hAnsi="Times New Roman" w:cs="Times New Roman"/>
          <w:i/>
          <w:iCs/>
          <w:color w:val="000000"/>
          <w:sz w:val="24"/>
          <w:szCs w:val="24"/>
          <w:lang w:eastAsia="en-IN"/>
        </w:rPr>
        <w:t>Journal of Education for Students Placed at Risk (JESPAR)</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23</w:t>
      </w:r>
      <w:r w:rsidRPr="008935A5">
        <w:rPr>
          <w:rFonts w:ascii="Times New Roman" w:eastAsia="Times New Roman" w:hAnsi="Times New Roman" w:cs="Times New Roman"/>
          <w:color w:val="000000"/>
          <w:sz w:val="24"/>
          <w:szCs w:val="24"/>
          <w:lang w:eastAsia="en-IN"/>
        </w:rPr>
        <w:t>(1-2), pp.122-138. Available at:</w:t>
      </w:r>
      <w:hyperlink r:id="rId13"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https://www.tandfonline.com/doi/abs/10.1080/10824669.2018.1439751</w:t>
        </w:r>
      </w:hyperlink>
    </w:p>
    <w:p w14:paraId="53F9CE6D"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Firestone, J., Hoen, B., Rand, J., Elliott, D., Hübner, G. and Pohl, J., 2018. Reconsidering barriers to wind power projects: community engagement, developer transparency and place. </w:t>
      </w:r>
      <w:r w:rsidRPr="008935A5">
        <w:rPr>
          <w:rFonts w:ascii="Times New Roman" w:eastAsia="Times New Roman" w:hAnsi="Times New Roman" w:cs="Times New Roman"/>
          <w:i/>
          <w:iCs/>
          <w:color w:val="000000"/>
          <w:sz w:val="24"/>
          <w:szCs w:val="24"/>
          <w:lang w:eastAsia="en-IN"/>
        </w:rPr>
        <w:t>Journal of environmental policy &amp; planning</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20</w:t>
      </w:r>
      <w:r w:rsidRPr="008935A5">
        <w:rPr>
          <w:rFonts w:ascii="Times New Roman" w:eastAsia="Times New Roman" w:hAnsi="Times New Roman" w:cs="Times New Roman"/>
          <w:color w:val="000000"/>
          <w:sz w:val="24"/>
          <w:szCs w:val="24"/>
          <w:lang w:eastAsia="en-IN"/>
        </w:rPr>
        <w:t>(3), pp.370-386. Available at:</w:t>
      </w:r>
      <w:hyperlink r:id="rId14"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https://www.tandfonline.com/doi/full/10.1080/1523908X.2017.1418656</w:t>
        </w:r>
      </w:hyperlink>
    </w:p>
    <w:p w14:paraId="3171012B"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Jimenez, M.F., Laverty, T.M., Bombaci, S.P., Wilkins, K., Bennett, D.E. and Pejchar, L., 2019. Underrepresented faculty play a disproportionate role in advancing diversity and inclusion. </w:t>
      </w:r>
      <w:r w:rsidRPr="008935A5">
        <w:rPr>
          <w:rFonts w:ascii="Times New Roman" w:eastAsia="Times New Roman" w:hAnsi="Times New Roman" w:cs="Times New Roman"/>
          <w:i/>
          <w:iCs/>
          <w:color w:val="000000"/>
          <w:sz w:val="24"/>
          <w:szCs w:val="24"/>
          <w:lang w:eastAsia="en-IN"/>
        </w:rPr>
        <w:lastRenderedPageBreak/>
        <w:t>Nature ecology &amp; evolution</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3</w:t>
      </w:r>
      <w:r w:rsidRPr="008935A5">
        <w:rPr>
          <w:rFonts w:ascii="Times New Roman" w:eastAsia="Times New Roman" w:hAnsi="Times New Roman" w:cs="Times New Roman"/>
          <w:color w:val="000000"/>
          <w:sz w:val="24"/>
          <w:szCs w:val="24"/>
          <w:lang w:eastAsia="en-IN"/>
        </w:rPr>
        <w:t>(7), pp.1030-1033. Available at:</w:t>
      </w:r>
      <w:hyperlink r:id="rId15"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https://www.nature.com/articles/s41559-019-0911-5</w:t>
        </w:r>
      </w:hyperlink>
    </w:p>
    <w:p w14:paraId="574692BB"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Key, K.D., Furr-Holden, D., Lewis, E.Y., Cunningham, R., Zimmerman, M.A., Johnson-Lawrence, V. and Selig, S., 2019. The continuum of community engagement in research: A roadmap for understanding and assessing progress. </w:t>
      </w:r>
      <w:r w:rsidRPr="008935A5">
        <w:rPr>
          <w:rFonts w:ascii="Times New Roman" w:eastAsia="Times New Roman" w:hAnsi="Times New Roman" w:cs="Times New Roman"/>
          <w:i/>
          <w:iCs/>
          <w:color w:val="000000"/>
          <w:sz w:val="24"/>
          <w:szCs w:val="24"/>
          <w:lang w:eastAsia="en-IN"/>
        </w:rPr>
        <w:t>Progress in Community Health Partnerships: Research, Education, and Action</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13</w:t>
      </w:r>
      <w:r w:rsidRPr="008935A5">
        <w:rPr>
          <w:rFonts w:ascii="Times New Roman" w:eastAsia="Times New Roman" w:hAnsi="Times New Roman" w:cs="Times New Roman"/>
          <w:color w:val="000000"/>
          <w:sz w:val="24"/>
          <w:szCs w:val="24"/>
          <w:lang w:eastAsia="en-IN"/>
        </w:rPr>
        <w:t>(4), pp.427-434. Available at:</w:t>
      </w:r>
      <w:hyperlink r:id="rId16"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https://muse.jhu.edu/article/743598/summary</w:t>
        </w:r>
      </w:hyperlink>
    </w:p>
    <w:p w14:paraId="4977EE0B"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Levin, N.J., Zebrack, B. and Cole, S.W., 2019. Psychosocial issues for adolescent and young adult cancer patients in a global context: A forward‐looking approach. </w:t>
      </w:r>
      <w:r w:rsidRPr="008935A5">
        <w:rPr>
          <w:rFonts w:ascii="Times New Roman" w:eastAsia="Times New Roman" w:hAnsi="Times New Roman" w:cs="Times New Roman"/>
          <w:i/>
          <w:iCs/>
          <w:color w:val="000000"/>
          <w:sz w:val="24"/>
          <w:szCs w:val="24"/>
          <w:lang w:eastAsia="en-IN"/>
        </w:rPr>
        <w:t>Pediatric blood &amp; cancer</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66</w:t>
      </w:r>
      <w:r w:rsidRPr="008935A5">
        <w:rPr>
          <w:rFonts w:ascii="Times New Roman" w:eastAsia="Times New Roman" w:hAnsi="Times New Roman" w:cs="Times New Roman"/>
          <w:color w:val="000000"/>
          <w:sz w:val="24"/>
          <w:szCs w:val="24"/>
          <w:lang w:eastAsia="en-IN"/>
        </w:rPr>
        <w:t>(8), p.e27789. Available at:</w:t>
      </w:r>
      <w:hyperlink r:id="rId17"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https://onlinelibrary.wiley.com/doi/abs/10.1002/pbc.27789</w:t>
        </w:r>
      </w:hyperlink>
    </w:p>
    <w:p w14:paraId="18F3FB3C"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Pratt, B. and de Vries, J., 2018. Community engagement in global health research that advances health equity. </w:t>
      </w:r>
      <w:r w:rsidRPr="008935A5">
        <w:rPr>
          <w:rFonts w:ascii="Times New Roman" w:eastAsia="Times New Roman" w:hAnsi="Times New Roman" w:cs="Times New Roman"/>
          <w:i/>
          <w:iCs/>
          <w:color w:val="000000"/>
          <w:sz w:val="24"/>
          <w:szCs w:val="24"/>
          <w:lang w:eastAsia="en-IN"/>
        </w:rPr>
        <w:t>Bioethics</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32</w:t>
      </w:r>
      <w:r w:rsidRPr="008935A5">
        <w:rPr>
          <w:rFonts w:ascii="Times New Roman" w:eastAsia="Times New Roman" w:hAnsi="Times New Roman" w:cs="Times New Roman"/>
          <w:color w:val="000000"/>
          <w:sz w:val="24"/>
          <w:szCs w:val="24"/>
          <w:lang w:eastAsia="en-IN"/>
        </w:rPr>
        <w:t>(7), pp.454-463. Available at:</w:t>
      </w:r>
      <w:hyperlink r:id="rId18"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https://onlinelibrary.wiley.com/doi/abs/10.1111/bioe.12465</w:t>
        </w:r>
      </w:hyperlink>
    </w:p>
    <w:p w14:paraId="62F9DB1A"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Tuttle, K.R., Knight, R., Appelbaum, P.S., Arora, T., Bansal, S., Bebiak, J., Brown, K., Campbell, C., Cooperman, L., Corona-Villalobos, C.P. and Dighe, A., 2021. Integrating patient priorities with science by community engagement in the Kidney Precision Medicine Project. </w:t>
      </w:r>
      <w:r w:rsidRPr="008935A5">
        <w:rPr>
          <w:rFonts w:ascii="Times New Roman" w:eastAsia="Times New Roman" w:hAnsi="Times New Roman" w:cs="Times New Roman"/>
          <w:i/>
          <w:iCs/>
          <w:color w:val="000000"/>
          <w:sz w:val="24"/>
          <w:szCs w:val="24"/>
          <w:lang w:eastAsia="en-IN"/>
        </w:rPr>
        <w:t>Clinical Journal of the American Society of Nephrology</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16</w:t>
      </w:r>
      <w:r w:rsidRPr="008935A5">
        <w:rPr>
          <w:rFonts w:ascii="Times New Roman" w:eastAsia="Times New Roman" w:hAnsi="Times New Roman" w:cs="Times New Roman"/>
          <w:color w:val="000000"/>
          <w:sz w:val="24"/>
          <w:szCs w:val="24"/>
          <w:lang w:eastAsia="en-IN"/>
        </w:rPr>
        <w:t>(4), pp.660-668. Available at:</w:t>
      </w:r>
      <w:hyperlink r:id="rId19"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https://cjasn.asnjournals.org/content/16/4/660.abstract</w:t>
        </w:r>
      </w:hyperlink>
    </w:p>
    <w:p w14:paraId="26575807" w14:textId="77777777" w:rsidR="008935A5" w:rsidRPr="008935A5" w:rsidRDefault="00BB4599" w:rsidP="008935A5">
      <w:pPr>
        <w:spacing w:before="240" w:after="240" w:line="360" w:lineRule="auto"/>
        <w:jc w:val="both"/>
        <w:rPr>
          <w:rFonts w:ascii="Times New Roman" w:eastAsia="Times New Roman" w:hAnsi="Times New Roman" w:cs="Times New Roman"/>
          <w:sz w:val="24"/>
          <w:szCs w:val="24"/>
          <w:lang w:eastAsia="en-IN"/>
        </w:rPr>
      </w:pPr>
      <w:r w:rsidRPr="008935A5">
        <w:rPr>
          <w:rFonts w:ascii="Times New Roman" w:eastAsia="Times New Roman" w:hAnsi="Times New Roman" w:cs="Times New Roman"/>
          <w:color w:val="000000"/>
          <w:sz w:val="24"/>
          <w:szCs w:val="24"/>
          <w:lang w:eastAsia="en-IN"/>
        </w:rPr>
        <w:t xml:space="preserve">Yanes, A., Zielinski, S., Diaz Cano, M. and Kim, S.I., 2019. Community-based tourism in developing countries: A framework for policy evaluation. </w:t>
      </w:r>
      <w:r w:rsidRPr="008935A5">
        <w:rPr>
          <w:rFonts w:ascii="Times New Roman" w:eastAsia="Times New Roman" w:hAnsi="Times New Roman" w:cs="Times New Roman"/>
          <w:i/>
          <w:iCs/>
          <w:color w:val="000000"/>
          <w:sz w:val="24"/>
          <w:szCs w:val="24"/>
          <w:lang w:eastAsia="en-IN"/>
        </w:rPr>
        <w:t>Sustainability</w:t>
      </w:r>
      <w:r w:rsidRPr="008935A5">
        <w:rPr>
          <w:rFonts w:ascii="Times New Roman" w:eastAsia="Times New Roman" w:hAnsi="Times New Roman" w:cs="Times New Roman"/>
          <w:color w:val="000000"/>
          <w:sz w:val="24"/>
          <w:szCs w:val="24"/>
          <w:lang w:eastAsia="en-IN"/>
        </w:rPr>
        <w:t xml:space="preserve">, </w:t>
      </w:r>
      <w:r w:rsidRPr="008935A5">
        <w:rPr>
          <w:rFonts w:ascii="Times New Roman" w:eastAsia="Times New Roman" w:hAnsi="Times New Roman" w:cs="Times New Roman"/>
          <w:i/>
          <w:iCs/>
          <w:color w:val="000000"/>
          <w:sz w:val="24"/>
          <w:szCs w:val="24"/>
          <w:lang w:eastAsia="en-IN"/>
        </w:rPr>
        <w:t>11</w:t>
      </w:r>
      <w:r w:rsidRPr="008935A5">
        <w:rPr>
          <w:rFonts w:ascii="Times New Roman" w:eastAsia="Times New Roman" w:hAnsi="Times New Roman" w:cs="Times New Roman"/>
          <w:color w:val="000000"/>
          <w:sz w:val="24"/>
          <w:szCs w:val="24"/>
          <w:lang w:eastAsia="en-IN"/>
        </w:rPr>
        <w:t>(9), p.2506. Available at:</w:t>
      </w:r>
      <w:hyperlink r:id="rId20" w:history="1">
        <w:r w:rsidRPr="008935A5">
          <w:rPr>
            <w:rFonts w:ascii="Times New Roman" w:eastAsia="Times New Roman" w:hAnsi="Times New Roman" w:cs="Times New Roman"/>
            <w:color w:val="000000"/>
            <w:sz w:val="24"/>
            <w:szCs w:val="24"/>
            <w:u w:val="single"/>
            <w:lang w:eastAsia="en-IN"/>
          </w:rPr>
          <w:t xml:space="preserve"> </w:t>
        </w:r>
        <w:r w:rsidRPr="008935A5">
          <w:rPr>
            <w:rFonts w:ascii="Times New Roman" w:eastAsia="Times New Roman" w:hAnsi="Times New Roman" w:cs="Times New Roman"/>
            <w:color w:val="1155CC"/>
            <w:sz w:val="24"/>
            <w:szCs w:val="24"/>
            <w:u w:val="single"/>
            <w:lang w:eastAsia="en-IN"/>
          </w:rPr>
          <w:t>https://www.mdpi.com/2071-1050/11/9/2506</w:t>
        </w:r>
      </w:hyperlink>
    </w:p>
    <w:p w14:paraId="1CED7196" w14:textId="77777777" w:rsidR="00060C61" w:rsidRPr="008935A5" w:rsidRDefault="00060C61" w:rsidP="008935A5">
      <w:pPr>
        <w:spacing w:line="360" w:lineRule="auto"/>
        <w:jc w:val="both"/>
      </w:pPr>
    </w:p>
    <w:sectPr w:rsidR="00060C61" w:rsidRPr="008935A5" w:rsidSect="008935A5">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AA92CF" w14:textId="77777777" w:rsidR="00FE7EF3" w:rsidRDefault="00FE7EF3">
      <w:pPr>
        <w:spacing w:after="0" w:line="240" w:lineRule="auto"/>
      </w:pPr>
      <w:r>
        <w:separator/>
      </w:r>
    </w:p>
  </w:endnote>
  <w:endnote w:type="continuationSeparator" w:id="0">
    <w:p w14:paraId="32C17081" w14:textId="77777777" w:rsidR="00FE7EF3" w:rsidRDefault="00FE7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0149878"/>
      <w:docPartObj>
        <w:docPartGallery w:val="Page Numbers (Bottom of Page)"/>
        <w:docPartUnique/>
      </w:docPartObj>
    </w:sdtPr>
    <w:sdtEndPr/>
    <w:sdtContent>
      <w:sdt>
        <w:sdtPr>
          <w:id w:val="-1769616900"/>
          <w:docPartObj>
            <w:docPartGallery w:val="Page Numbers (Top of Page)"/>
            <w:docPartUnique/>
          </w:docPartObj>
        </w:sdtPr>
        <w:sdtEndPr/>
        <w:sdtContent>
          <w:p w14:paraId="3B5FD488" w14:textId="6DB7D08C" w:rsidR="008935A5" w:rsidRDefault="00BB459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5E9DA42" w14:textId="77777777" w:rsidR="008935A5" w:rsidRDefault="008935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DADD7" w14:textId="77777777" w:rsidR="00FE7EF3" w:rsidRDefault="00FE7EF3">
      <w:pPr>
        <w:spacing w:after="0" w:line="240" w:lineRule="auto"/>
      </w:pPr>
      <w:r>
        <w:separator/>
      </w:r>
    </w:p>
  </w:footnote>
  <w:footnote w:type="continuationSeparator" w:id="0">
    <w:p w14:paraId="5E2F1EB7" w14:textId="77777777" w:rsidR="00FE7EF3" w:rsidRDefault="00FE7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61713"/>
    <w:multiLevelType w:val="multilevel"/>
    <w:tmpl w:val="EA24F9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7E3960"/>
    <w:multiLevelType w:val="multilevel"/>
    <w:tmpl w:val="C722F1D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A2274F"/>
    <w:multiLevelType w:val="multilevel"/>
    <w:tmpl w:val="5DBEDD5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720626"/>
    <w:multiLevelType w:val="multilevel"/>
    <w:tmpl w:val="07C8FA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985886596">
    <w:abstractNumId w:val="3"/>
  </w:num>
  <w:num w:numId="2" w16cid:durableId="2143844120">
    <w:abstractNumId w:val="2"/>
  </w:num>
  <w:num w:numId="3" w16cid:durableId="298657809">
    <w:abstractNumId w:val="1"/>
  </w:num>
  <w:num w:numId="4" w16cid:durableId="1234895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B42"/>
    <w:rsid w:val="0000270F"/>
    <w:rsid w:val="0000332F"/>
    <w:rsid w:val="000411B4"/>
    <w:rsid w:val="000463B0"/>
    <w:rsid w:val="0004642D"/>
    <w:rsid w:val="000505A0"/>
    <w:rsid w:val="00060C61"/>
    <w:rsid w:val="00082A86"/>
    <w:rsid w:val="000915D2"/>
    <w:rsid w:val="000A0DB9"/>
    <w:rsid w:val="000A4188"/>
    <w:rsid w:val="000F3419"/>
    <w:rsid w:val="000F3B42"/>
    <w:rsid w:val="00102B39"/>
    <w:rsid w:val="00113387"/>
    <w:rsid w:val="00114B1B"/>
    <w:rsid w:val="00127CA4"/>
    <w:rsid w:val="00132764"/>
    <w:rsid w:val="00157936"/>
    <w:rsid w:val="00165768"/>
    <w:rsid w:val="00174382"/>
    <w:rsid w:val="001A2680"/>
    <w:rsid w:val="001A72F0"/>
    <w:rsid w:val="001D04D5"/>
    <w:rsid w:val="001E130C"/>
    <w:rsid w:val="00202894"/>
    <w:rsid w:val="00202F3D"/>
    <w:rsid w:val="00213E53"/>
    <w:rsid w:val="00224E05"/>
    <w:rsid w:val="00230E57"/>
    <w:rsid w:val="00232FF3"/>
    <w:rsid w:val="00233727"/>
    <w:rsid w:val="0023707F"/>
    <w:rsid w:val="0025293E"/>
    <w:rsid w:val="0025356C"/>
    <w:rsid w:val="00255EE2"/>
    <w:rsid w:val="002641D8"/>
    <w:rsid w:val="002744A6"/>
    <w:rsid w:val="00283034"/>
    <w:rsid w:val="00287761"/>
    <w:rsid w:val="00295C8E"/>
    <w:rsid w:val="002967EF"/>
    <w:rsid w:val="002A276A"/>
    <w:rsid w:val="002D3E74"/>
    <w:rsid w:val="002E27DA"/>
    <w:rsid w:val="002F3D6D"/>
    <w:rsid w:val="003174BF"/>
    <w:rsid w:val="00352B04"/>
    <w:rsid w:val="00370ACF"/>
    <w:rsid w:val="00372609"/>
    <w:rsid w:val="00373383"/>
    <w:rsid w:val="00373975"/>
    <w:rsid w:val="00373C62"/>
    <w:rsid w:val="00383D3C"/>
    <w:rsid w:val="00385E82"/>
    <w:rsid w:val="00386072"/>
    <w:rsid w:val="00391DF4"/>
    <w:rsid w:val="003E7D8D"/>
    <w:rsid w:val="003F4EA0"/>
    <w:rsid w:val="00404660"/>
    <w:rsid w:val="00430C91"/>
    <w:rsid w:val="00430FBE"/>
    <w:rsid w:val="00443ED3"/>
    <w:rsid w:val="00445012"/>
    <w:rsid w:val="0044562B"/>
    <w:rsid w:val="00461F63"/>
    <w:rsid w:val="00463CE8"/>
    <w:rsid w:val="00465E79"/>
    <w:rsid w:val="004807FB"/>
    <w:rsid w:val="004919EE"/>
    <w:rsid w:val="004A28AD"/>
    <w:rsid w:val="004D1F60"/>
    <w:rsid w:val="004D2D0A"/>
    <w:rsid w:val="00506A5A"/>
    <w:rsid w:val="005166CF"/>
    <w:rsid w:val="00520F35"/>
    <w:rsid w:val="005260F1"/>
    <w:rsid w:val="00533829"/>
    <w:rsid w:val="005368AB"/>
    <w:rsid w:val="005560AC"/>
    <w:rsid w:val="005749B1"/>
    <w:rsid w:val="00576F7B"/>
    <w:rsid w:val="0058278D"/>
    <w:rsid w:val="00590016"/>
    <w:rsid w:val="005A47DB"/>
    <w:rsid w:val="005B4FB3"/>
    <w:rsid w:val="005C6341"/>
    <w:rsid w:val="005C6BB1"/>
    <w:rsid w:val="00611B17"/>
    <w:rsid w:val="00613C53"/>
    <w:rsid w:val="00623436"/>
    <w:rsid w:val="00625FA7"/>
    <w:rsid w:val="0063027C"/>
    <w:rsid w:val="00640014"/>
    <w:rsid w:val="00664D88"/>
    <w:rsid w:val="00667462"/>
    <w:rsid w:val="00692191"/>
    <w:rsid w:val="006A6003"/>
    <w:rsid w:val="006C174E"/>
    <w:rsid w:val="006C645D"/>
    <w:rsid w:val="00701BE6"/>
    <w:rsid w:val="007021CB"/>
    <w:rsid w:val="00710A4B"/>
    <w:rsid w:val="00722B6C"/>
    <w:rsid w:val="007400A0"/>
    <w:rsid w:val="0074283C"/>
    <w:rsid w:val="00747495"/>
    <w:rsid w:val="00755D78"/>
    <w:rsid w:val="007579D4"/>
    <w:rsid w:val="00773D0E"/>
    <w:rsid w:val="00792ED9"/>
    <w:rsid w:val="00794F70"/>
    <w:rsid w:val="0079683E"/>
    <w:rsid w:val="00796924"/>
    <w:rsid w:val="007A0617"/>
    <w:rsid w:val="007B170A"/>
    <w:rsid w:val="007C13EB"/>
    <w:rsid w:val="007D3921"/>
    <w:rsid w:val="007E7A91"/>
    <w:rsid w:val="00801C60"/>
    <w:rsid w:val="00807808"/>
    <w:rsid w:val="00810DB7"/>
    <w:rsid w:val="008120DC"/>
    <w:rsid w:val="00815166"/>
    <w:rsid w:val="00825366"/>
    <w:rsid w:val="00827AE6"/>
    <w:rsid w:val="008451FB"/>
    <w:rsid w:val="00847CDB"/>
    <w:rsid w:val="0085146D"/>
    <w:rsid w:val="008732A0"/>
    <w:rsid w:val="00892F87"/>
    <w:rsid w:val="008935A5"/>
    <w:rsid w:val="008A04AF"/>
    <w:rsid w:val="008A5367"/>
    <w:rsid w:val="008A5686"/>
    <w:rsid w:val="008D17BB"/>
    <w:rsid w:val="008D5CA2"/>
    <w:rsid w:val="008E410B"/>
    <w:rsid w:val="008E4A01"/>
    <w:rsid w:val="008E5829"/>
    <w:rsid w:val="008F2617"/>
    <w:rsid w:val="008F26DA"/>
    <w:rsid w:val="008F73BA"/>
    <w:rsid w:val="00901EA9"/>
    <w:rsid w:val="00901F2A"/>
    <w:rsid w:val="009025A3"/>
    <w:rsid w:val="009255CD"/>
    <w:rsid w:val="009307BE"/>
    <w:rsid w:val="00931B7F"/>
    <w:rsid w:val="009420B0"/>
    <w:rsid w:val="009429E3"/>
    <w:rsid w:val="009465B9"/>
    <w:rsid w:val="00946B54"/>
    <w:rsid w:val="0095295B"/>
    <w:rsid w:val="00972D3A"/>
    <w:rsid w:val="0098214D"/>
    <w:rsid w:val="00987DF3"/>
    <w:rsid w:val="009935BC"/>
    <w:rsid w:val="00993EED"/>
    <w:rsid w:val="00996E28"/>
    <w:rsid w:val="009B128F"/>
    <w:rsid w:val="009B3600"/>
    <w:rsid w:val="009B454A"/>
    <w:rsid w:val="009B6481"/>
    <w:rsid w:val="009E5992"/>
    <w:rsid w:val="00A02984"/>
    <w:rsid w:val="00A07731"/>
    <w:rsid w:val="00A16683"/>
    <w:rsid w:val="00A21060"/>
    <w:rsid w:val="00A379AB"/>
    <w:rsid w:val="00A61345"/>
    <w:rsid w:val="00A64E29"/>
    <w:rsid w:val="00A80EDE"/>
    <w:rsid w:val="00A95125"/>
    <w:rsid w:val="00AB5015"/>
    <w:rsid w:val="00AD0F66"/>
    <w:rsid w:val="00AF1744"/>
    <w:rsid w:val="00AF28E3"/>
    <w:rsid w:val="00AF4552"/>
    <w:rsid w:val="00AF7063"/>
    <w:rsid w:val="00B0217B"/>
    <w:rsid w:val="00B03E52"/>
    <w:rsid w:val="00B046EF"/>
    <w:rsid w:val="00B2366B"/>
    <w:rsid w:val="00B32E64"/>
    <w:rsid w:val="00B34C43"/>
    <w:rsid w:val="00B446DC"/>
    <w:rsid w:val="00B63DD3"/>
    <w:rsid w:val="00B64245"/>
    <w:rsid w:val="00B64BFF"/>
    <w:rsid w:val="00B659C1"/>
    <w:rsid w:val="00BA6CDA"/>
    <w:rsid w:val="00BB4599"/>
    <w:rsid w:val="00BC041B"/>
    <w:rsid w:val="00BC6E25"/>
    <w:rsid w:val="00BE0963"/>
    <w:rsid w:val="00BF3176"/>
    <w:rsid w:val="00BF7254"/>
    <w:rsid w:val="00C04E8D"/>
    <w:rsid w:val="00C06FB4"/>
    <w:rsid w:val="00C115D1"/>
    <w:rsid w:val="00C127DF"/>
    <w:rsid w:val="00C21150"/>
    <w:rsid w:val="00C322ED"/>
    <w:rsid w:val="00C339B8"/>
    <w:rsid w:val="00C45569"/>
    <w:rsid w:val="00C60B80"/>
    <w:rsid w:val="00C678D8"/>
    <w:rsid w:val="00C84687"/>
    <w:rsid w:val="00C86A17"/>
    <w:rsid w:val="00C95697"/>
    <w:rsid w:val="00CA3E54"/>
    <w:rsid w:val="00CA5D4C"/>
    <w:rsid w:val="00CA7D3E"/>
    <w:rsid w:val="00CB4F6A"/>
    <w:rsid w:val="00CB5945"/>
    <w:rsid w:val="00CD323B"/>
    <w:rsid w:val="00CD4BB1"/>
    <w:rsid w:val="00CD4FF9"/>
    <w:rsid w:val="00CD62A2"/>
    <w:rsid w:val="00D03B2E"/>
    <w:rsid w:val="00D04F17"/>
    <w:rsid w:val="00D2594E"/>
    <w:rsid w:val="00D27BD4"/>
    <w:rsid w:val="00D424B5"/>
    <w:rsid w:val="00D63191"/>
    <w:rsid w:val="00D66509"/>
    <w:rsid w:val="00D779AF"/>
    <w:rsid w:val="00D77CA3"/>
    <w:rsid w:val="00D9036C"/>
    <w:rsid w:val="00DC061F"/>
    <w:rsid w:val="00DD16E5"/>
    <w:rsid w:val="00DD2C37"/>
    <w:rsid w:val="00DE31B2"/>
    <w:rsid w:val="00DE48DC"/>
    <w:rsid w:val="00DE7E33"/>
    <w:rsid w:val="00E02EEF"/>
    <w:rsid w:val="00E44E3B"/>
    <w:rsid w:val="00E53B03"/>
    <w:rsid w:val="00E7000C"/>
    <w:rsid w:val="00E70DEA"/>
    <w:rsid w:val="00E80BCC"/>
    <w:rsid w:val="00E87FA2"/>
    <w:rsid w:val="00E9732E"/>
    <w:rsid w:val="00EA0956"/>
    <w:rsid w:val="00EA3645"/>
    <w:rsid w:val="00EB4E30"/>
    <w:rsid w:val="00EB75D4"/>
    <w:rsid w:val="00EF1425"/>
    <w:rsid w:val="00F31D9A"/>
    <w:rsid w:val="00F36AAA"/>
    <w:rsid w:val="00F4122E"/>
    <w:rsid w:val="00F42057"/>
    <w:rsid w:val="00F67A26"/>
    <w:rsid w:val="00F75967"/>
    <w:rsid w:val="00FB3DEB"/>
    <w:rsid w:val="00FB43AE"/>
    <w:rsid w:val="00FB679E"/>
    <w:rsid w:val="00FD213E"/>
    <w:rsid w:val="00FE7E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07F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73D0E"/>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D424B5"/>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692191"/>
    <w:pPr>
      <w:keepNext/>
      <w:keepLines/>
      <w:spacing w:before="40" w:after="0" w:line="360" w:lineRule="auto"/>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D0E"/>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424B5"/>
    <w:rPr>
      <w:rFonts w:ascii="Times New Roman" w:eastAsiaTheme="majorEastAsia" w:hAnsi="Times New Roman" w:cstheme="majorBidi"/>
      <w:b/>
      <w:color w:val="000000" w:themeColor="text1"/>
      <w:sz w:val="24"/>
      <w:szCs w:val="26"/>
    </w:rPr>
  </w:style>
  <w:style w:type="paragraph" w:styleId="TOC1">
    <w:name w:val="toc 1"/>
    <w:basedOn w:val="Normal"/>
    <w:next w:val="Normal"/>
    <w:autoRedefine/>
    <w:uiPriority w:val="39"/>
    <w:unhideWhenUsed/>
    <w:rsid w:val="00386072"/>
    <w:pPr>
      <w:spacing w:after="100" w:line="360" w:lineRule="auto"/>
      <w:jc w:val="both"/>
    </w:pPr>
    <w:rPr>
      <w:rFonts w:ascii="Times New Roman" w:hAnsi="Times New Roman"/>
      <w:sz w:val="24"/>
      <w:lang w:val="en-GB"/>
    </w:rPr>
  </w:style>
  <w:style w:type="paragraph" w:styleId="TOC2">
    <w:name w:val="toc 2"/>
    <w:basedOn w:val="Normal"/>
    <w:next w:val="Normal"/>
    <w:autoRedefine/>
    <w:uiPriority w:val="39"/>
    <w:unhideWhenUsed/>
    <w:rsid w:val="00892F87"/>
    <w:pPr>
      <w:tabs>
        <w:tab w:val="right" w:leader="dot" w:pos="9016"/>
      </w:tabs>
      <w:spacing w:after="100" w:line="360" w:lineRule="auto"/>
      <w:ind w:left="220"/>
      <w:jc w:val="both"/>
    </w:pPr>
    <w:rPr>
      <w:rFonts w:ascii="Times New Roman" w:hAnsi="Times New Roman"/>
      <w:noProof/>
      <w:sz w:val="24"/>
    </w:rPr>
  </w:style>
  <w:style w:type="paragraph" w:styleId="TOCHeading">
    <w:name w:val="TOC Heading"/>
    <w:basedOn w:val="Heading1"/>
    <w:next w:val="Normal"/>
    <w:uiPriority w:val="39"/>
    <w:unhideWhenUsed/>
    <w:qFormat/>
    <w:rsid w:val="00892F87"/>
    <w:pPr>
      <w:outlineLvl w:val="9"/>
    </w:pPr>
    <w:rPr>
      <w:lang w:val="en-US"/>
    </w:rPr>
  </w:style>
  <w:style w:type="character" w:customStyle="1" w:styleId="Heading3Char">
    <w:name w:val="Heading 3 Char"/>
    <w:basedOn w:val="DefaultParagraphFont"/>
    <w:link w:val="Heading3"/>
    <w:uiPriority w:val="9"/>
    <w:rsid w:val="00692191"/>
    <w:rPr>
      <w:rFonts w:ascii="Times New Roman" w:eastAsiaTheme="majorEastAsia" w:hAnsi="Times New Roman" w:cstheme="majorBidi"/>
      <w:color w:val="000000" w:themeColor="text1"/>
      <w:sz w:val="24"/>
      <w:szCs w:val="24"/>
    </w:rPr>
  </w:style>
  <w:style w:type="paragraph" w:styleId="NormalWeb">
    <w:name w:val="Normal (Web)"/>
    <w:basedOn w:val="Normal"/>
    <w:uiPriority w:val="99"/>
    <w:semiHidden/>
    <w:unhideWhenUsed/>
    <w:rsid w:val="005166C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5166CF"/>
    <w:rPr>
      <w:b/>
      <w:bCs/>
    </w:rPr>
  </w:style>
  <w:style w:type="character" w:styleId="Hyperlink">
    <w:name w:val="Hyperlink"/>
    <w:basedOn w:val="DefaultParagraphFont"/>
    <w:uiPriority w:val="99"/>
    <w:unhideWhenUsed/>
    <w:rsid w:val="00DE7E33"/>
    <w:rPr>
      <w:color w:val="0563C1" w:themeColor="hyperlink"/>
      <w:u w:val="single"/>
    </w:rPr>
  </w:style>
  <w:style w:type="character" w:customStyle="1" w:styleId="UnresolvedMention1">
    <w:name w:val="Unresolved Mention1"/>
    <w:basedOn w:val="DefaultParagraphFont"/>
    <w:uiPriority w:val="99"/>
    <w:semiHidden/>
    <w:unhideWhenUsed/>
    <w:rsid w:val="00DE7E33"/>
    <w:rPr>
      <w:color w:val="605E5C"/>
      <w:shd w:val="clear" w:color="auto" w:fill="E1DFDD"/>
    </w:rPr>
  </w:style>
  <w:style w:type="paragraph" w:styleId="Header">
    <w:name w:val="header"/>
    <w:basedOn w:val="Normal"/>
    <w:link w:val="HeaderChar"/>
    <w:uiPriority w:val="99"/>
    <w:unhideWhenUsed/>
    <w:rsid w:val="00893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5A5"/>
  </w:style>
  <w:style w:type="paragraph" w:styleId="Footer">
    <w:name w:val="footer"/>
    <w:basedOn w:val="Normal"/>
    <w:link w:val="FooterChar"/>
    <w:uiPriority w:val="99"/>
    <w:unhideWhenUsed/>
    <w:rsid w:val="00893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abs/10.1080/10824669.2018.1439751" TargetMode="External"/><Relationship Id="rId18" Type="http://schemas.openxmlformats.org/officeDocument/2006/relationships/hyperlink" Target="https://onlinelibrary.wiley.com/doi/abs/10.1111/bioe.1246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tandfonline.com/doi/abs/10.1080/17441692.2020.1779328" TargetMode="External"/><Relationship Id="rId17" Type="http://schemas.openxmlformats.org/officeDocument/2006/relationships/hyperlink" Target="https://onlinelibrary.wiley.com/doi/abs/10.1002/pbc.27789" TargetMode="External"/><Relationship Id="rId2" Type="http://schemas.openxmlformats.org/officeDocument/2006/relationships/numbering" Target="numbering.xml"/><Relationship Id="rId16" Type="http://schemas.openxmlformats.org/officeDocument/2006/relationships/hyperlink" Target="https://muse.jhu.edu/article/743598/summary" TargetMode="External"/><Relationship Id="rId20" Type="http://schemas.openxmlformats.org/officeDocument/2006/relationships/hyperlink" Target="https://www.mdpi.com/2071-1050/11/9/25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Simona-Bungau/publication/333045075_Practices_and_attitudes_regarding_the_employment_of_people_with_disabilities_in_Romania/links/5cd949aa458515712ea6d5ad/Practices-and-attitudes-regarding-the-employment-of-people-with-disabilities-in-Romania.pdf" TargetMode="External"/><Relationship Id="rId5" Type="http://schemas.openxmlformats.org/officeDocument/2006/relationships/webSettings" Target="webSettings.xml"/><Relationship Id="rId15" Type="http://schemas.openxmlformats.org/officeDocument/2006/relationships/hyperlink" Target="https://www.nature.com/articles/s41559-019-0911-5" TargetMode="External"/><Relationship Id="rId23" Type="http://schemas.openxmlformats.org/officeDocument/2006/relationships/theme" Target="theme/theme1.xml"/><Relationship Id="rId10" Type="http://schemas.openxmlformats.org/officeDocument/2006/relationships/hyperlink" Target="https://ejurnal.iainpare.ac.id/index.php/kuriositas/article/view/1392" TargetMode="External"/><Relationship Id="rId19" Type="http://schemas.openxmlformats.org/officeDocument/2006/relationships/hyperlink" Target="https://cjasn.asnjournals.org/content/16/4/660.abstract" TargetMode="External"/><Relationship Id="rId4" Type="http://schemas.openxmlformats.org/officeDocument/2006/relationships/settings" Target="settings.xml"/><Relationship Id="rId9" Type="http://schemas.openxmlformats.org/officeDocument/2006/relationships/hyperlink" Target="https://www.tandfonline.com/doi/abs/10.1080/1369118X.2017.1340500" TargetMode="External"/><Relationship Id="rId14" Type="http://schemas.openxmlformats.org/officeDocument/2006/relationships/hyperlink" Target="https://www.tandfonline.com/doi/full/10.1080/1523908X.2017.141865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286B89-2FAE-4407-A21F-18021C6DE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2910</Words>
  <Characters>16588</Characters>
  <Application>Microsoft Office Word</Application>
  <DocSecurity>0</DocSecurity>
  <Lines>138</Lines>
  <Paragraphs>38</Paragraphs>
  <ScaleCrop>false</ScaleCrop>
  <Company/>
  <LinksUpToDate>false</LinksUpToDate>
  <CharactersWithSpaces>19460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2022-03-30T14:10:00Z</dcterms:created>
  <dcterms:modified xsi:type="dcterms:W3CDTF">2022-04-06T21:22:00Z</dcterms:modified>
</cp:coreProperties>
</file>