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C4CA8E4">
      <w:pPr>
        <w:ind w:left="426"/>
        <w:rPr>
          <w:rFonts w:ascii="Arial" w:hAnsi="Arial" w:eastAsia="Arial" w:cs="Arial"/>
        </w:rPr>
      </w:pPr>
    </w:p>
    <w:p w14:paraId="23F83907">
      <w:pPr>
        <w:spacing w:line="360" w:lineRule="auto"/>
        <w:ind w:left="426"/>
        <w:rPr>
          <w:rFonts w:ascii="Arial" w:hAnsi="Arial" w:eastAsia="Arial" w:cs="Arial"/>
        </w:rPr>
      </w:pPr>
      <w:r>
        <w:drawing>
          <wp:anchor distT="0" distB="0" distL="114300" distR="114300" simplePos="0" relativeHeight="251659264" behindDoc="0" locked="0" layoutInCell="1" allowOverlap="1">
            <wp:simplePos x="0" y="0"/>
            <wp:positionH relativeFrom="column">
              <wp:posOffset>0</wp:posOffset>
            </wp:positionH>
            <wp:positionV relativeFrom="paragraph">
              <wp:posOffset>289560</wp:posOffset>
            </wp:positionV>
            <wp:extent cx="2600325" cy="914400"/>
            <wp:effectExtent l="0" t="0" r="0" b="0"/>
            <wp:wrapSquare wrapText="bothSides"/>
            <wp:docPr id="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image1.png" descr="Discover University of Wales Trinity Saint David"/>
                    <pic:cNvPicPr preferRelativeResize="0"/>
                  </pic:nvPicPr>
                  <pic:blipFill>
                    <a:blip r:embed="rId7"/>
                    <a:srcRect/>
                    <a:stretch>
                      <a:fillRect/>
                    </a:stretch>
                  </pic:blipFill>
                  <pic:spPr>
                    <a:xfrm>
                      <a:off x="0" y="0"/>
                      <a:ext cx="2600325" cy="914400"/>
                    </a:xfrm>
                    <a:prstGeom prst="rect">
                      <a:avLst/>
                    </a:prstGeom>
                  </pic:spPr>
                </pic:pic>
              </a:graphicData>
            </a:graphic>
          </wp:anchor>
        </w:drawing>
      </w:r>
    </w:p>
    <w:p w14:paraId="04B08150">
      <w:pPr>
        <w:spacing w:line="360" w:lineRule="auto"/>
        <w:ind w:left="426"/>
        <w:rPr>
          <w:rFonts w:ascii="Arial" w:hAnsi="Arial" w:eastAsia="Arial" w:cs="Arial"/>
        </w:rPr>
      </w:pPr>
    </w:p>
    <w:p w14:paraId="025D7D48">
      <w:pPr>
        <w:spacing w:line="360" w:lineRule="auto"/>
        <w:ind w:left="426"/>
        <w:rPr>
          <w:rFonts w:ascii="Arial" w:hAnsi="Arial" w:eastAsia="Arial" w:cs="Arial"/>
        </w:rPr>
      </w:pPr>
    </w:p>
    <w:p w14:paraId="579BF4DE">
      <w:pPr>
        <w:spacing w:line="360" w:lineRule="auto"/>
        <w:ind w:left="426"/>
        <w:rPr>
          <w:rFonts w:ascii="Arial" w:hAnsi="Arial" w:eastAsia="Arial" w:cs="Arial"/>
        </w:rPr>
      </w:pPr>
    </w:p>
    <w:p w14:paraId="150DCDF5">
      <w:pPr>
        <w:tabs>
          <w:tab w:val="left" w:pos="6540"/>
        </w:tabs>
        <w:spacing w:line="360" w:lineRule="auto"/>
        <w:ind w:left="426"/>
        <w:rPr>
          <w:rFonts w:ascii="Arial" w:hAnsi="Arial" w:eastAsia="Arial" w:cs="Arial"/>
          <w:sz w:val="28"/>
          <w:szCs w:val="28"/>
        </w:rPr>
      </w:pPr>
    </w:p>
    <w:p w14:paraId="4DA2EA4C">
      <w:pPr>
        <w:tabs>
          <w:tab w:val="left" w:pos="6540"/>
        </w:tabs>
        <w:spacing w:line="360" w:lineRule="auto"/>
        <w:ind w:left="426"/>
        <w:rPr>
          <w:rFonts w:ascii="Arial" w:hAnsi="Arial" w:eastAsia="Arial" w:cs="Arial"/>
          <w:sz w:val="34"/>
          <w:szCs w:val="34"/>
        </w:rPr>
      </w:pPr>
      <w:r>
        <w:rPr>
          <w:rFonts w:ascii="Arial" w:hAnsi="Arial" w:eastAsia="Arial" w:cs="Arial"/>
          <w:b/>
          <w:sz w:val="28"/>
          <w:szCs w:val="28"/>
        </w:rPr>
        <w:t>Student name</w:t>
      </w:r>
      <w:r>
        <w:rPr>
          <w:rFonts w:ascii="Arial" w:hAnsi="Arial" w:eastAsia="Arial" w:cs="Arial"/>
          <w:sz w:val="28"/>
          <w:szCs w:val="28"/>
        </w:rPr>
        <w:t xml:space="preserve">: </w:t>
      </w:r>
      <w:r>
        <w:rPr>
          <w:rFonts w:ascii="Arial" w:hAnsi="Arial" w:eastAsia="Arial" w:cs="Arial"/>
          <w:sz w:val="27"/>
          <w:szCs w:val="27"/>
        </w:rPr>
        <w:t>Molloy Montaque</w:t>
      </w:r>
    </w:p>
    <w:p w14:paraId="7E034B95">
      <w:pPr>
        <w:tabs>
          <w:tab w:val="left" w:pos="6540"/>
        </w:tabs>
        <w:spacing w:line="360" w:lineRule="auto"/>
        <w:ind w:left="426"/>
        <w:rPr>
          <w:rFonts w:ascii="Arial" w:hAnsi="Arial" w:eastAsia="Arial" w:cs="Arial"/>
          <w:sz w:val="36"/>
          <w:szCs w:val="36"/>
        </w:rPr>
      </w:pPr>
      <w:r>
        <w:rPr>
          <w:rFonts w:ascii="Arial" w:hAnsi="Arial" w:eastAsia="Arial" w:cs="Arial"/>
          <w:b/>
          <w:sz w:val="28"/>
          <w:szCs w:val="28"/>
        </w:rPr>
        <w:t>Student ID</w:t>
      </w:r>
      <w:r>
        <w:rPr>
          <w:rFonts w:ascii="Arial" w:hAnsi="Arial" w:eastAsia="Arial" w:cs="Arial"/>
          <w:sz w:val="28"/>
          <w:szCs w:val="28"/>
        </w:rPr>
        <w:t xml:space="preserve">: </w:t>
      </w:r>
      <w:r>
        <w:rPr>
          <w:rFonts w:ascii="Arial" w:hAnsi="Arial" w:eastAsia="Arial" w:cs="Arial"/>
          <w:sz w:val="29"/>
          <w:szCs w:val="29"/>
        </w:rPr>
        <w:t>2235978</w:t>
      </w:r>
    </w:p>
    <w:p w14:paraId="5F779B7F">
      <w:pPr>
        <w:tabs>
          <w:tab w:val="left" w:pos="6540"/>
        </w:tabs>
        <w:spacing w:line="360" w:lineRule="auto"/>
        <w:ind w:left="426"/>
        <w:rPr>
          <w:rFonts w:ascii="Arial" w:hAnsi="Arial" w:eastAsia="Arial" w:cs="Arial"/>
          <w:sz w:val="34"/>
          <w:szCs w:val="34"/>
        </w:rPr>
      </w:pPr>
      <w:r>
        <w:rPr>
          <w:rFonts w:ascii="Arial" w:hAnsi="Arial" w:eastAsia="Arial" w:cs="Arial"/>
          <w:b/>
          <w:sz w:val="28"/>
          <w:szCs w:val="28"/>
        </w:rPr>
        <w:t>Module name</w:t>
      </w:r>
      <w:r>
        <w:rPr>
          <w:rFonts w:ascii="Arial" w:hAnsi="Arial" w:eastAsia="Arial" w:cs="Arial"/>
          <w:sz w:val="28"/>
          <w:szCs w:val="28"/>
        </w:rPr>
        <w:t xml:space="preserve">: </w:t>
      </w:r>
      <w:r>
        <w:rPr>
          <w:rFonts w:ascii="Arial" w:hAnsi="Arial" w:eastAsia="Arial" w:cs="Arial"/>
          <w:sz w:val="27"/>
          <w:szCs w:val="27"/>
        </w:rPr>
        <w:t>Independent Project</w:t>
      </w:r>
    </w:p>
    <w:p w14:paraId="0A954775">
      <w:pPr>
        <w:tabs>
          <w:tab w:val="left" w:pos="6540"/>
        </w:tabs>
        <w:spacing w:line="360" w:lineRule="auto"/>
        <w:ind w:left="426"/>
        <w:rPr>
          <w:rFonts w:ascii="Arial" w:hAnsi="Arial" w:eastAsia="Arial" w:cs="Arial"/>
          <w:sz w:val="34"/>
          <w:szCs w:val="34"/>
        </w:rPr>
      </w:pPr>
      <w:r>
        <w:rPr>
          <w:rFonts w:ascii="Arial" w:hAnsi="Arial" w:eastAsia="Arial" w:cs="Arial"/>
          <w:b/>
          <w:sz w:val="28"/>
          <w:szCs w:val="28"/>
        </w:rPr>
        <w:t>Module code</w:t>
      </w:r>
      <w:r>
        <w:rPr>
          <w:rFonts w:ascii="Arial" w:hAnsi="Arial" w:eastAsia="Arial" w:cs="Arial"/>
          <w:sz w:val="28"/>
          <w:szCs w:val="28"/>
        </w:rPr>
        <w:t xml:space="preserve">: </w:t>
      </w:r>
      <w:r>
        <w:rPr>
          <w:rFonts w:ascii="Arial" w:hAnsi="Arial" w:eastAsia="Arial" w:cs="Arial"/>
          <w:sz w:val="27"/>
          <w:szCs w:val="27"/>
        </w:rPr>
        <w:t>BMHP6020_LON</w:t>
      </w:r>
    </w:p>
    <w:p w14:paraId="1BE311B2">
      <w:pPr>
        <w:tabs>
          <w:tab w:val="left" w:pos="6540"/>
        </w:tabs>
        <w:spacing w:line="360" w:lineRule="auto"/>
        <w:ind w:left="426"/>
        <w:rPr>
          <w:rFonts w:ascii="Arial" w:hAnsi="Arial" w:eastAsia="Arial" w:cs="Arial"/>
          <w:sz w:val="29"/>
          <w:szCs w:val="29"/>
        </w:rPr>
      </w:pPr>
      <w:r>
        <w:rPr>
          <w:rFonts w:ascii="Arial" w:hAnsi="Arial" w:eastAsia="Arial" w:cs="Arial"/>
          <w:b/>
          <w:sz w:val="28"/>
          <w:szCs w:val="28"/>
        </w:rPr>
        <w:t>Supervisor’s name</w:t>
      </w:r>
      <w:r>
        <w:rPr>
          <w:rFonts w:ascii="Arial" w:hAnsi="Arial" w:eastAsia="Arial" w:cs="Arial"/>
          <w:sz w:val="28"/>
          <w:szCs w:val="28"/>
        </w:rPr>
        <w:t xml:space="preserve">: </w:t>
      </w:r>
      <w:r>
        <w:rPr>
          <w:rFonts w:ascii="Arial" w:hAnsi="Arial" w:eastAsia="Arial" w:cs="Arial"/>
          <w:sz w:val="29"/>
          <w:szCs w:val="29"/>
        </w:rPr>
        <w:t>Dr Laila Surani</w:t>
      </w:r>
    </w:p>
    <w:p w14:paraId="712AAA5C">
      <w:pPr>
        <w:tabs>
          <w:tab w:val="left" w:pos="6540"/>
        </w:tabs>
        <w:spacing w:line="360" w:lineRule="auto"/>
        <w:ind w:left="426"/>
        <w:rPr>
          <w:rFonts w:ascii="Arial" w:hAnsi="Arial" w:eastAsia="Arial" w:cs="Arial"/>
          <w:sz w:val="28"/>
          <w:szCs w:val="28"/>
        </w:rPr>
      </w:pPr>
    </w:p>
    <w:p w14:paraId="0CD67D51">
      <w:pPr>
        <w:rPr>
          <w:rFonts w:ascii="Arial" w:hAnsi="Arial" w:eastAsia="Arial" w:cs="Arial"/>
        </w:rPr>
      </w:pPr>
    </w:p>
    <w:p w14:paraId="1B924380">
      <w:r>
        <w:br w:type="page"/>
      </w:r>
    </w:p>
    <w:tbl>
      <w:tblPr>
        <w:tblStyle w:val="40"/>
        <w:tblW w:w="14631"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4606"/>
        <w:gridCol w:w="423"/>
        <w:gridCol w:w="4572"/>
        <w:gridCol w:w="366"/>
        <w:gridCol w:w="4664"/>
      </w:tblGrid>
      <w:tr w14:paraId="22B036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2393" w:hRule="atLeast"/>
          <w:jc w:val="center"/>
        </w:trPr>
        <w:tc>
          <w:tcPr>
            <w:tcW w:w="4606" w:type="dxa"/>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55344C62">
            <w:pPr>
              <w:rPr>
                <w:rFonts w:ascii="Arial" w:hAnsi="Arial" w:eastAsia="Arial" w:cs="Arial"/>
              </w:rPr>
            </w:pPr>
            <w:r>
              <w:rPr>
                <w:rFonts w:ascii="SimSun" w:hAnsi="SimSun" w:eastAsia="SimSun" w:cs="SimSun"/>
                <w:sz w:val="24"/>
                <w:szCs w:val="24"/>
              </w:rPr>
              <w:drawing>
                <wp:inline distT="0" distB="0" distL="114300" distR="114300">
                  <wp:extent cx="2777490" cy="1976120"/>
                  <wp:effectExtent l="0" t="0" r="0" b="0"/>
                  <wp:docPr id="7" name="image2.jpg" descr="IMG_256"/>
                  <wp:cNvGraphicFramePr/>
                  <a:graphic xmlns:a="http://schemas.openxmlformats.org/drawingml/2006/main">
                    <a:graphicData uri="http://schemas.openxmlformats.org/drawingml/2006/picture">
                      <pic:pic xmlns:pic="http://schemas.openxmlformats.org/drawingml/2006/picture">
                        <pic:nvPicPr>
                          <pic:cNvPr id="7" name="image2.jpg" descr="IMG_256"/>
                          <pic:cNvPicPr preferRelativeResize="0"/>
                        </pic:nvPicPr>
                        <pic:blipFill>
                          <a:blip r:embed="rId8"/>
                          <a:srcRect/>
                          <a:stretch>
                            <a:fillRect/>
                          </a:stretch>
                        </pic:blipFill>
                        <pic:spPr>
                          <a:xfrm>
                            <a:off x="0" y="0"/>
                            <a:ext cx="2777490" cy="1976120"/>
                          </a:xfrm>
                          <a:prstGeom prst="rect">
                            <a:avLst/>
                          </a:prstGeom>
                        </pic:spPr>
                      </pic:pic>
                    </a:graphicData>
                  </a:graphic>
                </wp:inline>
              </w:drawing>
            </w:r>
          </w:p>
        </w:tc>
        <w:tc>
          <w:tcPr>
            <w:tcW w:w="423" w:type="dxa"/>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52631EFF">
            <w:pPr>
              <w:rPr>
                <w:rFonts w:ascii="Arial" w:hAnsi="Arial" w:eastAsia="Arial" w:cs="Arial"/>
              </w:rPr>
            </w:pPr>
          </w:p>
        </w:tc>
        <w:tc>
          <w:tcPr>
            <w:tcW w:w="4572" w:type="dxa"/>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3FA8FCD8">
            <w:pPr>
              <w:spacing w:line="360" w:lineRule="auto"/>
              <w:rPr>
                <w:rFonts w:ascii="Arial" w:hAnsi="Arial" w:eastAsia="Arial" w:cs="Arial"/>
                <w:b/>
                <w:color w:val="0000FF"/>
              </w:rPr>
            </w:pPr>
            <w:r>
              <w:rPr>
                <w:rFonts w:ascii="Arial" w:hAnsi="Arial" w:eastAsia="Arial" w:cs="Arial"/>
                <w:b/>
                <w:color w:val="0000FF"/>
              </w:rPr>
              <w:t>Exploring the Effect of Chronic Pain Management on the Physical Well-being of Older Adults in the United Kingdom</w:t>
            </w:r>
          </w:p>
          <w:p w14:paraId="50F8CD00">
            <w:pPr>
              <w:spacing w:line="360" w:lineRule="auto"/>
              <w:rPr>
                <w:rFonts w:ascii="Arial" w:hAnsi="Arial" w:eastAsia="Arial" w:cs="Arial"/>
                <w:b/>
                <w:color w:val="0000FF"/>
              </w:rPr>
            </w:pPr>
            <w:r>
              <w:rPr>
                <w:rFonts w:ascii="Arial" w:hAnsi="Arial" w:eastAsia="Arial" w:cs="Arial"/>
                <w:b/>
                <w:color w:val="0000FF"/>
              </w:rPr>
              <w:t>Aims</w:t>
            </w:r>
          </w:p>
          <w:p w14:paraId="73DD4D5E">
            <w:pPr>
              <w:jc w:val="both"/>
              <w:rPr>
                <w:rFonts w:ascii="Arial" w:hAnsi="Arial" w:eastAsia="Arial" w:cs="Arial"/>
              </w:rPr>
            </w:pPr>
            <w:r>
              <w:rPr>
                <w:rFonts w:ascii="Arial" w:hAnsi="Arial" w:eastAsia="Arial" w:cs="Arial"/>
              </w:rPr>
              <w:t>The aim of this project is to systematically identify, select, and critically analyse scholarly literature on chronic pain manageme</w:t>
            </w:r>
            <w:bookmarkStart w:id="0" w:name="_GoBack"/>
            <w:bookmarkEnd w:id="0"/>
            <w:r>
              <w:rPr>
                <w:rFonts w:ascii="Arial" w:hAnsi="Arial" w:eastAsia="Arial" w:cs="Arial"/>
              </w:rPr>
              <w:t>nt strategies used for older adults (aged 60 and above) residing in the United Kingdom, in order to gain deeper insights into effective approaches, emerging themes, and gaps in current research.</w:t>
            </w:r>
          </w:p>
          <w:p w14:paraId="441820BD">
            <w:pPr>
              <w:spacing w:after="160" w:line="276" w:lineRule="auto"/>
              <w:jc w:val="both"/>
              <w:rPr>
                <w:rFonts w:ascii="Arial" w:hAnsi="Arial" w:eastAsia="Arial" w:cs="Arial"/>
                <w:color w:val="0000FF"/>
              </w:rPr>
            </w:pPr>
            <w:r>
              <w:rPr>
                <w:rFonts w:ascii="Arial" w:hAnsi="Arial" w:eastAsia="Arial" w:cs="Arial"/>
                <w:color w:val="0000FF"/>
              </w:rPr>
              <w:t>Objectives</w:t>
            </w:r>
          </w:p>
          <w:p w14:paraId="6CACD2DE">
            <w:pPr>
              <w:spacing w:after="160" w:line="276" w:lineRule="auto"/>
              <w:jc w:val="both"/>
              <w:rPr>
                <w:rFonts w:ascii="Arial" w:hAnsi="Arial" w:eastAsia="Arial" w:cs="Arial"/>
              </w:rPr>
            </w:pPr>
            <w:r>
              <w:rPr>
                <w:rFonts w:ascii="Arial" w:hAnsi="Arial" w:eastAsia="Arial" w:cs="Arial"/>
              </w:rPr>
              <w:t>Identify the most commonly used chronic pain management approaches among older adults in the UK.</w:t>
            </w:r>
          </w:p>
          <w:p w14:paraId="3D22712E">
            <w:pPr>
              <w:spacing w:after="160" w:line="276" w:lineRule="auto"/>
              <w:jc w:val="both"/>
              <w:rPr>
                <w:rFonts w:ascii="Arial" w:hAnsi="Arial" w:eastAsia="Arial" w:cs="Arial"/>
              </w:rPr>
            </w:pPr>
            <w:r>
              <w:rPr>
                <w:rFonts w:ascii="Arial" w:hAnsi="Arial" w:eastAsia="Arial" w:cs="Arial"/>
              </w:rPr>
              <w:t>Assess the impact of these pain management strategies on the physical health of older adults.</w:t>
            </w:r>
          </w:p>
          <w:p w14:paraId="6D5CC627">
            <w:pPr>
              <w:spacing w:after="160" w:line="276" w:lineRule="auto"/>
              <w:jc w:val="both"/>
              <w:rPr>
                <w:rFonts w:ascii="Arial" w:hAnsi="Arial" w:eastAsia="Arial" w:cs="Arial"/>
              </w:rPr>
            </w:pPr>
            <w:r>
              <w:rPr>
                <w:rFonts w:ascii="Arial" w:hAnsi="Arial" w:eastAsia="Arial" w:cs="Arial"/>
              </w:rPr>
              <w:t>Explore the barriers and facilitators affecting access to effective pain management for older adults in the UK.</w:t>
            </w:r>
          </w:p>
          <w:p w14:paraId="1B2ABB35">
            <w:pPr>
              <w:spacing w:after="160" w:line="276" w:lineRule="auto"/>
              <w:jc w:val="both"/>
              <w:rPr>
                <w:rFonts w:ascii="Arial" w:hAnsi="Arial" w:eastAsia="Arial" w:cs="Arial"/>
              </w:rPr>
            </w:pPr>
            <w:r>
              <w:rPr>
                <w:rFonts w:ascii="Arial" w:hAnsi="Arial" w:eastAsia="Arial" w:cs="Arial"/>
              </w:rPr>
              <w:t>Provide recommendations to enhance chronic pain management for aged individuals in the UK.</w:t>
            </w:r>
          </w:p>
          <w:p w14:paraId="515CAF9A">
            <w:pPr>
              <w:spacing w:after="160" w:line="276" w:lineRule="auto"/>
              <w:jc w:val="both"/>
              <w:rPr>
                <w:rFonts w:ascii="Arial" w:hAnsi="Arial" w:eastAsia="Arial" w:cs="Arial"/>
                <w:b/>
                <w:color w:val="0000FF"/>
              </w:rPr>
            </w:pPr>
            <w:r>
              <w:rPr>
                <w:rFonts w:ascii="Arial" w:hAnsi="Arial" w:eastAsia="Arial" w:cs="Arial"/>
                <w:b/>
                <w:color w:val="0000FF"/>
              </w:rPr>
              <w:t>Exclusion criteria</w:t>
            </w:r>
          </w:p>
          <w:p w14:paraId="6BC98E7E">
            <w:pPr>
              <w:numPr>
                <w:ilvl w:val="0"/>
                <w:numId w:val="1"/>
              </w:numPr>
              <w:spacing w:before="240" w:after="0" w:line="276" w:lineRule="auto"/>
              <w:ind w:left="420" w:hanging="420"/>
              <w:jc w:val="both"/>
              <w:rPr>
                <w:rFonts w:ascii="Arial" w:hAnsi="Arial" w:eastAsia="Arial" w:cs="Arial"/>
              </w:rPr>
            </w:pPr>
            <w:r>
              <w:rPr>
                <w:rFonts w:ascii="Arial" w:hAnsi="Arial" w:eastAsia="Arial" w:cs="Arial"/>
              </w:rPr>
              <w:t>Studies unrelated to older adults in the UK</w:t>
            </w:r>
          </w:p>
          <w:p w14:paraId="2E6C7907">
            <w:pPr>
              <w:numPr>
                <w:ilvl w:val="0"/>
                <w:numId w:val="1"/>
              </w:numPr>
              <w:spacing w:after="0" w:line="276" w:lineRule="auto"/>
              <w:ind w:left="420" w:hanging="420"/>
              <w:jc w:val="both"/>
              <w:rPr>
                <w:rFonts w:ascii="Arial" w:hAnsi="Arial" w:eastAsia="Arial" w:cs="Arial"/>
              </w:rPr>
            </w:pPr>
            <w:r>
              <w:rPr>
                <w:rFonts w:ascii="Arial" w:hAnsi="Arial" w:eastAsia="Arial" w:cs="Arial"/>
              </w:rPr>
              <w:t>Research relying solely on secondary data</w:t>
            </w:r>
          </w:p>
          <w:p w14:paraId="126BC1C2">
            <w:pPr>
              <w:numPr>
                <w:ilvl w:val="0"/>
                <w:numId w:val="1"/>
              </w:numPr>
              <w:spacing w:after="0" w:line="276" w:lineRule="auto"/>
              <w:ind w:left="420" w:hanging="420"/>
              <w:jc w:val="both"/>
              <w:rPr>
                <w:rFonts w:ascii="Arial" w:hAnsi="Arial" w:eastAsia="Arial" w:cs="Arial"/>
              </w:rPr>
            </w:pPr>
            <w:r>
              <w:rPr>
                <w:rFonts w:ascii="Arial" w:hAnsi="Arial" w:eastAsia="Arial" w:cs="Arial"/>
              </w:rPr>
              <w:t>Publications prior to 2015</w:t>
            </w:r>
          </w:p>
          <w:p w14:paraId="4AF4FC81">
            <w:pPr>
              <w:numPr>
                <w:ilvl w:val="-1"/>
                <w:numId w:val="0"/>
              </w:numPr>
              <w:spacing w:after="400" w:line="276" w:lineRule="auto"/>
              <w:ind w:left="360" w:firstLine="0"/>
              <w:jc w:val="both"/>
              <w:rPr>
                <w:rFonts w:ascii="Arial" w:hAnsi="Arial" w:eastAsia="Arial" w:cs="Arial"/>
              </w:rPr>
            </w:pPr>
            <w:r>
              <w:rPr>
                <w:rFonts w:ascii="Arial" w:hAnsi="Arial" w:eastAsia="Arial" w:cs="Arial"/>
              </w:rPr>
              <w:t>Non-English language articles</w:t>
            </w:r>
          </w:p>
          <w:p w14:paraId="3387B037">
            <w:pPr>
              <w:spacing w:after="160" w:line="276" w:lineRule="auto"/>
              <w:jc w:val="both"/>
              <w:rPr>
                <w:rFonts w:ascii="Arial" w:hAnsi="Arial" w:eastAsia="Arial" w:cs="Arial"/>
                <w:color w:val="0000FF"/>
              </w:rPr>
            </w:pPr>
            <w:r>
              <w:rPr>
                <w:rFonts w:ascii="Arial" w:hAnsi="Arial" w:eastAsia="Arial" w:cs="Arial"/>
                <w:color w:val="0000FF"/>
              </w:rPr>
              <w:t>Data Analysis</w:t>
            </w:r>
          </w:p>
          <w:p w14:paraId="777FEF2A">
            <w:pPr>
              <w:numPr>
                <w:ilvl w:val="-1"/>
                <w:numId w:val="0"/>
              </w:numPr>
              <w:spacing w:before="240" w:after="400" w:line="276" w:lineRule="auto"/>
              <w:ind w:left="360" w:firstLine="0"/>
              <w:jc w:val="both"/>
              <w:rPr>
                <w:rFonts w:ascii="Arial" w:hAnsi="Arial" w:eastAsia="Arial" w:cs="Arial"/>
              </w:rPr>
            </w:pPr>
            <w:r>
              <w:rPr>
                <w:rFonts w:ascii="Arial" w:hAnsi="Arial" w:eastAsia="Arial" w:cs="Arial"/>
              </w:rPr>
              <w:t>The study uses Braun and Clarke’s (2014) six-phase Thematic Analysis to systematically identify, review, and define themes from qualitative data. This flexible, reflexive method enables deep interpretation of patterns across studies, ensuring transparency and rigour in analysing chronic pain management literature among older adults in the UK.</w:t>
            </w:r>
          </w:p>
          <w:p w14:paraId="02071F83">
            <w:pPr>
              <w:spacing w:before="240" w:after="240" w:line="276" w:lineRule="auto"/>
              <w:rPr>
                <w:rFonts w:ascii="Arial" w:hAnsi="Arial" w:eastAsia="Arial" w:cs="Arial"/>
              </w:rPr>
            </w:pPr>
          </w:p>
          <w:p w14:paraId="6650A4CD">
            <w:pPr>
              <w:jc w:val="both"/>
              <w:rPr>
                <w:rFonts w:ascii="Arial" w:hAnsi="Arial" w:eastAsia="Arial" w:cs="Arial"/>
              </w:rPr>
            </w:pPr>
          </w:p>
        </w:tc>
        <w:tc>
          <w:tcPr>
            <w:tcW w:w="366" w:type="dxa"/>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3ECF3FDD">
            <w:pPr>
              <w:rPr>
                <w:rFonts w:ascii="Arial" w:hAnsi="Arial" w:eastAsia="Arial" w:cs="Arial"/>
              </w:rPr>
            </w:pPr>
          </w:p>
        </w:tc>
        <w:tc>
          <w:tcPr>
            <w:tcW w:w="4664" w:type="dxa"/>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tcPr>
          <w:p w14:paraId="2FD1E7A3">
            <w:pPr>
              <w:rPr>
                <w:rFonts w:ascii="Arial" w:hAnsi="Arial" w:eastAsia="Arial" w:cs="Arial"/>
              </w:rPr>
            </w:pPr>
            <w:r>
              <w:rPr>
                <w:rFonts w:ascii="SimSun" w:hAnsi="SimSun" w:eastAsia="SimSun" w:cs="SimSun"/>
                <w:sz w:val="24"/>
                <w:szCs w:val="24"/>
              </w:rPr>
              <w:drawing>
                <wp:inline distT="0" distB="0" distL="114300" distR="114300">
                  <wp:extent cx="2814320" cy="2485390"/>
                  <wp:effectExtent l="0" t="0" r="0" b="0"/>
                  <wp:docPr id="6" name="image3.png" descr="IMG_256"/>
                  <wp:cNvGraphicFramePr/>
                  <a:graphic xmlns:a="http://schemas.openxmlformats.org/drawingml/2006/main">
                    <a:graphicData uri="http://schemas.openxmlformats.org/drawingml/2006/picture">
                      <pic:pic xmlns:pic="http://schemas.openxmlformats.org/drawingml/2006/picture">
                        <pic:nvPicPr>
                          <pic:cNvPr id="6" name="image3.png" descr="IMG_256"/>
                          <pic:cNvPicPr preferRelativeResize="0"/>
                        </pic:nvPicPr>
                        <pic:blipFill>
                          <a:blip r:embed="rId9"/>
                          <a:srcRect/>
                          <a:stretch>
                            <a:fillRect/>
                          </a:stretch>
                        </pic:blipFill>
                        <pic:spPr>
                          <a:xfrm>
                            <a:off x="0" y="0"/>
                            <a:ext cx="2814320" cy="2485390"/>
                          </a:xfrm>
                          <a:prstGeom prst="rect">
                            <a:avLst/>
                          </a:prstGeom>
                        </pic:spPr>
                      </pic:pic>
                    </a:graphicData>
                  </a:graphic>
                </wp:inline>
              </w:drawing>
            </w:r>
          </w:p>
        </w:tc>
      </w:tr>
      <w:tr w14:paraId="0C8CA8F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272" w:hRule="atLeast"/>
          <w:jc w:val="center"/>
        </w:trPr>
        <w:tc>
          <w:tcPr>
            <w:tcW w:w="4606" w:type="dxa"/>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5D2F4CBD">
            <w:pPr>
              <w:rPr>
                <w:rFonts w:ascii="Arial" w:hAnsi="Arial" w:eastAsia="Arial" w:cs="Arial"/>
              </w:rPr>
            </w:pPr>
          </w:p>
        </w:tc>
        <w:tc>
          <w:tcPr>
            <w:tcW w:w="423"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7A9FD515">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572"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60BE9272">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366"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0A04F729">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664" w:type="dxa"/>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7B8A87E7">
            <w:pPr>
              <w:pBdr>
                <w:top w:val="none" w:color="auto" w:sz="0" w:space="0"/>
                <w:left w:val="none" w:color="auto" w:sz="0" w:space="0"/>
                <w:bottom w:val="none" w:color="auto" w:sz="0" w:space="0"/>
                <w:right w:val="none" w:color="auto" w:sz="0" w:space="0"/>
                <w:between w:val="none" w:color="auto" w:sz="0" w:space="0"/>
              </w:pBdr>
              <w:rPr>
                <w:rFonts w:ascii="Arial" w:hAnsi="Arial" w:eastAsia="Arial" w:cs="Arial"/>
                <w:color w:val="000000"/>
              </w:rPr>
            </w:pPr>
          </w:p>
        </w:tc>
      </w:tr>
      <w:tr w14:paraId="3B90D4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473" w:hRule="atLeast"/>
          <w:jc w:val="center"/>
        </w:trPr>
        <w:tc>
          <w:tcPr>
            <w:tcW w:w="4606" w:type="dxa"/>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0B3B1C45">
            <w:pPr>
              <w:spacing w:after="160" w:line="276" w:lineRule="auto"/>
              <w:jc w:val="both"/>
              <w:rPr>
                <w:rFonts w:ascii="Arial" w:hAnsi="Arial" w:eastAsia="Arial" w:cs="Arial"/>
                <w:color w:val="0000FF"/>
                <w:sz w:val="19"/>
                <w:szCs w:val="19"/>
              </w:rPr>
            </w:pPr>
            <w:r>
              <w:rPr>
                <w:rFonts w:ascii="Arial" w:hAnsi="Arial" w:eastAsia="Arial" w:cs="Arial"/>
                <w:color w:val="0000FF"/>
                <w:sz w:val="19"/>
                <w:szCs w:val="19"/>
              </w:rPr>
              <w:t>Methodology</w:t>
            </w:r>
          </w:p>
          <w:p w14:paraId="75B8454D">
            <w:pPr>
              <w:numPr>
                <w:ilvl w:val="0"/>
                <w:numId w:val="2"/>
              </w:numPr>
              <w:spacing w:before="240" w:after="0" w:line="276" w:lineRule="auto"/>
              <w:ind w:left="420" w:hanging="420"/>
              <w:jc w:val="both"/>
              <w:rPr>
                <w:rFonts w:ascii="Arial" w:hAnsi="Arial" w:eastAsia="Arial" w:cs="Arial"/>
                <w:sz w:val="19"/>
                <w:szCs w:val="19"/>
              </w:rPr>
            </w:pPr>
            <w:r>
              <w:rPr>
                <w:rFonts w:ascii="Arial" w:hAnsi="Arial" w:eastAsia="Arial" w:cs="Arial"/>
                <w:sz w:val="19"/>
                <w:szCs w:val="19"/>
              </w:rPr>
              <w:t>This study uses a systematic review to explore chronic pain management among older adults in the UK. A total of ten peer-reviewed articles published between 2015 and 2025 are selected from databases including Google Scholar, PubMed, ProQuest, and the UWTSD Library.</w:t>
            </w:r>
          </w:p>
          <w:p w14:paraId="39478AB1">
            <w:pPr>
              <w:numPr>
                <w:ilvl w:val="0"/>
                <w:numId w:val="2"/>
              </w:numPr>
              <w:spacing w:after="0" w:line="276" w:lineRule="auto"/>
              <w:ind w:left="420" w:hanging="420"/>
              <w:jc w:val="both"/>
              <w:rPr>
                <w:rFonts w:ascii="Arial" w:hAnsi="Arial" w:eastAsia="Arial" w:cs="Arial"/>
                <w:sz w:val="19"/>
                <w:szCs w:val="19"/>
              </w:rPr>
            </w:pPr>
            <w:r>
              <w:rPr>
                <w:rFonts w:ascii="Arial" w:hAnsi="Arial" w:eastAsia="Arial" w:cs="Arial"/>
                <w:sz w:val="19"/>
                <w:szCs w:val="19"/>
              </w:rPr>
              <w:t xml:space="preserve">A structured search strategy, defined inclusion/exclusion criteria, and a two-stage screening process ensure relevance and quality. Articles must involve UK-based adults aged 60+ and use primary data. </w:t>
            </w:r>
          </w:p>
          <w:p w14:paraId="08A07B8D">
            <w:pPr>
              <w:numPr>
                <w:ilvl w:val="0"/>
                <w:numId w:val="2"/>
              </w:numPr>
              <w:spacing w:after="400" w:line="276" w:lineRule="auto"/>
              <w:ind w:left="420" w:hanging="420"/>
              <w:jc w:val="both"/>
              <w:rPr>
                <w:rFonts w:ascii="Arial" w:hAnsi="Arial" w:eastAsia="Arial" w:cs="Arial"/>
                <w:sz w:val="19"/>
                <w:szCs w:val="19"/>
              </w:rPr>
            </w:pPr>
            <w:r>
              <w:rPr>
                <w:rFonts w:ascii="Arial" w:hAnsi="Arial" w:eastAsia="Arial" w:cs="Arial"/>
                <w:sz w:val="19"/>
                <w:szCs w:val="19"/>
              </w:rPr>
              <w:t>Thematic analysis, following Braun and Clarke’s six-phase model, is applied to identify patterns and themes across studies. Ethical standards are maintained through accurate citation, with no primary data collection involving human participants (Braun and Clarke, 2023).</w:t>
            </w:r>
          </w:p>
          <w:p w14:paraId="0FB07C22">
            <w:pPr>
              <w:spacing w:after="160" w:line="276" w:lineRule="auto"/>
              <w:jc w:val="both"/>
              <w:rPr>
                <w:rFonts w:ascii="Arial" w:hAnsi="Arial" w:eastAsia="Arial" w:cs="Arial"/>
                <w:color w:val="0000FF"/>
                <w:sz w:val="19"/>
                <w:szCs w:val="19"/>
              </w:rPr>
            </w:pPr>
            <w:r>
              <w:rPr>
                <w:rFonts w:ascii="Arial" w:hAnsi="Arial" w:eastAsia="Arial" w:cs="Arial"/>
                <w:color w:val="0000FF"/>
                <w:sz w:val="19"/>
                <w:szCs w:val="19"/>
              </w:rPr>
              <w:t>Data Collection method.</w:t>
            </w:r>
          </w:p>
          <w:p w14:paraId="0096E8C4">
            <w:pPr>
              <w:numPr>
                <w:ilvl w:val="0"/>
                <w:numId w:val="2"/>
              </w:numPr>
              <w:spacing w:before="240" w:after="0" w:line="276" w:lineRule="auto"/>
              <w:ind w:left="420" w:hanging="420"/>
              <w:jc w:val="both"/>
              <w:rPr>
                <w:rFonts w:ascii="Arial" w:hAnsi="Arial" w:eastAsia="Arial" w:cs="Arial"/>
                <w:sz w:val="19"/>
                <w:szCs w:val="19"/>
              </w:rPr>
            </w:pPr>
            <w:r>
              <w:rPr>
                <w:rFonts w:ascii="Arial" w:hAnsi="Arial" w:eastAsia="Arial" w:cs="Arial"/>
                <w:sz w:val="19"/>
                <w:szCs w:val="19"/>
              </w:rPr>
              <w:t>Data collection involves systematically searching databases like Google Scholar, PubMed, and ProQuest for peer-reviewed articles (2015–2025) on UK older adults’ chronic pain.</w:t>
            </w:r>
          </w:p>
          <w:p w14:paraId="386C5476">
            <w:pPr>
              <w:numPr>
                <w:ilvl w:val="0"/>
                <w:numId w:val="2"/>
              </w:numPr>
              <w:spacing w:after="400" w:line="276" w:lineRule="auto"/>
              <w:ind w:left="420" w:hanging="420"/>
              <w:jc w:val="both"/>
              <w:rPr>
                <w:rFonts w:ascii="Arial" w:hAnsi="Arial" w:eastAsia="Arial" w:cs="Arial"/>
                <w:sz w:val="19"/>
                <w:szCs w:val="19"/>
              </w:rPr>
            </w:pPr>
            <w:r>
              <w:rPr>
                <w:rFonts w:ascii="Arial" w:hAnsi="Arial" w:eastAsia="Arial" w:cs="Arial"/>
                <w:sz w:val="19"/>
                <w:szCs w:val="19"/>
              </w:rPr>
              <w:t>Boolean operators and targeted keywords, studies are screened in two stages, with additional sources identified via snowballing to ensure comprehensive selection (Greenhalgh, 2019).</w:t>
            </w:r>
          </w:p>
          <w:p w14:paraId="2EF1019F">
            <w:pPr>
              <w:spacing w:after="160" w:line="276" w:lineRule="auto"/>
              <w:jc w:val="both"/>
              <w:rPr>
                <w:rFonts w:ascii="Arial" w:hAnsi="Arial" w:eastAsia="Arial" w:cs="Arial"/>
                <w:b/>
                <w:color w:val="0000FF"/>
                <w:sz w:val="19"/>
                <w:szCs w:val="19"/>
              </w:rPr>
            </w:pPr>
            <w:r>
              <w:rPr>
                <w:rFonts w:ascii="Arial" w:hAnsi="Arial" w:eastAsia="Arial" w:cs="Arial"/>
                <w:b/>
                <w:color w:val="0000FF"/>
                <w:sz w:val="19"/>
                <w:szCs w:val="19"/>
              </w:rPr>
              <w:t>Keywords</w:t>
            </w:r>
          </w:p>
          <w:p w14:paraId="6ED7EC07">
            <w:pPr>
              <w:spacing w:after="160" w:line="276" w:lineRule="auto"/>
              <w:jc w:val="both"/>
              <w:rPr>
                <w:rFonts w:ascii="Arial" w:hAnsi="Arial" w:eastAsia="Arial" w:cs="Arial"/>
                <w:sz w:val="19"/>
                <w:szCs w:val="19"/>
              </w:rPr>
            </w:pPr>
            <w:r>
              <w:rPr>
                <w:rFonts w:ascii="Arial" w:hAnsi="Arial" w:eastAsia="Arial" w:cs="Arial"/>
                <w:sz w:val="19"/>
                <w:szCs w:val="19"/>
              </w:rPr>
              <w:t xml:space="preserve">The search strategy will employ targeted terms relevant to the research focus, including: </w:t>
            </w:r>
          </w:p>
          <w:p w14:paraId="6C86BC61">
            <w:pPr>
              <w:numPr>
                <w:ilvl w:val="0"/>
                <w:numId w:val="2"/>
              </w:numPr>
              <w:spacing w:before="240" w:after="0" w:line="276" w:lineRule="auto"/>
              <w:ind w:left="420" w:hanging="420"/>
              <w:jc w:val="both"/>
              <w:rPr>
                <w:rFonts w:ascii="Arial" w:hAnsi="Arial" w:eastAsia="Arial" w:cs="Arial"/>
                <w:sz w:val="19"/>
                <w:szCs w:val="19"/>
              </w:rPr>
            </w:pPr>
            <w:r>
              <w:rPr>
                <w:rFonts w:ascii="Arial" w:hAnsi="Arial" w:eastAsia="Arial" w:cs="Arial"/>
                <w:sz w:val="19"/>
                <w:szCs w:val="19"/>
              </w:rPr>
              <w:t>“Chronic Pain Management”,</w:t>
            </w:r>
          </w:p>
          <w:p w14:paraId="07F5CE8D">
            <w:pPr>
              <w:numPr>
                <w:ilvl w:val="0"/>
                <w:numId w:val="2"/>
              </w:numPr>
              <w:spacing w:after="0" w:line="276" w:lineRule="auto"/>
              <w:ind w:left="420" w:hanging="420"/>
              <w:jc w:val="both"/>
              <w:rPr>
                <w:rFonts w:ascii="Arial" w:hAnsi="Arial" w:eastAsia="Arial" w:cs="Arial"/>
                <w:sz w:val="19"/>
                <w:szCs w:val="19"/>
              </w:rPr>
            </w:pPr>
            <w:r>
              <w:rPr>
                <w:rFonts w:ascii="Arial" w:hAnsi="Arial" w:eastAsia="Arial" w:cs="Arial"/>
                <w:sz w:val="19"/>
                <w:szCs w:val="19"/>
              </w:rPr>
              <w:t>“Older Adults”, “UK” ,</w:t>
            </w:r>
          </w:p>
          <w:p w14:paraId="7C01ADB1">
            <w:pPr>
              <w:numPr>
                <w:ilvl w:val="0"/>
                <w:numId w:val="2"/>
              </w:numPr>
              <w:spacing w:after="400" w:line="276" w:lineRule="auto"/>
              <w:ind w:left="420" w:hanging="420"/>
              <w:jc w:val="both"/>
              <w:rPr>
                <w:rFonts w:ascii="Arial" w:hAnsi="Arial" w:eastAsia="Arial" w:cs="Arial"/>
                <w:sz w:val="19"/>
                <w:szCs w:val="19"/>
              </w:rPr>
            </w:pPr>
            <w:r>
              <w:rPr>
                <w:rFonts w:ascii="Arial" w:hAnsi="Arial" w:eastAsia="Arial" w:cs="Arial"/>
                <w:sz w:val="19"/>
                <w:szCs w:val="19"/>
              </w:rPr>
              <w:t>“Pain Management Strategies”</w:t>
            </w:r>
          </w:p>
          <w:p w14:paraId="67716186">
            <w:pPr>
              <w:spacing w:after="160" w:line="276" w:lineRule="auto"/>
              <w:jc w:val="both"/>
              <w:rPr>
                <w:rFonts w:ascii="Arial" w:hAnsi="Arial" w:eastAsia="Arial" w:cs="Arial"/>
                <w:sz w:val="19"/>
                <w:szCs w:val="19"/>
              </w:rPr>
            </w:pPr>
            <w:r>
              <w:rPr>
                <w:rFonts w:ascii="Arial" w:hAnsi="Arial" w:eastAsia="Arial" w:cs="Arial"/>
                <w:sz w:val="19"/>
                <w:szCs w:val="19"/>
              </w:rPr>
              <w:t>Synonyms and related terms will be incorporated, and database-specific indexing terms will be used where available to optimise retrieval of relevant literature (Petticrew and Roberts, 2016).</w:t>
            </w:r>
          </w:p>
          <w:p w14:paraId="03B74632">
            <w:pPr>
              <w:spacing w:after="160" w:line="276" w:lineRule="auto"/>
              <w:jc w:val="both"/>
              <w:rPr>
                <w:rFonts w:ascii="Arial" w:hAnsi="Arial" w:eastAsia="Arial" w:cs="Arial"/>
                <w:b/>
                <w:color w:val="0000FF"/>
                <w:sz w:val="19"/>
                <w:szCs w:val="19"/>
              </w:rPr>
            </w:pPr>
            <w:r>
              <w:rPr>
                <w:rFonts w:ascii="Arial" w:hAnsi="Arial" w:eastAsia="Arial" w:cs="Arial"/>
                <w:b/>
                <w:color w:val="0000FF"/>
                <w:sz w:val="19"/>
                <w:szCs w:val="19"/>
              </w:rPr>
              <w:t>Inclusion criteria:</w:t>
            </w:r>
          </w:p>
          <w:p w14:paraId="290CB0F3">
            <w:pPr>
              <w:numPr>
                <w:ilvl w:val="0"/>
                <w:numId w:val="2"/>
              </w:numPr>
              <w:spacing w:before="240" w:after="0" w:line="276" w:lineRule="auto"/>
              <w:ind w:left="420" w:hanging="420"/>
              <w:jc w:val="both"/>
              <w:rPr>
                <w:rFonts w:ascii="Arial" w:hAnsi="Arial" w:eastAsia="Arial" w:cs="Arial"/>
                <w:sz w:val="19"/>
                <w:szCs w:val="19"/>
              </w:rPr>
            </w:pPr>
            <w:r>
              <w:rPr>
                <w:rFonts w:ascii="Arial" w:hAnsi="Arial" w:eastAsia="Arial" w:cs="Arial"/>
                <w:sz w:val="19"/>
                <w:szCs w:val="19"/>
              </w:rPr>
              <w:t>Empirical studies focusing on older adults (aged 60+) living in the United Kingdom</w:t>
            </w:r>
          </w:p>
          <w:p w14:paraId="66ED2A60">
            <w:pPr>
              <w:numPr>
                <w:ilvl w:val="0"/>
                <w:numId w:val="2"/>
              </w:numPr>
              <w:spacing w:after="0" w:line="276" w:lineRule="auto"/>
              <w:ind w:left="420" w:hanging="420"/>
              <w:jc w:val="both"/>
              <w:rPr>
                <w:rFonts w:ascii="Arial" w:hAnsi="Arial" w:eastAsia="Arial" w:cs="Arial"/>
                <w:sz w:val="19"/>
                <w:szCs w:val="19"/>
              </w:rPr>
            </w:pPr>
            <w:r>
              <w:rPr>
                <w:rFonts w:ascii="Arial" w:hAnsi="Arial" w:eastAsia="Arial" w:cs="Arial"/>
                <w:sz w:val="19"/>
                <w:szCs w:val="19"/>
              </w:rPr>
              <w:t>Research utilising primary data collection methods (e.g., surveys, interviews, clinical trials)</w:t>
            </w:r>
          </w:p>
          <w:p w14:paraId="337F8562">
            <w:pPr>
              <w:numPr>
                <w:ilvl w:val="0"/>
                <w:numId w:val="2"/>
              </w:numPr>
              <w:spacing w:after="0" w:line="276" w:lineRule="auto"/>
              <w:ind w:left="420" w:hanging="420"/>
              <w:jc w:val="both"/>
              <w:rPr>
                <w:rFonts w:ascii="Arial" w:hAnsi="Arial" w:eastAsia="Arial" w:cs="Arial"/>
                <w:sz w:val="19"/>
                <w:szCs w:val="19"/>
              </w:rPr>
            </w:pPr>
            <w:r>
              <w:rPr>
                <w:rFonts w:ascii="Arial" w:hAnsi="Arial" w:eastAsia="Arial" w:cs="Arial"/>
                <w:sz w:val="19"/>
                <w:szCs w:val="19"/>
              </w:rPr>
              <w:t>Publications between 2015 and 2025</w:t>
            </w:r>
          </w:p>
          <w:p w14:paraId="3E2CD8A5">
            <w:pPr>
              <w:numPr>
                <w:ilvl w:val="0"/>
                <w:numId w:val="2"/>
              </w:numPr>
              <w:spacing w:after="0" w:line="276" w:lineRule="auto"/>
              <w:ind w:left="420" w:hanging="420"/>
              <w:jc w:val="both"/>
              <w:rPr>
                <w:rFonts w:ascii="Arial" w:hAnsi="Arial" w:eastAsia="Arial" w:cs="Arial"/>
                <w:sz w:val="19"/>
                <w:szCs w:val="19"/>
              </w:rPr>
            </w:pPr>
            <w:r>
              <w:rPr>
                <w:rFonts w:ascii="Arial" w:hAnsi="Arial" w:eastAsia="Arial" w:cs="Arial"/>
                <w:sz w:val="19"/>
                <w:szCs w:val="19"/>
              </w:rPr>
              <w:t>Articles written in English</w:t>
            </w:r>
          </w:p>
          <w:p w14:paraId="597FF5D3">
            <w:pPr>
              <w:numPr>
                <w:ilvl w:val="-1"/>
                <w:numId w:val="0"/>
              </w:numPr>
              <w:spacing w:after="240" w:line="276" w:lineRule="auto"/>
              <w:ind w:left="360" w:firstLine="0"/>
              <w:rPr>
                <w:rFonts w:ascii="Arial" w:hAnsi="Arial" w:eastAsia="Arial" w:cs="Arial"/>
                <w:sz w:val="19"/>
                <w:szCs w:val="19"/>
              </w:rPr>
            </w:pPr>
          </w:p>
          <w:p w14:paraId="1D068F39">
            <w:pPr>
              <w:spacing w:before="240" w:after="400" w:line="276" w:lineRule="auto"/>
              <w:jc w:val="both"/>
              <w:rPr>
                <w:rFonts w:ascii="Arial" w:hAnsi="Arial" w:eastAsia="Arial" w:cs="Arial"/>
                <w:sz w:val="17"/>
                <w:szCs w:val="17"/>
              </w:rPr>
            </w:pPr>
          </w:p>
          <w:p w14:paraId="1FB142F1">
            <w:pPr>
              <w:spacing w:before="240" w:after="240" w:line="276" w:lineRule="auto"/>
              <w:rPr>
                <w:rFonts w:ascii="Arial" w:hAnsi="Arial" w:eastAsia="Arial" w:cs="Arial"/>
                <w:color w:val="0000FF"/>
                <w:sz w:val="17"/>
                <w:szCs w:val="17"/>
              </w:rPr>
            </w:pPr>
          </w:p>
          <w:p w14:paraId="6E61EB18">
            <w:pPr>
              <w:spacing w:before="240" w:after="400" w:line="276" w:lineRule="auto"/>
              <w:jc w:val="both"/>
              <w:rPr>
                <w:rFonts w:ascii="Arial" w:hAnsi="Arial" w:eastAsia="Arial" w:cs="Arial"/>
                <w:sz w:val="17"/>
                <w:szCs w:val="17"/>
              </w:rPr>
            </w:pPr>
          </w:p>
          <w:p w14:paraId="3D84E5DD">
            <w:pPr>
              <w:spacing w:before="240" w:after="400" w:line="276" w:lineRule="auto"/>
              <w:jc w:val="both"/>
              <w:rPr>
                <w:rFonts w:ascii="Arial" w:hAnsi="Arial" w:eastAsia="Arial" w:cs="Arial"/>
                <w:sz w:val="17"/>
                <w:szCs w:val="17"/>
              </w:rPr>
            </w:pPr>
          </w:p>
          <w:p w14:paraId="2E7329BA">
            <w:pPr>
              <w:jc w:val="both"/>
              <w:rPr>
                <w:rFonts w:ascii="Arial" w:hAnsi="Arial" w:eastAsia="Arial" w:cs="Arial"/>
              </w:rPr>
            </w:pPr>
          </w:p>
        </w:tc>
        <w:tc>
          <w:tcPr>
            <w:tcW w:w="423"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13148144">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572"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14AFC621">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366"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36508AD9">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664" w:type="dxa"/>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4AEB7CC6">
            <w:pPr>
              <w:spacing w:after="160" w:line="276" w:lineRule="auto"/>
              <w:jc w:val="both"/>
              <w:rPr>
                <w:rFonts w:ascii="Arial" w:hAnsi="Arial" w:eastAsia="Arial" w:cs="Arial"/>
                <w:color w:val="0000FF"/>
              </w:rPr>
            </w:pPr>
            <w:r>
              <w:rPr>
                <w:rFonts w:ascii="Arial" w:hAnsi="Arial" w:eastAsia="Arial" w:cs="Arial"/>
                <w:color w:val="0000FF"/>
              </w:rPr>
              <w:t xml:space="preserve">Ethical considerations </w:t>
            </w:r>
          </w:p>
          <w:p w14:paraId="471E9EE2">
            <w:pPr>
              <w:spacing w:after="0" w:line="276" w:lineRule="auto"/>
              <w:jc w:val="both"/>
              <w:rPr>
                <w:rFonts w:ascii="Arial" w:hAnsi="Arial" w:eastAsia="Arial" w:cs="Arial"/>
              </w:rPr>
            </w:pPr>
            <w:r>
              <w:rPr>
                <w:rFonts w:ascii="Arial" w:hAnsi="Arial" w:eastAsia="Arial" w:cs="Arial"/>
              </w:rPr>
              <w:t>As this study relies exclusively on secondary analysis of publicly available data, formal ethical approval is not required. Nevertheless, the research will uphold the principles of academic integrity by accurately representing and citing all sources in line with Harvard 2025 referencing standards. No primary data involving human participants will be collected, and all original authors will be appropriately acknowledged to prevent plagiarism or misrepresentation (British Educational Research Association, 2018).</w:t>
            </w:r>
          </w:p>
          <w:p w14:paraId="7CC20D9A">
            <w:pPr>
              <w:jc w:val="both"/>
              <w:rPr>
                <w:rFonts w:ascii="Arial" w:hAnsi="Arial" w:eastAsia="Arial" w:cs="Arial"/>
                <w:color w:val="0000FF"/>
              </w:rPr>
            </w:pPr>
          </w:p>
        </w:tc>
      </w:tr>
      <w:tr w14:paraId="2340BFF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375" w:hRule="atLeast"/>
          <w:jc w:val="center"/>
        </w:trPr>
        <w:tc>
          <w:tcPr>
            <w:tcW w:w="4606"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3E31CFEF">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23"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1802CD1B">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572" w:type="dxa"/>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3E835103">
            <w:pPr>
              <w:jc w:val="both"/>
              <w:rPr>
                <w:rFonts w:ascii="Arial" w:hAnsi="Arial" w:eastAsia="Arial" w:cs="Arial"/>
              </w:rPr>
            </w:pPr>
          </w:p>
        </w:tc>
        <w:tc>
          <w:tcPr>
            <w:tcW w:w="366"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4EC7AF83">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c>
          <w:tcPr>
            <w:tcW w:w="4664" w:type="dxa"/>
            <w:vMerge w:val="continue"/>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tcPr>
          <w:p w14:paraId="5DA5231C">
            <w:pPr>
              <w:widowControl w:val="0"/>
              <w:pBdr>
                <w:top w:val="none" w:color="auto" w:sz="0" w:space="0"/>
                <w:left w:val="none" w:color="auto" w:sz="0" w:space="0"/>
                <w:bottom w:val="none" w:color="auto" w:sz="0" w:space="0"/>
                <w:right w:val="none" w:color="auto" w:sz="0" w:space="0"/>
                <w:between w:val="none" w:color="auto" w:sz="0" w:space="0"/>
              </w:pBdr>
              <w:spacing w:after="0" w:line="276" w:lineRule="auto"/>
              <w:rPr>
                <w:rFonts w:ascii="Arial" w:hAnsi="Arial" w:eastAsia="Arial" w:cs="Arial"/>
              </w:rPr>
            </w:pPr>
          </w:p>
        </w:tc>
      </w:tr>
    </w:tbl>
    <w:p w14:paraId="06104111">
      <w:pPr>
        <w:rPr>
          <w:rFonts w:ascii="Arial" w:hAnsi="Arial" w:eastAsia="Arial" w:cs="Arial"/>
          <w:b/>
          <w:sz w:val="28"/>
          <w:szCs w:val="28"/>
        </w:rPr>
      </w:pPr>
    </w:p>
    <w:p w14:paraId="389CEBB6">
      <w:pPr>
        <w:rPr>
          <w:rFonts w:ascii="Arial" w:hAnsi="Arial" w:eastAsia="Arial" w:cs="Arial"/>
          <w:b/>
          <w:sz w:val="32"/>
          <w:szCs w:val="32"/>
        </w:rPr>
      </w:pPr>
    </w:p>
    <w:p w14:paraId="770B8A58">
      <w:pPr>
        <w:spacing w:after="160" w:line="276" w:lineRule="auto"/>
        <w:jc w:val="both"/>
        <w:rPr>
          <w:rFonts w:ascii="Arial" w:hAnsi="Arial" w:eastAsia="Arial" w:cs="Arial"/>
          <w:b/>
          <w:sz w:val="25"/>
          <w:szCs w:val="25"/>
        </w:rPr>
      </w:pPr>
      <w:r>
        <w:rPr>
          <w:rFonts w:ascii="Arial" w:hAnsi="Arial" w:eastAsia="Arial" w:cs="Arial"/>
          <w:b/>
          <w:sz w:val="25"/>
          <w:szCs w:val="25"/>
        </w:rPr>
        <w:t>References</w:t>
      </w:r>
    </w:p>
    <w:p w14:paraId="10C73B05">
      <w:pPr>
        <w:spacing w:after="160" w:line="276" w:lineRule="auto"/>
        <w:jc w:val="both"/>
        <w:rPr>
          <w:rFonts w:ascii="Arial" w:hAnsi="Arial" w:eastAsia="Arial" w:cs="Arial"/>
          <w:sz w:val="21"/>
          <w:szCs w:val="21"/>
        </w:rPr>
      </w:pPr>
      <w:r>
        <w:rPr>
          <w:rFonts w:ascii="Arial" w:hAnsi="Arial" w:eastAsia="Arial" w:cs="Arial"/>
          <w:sz w:val="21"/>
          <w:szCs w:val="21"/>
        </w:rPr>
        <w:t xml:space="preserve">Braun, V. and Clarke, V. (2014). What can “thematic analysis” offer health and wellbeing researchers? </w:t>
      </w:r>
      <w:r>
        <w:rPr>
          <w:rFonts w:ascii="Arial" w:hAnsi="Arial" w:eastAsia="Arial" w:cs="Arial"/>
          <w:i/>
          <w:sz w:val="21"/>
          <w:szCs w:val="21"/>
        </w:rPr>
        <w:t>International Journal of Qualitative Studies on Health and Well-being</w:t>
      </w:r>
      <w:r>
        <w:rPr>
          <w:rFonts w:ascii="Arial" w:hAnsi="Arial" w:eastAsia="Arial" w:cs="Arial"/>
          <w:sz w:val="21"/>
          <w:szCs w:val="21"/>
        </w:rPr>
        <w:t xml:space="preserve">, </w:t>
      </w:r>
      <w:r>
        <w:rPr>
          <w:rFonts w:ascii="Arial" w:hAnsi="Arial" w:eastAsia="Arial" w:cs="Arial"/>
          <w:i/>
          <w:sz w:val="21"/>
          <w:szCs w:val="21"/>
        </w:rPr>
        <w:t>9</w:t>
      </w:r>
      <w:r>
        <w:rPr>
          <w:rFonts w:ascii="Arial" w:hAnsi="Arial" w:eastAsia="Arial" w:cs="Arial"/>
          <w:sz w:val="21"/>
          <w:szCs w:val="21"/>
        </w:rPr>
        <w:t>(1), p.26152. Available at:</w:t>
      </w:r>
      <w:r>
        <w:fldChar w:fldCharType="begin"/>
      </w:r>
      <w:r>
        <w:instrText xml:space="preserve"> HYPERLINK "https://doi.org/10.3402/qhw.v9.26152" \h </w:instrText>
      </w:r>
      <w:r>
        <w:fldChar w:fldCharType="separate"/>
      </w:r>
      <w:r>
        <w:rPr>
          <w:rFonts w:ascii="Arial" w:hAnsi="Arial" w:eastAsia="Arial" w:cs="Arial"/>
          <w:sz w:val="21"/>
          <w:szCs w:val="21"/>
        </w:rPr>
        <w:t xml:space="preserve"> </w:t>
      </w:r>
      <w:r>
        <w:rPr>
          <w:rFonts w:ascii="Arial" w:hAnsi="Arial" w:eastAsia="Arial" w:cs="Arial"/>
          <w:sz w:val="21"/>
          <w:szCs w:val="21"/>
        </w:rPr>
        <w:fldChar w:fldCharType="end"/>
      </w:r>
      <w:r>
        <w:fldChar w:fldCharType="begin"/>
      </w:r>
      <w:r>
        <w:instrText xml:space="preserve"> HYPERLINK "https://doi.org/10.3402/qhw.v9.26152" \h </w:instrText>
      </w:r>
      <w:r>
        <w:fldChar w:fldCharType="separate"/>
      </w:r>
      <w:r>
        <w:rPr>
          <w:rFonts w:ascii="Arial" w:hAnsi="Arial" w:eastAsia="Arial" w:cs="Arial"/>
          <w:color w:val="0000FF"/>
          <w:sz w:val="21"/>
          <w:szCs w:val="21"/>
          <w:u w:val="single"/>
        </w:rPr>
        <w:t>https://doi.org/10.3402/qhw.v9.26152</w:t>
      </w:r>
      <w:r>
        <w:rPr>
          <w:rFonts w:ascii="Arial" w:hAnsi="Arial" w:eastAsia="Arial" w:cs="Arial"/>
          <w:color w:val="0000FF"/>
          <w:sz w:val="21"/>
          <w:szCs w:val="21"/>
          <w:u w:val="single"/>
        </w:rPr>
        <w:fldChar w:fldCharType="end"/>
      </w:r>
      <w:r>
        <w:rPr>
          <w:rFonts w:ascii="Arial" w:hAnsi="Arial" w:eastAsia="Arial" w:cs="Arial"/>
          <w:sz w:val="21"/>
          <w:szCs w:val="21"/>
        </w:rPr>
        <w:t xml:space="preserve"> </w:t>
      </w:r>
      <w:r>
        <w:fldChar w:fldCharType="begin"/>
      </w:r>
      <w:r>
        <w:instrText xml:space="preserve"> HYPERLINK "https://www.nice.org.uk/" \h </w:instrText>
      </w:r>
      <w:r>
        <w:fldChar w:fldCharType="separate"/>
      </w:r>
      <w:r>
        <w:rPr>
          <w:rFonts w:ascii="Arial" w:hAnsi="Arial" w:eastAsia="Arial" w:cs="Arial"/>
          <w:sz w:val="21"/>
          <w:szCs w:val="21"/>
        </w:rPr>
        <w:t xml:space="preserve"> </w:t>
      </w:r>
      <w:r>
        <w:rPr>
          <w:rFonts w:ascii="Arial" w:hAnsi="Arial" w:eastAsia="Arial" w:cs="Arial"/>
          <w:sz w:val="21"/>
          <w:szCs w:val="21"/>
        </w:rPr>
        <w:fldChar w:fldCharType="end"/>
      </w:r>
      <w:r>
        <w:fldChar w:fldCharType="begin"/>
      </w:r>
      <w:r>
        <w:instrText xml:space="preserve"> HYPERLINK "https://www.nice.org.uk/" \h </w:instrText>
      </w:r>
      <w:r>
        <w:fldChar w:fldCharType="separate"/>
      </w:r>
      <w:r>
        <w:rPr>
          <w:rFonts w:ascii="Arial" w:hAnsi="Arial" w:eastAsia="Arial" w:cs="Arial"/>
          <w:color w:val="0000FF"/>
          <w:sz w:val="21"/>
          <w:szCs w:val="21"/>
          <w:u w:val="single"/>
        </w:rPr>
        <w:t>https://www.nice.org.uk/</w:t>
      </w:r>
      <w:r>
        <w:rPr>
          <w:rFonts w:ascii="Arial" w:hAnsi="Arial" w:eastAsia="Arial" w:cs="Arial"/>
          <w:color w:val="0000FF"/>
          <w:sz w:val="21"/>
          <w:szCs w:val="21"/>
          <w:u w:val="single"/>
        </w:rPr>
        <w:fldChar w:fldCharType="end"/>
      </w:r>
      <w:r>
        <w:rPr>
          <w:rFonts w:ascii="Arial" w:hAnsi="Arial" w:eastAsia="Arial" w:cs="Arial"/>
          <w:sz w:val="21"/>
          <w:szCs w:val="21"/>
        </w:rPr>
        <w:t xml:space="preserve"> [Accessed 13 September 2025].</w:t>
      </w:r>
    </w:p>
    <w:p w14:paraId="462FFBC5">
      <w:pPr>
        <w:spacing w:after="160" w:line="276" w:lineRule="auto"/>
        <w:jc w:val="both"/>
        <w:rPr>
          <w:rFonts w:ascii="Arial" w:hAnsi="Arial" w:eastAsia="Arial" w:cs="Arial"/>
          <w:sz w:val="21"/>
          <w:szCs w:val="21"/>
        </w:rPr>
      </w:pPr>
      <w:r>
        <w:rPr>
          <w:rFonts w:ascii="Arial" w:hAnsi="Arial" w:eastAsia="Arial" w:cs="Arial"/>
          <w:sz w:val="21"/>
          <w:szCs w:val="21"/>
        </w:rPr>
        <w:t>Braun, V. and Clarke, V. (2023). Toward good practice in thematic analysis: Avoiding common problems and be (com) ing a knowing researcher. International journal of transgender health, 24(1), pp.1-6. Available at:</w:t>
      </w:r>
      <w:r>
        <w:fldChar w:fldCharType="begin"/>
      </w:r>
      <w:r>
        <w:instrText xml:space="preserve"> HYPERLINK "https://www.tandfonline.com/doi/abs/10.1080/26895269.2022.2129597" \h </w:instrText>
      </w:r>
      <w:r>
        <w:fldChar w:fldCharType="separate"/>
      </w:r>
      <w:r>
        <w:rPr>
          <w:rFonts w:ascii="Arial" w:hAnsi="Arial" w:eastAsia="Arial" w:cs="Arial"/>
          <w:sz w:val="21"/>
          <w:szCs w:val="21"/>
        </w:rPr>
        <w:t xml:space="preserve"> </w:t>
      </w:r>
      <w:r>
        <w:rPr>
          <w:rFonts w:ascii="Arial" w:hAnsi="Arial" w:eastAsia="Arial" w:cs="Arial"/>
          <w:sz w:val="21"/>
          <w:szCs w:val="21"/>
        </w:rPr>
        <w:fldChar w:fldCharType="end"/>
      </w:r>
      <w:r>
        <w:fldChar w:fldCharType="begin"/>
      </w:r>
      <w:r>
        <w:instrText xml:space="preserve"> HYPERLINK "https://www.tandfonline.com/doi/abs/10.1080/26895269.2022.2129597" \h </w:instrText>
      </w:r>
      <w:r>
        <w:fldChar w:fldCharType="separate"/>
      </w:r>
      <w:r>
        <w:rPr>
          <w:rFonts w:ascii="Arial" w:hAnsi="Arial" w:eastAsia="Arial" w:cs="Arial"/>
          <w:color w:val="0000FF"/>
          <w:sz w:val="21"/>
          <w:szCs w:val="21"/>
          <w:u w:val="single"/>
        </w:rPr>
        <w:t>https://www.tandfonline.com/doi/abs/10.1080/26895269.2022.2129597</w:t>
      </w:r>
      <w:r>
        <w:rPr>
          <w:rFonts w:ascii="Arial" w:hAnsi="Arial" w:eastAsia="Arial" w:cs="Arial"/>
          <w:color w:val="0000FF"/>
          <w:sz w:val="21"/>
          <w:szCs w:val="21"/>
          <w:u w:val="single"/>
        </w:rPr>
        <w:fldChar w:fldCharType="end"/>
      </w:r>
      <w:r>
        <w:rPr>
          <w:rFonts w:ascii="Arial" w:hAnsi="Arial" w:eastAsia="Arial" w:cs="Arial"/>
          <w:sz w:val="21"/>
          <w:szCs w:val="21"/>
        </w:rPr>
        <w:t xml:space="preserve"> [Accessed 16 September 2025].</w:t>
      </w:r>
    </w:p>
    <w:p w14:paraId="39DA7CF3">
      <w:pPr>
        <w:spacing w:after="160" w:line="276" w:lineRule="auto"/>
        <w:jc w:val="both"/>
        <w:rPr>
          <w:sz w:val="21"/>
          <w:szCs w:val="21"/>
        </w:rPr>
      </w:pPr>
      <w:r>
        <w:rPr>
          <w:sz w:val="21"/>
          <w:szCs w:val="21"/>
        </w:rPr>
        <w:t xml:space="preserve">British Educational Research Association (BERA), (2018). </w:t>
      </w:r>
      <w:r>
        <w:rPr>
          <w:i/>
          <w:sz w:val="21"/>
          <w:szCs w:val="21"/>
        </w:rPr>
        <w:t>Ethical guidelines for educational research</w:t>
      </w:r>
      <w:r>
        <w:rPr>
          <w:sz w:val="21"/>
          <w:szCs w:val="21"/>
        </w:rPr>
        <w:t>. 4th ed. London: BERA.</w:t>
      </w:r>
    </w:p>
    <w:p w14:paraId="0DF83B97">
      <w:pPr>
        <w:spacing w:after="160" w:line="276" w:lineRule="auto"/>
        <w:jc w:val="both"/>
        <w:rPr>
          <w:rFonts w:ascii="Arial" w:hAnsi="Arial" w:eastAsia="Arial" w:cs="Arial"/>
          <w:sz w:val="21"/>
          <w:szCs w:val="21"/>
        </w:rPr>
      </w:pPr>
      <w:r>
        <w:rPr>
          <w:rFonts w:ascii="Arial" w:hAnsi="Arial" w:eastAsia="Arial" w:cs="Arial"/>
          <w:sz w:val="21"/>
          <w:szCs w:val="21"/>
        </w:rPr>
        <w:t xml:space="preserve">Greenhalgh, T. (2019). </w:t>
      </w:r>
      <w:r>
        <w:rPr>
          <w:rFonts w:ascii="Arial" w:hAnsi="Arial" w:eastAsia="Arial" w:cs="Arial"/>
          <w:i/>
          <w:sz w:val="21"/>
          <w:szCs w:val="21"/>
        </w:rPr>
        <w:t>How to read a paper: the basics of evidence-based medicine and healthcare</w:t>
      </w:r>
      <w:r>
        <w:rPr>
          <w:rFonts w:ascii="Arial" w:hAnsi="Arial" w:eastAsia="Arial" w:cs="Arial"/>
          <w:sz w:val="21"/>
          <w:szCs w:val="21"/>
        </w:rPr>
        <w:t>. 6th ed. Hoboken, NJ: Wiley-Blackwell.</w:t>
      </w:r>
    </w:p>
    <w:p w14:paraId="0712C402">
      <w:pPr>
        <w:spacing w:after="160" w:line="276" w:lineRule="auto"/>
        <w:jc w:val="both"/>
        <w:rPr>
          <w:rFonts w:ascii="Arial" w:hAnsi="Arial" w:eastAsia="Arial" w:cs="Arial"/>
          <w:sz w:val="21"/>
          <w:szCs w:val="21"/>
        </w:rPr>
      </w:pPr>
      <w:r>
        <w:rPr>
          <w:rFonts w:ascii="Arial" w:hAnsi="Arial" w:eastAsia="Arial" w:cs="Arial"/>
          <w:sz w:val="21"/>
          <w:szCs w:val="21"/>
        </w:rPr>
        <w:t xml:space="preserve">Petticrew, M. and Roberts, H. (2016). </w:t>
      </w:r>
      <w:r>
        <w:rPr>
          <w:rFonts w:ascii="Arial" w:hAnsi="Arial" w:eastAsia="Arial" w:cs="Arial"/>
          <w:i/>
          <w:sz w:val="21"/>
          <w:szCs w:val="21"/>
        </w:rPr>
        <w:t>Systematic reviews in the social sciences: a practical guide</w:t>
      </w:r>
      <w:r>
        <w:rPr>
          <w:rFonts w:ascii="Arial" w:hAnsi="Arial" w:eastAsia="Arial" w:cs="Arial"/>
          <w:sz w:val="21"/>
          <w:szCs w:val="21"/>
        </w:rPr>
        <w:t>. 2nd ed. Chichester: Wiley-Blackwell.</w:t>
      </w:r>
    </w:p>
    <w:p w14:paraId="75F64462">
      <w:pPr>
        <w:spacing w:line="360" w:lineRule="auto"/>
        <w:jc w:val="both"/>
        <w:rPr>
          <w:rFonts w:ascii="Arial" w:hAnsi="Arial" w:eastAsia="Arial" w:cs="Arial"/>
        </w:rPr>
      </w:pPr>
    </w:p>
    <w:p w14:paraId="03AA64A2">
      <w:pPr>
        <w:spacing w:line="360" w:lineRule="auto"/>
        <w:jc w:val="both"/>
        <w:rPr>
          <w:rFonts w:ascii="Arial" w:hAnsi="Arial" w:eastAsia="Arial" w:cs="Arial"/>
          <w:b/>
          <w:sz w:val="28"/>
          <w:szCs w:val="28"/>
        </w:rPr>
      </w:pPr>
    </w:p>
    <w:p w14:paraId="3AE3463C">
      <w:pPr>
        <w:rPr>
          <w:rFonts w:ascii="Arial" w:hAnsi="Arial" w:eastAsia="Arial" w:cs="Arial"/>
          <w:sz w:val="24"/>
          <w:szCs w:val="24"/>
        </w:rPr>
      </w:pPr>
    </w:p>
    <w:p w14:paraId="3C0A4C28">
      <w:pPr>
        <w:rPr>
          <w:rFonts w:ascii="Arial" w:hAnsi="Arial" w:eastAsia="Arial" w:cs="Arial"/>
          <w:sz w:val="24"/>
          <w:szCs w:val="24"/>
        </w:rPr>
      </w:pPr>
    </w:p>
    <w:sectPr>
      <w:headerReference r:id="rId5" w:type="first"/>
      <w:headerReference r:id="rId4" w:type="default"/>
      <w:pgSz w:w="15840" w:h="12240" w:orient="landscape"/>
      <w:pgMar w:top="720" w:right="720" w:bottom="576" w:left="720" w:header="432" w:footer="288" w:gutter="0"/>
      <w:pgNumType w:start="1"/>
      <w:cols w:space="720" w:num="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7829A424-610A-499A-8814-685BDDE113E4}"/>
  </w:font>
  <w:font w:name="Arial">
    <w:panose1 w:val="020B0604020202020204"/>
    <w:charset w:val="00"/>
    <w:family w:val="swiss"/>
    <w:pitch w:val="default"/>
    <w:sig w:usb0="E0002EFF" w:usb1="C000785B" w:usb2="00000009" w:usb3="00000000" w:csb0="400001FF" w:csb1="FFFF0000"/>
    <w:embedRegular r:id="rId2" w:fontKey="{9FEF780D-297E-4CEC-AA3C-293342EF0CA5}"/>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7F7BFB43-C2B9-4F53-B20D-EB3BDE985843}"/>
  </w:font>
  <w:font w:name="Wingdings">
    <w:panose1 w:val="05000000000000000000"/>
    <w:charset w:val="02"/>
    <w:family w:val="auto"/>
    <w:pitch w:val="default"/>
    <w:sig w:usb0="00000000" w:usb1="00000000" w:usb2="00000000" w:usb3="00000000" w:csb0="80000000" w:csb1="00000000"/>
    <w:embedRegular r:id="rId4" w:fontKey="{AB9243C6-8E2E-4C33-A1D0-50923BE95603}"/>
  </w:font>
  <w:font w:name="Calibri">
    <w:panose1 w:val="020F0502020204030204"/>
    <w:charset w:val="00"/>
    <w:family w:val="swiss"/>
    <w:pitch w:val="default"/>
    <w:sig w:usb0="E4002EFF" w:usb1="C200247B" w:usb2="00000009" w:usb3="00000000" w:csb0="200001FF" w:csb1="00000000"/>
    <w:embedRegular r:id="rId5" w:fontKey="{12CE29F9-78BC-4398-B1AF-BF9557651384}"/>
  </w:font>
  <w:font w:name="等线">
    <w:altName w:val="Microsoft YaHei"/>
    <w:panose1 w:val="00000000000000000000"/>
    <w:charset w:val="86"/>
    <w:family w:val="auto"/>
    <w:pitch w:val="default"/>
    <w:sig w:usb0="00000000" w:usb1="00000000" w:usb2="00000000" w:usb3="00000000" w:csb0="00000000" w:csb1="00000000"/>
  </w:font>
  <w:font w:name="Century Schoolbook">
    <w:panose1 w:val="02040604050505020304"/>
    <w:charset w:val="86"/>
    <w:family w:val="roman"/>
    <w:pitch w:val="default"/>
    <w:sig w:usb0="00000287" w:usb1="00000000" w:usb2="00000000" w:usb3="00000000" w:csb0="2000009F" w:csb1="DFD70000"/>
    <w:embedRegular r:id="rId6" w:fontKey="{02D764C9-BB10-40F7-915E-2A56524A3400}"/>
  </w:font>
  <w:font w:name="Georgia">
    <w:panose1 w:val="02040502050405020303"/>
    <w:charset w:val="00"/>
    <w:family w:val="auto"/>
    <w:pitch w:val="default"/>
    <w:sig w:usb0="00000287" w:usb1="00000000" w:usb2="00000000" w:usb3="00000000" w:csb0="2000009F" w:csb1="00000000"/>
    <w:embedRegular r:id="rId7" w:fontKey="{C7E360C1-E6AE-45B8-9CC5-C986923554D0}"/>
  </w:font>
  <w:font w:name="Wingdings">
    <w:panose1 w:val="05000000000000000000"/>
    <w:charset w:val="00"/>
    <w:family w:val="auto"/>
    <w:pitch w:val="default"/>
    <w:sig w:usb0="00000000" w:usb1="00000000" w:usb2="00000000" w:usb3="00000000" w:csb0="80000000" w:csb1="00000000"/>
    <w:embedRegular r:id="rId8" w:fontKey="{A4BD4CB0-22A0-4B9A-A24D-67EB390B3353}"/>
  </w:font>
  <w:font w:name="Microsoft YaHei">
    <w:panose1 w:val="020B0503020204020204"/>
    <w:charset w:val="86"/>
    <w:family w:val="auto"/>
    <w:pitch w:val="default"/>
    <w:sig w:usb0="80000287" w:usb1="2ACF3C50" w:usb2="00000016" w:usb3="00000000" w:csb0="0004001F" w:csb1="00000000"/>
  </w:font>
  <w:font w:name="黑体">
    <w:altName w:val="SimSun"/>
    <w:panose1 w:val="00000000000000000000"/>
    <w:charset w:val="00"/>
    <w:family w:val="auto"/>
    <w:pitch w:val="default"/>
    <w:sig w:usb0="00000000" w:usb1="00000000" w:usb2="00000000" w:usb3="00000000" w:csb0="00000000" w:csb1="00000000"/>
  </w:font>
  <w:font w:name="Century Schoolbook">
    <w:panose1 w:val="02040604050505020304"/>
    <w:charset w:val="00"/>
    <w:family w:val="auto"/>
    <w:pitch w:val="default"/>
    <w:sig w:usb0="00000287" w:usb1="00000000" w:usb2="00000000" w:usb3="00000000" w:csb0="2000009F" w:csb1="DFD70000"/>
    <w:embedRegular r:id="rId9" w:fontKey="{C5129E50-FE13-45E3-B90B-84346C559B68}"/>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pPr>
      <w:r>
        <w:separator/>
      </w:r>
    </w:p>
  </w:footnote>
  <w:footnote w:type="continuationSeparator" w:id="1">
    <w:p>
      <w:pPr>
        <w:spacing w:before="0"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389C014">
    <w:pPr>
      <w:pBdr>
        <w:top w:val="none" w:color="auto" w:sz="0" w:space="0"/>
        <w:left w:val="none" w:color="auto" w:sz="0" w:space="0"/>
        <w:bottom w:val="none" w:color="auto" w:sz="0" w:space="0"/>
        <w:right w:val="none" w:color="auto" w:sz="0" w:space="0"/>
        <w:between w:val="none" w:color="auto" w:sz="0" w:space="0"/>
      </w:pBdr>
      <w:spacing w:after="0"/>
      <w:rPr>
        <w:color w:val="000000"/>
      </w:rPr>
    </w:pPr>
    <w:r>
      <w:rPr>
        <w:color w:val="000000"/>
      </w:rPr>
      <w: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AC4F23">
    <w:pPr>
      <w:pBdr>
        <w:top w:val="none" w:color="auto" w:sz="0" w:space="0"/>
        <w:left w:val="none" w:color="auto" w:sz="0" w:space="0"/>
        <w:bottom w:val="none" w:color="auto" w:sz="0" w:space="0"/>
        <w:right w:val="none" w:color="auto" w:sz="0" w:space="0"/>
        <w:between w:val="none" w:color="auto" w:sz="0" w:space="0"/>
      </w:pBdr>
      <w:spacing w:after="0"/>
      <w:rPr>
        <w:color w:val="000000"/>
      </w:rPr>
    </w:pPr>
  </w:p>
  <w:p w14:paraId="5364B36D">
    <w:pPr>
      <w:pBdr>
        <w:top w:val="none" w:color="auto" w:sz="0" w:space="0"/>
        <w:left w:val="none" w:color="auto" w:sz="0" w:space="0"/>
        <w:bottom w:val="none" w:color="auto" w:sz="0" w:space="0"/>
        <w:right w:val="none" w:color="auto" w:sz="0" w:space="0"/>
        <w:between w:val="none" w:color="auto" w:sz="0" w:space="0"/>
      </w:pBdr>
      <w:spacing w:after="0"/>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0C60BFB"/>
    <w:multiLevelType w:val="singleLevel"/>
    <w:tmpl w:val="C0C60BF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19255D11"/>
    <w:multiLevelType w:val="singleLevel"/>
    <w:tmpl w:val="19255D11"/>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7"/>
  <w:embedTrueTypeFonts/>
  <w:trackRevisions w:val="1"/>
  <w:documentProtection w:enforcement="0"/>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E8E"/>
    <w:rsid w:val="008E68D1"/>
    <w:rsid w:val="009D4D48"/>
    <w:rsid w:val="00B57200"/>
    <w:rsid w:val="00F01E8E"/>
    <w:rsid w:val="201E08F9"/>
    <w:rsid w:val="20967902"/>
    <w:rsid w:val="4CB52E30"/>
    <w:rsid w:val="5AAC5884"/>
    <w:rsid w:val="5FDE68D8"/>
    <w:rsid w:val="6E0D42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entury Schoolbook" w:hAnsi="Century Schoolbook" w:eastAsia="Century Schoolbook" w:cs="Century Schoolbook"/>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semiHidden="0" w:name="header"/>
    <w:lsdException w:qFormat="1" w:unhideWhenUsed="0"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99" w:name="Placeholder Text"/>
    <w:lsdException w:qFormat="1" w:unhideWhenUsed="0" w:uiPriority="1"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name="List Paragraph"/>
    <w:lsdException w:qFormat="1" w:unhideWhenUsed="0" w:uiPriority="29" w:semiHidden="0" w:name="Quote"/>
    <w:lsdException w:qFormat="1" w:unhideWhenUsed="0"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20"/>
    </w:pPr>
    <w:rPr>
      <w:rFonts w:ascii="Century Schoolbook" w:hAnsi="Century Schoolbook" w:eastAsia="Century Schoolbook" w:cs="Century Schoolbook"/>
      <w:sz w:val="22"/>
      <w:szCs w:val="22"/>
      <w:lang w:val="en" w:eastAsia="zh-CN" w:bidi="ar-SA"/>
    </w:rPr>
  </w:style>
  <w:style w:type="paragraph" w:styleId="2">
    <w:name w:val="heading 1"/>
    <w:basedOn w:val="1"/>
    <w:next w:val="1"/>
    <w:qFormat/>
    <w:uiPriority w:val="9"/>
    <w:pPr>
      <w:spacing w:after="240"/>
      <w:outlineLvl w:val="0"/>
    </w:pPr>
    <w:rPr>
      <w:b/>
      <w:color w:val="44546A"/>
      <w:sz w:val="28"/>
      <w:szCs w:val="28"/>
    </w:rPr>
  </w:style>
  <w:style w:type="paragraph" w:styleId="3">
    <w:name w:val="heading 2"/>
    <w:basedOn w:val="1"/>
    <w:next w:val="1"/>
    <w:semiHidden/>
    <w:unhideWhenUsed/>
    <w:qFormat/>
    <w:uiPriority w:val="9"/>
    <w:pPr>
      <w:spacing w:after="240"/>
      <w:outlineLvl w:val="1"/>
    </w:pPr>
    <w:rPr>
      <w:b/>
      <w:color w:val="FFFFFF"/>
      <w:sz w:val="28"/>
      <w:szCs w:val="28"/>
    </w:rPr>
  </w:style>
  <w:style w:type="paragraph" w:styleId="4">
    <w:name w:val="heading 3"/>
    <w:basedOn w:val="1"/>
    <w:next w:val="1"/>
    <w:semiHidden/>
    <w:unhideWhenUsed/>
    <w:qFormat/>
    <w:uiPriority w:val="9"/>
    <w:pPr>
      <w:keepNext/>
      <w:keepLines/>
      <w:spacing w:before="280" w:after="80"/>
      <w:outlineLvl w:val="2"/>
    </w:pPr>
    <w:rPr>
      <w:b/>
      <w:sz w:val="28"/>
      <w:szCs w:val="28"/>
    </w:rPr>
  </w:style>
  <w:style w:type="paragraph" w:styleId="5">
    <w:name w:val="heading 4"/>
    <w:basedOn w:val="1"/>
    <w:next w:val="1"/>
    <w:semiHidden/>
    <w:unhideWhenUsed/>
    <w:qFormat/>
    <w:uiPriority w:val="9"/>
    <w:pPr>
      <w:pBdr>
        <w:top w:val="none" w:color="auto" w:sz="0" w:space="0"/>
        <w:left w:val="none" w:color="auto" w:sz="0" w:space="0"/>
        <w:bottom w:val="none" w:color="auto" w:sz="0" w:space="0"/>
        <w:right w:val="none" w:color="auto" w:sz="0" w:space="0"/>
        <w:between w:val="none" w:color="auto" w:sz="0" w:space="0"/>
      </w:pBdr>
      <w:spacing w:after="240"/>
      <w:outlineLvl w:val="3"/>
    </w:pPr>
    <w:rPr>
      <w:b/>
      <w:color w:val="ED7D31"/>
      <w:sz w:val="28"/>
      <w:szCs w:val="28"/>
    </w:rPr>
  </w:style>
  <w:style w:type="paragraph" w:styleId="6">
    <w:name w:val="heading 5"/>
    <w:basedOn w:val="1"/>
    <w:next w:val="1"/>
    <w:semiHidden/>
    <w:unhideWhenUsed/>
    <w:qFormat/>
    <w:uiPriority w:val="9"/>
    <w:pPr>
      <w:keepNext/>
      <w:keepLines/>
      <w:spacing w:before="220" w:after="40"/>
      <w:outlineLvl w:val="4"/>
    </w:pPr>
    <w:rPr>
      <w:b/>
    </w:rPr>
  </w:style>
  <w:style w:type="paragraph" w:styleId="7">
    <w:name w:val="heading 6"/>
    <w:basedOn w:val="1"/>
    <w:next w:val="1"/>
    <w:semiHidden/>
    <w:unhideWhenUsed/>
    <w:qFormat/>
    <w:uiPriority w:val="9"/>
    <w:pPr>
      <w:keepNext/>
      <w:keepLines/>
      <w:spacing w:before="200" w:after="40"/>
      <w:outlineLvl w:val="5"/>
    </w:pPr>
    <w:rPr>
      <w:b/>
      <w:sz w:val="20"/>
      <w:szCs w:val="20"/>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annotation reference"/>
    <w:basedOn w:val="8"/>
    <w:semiHidden/>
    <w:unhideWhenUsed/>
    <w:qFormat/>
    <w:uiPriority w:val="99"/>
    <w:rPr>
      <w:sz w:val="16"/>
      <w:szCs w:val="16"/>
    </w:rPr>
  </w:style>
  <w:style w:type="paragraph" w:styleId="11">
    <w:name w:val="annotation text"/>
    <w:basedOn w:val="1"/>
    <w:link w:val="42"/>
    <w:unhideWhenUsed/>
    <w:qFormat/>
    <w:uiPriority w:val="99"/>
    <w:rPr>
      <w:sz w:val="20"/>
      <w:szCs w:val="20"/>
    </w:rPr>
  </w:style>
  <w:style w:type="paragraph" w:styleId="12">
    <w:name w:val="annotation subject"/>
    <w:basedOn w:val="11"/>
    <w:next w:val="11"/>
    <w:link w:val="43"/>
    <w:semiHidden/>
    <w:unhideWhenUsed/>
    <w:qFormat/>
    <w:uiPriority w:val="99"/>
    <w:rPr>
      <w:b/>
      <w:bCs/>
    </w:rPr>
  </w:style>
  <w:style w:type="paragraph" w:styleId="13">
    <w:name w:val="footer"/>
    <w:link w:val="35"/>
    <w:semiHidden/>
    <w:qFormat/>
    <w:uiPriority w:val="99"/>
    <w:pPr>
      <w:spacing w:after="0"/>
    </w:pPr>
    <w:rPr>
      <w:rFonts w:ascii="Century Schoolbook" w:hAnsi="Century Schoolbook" w:eastAsia="Century Schoolbook" w:cs="Century Schoolbook"/>
      <w:sz w:val="22"/>
      <w:szCs w:val="22"/>
      <w:lang w:val="en" w:eastAsia="zh-CN" w:bidi="ar-SA"/>
    </w:rPr>
  </w:style>
  <w:style w:type="paragraph" w:styleId="14">
    <w:name w:val="header"/>
    <w:link w:val="34"/>
    <w:qFormat/>
    <w:uiPriority w:val="99"/>
    <w:pPr>
      <w:spacing w:after="0"/>
    </w:pPr>
    <w:rPr>
      <w:rFonts w:ascii="Century Schoolbook" w:hAnsi="Century Schoolbook" w:eastAsia="Century Schoolbook" w:cs="Century Schoolbook"/>
      <w:sz w:val="22"/>
      <w:szCs w:val="22"/>
      <w:lang w:val="en" w:eastAsia="zh-CN" w:bidi="ar-SA"/>
    </w:rPr>
  </w:style>
  <w:style w:type="character" w:styleId="15">
    <w:name w:val="Hyperlink"/>
    <w:basedOn w:val="8"/>
    <w:semiHidden/>
    <w:unhideWhenUsed/>
    <w:qFormat/>
    <w:uiPriority w:val="99"/>
    <w:rPr>
      <w:color w:val="0000FF"/>
      <w:u w:val="single"/>
    </w:rPr>
  </w:style>
  <w:style w:type="character" w:styleId="16">
    <w:name w:val="Strong"/>
    <w:basedOn w:val="8"/>
    <w:semiHidden/>
    <w:qFormat/>
    <w:uiPriority w:val="22"/>
    <w:rPr>
      <w:b/>
      <w:bCs/>
    </w:rPr>
  </w:style>
  <w:style w:type="paragraph" w:styleId="17">
    <w:name w:val="Subtitle"/>
    <w:basedOn w:val="1"/>
    <w:next w:val="1"/>
    <w:qFormat/>
    <w:uiPriority w:val="11"/>
    <w:pPr>
      <w:keepNext/>
      <w:keepLines/>
      <w:spacing w:before="360" w:after="80"/>
    </w:pPr>
    <w:rPr>
      <w:rFonts w:ascii="Georgia" w:hAnsi="Georgia" w:eastAsia="Georgia" w:cs="Georgia"/>
      <w:i/>
      <w:color w:val="666666"/>
      <w:sz w:val="48"/>
      <w:szCs w:val="48"/>
    </w:rPr>
  </w:style>
  <w:style w:type="table" w:styleId="18">
    <w:name w:val="Table Grid"/>
    <w:basedOn w:val="9"/>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next w:val="1"/>
    <w:qFormat/>
    <w:uiPriority w:val="10"/>
    <w:pPr>
      <w:spacing w:after="200"/>
      <w:jc w:val="center"/>
    </w:pPr>
    <w:rPr>
      <w:b/>
      <w:color w:val="FFFFFF"/>
      <w:sz w:val="48"/>
      <w:szCs w:val="48"/>
    </w:rPr>
  </w:style>
  <w:style w:type="table" w:customStyle="1" w:styleId="20">
    <w:name w:val="TableNormal"/>
    <w:qFormat/>
    <w:uiPriority w:val="0"/>
    <w:tblPr>
      <w:tblCellMar>
        <w:top w:w="100" w:type="dxa"/>
        <w:left w:w="100" w:type="dxa"/>
        <w:bottom w:w="100" w:type="dxa"/>
        <w:right w:w="100" w:type="dxa"/>
      </w:tblCellMar>
    </w:tblPr>
  </w:style>
  <w:style w:type="character" w:customStyle="1" w:styleId="21">
    <w:name w:val="Heading 4 Char"/>
    <w:basedOn w:val="8"/>
    <w:semiHidden/>
    <w:qFormat/>
    <w:uiPriority w:val="0"/>
    <w:rPr>
      <w:rFonts w:eastAsia="Times New Roman" w:cs="Arial"/>
      <w:b/>
      <w:color w:val="ED7D31" w:themeColor="accent2"/>
      <w:spacing w:val="10"/>
      <w:sz w:val="28"/>
      <w:szCs w:val="32"/>
      <w14:textFill>
        <w14:solidFill>
          <w14:schemeClr w14:val="accent2"/>
        </w14:solidFill>
      </w14:textFill>
    </w:rPr>
  </w:style>
  <w:style w:type="character" w:customStyle="1" w:styleId="22">
    <w:name w:val="Title Char"/>
    <w:basedOn w:val="8"/>
    <w:qFormat/>
    <w:uiPriority w:val="10"/>
    <w:rPr>
      <w:rFonts w:asciiTheme="majorHAnsi" w:hAnsiTheme="majorHAnsi" w:eastAsiaTheme="majorEastAsia" w:cstheme="majorBidi"/>
      <w:b/>
      <w:color w:val="FFFFFF" w:themeColor="background1"/>
      <w:spacing w:val="-10"/>
      <w:kern w:val="28"/>
      <w:sz w:val="48"/>
      <w:szCs w:val="56"/>
      <w14:textFill>
        <w14:solidFill>
          <w14:schemeClr w14:val="bg1"/>
        </w14:solidFill>
      </w14:textFill>
    </w:rPr>
  </w:style>
  <w:style w:type="paragraph" w:styleId="23">
    <w:name w:val="List Paragraph"/>
    <w:semiHidden/>
    <w:qFormat/>
    <w:uiPriority w:val="34"/>
    <w:pPr>
      <w:spacing w:after="220"/>
      <w:ind w:left="720"/>
      <w:contextualSpacing/>
    </w:pPr>
    <w:rPr>
      <w:rFonts w:ascii="Century Schoolbook" w:hAnsi="Century Schoolbook" w:eastAsia="Century Schoolbook" w:cs="Century Schoolbook"/>
      <w:sz w:val="22"/>
      <w:szCs w:val="22"/>
      <w:lang w:val="en" w:eastAsia="zh-CN" w:bidi="ar-SA"/>
    </w:rPr>
  </w:style>
  <w:style w:type="character" w:customStyle="1" w:styleId="24">
    <w:name w:val="Heading 1 Char"/>
    <w:basedOn w:val="8"/>
    <w:qFormat/>
    <w:uiPriority w:val="9"/>
    <w:rPr>
      <w:rFonts w:asciiTheme="majorHAnsi" w:hAnsiTheme="majorHAnsi"/>
      <w:b/>
      <w:color w:val="44546A" w:themeColor="text2"/>
      <w:spacing w:val="10"/>
      <w:sz w:val="28"/>
      <w14:textFill>
        <w14:solidFill>
          <w14:schemeClr w14:val="tx2"/>
        </w14:solidFill>
      </w14:textFill>
    </w:rPr>
  </w:style>
  <w:style w:type="character" w:customStyle="1" w:styleId="25">
    <w:name w:val="Hashtag1"/>
    <w:basedOn w:val="8"/>
    <w:semiHidden/>
    <w:qFormat/>
    <w:uiPriority w:val="99"/>
    <w:rPr>
      <w:color w:val="2B579A"/>
      <w:shd w:val="clear" w:color="auto" w:fill="E6E6E6"/>
    </w:rPr>
  </w:style>
  <w:style w:type="character" w:customStyle="1" w:styleId="26">
    <w:name w:val="Intense Emphasis1"/>
    <w:basedOn w:val="8"/>
    <w:semiHidden/>
    <w:qFormat/>
    <w:uiPriority w:val="21"/>
    <w:rPr>
      <w:i/>
      <w:iCs/>
      <w:color w:val="4472C4" w:themeColor="accent1"/>
      <w14:textFill>
        <w14:solidFill>
          <w14:schemeClr w14:val="accent1"/>
        </w14:solidFill>
      </w14:textFill>
    </w:rPr>
  </w:style>
  <w:style w:type="paragraph" w:styleId="27">
    <w:name w:val="Intense Quote"/>
    <w:link w:val="28"/>
    <w:semiHidden/>
    <w:qFormat/>
    <w:uiPriority w:val="30"/>
    <w:pPr>
      <w:pBdr>
        <w:top w:val="single" w:color="4472C4" w:themeColor="accent1" w:sz="4" w:space="10"/>
        <w:bottom w:val="single" w:color="4472C4" w:themeColor="accent1" w:sz="4" w:space="10"/>
      </w:pBdr>
      <w:spacing w:before="360" w:after="360"/>
      <w:ind w:left="864" w:right="864"/>
      <w:jc w:val="center"/>
    </w:pPr>
    <w:rPr>
      <w:rFonts w:ascii="Century Schoolbook" w:hAnsi="Century Schoolbook" w:eastAsia="Century Schoolbook" w:cs="Century Schoolbook"/>
      <w:i/>
      <w:iCs/>
      <w:color w:val="4472C4" w:themeColor="accent1"/>
      <w:sz w:val="22"/>
      <w:szCs w:val="22"/>
      <w:lang w:val="en" w:eastAsia="zh-CN" w:bidi="ar-SA"/>
      <w14:textFill>
        <w14:solidFill>
          <w14:schemeClr w14:val="accent1"/>
        </w14:solidFill>
      </w14:textFill>
    </w:rPr>
  </w:style>
  <w:style w:type="character" w:customStyle="1" w:styleId="28">
    <w:name w:val="Intense Quote Char"/>
    <w:basedOn w:val="8"/>
    <w:link w:val="27"/>
    <w:semiHidden/>
    <w:qFormat/>
    <w:uiPriority w:val="30"/>
    <w:rPr>
      <w:rFonts w:eastAsia="Times New Roman" w:cs="Times New Roman"/>
      <w:i/>
      <w:iCs/>
      <w:color w:val="4472C4" w:themeColor="accent1"/>
      <w:sz w:val="21"/>
      <w14:textFill>
        <w14:solidFill>
          <w14:schemeClr w14:val="accent1"/>
        </w14:solidFill>
      </w14:textFill>
    </w:rPr>
  </w:style>
  <w:style w:type="character" w:customStyle="1" w:styleId="29">
    <w:name w:val="Intense Reference1"/>
    <w:basedOn w:val="8"/>
    <w:semiHidden/>
    <w:qFormat/>
    <w:uiPriority w:val="32"/>
    <w:rPr>
      <w:b/>
      <w:bCs/>
      <w:smallCaps/>
      <w:color w:val="4472C4" w:themeColor="accent1"/>
      <w:spacing w:val="5"/>
      <w14:textFill>
        <w14:solidFill>
          <w14:schemeClr w14:val="accent1"/>
        </w14:solidFill>
      </w14:textFill>
    </w:rPr>
  </w:style>
  <w:style w:type="character" w:customStyle="1" w:styleId="30">
    <w:name w:val="Subtle Reference1"/>
    <w:basedOn w:val="8"/>
    <w:semiHidden/>
    <w:qFormat/>
    <w:uiPriority w:val="31"/>
    <w:rPr>
      <w:smallCaps/>
      <w:color w:val="595959" w:themeColor="text1" w:themeTint="A6"/>
      <w14:textFill>
        <w14:solidFill>
          <w14:schemeClr w14:val="tx1">
            <w14:lumMod w14:val="65000"/>
            <w14:lumOff w14:val="35000"/>
          </w14:schemeClr>
        </w14:solidFill>
      </w14:textFill>
    </w:rPr>
  </w:style>
  <w:style w:type="character" w:customStyle="1" w:styleId="31">
    <w:name w:val="Unresolved Mention1"/>
    <w:basedOn w:val="8"/>
    <w:semiHidden/>
    <w:qFormat/>
    <w:uiPriority w:val="99"/>
    <w:rPr>
      <w:color w:val="808080"/>
      <w:shd w:val="clear" w:color="auto" w:fill="E6E6E6"/>
    </w:rPr>
  </w:style>
  <w:style w:type="character" w:customStyle="1" w:styleId="32">
    <w:name w:val="Heading 2 Char"/>
    <w:basedOn w:val="8"/>
    <w:qFormat/>
    <w:uiPriority w:val="9"/>
    <w:rPr>
      <w:rFonts w:asciiTheme="majorHAnsi" w:hAnsiTheme="majorHAnsi"/>
      <w:b/>
      <w:color w:val="FFFFFF" w:themeColor="background1"/>
      <w:spacing w:val="10"/>
      <w:sz w:val="28"/>
      <w14:textFill>
        <w14:solidFill>
          <w14:schemeClr w14:val="bg1"/>
        </w14:solidFill>
      </w14:textFill>
    </w:rPr>
  </w:style>
  <w:style w:type="paragraph" w:customStyle="1" w:styleId="33">
    <w:name w:val="Normal Text Dark Background"/>
    <w:qFormat/>
    <w:uiPriority w:val="0"/>
    <w:pPr>
      <w:spacing w:after="220"/>
    </w:pPr>
    <w:rPr>
      <w:rFonts w:ascii="Century Schoolbook" w:hAnsi="Century Schoolbook" w:eastAsia="Century Schoolbook" w:cs="Century Schoolbook"/>
      <w:color w:val="FFFFFF" w:themeColor="background1"/>
      <w:sz w:val="22"/>
      <w:szCs w:val="22"/>
      <w:lang w:val="en" w:eastAsia="zh-CN" w:bidi="ar-SA"/>
      <w14:textFill>
        <w14:solidFill>
          <w14:schemeClr w14:val="bg1"/>
        </w14:solidFill>
      </w14:textFill>
    </w:rPr>
  </w:style>
  <w:style w:type="character" w:customStyle="1" w:styleId="34">
    <w:name w:val="Header Char"/>
    <w:basedOn w:val="8"/>
    <w:link w:val="14"/>
    <w:qFormat/>
    <w:uiPriority w:val="99"/>
  </w:style>
  <w:style w:type="character" w:customStyle="1" w:styleId="35">
    <w:name w:val="Footer Char"/>
    <w:basedOn w:val="8"/>
    <w:link w:val="13"/>
    <w:semiHidden/>
    <w:qFormat/>
    <w:uiPriority w:val="99"/>
  </w:style>
  <w:style w:type="paragraph" w:styleId="36">
    <w:name w:val="No Spacing"/>
    <w:semiHidden/>
    <w:qFormat/>
    <w:uiPriority w:val="1"/>
    <w:pPr>
      <w:spacing w:after="220"/>
    </w:pPr>
    <w:rPr>
      <w:rFonts w:eastAsia="Times New Roman" w:cs="Times New Roman" w:asciiTheme="minorHAnsi" w:hAnsiTheme="minorHAnsi"/>
      <w:sz w:val="22"/>
      <w:szCs w:val="22"/>
      <w:lang w:val="en-US" w:eastAsia="en-US" w:bidi="ar-SA"/>
    </w:rPr>
  </w:style>
  <w:style w:type="character" w:styleId="37">
    <w:name w:val="Placeholder Text"/>
    <w:basedOn w:val="8"/>
    <w:semiHidden/>
    <w:qFormat/>
    <w:uiPriority w:val="99"/>
    <w:rPr>
      <w:color w:val="808080"/>
    </w:rPr>
  </w:style>
  <w:style w:type="paragraph" w:styleId="38">
    <w:name w:val="Quote"/>
    <w:link w:val="39"/>
    <w:qFormat/>
    <w:uiPriority w:val="29"/>
    <w:pPr>
      <w:spacing w:after="200"/>
      <w:jc w:val="center"/>
    </w:pPr>
    <w:rPr>
      <w:rFonts w:eastAsia="Century Schoolbook" w:cs="Century Schoolbook" w:asciiTheme="majorHAnsi" w:hAnsiTheme="majorHAnsi"/>
      <w:b/>
      <w:color w:val="44546A" w:themeColor="text2"/>
      <w:spacing w:val="-10"/>
      <w:sz w:val="48"/>
      <w:szCs w:val="100"/>
      <w:lang w:val="en" w:eastAsia="zh-CN" w:bidi="ar-SA"/>
      <w14:textFill>
        <w14:solidFill>
          <w14:schemeClr w14:val="tx2"/>
        </w14:solidFill>
      </w14:textFill>
    </w:rPr>
  </w:style>
  <w:style w:type="character" w:customStyle="1" w:styleId="39">
    <w:name w:val="Quote Char"/>
    <w:basedOn w:val="8"/>
    <w:link w:val="38"/>
    <w:qFormat/>
    <w:uiPriority w:val="29"/>
    <w:rPr>
      <w:rFonts w:asciiTheme="majorHAnsi" w:hAnsiTheme="majorHAnsi"/>
      <w:b/>
      <w:color w:val="44546A" w:themeColor="text2"/>
      <w:spacing w:val="-10"/>
      <w:sz w:val="48"/>
      <w:szCs w:val="100"/>
      <w14:textFill>
        <w14:solidFill>
          <w14:schemeClr w14:val="tx2"/>
        </w14:solidFill>
      </w14:textFill>
    </w:rPr>
  </w:style>
  <w:style w:type="table" w:customStyle="1" w:styleId="40">
    <w:name w:val="_Style 36"/>
    <w:basedOn w:val="20"/>
    <w:qFormat/>
    <w:uiPriority w:val="0"/>
    <w:tblPr>
      <w:tblCellMar>
        <w:top w:w="0" w:type="dxa"/>
        <w:left w:w="115" w:type="dxa"/>
        <w:bottom w:w="0" w:type="dxa"/>
        <w:right w:w="115" w:type="dxa"/>
      </w:tblCellMar>
    </w:tblPr>
  </w:style>
  <w:style w:type="paragraph" w:customStyle="1" w:styleId="41">
    <w:name w:val="Revision"/>
    <w:hidden/>
    <w:semiHidden/>
    <w:qFormat/>
    <w:uiPriority w:val="99"/>
    <w:pPr>
      <w:spacing w:after="0"/>
    </w:pPr>
    <w:rPr>
      <w:rFonts w:ascii="Century Schoolbook" w:hAnsi="Century Schoolbook" w:eastAsia="Century Schoolbook" w:cs="Century Schoolbook"/>
      <w:sz w:val="22"/>
      <w:szCs w:val="22"/>
      <w:lang w:val="en" w:eastAsia="zh-CN" w:bidi="ar-SA"/>
    </w:rPr>
  </w:style>
  <w:style w:type="character" w:customStyle="1" w:styleId="42">
    <w:name w:val="Comment Text Char"/>
    <w:basedOn w:val="8"/>
    <w:link w:val="11"/>
    <w:qFormat/>
    <w:uiPriority w:val="99"/>
    <w:rPr>
      <w:sz w:val="20"/>
      <w:szCs w:val="20"/>
    </w:rPr>
  </w:style>
  <w:style w:type="character" w:customStyle="1" w:styleId="43">
    <w:name w:val="Comment Subject Char"/>
    <w:basedOn w:val="42"/>
    <w:link w:val="12"/>
    <w:semiHidden/>
    <w:qFormat/>
    <w:uiPriority w:val="99"/>
    <w:rPr>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2.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4WEZmmozk7PqNNh+tVQYVYwmwQ==">CgMxLjA4AHIhMVlUc0VMWWJWWWp3TXZvWHBqMm5NWGJyZS0tdmlvX0lu</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4</Pages>
  <Words>843</Words>
  <Characters>4808</Characters>
  <Lines>40</Lines>
  <Paragraphs>11</Paragraphs>
  <TotalTime>10</TotalTime>
  <ScaleCrop>false</ScaleCrop>
  <LinksUpToDate>false</LinksUpToDate>
  <CharactersWithSpaces>5640</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2025-10-16T08:04:00Z</dcterms:created>
  <dc:creator>Laila Surani</dc:creator>
  <cp:lastModifiedBy>ADEGOKE Omofolasaye Omobolanle</cp:lastModifiedBy>
  <dcterms:modified xsi:type="dcterms:W3CDTF">2025-10-16T10:53:17Z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KSOProductBuildVer">
    <vt:lpwstr>1033-12.2.0.21931</vt:lpwstr>
  </property>
  <property fmtid="{D5CDD505-2E9C-101B-9397-08002B2CF9AE}" pid="4" name="ICV">
    <vt:lpwstr>9C7C36797CD14E2E8C5F213A483B7B6A_13</vt:lpwstr>
  </property>
</Properties>
</file>