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A5F906" w14:textId="3CAF3D3C" w:rsidR="001C248E" w:rsidRDefault="001C248E" w:rsidP="001C248E">
      <w:pPr>
        <w:spacing w:after="200" w:line="276" w:lineRule="auto"/>
        <w:jc w:val="center"/>
        <w:rPr>
          <w:rFonts w:asciiTheme="minorHAnsi" w:eastAsiaTheme="minorHAnsi" w:hAnsiTheme="minorHAnsi" w:cstheme="minorBidi"/>
          <w:b/>
          <w:sz w:val="36"/>
          <w:szCs w:val="36"/>
          <w:lang w:val="en-US" w:eastAsia="en-US"/>
        </w:rPr>
      </w:pPr>
      <w:r>
        <w:rPr>
          <w:noProof/>
        </w:rPr>
        <w:drawing>
          <wp:inline distT="0" distB="0" distL="0" distR="0" wp14:anchorId="29CCF33A" wp14:editId="3F26B2AB">
            <wp:extent cx="5335025" cy="1028700"/>
            <wp:effectExtent l="0" t="0" r="0" b="0"/>
            <wp:docPr id="1" name="Picture 1" descr="C:\Users\hp\Pictures\Saved Pictures\uwtsd-200-yea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Pictures\Saved Pictures\uwtsd-200-year-logo.png"/>
                    <pic:cNvPicPr>
                      <a:picLocks noChangeAspect="1" noChangeArrowheads="1"/>
                    </pic:cNvPicPr>
                  </pic:nvPicPr>
                  <pic:blipFill>
                    <a:blip r:embed="rId5"/>
                    <a:srcRect/>
                    <a:stretch>
                      <a:fillRect/>
                    </a:stretch>
                  </pic:blipFill>
                  <pic:spPr bwMode="auto">
                    <a:xfrm>
                      <a:off x="0" y="0"/>
                      <a:ext cx="5402628" cy="1041735"/>
                    </a:xfrm>
                    <a:prstGeom prst="rect">
                      <a:avLst/>
                    </a:prstGeom>
                    <a:noFill/>
                    <a:ln w="9525">
                      <a:noFill/>
                      <a:miter lim="800000"/>
                      <a:headEnd/>
                      <a:tailEnd/>
                    </a:ln>
                  </pic:spPr>
                </pic:pic>
              </a:graphicData>
            </a:graphic>
          </wp:inline>
        </w:drawing>
      </w:r>
    </w:p>
    <w:p w14:paraId="7A28DDC1" w14:textId="77777777" w:rsidR="001C248E" w:rsidRDefault="001C248E" w:rsidP="001C248E">
      <w:pPr>
        <w:spacing w:after="200" w:line="276" w:lineRule="auto"/>
        <w:jc w:val="center"/>
        <w:rPr>
          <w:rFonts w:asciiTheme="minorHAnsi" w:eastAsiaTheme="minorHAnsi" w:hAnsiTheme="minorHAnsi" w:cstheme="minorBidi"/>
          <w:b/>
          <w:sz w:val="36"/>
          <w:szCs w:val="36"/>
          <w:lang w:val="en-US" w:eastAsia="en-US"/>
        </w:rPr>
      </w:pPr>
    </w:p>
    <w:p w14:paraId="06D6D2D6" w14:textId="27C5D6C4" w:rsidR="001C248E" w:rsidRPr="001C248E" w:rsidRDefault="001C248E" w:rsidP="001C248E">
      <w:pPr>
        <w:spacing w:after="200" w:line="276" w:lineRule="auto"/>
        <w:jc w:val="center"/>
        <w:rPr>
          <w:rFonts w:asciiTheme="minorHAnsi" w:eastAsiaTheme="minorHAnsi" w:hAnsiTheme="minorHAnsi" w:cstheme="minorBidi"/>
          <w:b/>
          <w:sz w:val="36"/>
          <w:szCs w:val="36"/>
          <w:lang w:val="en-US" w:eastAsia="en-US"/>
        </w:rPr>
      </w:pPr>
      <w:r w:rsidRPr="001C248E">
        <w:rPr>
          <w:rFonts w:asciiTheme="minorHAnsi" w:eastAsiaTheme="minorHAnsi" w:hAnsiTheme="minorHAnsi" w:cstheme="minorBidi"/>
          <w:b/>
          <w:sz w:val="36"/>
          <w:szCs w:val="36"/>
          <w:lang w:val="en-US" w:eastAsia="en-US"/>
        </w:rPr>
        <w:t>Program</w:t>
      </w:r>
      <w:r w:rsidRPr="001C248E">
        <w:rPr>
          <w:rFonts w:asciiTheme="minorHAnsi" w:eastAsiaTheme="minorHAnsi" w:hAnsiTheme="minorHAnsi" w:cstheme="minorBidi"/>
          <w:b/>
          <w:sz w:val="36"/>
          <w:szCs w:val="36"/>
          <w:lang w:val="en-US" w:eastAsia="en-US"/>
        </w:rPr>
        <w:t>: BA Business Management</w:t>
      </w:r>
    </w:p>
    <w:p w14:paraId="7A6308B2" w14:textId="77777777" w:rsidR="001C248E" w:rsidRPr="001C248E" w:rsidRDefault="001C248E" w:rsidP="001C248E">
      <w:pPr>
        <w:spacing w:after="200" w:line="276" w:lineRule="auto"/>
        <w:jc w:val="center"/>
        <w:rPr>
          <w:rFonts w:asciiTheme="minorHAnsi" w:eastAsiaTheme="minorHAnsi" w:hAnsiTheme="minorHAnsi" w:cstheme="minorBidi"/>
          <w:b/>
          <w:sz w:val="28"/>
          <w:szCs w:val="28"/>
          <w:lang w:val="en-US" w:eastAsia="en-US"/>
        </w:rPr>
      </w:pPr>
    </w:p>
    <w:p w14:paraId="1191AE67" w14:textId="77777777" w:rsidR="006D6D4C" w:rsidRDefault="001C248E" w:rsidP="001C248E">
      <w:pPr>
        <w:spacing w:after="200" w:line="276" w:lineRule="auto"/>
        <w:jc w:val="center"/>
        <w:rPr>
          <w:rFonts w:asciiTheme="minorHAnsi" w:eastAsiaTheme="minorHAnsi" w:hAnsiTheme="minorHAnsi" w:cstheme="minorBidi"/>
          <w:b/>
          <w:sz w:val="28"/>
          <w:szCs w:val="28"/>
          <w:lang w:val="en-US" w:eastAsia="en-US"/>
        </w:rPr>
      </w:pPr>
      <w:r w:rsidRPr="001C248E">
        <w:rPr>
          <w:rFonts w:asciiTheme="minorHAnsi" w:eastAsiaTheme="minorHAnsi" w:hAnsiTheme="minorHAnsi" w:cstheme="minorBidi"/>
          <w:b/>
          <w:sz w:val="28"/>
          <w:szCs w:val="28"/>
          <w:lang w:val="en-US" w:eastAsia="en-US"/>
        </w:rPr>
        <w:t xml:space="preserve">Module: </w:t>
      </w:r>
      <w:r w:rsidR="006D6D4C">
        <w:rPr>
          <w:rFonts w:asciiTheme="minorHAnsi" w:eastAsiaTheme="minorHAnsi" w:hAnsiTheme="minorHAnsi" w:cstheme="minorBidi"/>
          <w:b/>
          <w:sz w:val="28"/>
          <w:szCs w:val="28"/>
          <w:lang w:val="en-US" w:eastAsia="en-US"/>
        </w:rPr>
        <w:t xml:space="preserve">International Financial Management </w:t>
      </w:r>
      <w:r>
        <w:rPr>
          <w:rFonts w:asciiTheme="minorHAnsi" w:eastAsiaTheme="minorHAnsi" w:hAnsiTheme="minorHAnsi" w:cstheme="minorBidi"/>
          <w:b/>
          <w:sz w:val="28"/>
          <w:szCs w:val="28"/>
          <w:lang w:val="en-US" w:eastAsia="en-US"/>
        </w:rPr>
        <w:t xml:space="preserve">  </w:t>
      </w:r>
    </w:p>
    <w:p w14:paraId="44519444" w14:textId="66F97AF8" w:rsidR="001C248E" w:rsidRPr="001C248E" w:rsidRDefault="006D6D4C" w:rsidP="006D6D4C">
      <w:pPr>
        <w:spacing w:after="200" w:line="276" w:lineRule="auto"/>
        <w:rPr>
          <w:rFonts w:asciiTheme="minorHAnsi" w:eastAsiaTheme="minorHAnsi" w:hAnsiTheme="minorHAnsi" w:cstheme="minorBidi"/>
          <w:b/>
          <w:sz w:val="28"/>
          <w:szCs w:val="28"/>
          <w:lang w:val="en-US" w:eastAsia="en-US"/>
        </w:rPr>
      </w:pPr>
      <w:r>
        <w:rPr>
          <w:rFonts w:asciiTheme="minorHAnsi" w:eastAsiaTheme="minorHAnsi" w:hAnsiTheme="minorHAnsi" w:cstheme="minorBidi"/>
          <w:b/>
          <w:sz w:val="28"/>
          <w:szCs w:val="28"/>
          <w:lang w:val="en-US" w:eastAsia="en-US"/>
        </w:rPr>
        <w:t xml:space="preserve">                             </w:t>
      </w:r>
      <w:r w:rsidR="001C248E" w:rsidRPr="001C248E">
        <w:rPr>
          <w:rFonts w:asciiTheme="minorHAnsi" w:eastAsiaTheme="minorHAnsi" w:hAnsiTheme="minorHAnsi" w:cstheme="minorBidi"/>
          <w:b/>
          <w:sz w:val="28"/>
          <w:szCs w:val="28"/>
          <w:lang w:val="en-US" w:eastAsia="en-US"/>
        </w:rPr>
        <w:t>Module code: LCBB</w:t>
      </w:r>
      <w:r w:rsidR="00AC331C">
        <w:rPr>
          <w:rFonts w:asciiTheme="minorHAnsi" w:eastAsiaTheme="minorHAnsi" w:hAnsiTheme="minorHAnsi" w:cstheme="minorBidi"/>
          <w:b/>
          <w:sz w:val="28"/>
          <w:szCs w:val="28"/>
          <w:lang w:val="en-US" w:eastAsia="en-US"/>
        </w:rPr>
        <w:t>6</w:t>
      </w:r>
      <w:r w:rsidR="001C248E" w:rsidRPr="001C248E">
        <w:rPr>
          <w:rFonts w:asciiTheme="minorHAnsi" w:eastAsiaTheme="minorHAnsi" w:hAnsiTheme="minorHAnsi" w:cstheme="minorBidi"/>
          <w:b/>
          <w:sz w:val="28"/>
          <w:szCs w:val="28"/>
          <w:lang w:val="en-US" w:eastAsia="en-US"/>
        </w:rPr>
        <w:t>00</w:t>
      </w:r>
      <w:r w:rsidR="00AC331C">
        <w:rPr>
          <w:rFonts w:asciiTheme="minorHAnsi" w:eastAsiaTheme="minorHAnsi" w:hAnsiTheme="minorHAnsi" w:cstheme="minorBidi"/>
          <w:b/>
          <w:sz w:val="28"/>
          <w:szCs w:val="28"/>
          <w:lang w:val="en-US" w:eastAsia="en-US"/>
        </w:rPr>
        <w:t>2</w:t>
      </w:r>
    </w:p>
    <w:p w14:paraId="08B1DB6F" w14:textId="38C5B2A2" w:rsidR="001C248E" w:rsidRPr="001C248E" w:rsidRDefault="001C248E" w:rsidP="001C248E">
      <w:pPr>
        <w:spacing w:after="200" w:line="276" w:lineRule="auto"/>
        <w:rPr>
          <w:rFonts w:asciiTheme="minorHAnsi" w:eastAsiaTheme="minorHAnsi" w:hAnsiTheme="minorHAnsi" w:cstheme="minorBidi"/>
          <w:b/>
          <w:sz w:val="28"/>
          <w:szCs w:val="28"/>
          <w:lang w:val="en-US" w:eastAsia="en-US"/>
        </w:rPr>
      </w:pPr>
      <w:r w:rsidRPr="001C248E">
        <w:rPr>
          <w:rFonts w:asciiTheme="minorHAnsi" w:eastAsiaTheme="minorHAnsi" w:hAnsiTheme="minorHAnsi" w:cstheme="minorBidi"/>
          <w:b/>
          <w:sz w:val="28"/>
          <w:szCs w:val="28"/>
          <w:lang w:val="en-US" w:eastAsia="en-US"/>
        </w:rPr>
        <w:t xml:space="preserve">                          </w:t>
      </w:r>
      <w:r w:rsidR="006D6D4C">
        <w:rPr>
          <w:rFonts w:asciiTheme="minorHAnsi" w:eastAsiaTheme="minorHAnsi" w:hAnsiTheme="minorHAnsi" w:cstheme="minorBidi"/>
          <w:b/>
          <w:sz w:val="28"/>
          <w:szCs w:val="28"/>
          <w:lang w:val="en-US" w:eastAsia="en-US"/>
        </w:rPr>
        <w:t xml:space="preserve">   </w:t>
      </w:r>
      <w:r w:rsidRPr="001C248E">
        <w:rPr>
          <w:rFonts w:asciiTheme="minorHAnsi" w:eastAsiaTheme="minorHAnsi" w:hAnsiTheme="minorHAnsi" w:cstheme="minorBidi"/>
          <w:b/>
          <w:sz w:val="28"/>
          <w:szCs w:val="28"/>
          <w:lang w:val="en-US" w:eastAsia="en-US"/>
        </w:rPr>
        <w:t>Lecturer:</w:t>
      </w:r>
      <w:r w:rsidR="006D6D4C">
        <w:rPr>
          <w:rFonts w:asciiTheme="minorHAnsi" w:eastAsiaTheme="minorHAnsi" w:hAnsiTheme="minorHAnsi" w:cstheme="minorBidi"/>
          <w:b/>
          <w:sz w:val="28"/>
          <w:szCs w:val="28"/>
          <w:lang w:val="en-US" w:eastAsia="en-US"/>
        </w:rPr>
        <w:t xml:space="preserve"> Ms Zainab Atta</w:t>
      </w:r>
      <w:r w:rsidRPr="001C248E">
        <w:rPr>
          <w:rFonts w:asciiTheme="minorHAnsi" w:eastAsiaTheme="minorHAnsi" w:hAnsiTheme="minorHAnsi" w:cstheme="minorBidi"/>
          <w:b/>
          <w:sz w:val="28"/>
          <w:szCs w:val="28"/>
          <w:lang w:val="en-US" w:eastAsia="en-US"/>
        </w:rPr>
        <w:t xml:space="preserve"> </w:t>
      </w:r>
    </w:p>
    <w:p w14:paraId="2A3BE5ED" w14:textId="77777777" w:rsidR="001C248E" w:rsidRPr="001C248E" w:rsidRDefault="001C248E" w:rsidP="001C248E">
      <w:pPr>
        <w:spacing w:after="200" w:line="276" w:lineRule="auto"/>
        <w:rPr>
          <w:rFonts w:asciiTheme="minorHAnsi" w:eastAsiaTheme="minorHAnsi" w:hAnsiTheme="minorHAnsi" w:cstheme="minorBidi"/>
          <w:b/>
          <w:sz w:val="28"/>
          <w:szCs w:val="28"/>
          <w:lang w:val="en-US" w:eastAsia="en-US"/>
        </w:rPr>
      </w:pPr>
      <w:r w:rsidRPr="001C248E">
        <w:rPr>
          <w:rFonts w:asciiTheme="minorHAnsi" w:eastAsiaTheme="minorHAnsi" w:hAnsiTheme="minorHAnsi" w:cstheme="minorBidi"/>
          <w:b/>
          <w:sz w:val="28"/>
          <w:szCs w:val="28"/>
          <w:lang w:val="en-US" w:eastAsia="en-US"/>
        </w:rPr>
        <w:t xml:space="preserve">                        </w:t>
      </w:r>
    </w:p>
    <w:p w14:paraId="56F07C34" w14:textId="4E744C14" w:rsidR="001C248E" w:rsidRPr="001C248E" w:rsidRDefault="001C248E" w:rsidP="001C248E">
      <w:pPr>
        <w:spacing w:after="200" w:line="276" w:lineRule="auto"/>
        <w:rPr>
          <w:rFonts w:asciiTheme="minorHAnsi" w:eastAsiaTheme="minorHAnsi" w:hAnsiTheme="minorHAnsi" w:cstheme="minorBidi"/>
          <w:b/>
          <w:sz w:val="28"/>
          <w:szCs w:val="28"/>
          <w:lang w:val="en-US" w:eastAsia="en-US"/>
        </w:rPr>
      </w:pPr>
      <w:r w:rsidRPr="001C248E">
        <w:rPr>
          <w:rFonts w:asciiTheme="minorHAnsi" w:eastAsiaTheme="minorHAnsi" w:hAnsiTheme="minorHAnsi" w:cstheme="minorBidi"/>
          <w:b/>
          <w:sz w:val="28"/>
          <w:szCs w:val="28"/>
          <w:lang w:val="en-US" w:eastAsia="en-US"/>
        </w:rPr>
        <w:t xml:space="preserve">                         </w:t>
      </w:r>
      <w:r w:rsidR="006D6D4C">
        <w:rPr>
          <w:rFonts w:asciiTheme="minorHAnsi" w:eastAsiaTheme="minorHAnsi" w:hAnsiTheme="minorHAnsi" w:cstheme="minorBidi"/>
          <w:b/>
          <w:sz w:val="28"/>
          <w:szCs w:val="28"/>
          <w:lang w:val="en-US" w:eastAsia="en-US"/>
        </w:rPr>
        <w:t xml:space="preserve">  </w:t>
      </w:r>
      <w:r w:rsidRPr="001C248E">
        <w:rPr>
          <w:rFonts w:asciiTheme="minorHAnsi" w:eastAsiaTheme="minorHAnsi" w:hAnsiTheme="minorHAnsi" w:cstheme="minorBidi"/>
          <w:b/>
          <w:sz w:val="28"/>
          <w:szCs w:val="28"/>
          <w:lang w:val="en-US" w:eastAsia="en-US"/>
        </w:rPr>
        <w:t xml:space="preserve"> Assignment Title: Assignment </w:t>
      </w:r>
      <w:r>
        <w:rPr>
          <w:rFonts w:asciiTheme="minorHAnsi" w:eastAsiaTheme="minorHAnsi" w:hAnsiTheme="minorHAnsi" w:cstheme="minorBidi"/>
          <w:b/>
          <w:sz w:val="28"/>
          <w:szCs w:val="28"/>
          <w:lang w:val="en-US" w:eastAsia="en-US"/>
        </w:rPr>
        <w:t>1</w:t>
      </w:r>
      <w:r w:rsidRPr="001C248E">
        <w:rPr>
          <w:rFonts w:asciiTheme="minorHAnsi" w:eastAsiaTheme="minorHAnsi" w:hAnsiTheme="minorHAnsi" w:cstheme="minorBidi"/>
          <w:b/>
          <w:sz w:val="28"/>
          <w:szCs w:val="28"/>
          <w:lang w:val="en-US" w:eastAsia="en-US"/>
        </w:rPr>
        <w:t xml:space="preserve"> </w:t>
      </w:r>
    </w:p>
    <w:p w14:paraId="4FD53398" w14:textId="0417665C" w:rsidR="001C248E" w:rsidRPr="001C248E" w:rsidRDefault="001C248E" w:rsidP="001C248E">
      <w:pPr>
        <w:keepNext/>
        <w:tabs>
          <w:tab w:val="num" w:pos="0"/>
        </w:tabs>
        <w:suppressAutoHyphens/>
        <w:spacing w:before="240" w:after="120" w:line="259" w:lineRule="auto"/>
        <w:outlineLvl w:val="0"/>
        <w:rPr>
          <w:rFonts w:ascii="Liberation Sans" w:eastAsia="Microsoft YaHei" w:hAnsi="Liberation Sans" w:cs="Arial" w:hint="eastAsia"/>
          <w:b/>
          <w:bCs/>
          <w:color w:val="000000"/>
          <w:sz w:val="36"/>
          <w:szCs w:val="36"/>
          <w:lang w:val="en-GB" w:eastAsia="en-US"/>
        </w:rPr>
      </w:pPr>
      <w:r w:rsidRPr="001C248E">
        <w:rPr>
          <w:rFonts w:ascii="Arial" w:eastAsia="Microsoft YaHei" w:hAnsi="Arial" w:cs="Arial"/>
          <w:b/>
          <w:bCs/>
          <w:color w:val="000000"/>
          <w:lang w:val="en-GB" w:eastAsia="en-US"/>
        </w:rPr>
        <w:t xml:space="preserve">                        </w:t>
      </w:r>
      <w:r w:rsidR="006D6D4C">
        <w:rPr>
          <w:rFonts w:ascii="Arial" w:eastAsia="Microsoft YaHei" w:hAnsi="Arial" w:cs="Arial"/>
          <w:b/>
          <w:bCs/>
          <w:color w:val="000000"/>
          <w:lang w:val="en-GB" w:eastAsia="en-US"/>
        </w:rPr>
        <w:t xml:space="preserve">  </w:t>
      </w:r>
      <w:r w:rsidRPr="001C248E">
        <w:rPr>
          <w:rFonts w:ascii="Arial" w:eastAsia="Microsoft YaHei" w:hAnsi="Arial" w:cs="Arial"/>
          <w:b/>
          <w:bCs/>
          <w:color w:val="000000"/>
          <w:lang w:val="en-GB" w:eastAsia="en-US"/>
        </w:rPr>
        <w:t xml:space="preserve">Student Name: </w:t>
      </w:r>
      <w:r w:rsidRPr="001C248E">
        <w:rPr>
          <w:rFonts w:ascii="Arial" w:hAnsi="Arial"/>
          <w:b/>
          <w:bCs/>
          <w:color w:val="000000"/>
          <w:lang w:val="en-GB" w:eastAsia="en-US"/>
        </w:rPr>
        <w:t>Aysidora Asenova Stavreva</w:t>
      </w:r>
    </w:p>
    <w:p w14:paraId="41293E63" w14:textId="76346A22" w:rsidR="001C248E" w:rsidRPr="001C248E" w:rsidRDefault="001C248E" w:rsidP="001C248E">
      <w:pPr>
        <w:keepNext/>
        <w:tabs>
          <w:tab w:val="num" w:pos="0"/>
        </w:tabs>
        <w:suppressAutoHyphens/>
        <w:spacing w:before="240" w:after="120" w:line="259" w:lineRule="auto"/>
        <w:outlineLvl w:val="0"/>
        <w:rPr>
          <w:rFonts w:ascii="Arial" w:eastAsia="Microsoft YaHei" w:hAnsi="Arial" w:cs="Arial"/>
          <w:b/>
          <w:bCs/>
          <w:color w:val="000000"/>
          <w:lang w:val="en-GB" w:eastAsia="en-US"/>
        </w:rPr>
      </w:pPr>
      <w:r w:rsidRPr="001C248E">
        <w:rPr>
          <w:rFonts w:ascii="Arial" w:eastAsia="Microsoft YaHei" w:hAnsi="Arial" w:cs="Arial"/>
          <w:b/>
          <w:bCs/>
          <w:color w:val="000000"/>
          <w:lang w:val="en-GB" w:eastAsia="en-US"/>
        </w:rPr>
        <w:t xml:space="preserve">                        </w:t>
      </w:r>
      <w:r w:rsidR="006D6D4C">
        <w:rPr>
          <w:rFonts w:ascii="Arial" w:eastAsia="Microsoft YaHei" w:hAnsi="Arial" w:cs="Arial"/>
          <w:b/>
          <w:bCs/>
          <w:color w:val="000000"/>
          <w:lang w:val="en-GB" w:eastAsia="en-US"/>
        </w:rPr>
        <w:t xml:space="preserve">  </w:t>
      </w:r>
      <w:r w:rsidRPr="001C248E">
        <w:rPr>
          <w:rFonts w:ascii="Arial" w:eastAsia="Microsoft YaHei" w:hAnsi="Arial" w:cs="Arial"/>
          <w:b/>
          <w:bCs/>
          <w:color w:val="000000"/>
          <w:lang w:val="en-GB" w:eastAsia="en-US"/>
        </w:rPr>
        <w:t>Student ID: 2030536</w:t>
      </w:r>
    </w:p>
    <w:p w14:paraId="664B3294" w14:textId="77777777" w:rsidR="001C248E" w:rsidRPr="001C248E" w:rsidRDefault="001C248E" w:rsidP="001C248E">
      <w:pPr>
        <w:spacing w:after="120" w:line="276" w:lineRule="auto"/>
        <w:rPr>
          <w:rFonts w:asciiTheme="minorHAnsi" w:eastAsiaTheme="minorHAnsi" w:hAnsiTheme="minorHAnsi" w:cstheme="minorBidi"/>
          <w:sz w:val="22"/>
          <w:szCs w:val="22"/>
          <w:lang w:val="en-GB" w:eastAsia="en-US"/>
        </w:rPr>
      </w:pPr>
      <w:r w:rsidRPr="001C248E">
        <w:rPr>
          <w:rFonts w:asciiTheme="minorHAnsi" w:eastAsiaTheme="minorHAnsi" w:hAnsiTheme="minorHAnsi" w:cstheme="minorBidi"/>
          <w:sz w:val="22"/>
          <w:szCs w:val="22"/>
          <w:lang w:val="en-GB" w:eastAsia="en-US"/>
        </w:rPr>
        <w:t xml:space="preserve">                               </w:t>
      </w:r>
    </w:p>
    <w:p w14:paraId="6DE05711" w14:textId="77777777" w:rsidR="001C248E" w:rsidRPr="001C248E" w:rsidRDefault="001C248E" w:rsidP="001C248E">
      <w:pPr>
        <w:spacing w:after="120" w:line="276" w:lineRule="auto"/>
        <w:rPr>
          <w:rFonts w:asciiTheme="minorHAnsi" w:eastAsiaTheme="minorHAnsi" w:hAnsiTheme="minorHAnsi" w:cstheme="minorBidi"/>
          <w:sz w:val="22"/>
          <w:szCs w:val="22"/>
          <w:lang w:val="en-GB" w:eastAsia="en-US"/>
        </w:rPr>
      </w:pPr>
    </w:p>
    <w:p w14:paraId="52791851" w14:textId="77777777" w:rsidR="001C248E" w:rsidRPr="001C248E" w:rsidRDefault="001C248E" w:rsidP="001C248E">
      <w:pPr>
        <w:spacing w:after="120" w:line="276" w:lineRule="auto"/>
        <w:rPr>
          <w:rFonts w:asciiTheme="minorHAnsi" w:eastAsiaTheme="minorHAnsi" w:hAnsiTheme="minorHAnsi" w:cstheme="minorBidi"/>
          <w:sz w:val="22"/>
          <w:szCs w:val="22"/>
          <w:lang w:val="en-GB" w:eastAsia="en-US"/>
        </w:rPr>
      </w:pPr>
    </w:p>
    <w:p w14:paraId="0AA6C00F" w14:textId="35BCC1C8" w:rsidR="001C248E" w:rsidRPr="001C248E" w:rsidRDefault="006D6D4C" w:rsidP="006D6D4C">
      <w:pPr>
        <w:spacing w:after="120" w:line="276" w:lineRule="auto"/>
        <w:rPr>
          <w:rFonts w:asciiTheme="minorHAnsi" w:eastAsiaTheme="minorHAnsi" w:hAnsiTheme="minorHAnsi" w:cstheme="minorBidi"/>
          <w:b/>
          <w:sz w:val="28"/>
          <w:szCs w:val="28"/>
          <w:lang w:val="en-GB" w:eastAsia="en-US"/>
        </w:rPr>
      </w:pPr>
      <w:r>
        <w:rPr>
          <w:rFonts w:asciiTheme="minorHAnsi" w:eastAsiaTheme="minorHAnsi" w:hAnsiTheme="minorHAnsi" w:cstheme="minorBidi"/>
          <w:b/>
          <w:sz w:val="28"/>
          <w:szCs w:val="28"/>
          <w:lang w:val="en-GB" w:eastAsia="en-US"/>
        </w:rPr>
        <w:t xml:space="preserve">                            </w:t>
      </w:r>
      <w:r w:rsidR="001C248E" w:rsidRPr="001C248E">
        <w:rPr>
          <w:rFonts w:asciiTheme="minorHAnsi" w:eastAsiaTheme="minorHAnsi" w:hAnsiTheme="minorHAnsi" w:cstheme="minorBidi"/>
          <w:b/>
          <w:sz w:val="28"/>
          <w:szCs w:val="28"/>
          <w:lang w:val="en-GB" w:eastAsia="en-US"/>
        </w:rPr>
        <w:t>Date: 0</w:t>
      </w:r>
      <w:r w:rsidR="001C248E">
        <w:rPr>
          <w:rFonts w:asciiTheme="minorHAnsi" w:eastAsiaTheme="minorHAnsi" w:hAnsiTheme="minorHAnsi" w:cstheme="minorBidi"/>
          <w:b/>
          <w:sz w:val="28"/>
          <w:szCs w:val="28"/>
          <w:lang w:val="en-GB" w:eastAsia="en-US"/>
        </w:rPr>
        <w:t>2</w:t>
      </w:r>
      <w:r w:rsidR="001C248E" w:rsidRPr="001C248E">
        <w:rPr>
          <w:rFonts w:asciiTheme="minorHAnsi" w:eastAsiaTheme="minorHAnsi" w:hAnsiTheme="minorHAnsi" w:cstheme="minorBidi"/>
          <w:b/>
          <w:sz w:val="28"/>
          <w:szCs w:val="28"/>
          <w:lang w:val="en-GB" w:eastAsia="en-US"/>
        </w:rPr>
        <w:t>.0</w:t>
      </w:r>
      <w:r w:rsidR="001C248E">
        <w:rPr>
          <w:rFonts w:asciiTheme="minorHAnsi" w:eastAsiaTheme="minorHAnsi" w:hAnsiTheme="minorHAnsi" w:cstheme="minorBidi"/>
          <w:b/>
          <w:sz w:val="28"/>
          <w:szCs w:val="28"/>
          <w:lang w:val="en-GB" w:eastAsia="en-US"/>
        </w:rPr>
        <w:t>4</w:t>
      </w:r>
      <w:r w:rsidR="001C248E" w:rsidRPr="001C248E">
        <w:rPr>
          <w:rFonts w:asciiTheme="minorHAnsi" w:eastAsiaTheme="minorHAnsi" w:hAnsiTheme="minorHAnsi" w:cstheme="minorBidi"/>
          <w:b/>
          <w:sz w:val="28"/>
          <w:szCs w:val="28"/>
          <w:lang w:val="en-GB" w:eastAsia="en-US"/>
        </w:rPr>
        <w:t>.2</w:t>
      </w:r>
      <w:r w:rsidR="001C248E">
        <w:rPr>
          <w:rFonts w:asciiTheme="minorHAnsi" w:eastAsiaTheme="minorHAnsi" w:hAnsiTheme="minorHAnsi" w:cstheme="minorBidi"/>
          <w:b/>
          <w:sz w:val="28"/>
          <w:szCs w:val="28"/>
          <w:lang w:val="en-GB" w:eastAsia="en-US"/>
        </w:rPr>
        <w:t>4</w:t>
      </w:r>
      <w:r w:rsidR="001C248E" w:rsidRPr="001C248E">
        <w:rPr>
          <w:rFonts w:asciiTheme="minorHAnsi" w:eastAsiaTheme="minorHAnsi" w:hAnsiTheme="minorHAnsi" w:cstheme="minorBidi"/>
          <w:b/>
          <w:sz w:val="28"/>
          <w:szCs w:val="28"/>
          <w:lang w:val="en-GB" w:eastAsia="en-US"/>
        </w:rPr>
        <w:t xml:space="preserve">   City: London</w:t>
      </w:r>
    </w:p>
    <w:p w14:paraId="3A22B0C1" w14:textId="77777777" w:rsidR="001C248E" w:rsidRPr="001C248E" w:rsidRDefault="001C248E" w:rsidP="001C248E">
      <w:pPr>
        <w:spacing w:after="120" w:line="276" w:lineRule="auto"/>
        <w:rPr>
          <w:rFonts w:asciiTheme="minorHAnsi" w:eastAsiaTheme="minorHAnsi" w:hAnsiTheme="minorHAnsi" w:cstheme="minorBidi"/>
          <w:sz w:val="22"/>
          <w:szCs w:val="22"/>
          <w:lang w:val="en-GB" w:eastAsia="en-US"/>
        </w:rPr>
      </w:pPr>
    </w:p>
    <w:p w14:paraId="5FE3A385" w14:textId="77777777" w:rsidR="001C248E" w:rsidRPr="001C248E" w:rsidRDefault="001C248E" w:rsidP="001C248E">
      <w:pPr>
        <w:spacing w:after="120" w:line="276" w:lineRule="auto"/>
        <w:rPr>
          <w:rFonts w:asciiTheme="minorHAnsi" w:eastAsiaTheme="minorHAnsi" w:hAnsiTheme="minorHAnsi" w:cstheme="minorBidi"/>
          <w:sz w:val="22"/>
          <w:szCs w:val="22"/>
          <w:lang w:val="en-GB" w:eastAsia="en-US"/>
        </w:rPr>
      </w:pPr>
    </w:p>
    <w:p w14:paraId="3B050321" w14:textId="77777777" w:rsidR="001C248E" w:rsidRPr="001C248E" w:rsidRDefault="001C248E" w:rsidP="001C248E">
      <w:pPr>
        <w:spacing w:after="120" w:line="276" w:lineRule="auto"/>
        <w:rPr>
          <w:rFonts w:asciiTheme="minorHAnsi" w:eastAsiaTheme="minorHAnsi" w:hAnsiTheme="minorHAnsi" w:cstheme="minorBidi"/>
          <w:sz w:val="22"/>
          <w:szCs w:val="22"/>
          <w:lang w:val="en-GB" w:eastAsia="en-US"/>
        </w:rPr>
      </w:pPr>
    </w:p>
    <w:p w14:paraId="4A55CC59" w14:textId="77777777" w:rsidR="001C248E" w:rsidRPr="001C248E" w:rsidRDefault="001C248E" w:rsidP="001C248E">
      <w:pPr>
        <w:spacing w:after="120" w:line="276" w:lineRule="auto"/>
        <w:rPr>
          <w:rFonts w:asciiTheme="minorHAnsi" w:eastAsiaTheme="minorHAnsi" w:hAnsiTheme="minorHAnsi" w:cstheme="minorBidi"/>
          <w:sz w:val="22"/>
          <w:szCs w:val="22"/>
          <w:lang w:val="en-GB" w:eastAsia="en-US"/>
        </w:rPr>
      </w:pPr>
    </w:p>
    <w:p w14:paraId="588D577C" w14:textId="77777777" w:rsidR="001C248E" w:rsidRPr="001C248E" w:rsidRDefault="001C248E" w:rsidP="001C248E">
      <w:pPr>
        <w:spacing w:after="120" w:line="276" w:lineRule="auto"/>
        <w:rPr>
          <w:rFonts w:asciiTheme="minorHAnsi" w:eastAsiaTheme="minorHAnsi" w:hAnsiTheme="minorHAnsi" w:cstheme="minorBidi"/>
          <w:sz w:val="22"/>
          <w:szCs w:val="22"/>
          <w:lang w:val="en-GB" w:eastAsia="en-US"/>
        </w:rPr>
      </w:pPr>
    </w:p>
    <w:p w14:paraId="41621221" w14:textId="77777777" w:rsidR="001C248E" w:rsidRPr="001C248E" w:rsidRDefault="001C248E" w:rsidP="001C248E">
      <w:pPr>
        <w:spacing w:after="120" w:line="276" w:lineRule="auto"/>
        <w:rPr>
          <w:rFonts w:asciiTheme="minorHAnsi" w:eastAsiaTheme="minorHAnsi" w:hAnsiTheme="minorHAnsi" w:cstheme="minorBidi"/>
          <w:sz w:val="22"/>
          <w:szCs w:val="22"/>
          <w:lang w:val="en-GB" w:eastAsia="en-US"/>
        </w:rPr>
      </w:pPr>
    </w:p>
    <w:p w14:paraId="6A5E4CE9" w14:textId="77777777" w:rsidR="001C248E" w:rsidRPr="001C248E" w:rsidRDefault="001C248E" w:rsidP="001C248E">
      <w:pPr>
        <w:spacing w:after="120" w:line="276" w:lineRule="auto"/>
        <w:rPr>
          <w:rFonts w:asciiTheme="minorHAnsi" w:eastAsiaTheme="minorHAnsi" w:hAnsiTheme="minorHAnsi" w:cstheme="minorBidi"/>
          <w:sz w:val="22"/>
          <w:szCs w:val="22"/>
          <w:lang w:val="en-GB" w:eastAsia="en-US"/>
        </w:rPr>
      </w:pPr>
    </w:p>
    <w:p w14:paraId="20197830" w14:textId="6995CB26" w:rsidR="00E2335C" w:rsidRDefault="00E2335C" w:rsidP="00471ADC">
      <w:pPr>
        <w:spacing w:after="160" w:line="480" w:lineRule="auto"/>
        <w:ind w:left="720" w:hanging="360"/>
        <w:jc w:val="both"/>
      </w:pPr>
    </w:p>
    <w:p w14:paraId="329F555C" w14:textId="77777777" w:rsidR="00E2335C" w:rsidRDefault="00E2335C">
      <w:pPr>
        <w:spacing w:after="200" w:line="276" w:lineRule="auto"/>
      </w:pPr>
      <w:r>
        <w:br w:type="page"/>
      </w:r>
    </w:p>
    <w:p w14:paraId="32184EDA" w14:textId="5F3A65D1" w:rsidR="00E2335C" w:rsidRDefault="00E2335C" w:rsidP="00471ADC">
      <w:pPr>
        <w:spacing w:after="160" w:line="480" w:lineRule="auto"/>
        <w:ind w:left="720" w:hanging="360"/>
        <w:jc w:val="both"/>
      </w:pPr>
    </w:p>
    <w:p w14:paraId="5E60F02B" w14:textId="77777777" w:rsidR="00E2335C" w:rsidRDefault="00E2335C">
      <w:pPr>
        <w:spacing w:after="200" w:line="276" w:lineRule="auto"/>
      </w:pPr>
      <w:r>
        <w:br w:type="page"/>
      </w:r>
    </w:p>
    <w:p w14:paraId="32721FCA" w14:textId="77777777" w:rsidR="00E2335C" w:rsidRDefault="00E2335C" w:rsidP="00471ADC">
      <w:pPr>
        <w:spacing w:after="160" w:line="480" w:lineRule="auto"/>
        <w:ind w:left="720" w:hanging="360"/>
        <w:jc w:val="both"/>
      </w:pPr>
    </w:p>
    <w:p w14:paraId="35E087BF" w14:textId="6D4D3030" w:rsidR="00471ADC" w:rsidRPr="00E2335C" w:rsidRDefault="00471ADC" w:rsidP="00E2335C">
      <w:pPr>
        <w:pStyle w:val="ListParagraph"/>
        <w:numPr>
          <w:ilvl w:val="0"/>
          <w:numId w:val="1"/>
        </w:numPr>
        <w:spacing w:after="160" w:line="480" w:lineRule="auto"/>
        <w:jc w:val="both"/>
        <w:rPr>
          <w:b/>
          <w:bCs/>
          <w:lang w:val="en-US"/>
        </w:rPr>
      </w:pPr>
      <w:r w:rsidRPr="00E2335C">
        <w:rPr>
          <w:b/>
          <w:bCs/>
          <w:lang w:val="en-US"/>
        </w:rPr>
        <w:t>Introduction</w:t>
      </w:r>
    </w:p>
    <w:p w14:paraId="01C487FA" w14:textId="77777777" w:rsidR="00471ADC" w:rsidRPr="00946B65" w:rsidRDefault="00471ADC" w:rsidP="00471ADC">
      <w:pPr>
        <w:spacing w:line="480" w:lineRule="auto"/>
        <w:jc w:val="both"/>
        <w:rPr>
          <w:lang w:val="en-US"/>
        </w:rPr>
      </w:pPr>
      <w:r w:rsidRPr="00946B65">
        <w:rPr>
          <w:lang w:val="en-US"/>
        </w:rPr>
        <w:t xml:space="preserve">The globalization of economies around the world has caused a surge in international trade and investments (Grossman &amp; </w:t>
      </w:r>
      <w:proofErr w:type="spellStart"/>
      <w:r w:rsidRPr="00946B65">
        <w:rPr>
          <w:lang w:val="en-US"/>
        </w:rPr>
        <w:t>Helpman</w:t>
      </w:r>
      <w:proofErr w:type="spellEnd"/>
      <w:r w:rsidRPr="00946B65">
        <w:rPr>
          <w:lang w:val="en-US"/>
        </w:rPr>
        <w:t xml:space="preserve">, 2015). Corporations have expanded their operations in foreign markets to benefit from the low cost of production, cheap raw materials, new revenue streams, low-cost capital, etc. However, the functional currencies of these corporations are different from </w:t>
      </w:r>
      <w:proofErr w:type="gramStart"/>
      <w:r w:rsidRPr="00946B65">
        <w:rPr>
          <w:lang w:val="en-US"/>
        </w:rPr>
        <w:t>than</w:t>
      </w:r>
      <w:proofErr w:type="gramEnd"/>
      <w:r w:rsidRPr="00946B65">
        <w:rPr>
          <w:lang w:val="en-US"/>
        </w:rPr>
        <w:t xml:space="preserve"> businesses or parties they do business </w:t>
      </w:r>
      <w:proofErr w:type="gramStart"/>
      <w:r w:rsidRPr="00946B65">
        <w:rPr>
          <w:lang w:val="en-US"/>
        </w:rPr>
        <w:t>with in</w:t>
      </w:r>
      <w:proofErr w:type="gramEnd"/>
      <w:r w:rsidRPr="00946B65">
        <w:rPr>
          <w:lang w:val="en-US"/>
        </w:rPr>
        <w:t xml:space="preserve"> other countries. The value of the currency may be different from the date of signing the contract and the actual settlement or delivery of the contract. This creates a risk factor of changes in the exchange rate and exposes firms to foreign exchange risk (Bank, 2016). These foreign exchange risks can be mainly categorized into transaction risks, translation risks, and economic risks. </w:t>
      </w:r>
      <w:r>
        <w:rPr>
          <w:lang w:val="en-US"/>
        </w:rPr>
        <w:t>The</w:t>
      </w:r>
      <w:r w:rsidRPr="00946B65">
        <w:rPr>
          <w:lang w:val="en-US"/>
        </w:rPr>
        <w:t xml:space="preserve"> adverse movement in the foreign exchange rates can significantly impact the profitability and cash flows of a firm. Thus, it is important that corporations </w:t>
      </w:r>
      <w:r>
        <w:rPr>
          <w:lang w:val="en-US"/>
        </w:rPr>
        <w:t>use</w:t>
      </w:r>
      <w:r w:rsidRPr="00946B65">
        <w:rPr>
          <w:lang w:val="en-US"/>
        </w:rPr>
        <w:t xml:space="preserve"> several financial and non-financial strategies to protect themselves from exposure to foreign exchange risks. The main aim of this report is to examine different strategies and techniques used by corporations across sizes and industries to hedge </w:t>
      </w:r>
      <w:proofErr w:type="gramStart"/>
      <w:r w:rsidRPr="00946B65">
        <w:rPr>
          <w:lang w:val="en-US"/>
        </w:rPr>
        <w:t>from</w:t>
      </w:r>
      <w:proofErr w:type="gramEnd"/>
      <w:r w:rsidRPr="00946B65">
        <w:rPr>
          <w:lang w:val="en-US"/>
        </w:rPr>
        <w:t xml:space="preserve"> unfavorable foreign exchange fluctuations. </w:t>
      </w:r>
    </w:p>
    <w:p w14:paraId="6BA13046" w14:textId="77777777" w:rsidR="00471ADC" w:rsidRPr="00946B65" w:rsidRDefault="00471ADC" w:rsidP="00471ADC">
      <w:pPr>
        <w:spacing w:line="480" w:lineRule="auto"/>
        <w:jc w:val="both"/>
        <w:rPr>
          <w:lang w:val="en-US"/>
        </w:rPr>
      </w:pPr>
      <w:r w:rsidRPr="00946B65">
        <w:rPr>
          <w:lang w:val="en-US"/>
        </w:rPr>
        <w:t xml:space="preserve">2.1. </w:t>
      </w:r>
      <w:r w:rsidRPr="00471ADC">
        <w:rPr>
          <w:rFonts w:eastAsiaTheme="minorHAnsi"/>
          <w:b/>
          <w:bCs/>
          <w:kern w:val="2"/>
          <w:lang w:val="en-US" w:eastAsia="en-US"/>
        </w:rPr>
        <w:t>Foreign exchange risk</w:t>
      </w:r>
    </w:p>
    <w:p w14:paraId="21C5DEF3" w14:textId="77777777" w:rsidR="00471ADC" w:rsidRPr="00946B65" w:rsidRDefault="00471ADC" w:rsidP="00471ADC">
      <w:pPr>
        <w:spacing w:line="480" w:lineRule="auto"/>
        <w:jc w:val="both"/>
        <w:rPr>
          <w:lang w:val="en-US"/>
        </w:rPr>
      </w:pPr>
      <w:r w:rsidRPr="00946B65">
        <w:rPr>
          <w:lang w:val="en-US"/>
        </w:rPr>
        <w:t>Exchange rate risk is the</w:t>
      </w:r>
      <w:r>
        <w:rPr>
          <w:lang w:val="en-US"/>
        </w:rPr>
        <w:t xml:space="preserve"> financial</w:t>
      </w:r>
      <w:r w:rsidRPr="00946B65">
        <w:rPr>
          <w:lang w:val="en-US"/>
        </w:rPr>
        <w:t xml:space="preserve"> </w:t>
      </w:r>
      <w:r>
        <w:rPr>
          <w:lang w:val="en-US"/>
        </w:rPr>
        <w:t xml:space="preserve">loss </w:t>
      </w:r>
      <w:r w:rsidRPr="00946B65">
        <w:rPr>
          <w:lang w:val="en-US"/>
        </w:rPr>
        <w:t xml:space="preserve">caused </w:t>
      </w:r>
      <w:r>
        <w:rPr>
          <w:lang w:val="en-US"/>
        </w:rPr>
        <w:t>to</w:t>
      </w:r>
      <w:r w:rsidRPr="00946B65">
        <w:rPr>
          <w:lang w:val="en-US"/>
        </w:rPr>
        <w:t xml:space="preserve"> a company due to adverse changes in the exchange rates between currencies (Omar et al., 2017). The</w:t>
      </w:r>
      <w:r>
        <w:rPr>
          <w:lang w:val="en-US"/>
        </w:rPr>
        <w:t>se adverse changes can be caused by</w:t>
      </w:r>
      <w:r w:rsidRPr="00946B65">
        <w:rPr>
          <w:lang w:val="en-US"/>
        </w:rPr>
        <w:t xml:space="preserve"> several macro and non-macro-economic factors. The strategies used by corporations to minimize or eliminate foreign exchange risk are mainly classified into financial and non-financial strategies.</w:t>
      </w:r>
    </w:p>
    <w:p w14:paraId="0E57B873" w14:textId="77777777" w:rsidR="00E2335C" w:rsidRDefault="00E2335C" w:rsidP="00471ADC">
      <w:pPr>
        <w:spacing w:line="480" w:lineRule="auto"/>
        <w:jc w:val="both"/>
        <w:rPr>
          <w:lang w:val="en-US"/>
        </w:rPr>
      </w:pPr>
    </w:p>
    <w:p w14:paraId="35754B49" w14:textId="77777777" w:rsidR="00E2335C" w:rsidRDefault="00E2335C" w:rsidP="00471ADC">
      <w:pPr>
        <w:spacing w:line="480" w:lineRule="auto"/>
        <w:jc w:val="both"/>
        <w:rPr>
          <w:lang w:val="en-US"/>
        </w:rPr>
      </w:pPr>
    </w:p>
    <w:p w14:paraId="3F06E1E0" w14:textId="564BCFF2" w:rsidR="00471ADC" w:rsidRPr="00471ADC" w:rsidRDefault="00471ADC" w:rsidP="00471ADC">
      <w:pPr>
        <w:spacing w:line="480" w:lineRule="auto"/>
        <w:jc w:val="both"/>
        <w:rPr>
          <w:rFonts w:eastAsiaTheme="minorHAnsi"/>
          <w:b/>
          <w:bCs/>
          <w:kern w:val="2"/>
          <w:lang w:val="en-US" w:eastAsia="en-US"/>
        </w:rPr>
      </w:pPr>
      <w:r w:rsidRPr="00946B65">
        <w:rPr>
          <w:lang w:val="en-US"/>
        </w:rPr>
        <w:lastRenderedPageBreak/>
        <w:t xml:space="preserve">2.1.1. </w:t>
      </w:r>
      <w:r w:rsidRPr="00471ADC">
        <w:rPr>
          <w:rFonts w:eastAsiaTheme="minorHAnsi"/>
          <w:b/>
          <w:bCs/>
          <w:kern w:val="2"/>
          <w:lang w:val="en-US" w:eastAsia="en-US"/>
        </w:rPr>
        <w:t>Financial strategies</w:t>
      </w:r>
    </w:p>
    <w:p w14:paraId="061420CD" w14:textId="77777777" w:rsidR="00471ADC" w:rsidRPr="00946B65" w:rsidRDefault="00471ADC" w:rsidP="00471ADC">
      <w:pPr>
        <w:spacing w:line="480" w:lineRule="auto"/>
        <w:jc w:val="both"/>
        <w:rPr>
          <w:lang w:val="en-US"/>
        </w:rPr>
      </w:pPr>
      <w:r w:rsidRPr="00946B65">
        <w:rPr>
          <w:lang w:val="en-US"/>
        </w:rPr>
        <w:t xml:space="preserve">The financial strategies </w:t>
      </w:r>
      <w:r>
        <w:rPr>
          <w:lang w:val="en-US"/>
        </w:rPr>
        <w:t>for</w:t>
      </w:r>
      <w:r w:rsidRPr="00946B65">
        <w:rPr>
          <w:lang w:val="en-US"/>
        </w:rPr>
        <w:t xml:space="preserve"> hedging exchange rate exposure </w:t>
      </w:r>
      <w:proofErr w:type="gramStart"/>
      <w:r>
        <w:rPr>
          <w:lang w:val="en-US"/>
        </w:rPr>
        <w:t>includes</w:t>
      </w:r>
      <w:proofErr w:type="gramEnd"/>
      <w:r w:rsidRPr="00946B65">
        <w:rPr>
          <w:lang w:val="en-US"/>
        </w:rPr>
        <w:t xml:space="preserve"> derivative financial instruments.</w:t>
      </w:r>
    </w:p>
    <w:p w14:paraId="4D3B0475" w14:textId="77777777" w:rsidR="00471ADC" w:rsidRPr="00132D7F" w:rsidRDefault="00471ADC" w:rsidP="00471ADC">
      <w:pPr>
        <w:pStyle w:val="ListParagraph"/>
        <w:numPr>
          <w:ilvl w:val="0"/>
          <w:numId w:val="2"/>
        </w:numPr>
        <w:spacing w:after="160" w:line="480" w:lineRule="auto"/>
        <w:jc w:val="both"/>
        <w:rPr>
          <w:b/>
          <w:bCs/>
          <w:lang w:val="en-US"/>
        </w:rPr>
      </w:pPr>
      <w:r w:rsidRPr="00132D7F">
        <w:rPr>
          <w:b/>
          <w:bCs/>
          <w:lang w:val="en-US"/>
        </w:rPr>
        <w:t xml:space="preserve">Currency Forwards </w:t>
      </w:r>
    </w:p>
    <w:p w14:paraId="6C26C7E1" w14:textId="77777777" w:rsidR="00471ADC" w:rsidRPr="00946B65" w:rsidRDefault="00471ADC" w:rsidP="00471ADC">
      <w:pPr>
        <w:spacing w:line="480" w:lineRule="auto"/>
        <w:jc w:val="both"/>
      </w:pPr>
      <w:r w:rsidRPr="00946B65">
        <w:t xml:space="preserve">Forward Exchange Contract is the widely </w:t>
      </w:r>
      <w:r>
        <w:t>used</w:t>
      </w:r>
      <w:r w:rsidRPr="00946B65">
        <w:t xml:space="preserve"> technique by companies around the world to hedge their exposure to exchange rate risk. A forward contract is a financial agreement between parties to buy or sell a set quantity of foreign exchange at an agreed rate and date in the future (Hassan &amp; Mano, 2019). It allows companies to lock in an exchange rate for transactions in the future and eliminate any losses that occur due to any </w:t>
      </w:r>
      <w:proofErr w:type="spellStart"/>
      <w:r w:rsidRPr="00946B65">
        <w:t>unfavorable</w:t>
      </w:r>
      <w:proofErr w:type="spellEnd"/>
      <w:r w:rsidRPr="00946B65">
        <w:t xml:space="preserve"> change in the exchange rate. There will be no effect on the future transactions a company expects to settle in the future. This reduces uncertainties in the cash flows and budgets (Bartram, 2019). The </w:t>
      </w:r>
      <w:proofErr w:type="gramStart"/>
      <w:r w:rsidRPr="00946B65">
        <w:t>forward</w:t>
      </w:r>
      <w:r>
        <w:t>s</w:t>
      </w:r>
      <w:proofErr w:type="gramEnd"/>
      <w:r w:rsidRPr="00946B65">
        <w:t xml:space="preserve"> contract is traded over the counter with no organized exchanges</w:t>
      </w:r>
      <w:r>
        <w:t xml:space="preserve">. </w:t>
      </w:r>
      <w:r w:rsidRPr="00946B65">
        <w:t xml:space="preserve">The main benefit of this technique is that companies can tailor the terms of the contract to meet their specific needs. The terms of the contract are communicated with each other, minimizing any scope of ambiguity. However, there are certain fees and transaction costs associated with currency forwards. Moreover, currency forwards are binding agreements. A company is obligated to exercise the contract even if the movement in the exchange rate is </w:t>
      </w:r>
      <w:proofErr w:type="spellStart"/>
      <w:r w:rsidRPr="00946B65">
        <w:t>favorable</w:t>
      </w:r>
      <w:proofErr w:type="spellEnd"/>
      <w:r w:rsidRPr="00946B65">
        <w:t xml:space="preserve"> for the firm. It is also difficult to predict how exchange rates will change, causing challenges in determining the optimal level of hedging. Further, the lack of organized exchanges leads to counterparty risk. The failure of the counterparty to perform the contract on the specified data may result in losses for the company. </w:t>
      </w:r>
    </w:p>
    <w:p w14:paraId="26CEF89A" w14:textId="77777777" w:rsidR="00471ADC" w:rsidRPr="00636950" w:rsidRDefault="00471ADC" w:rsidP="00471ADC">
      <w:pPr>
        <w:pStyle w:val="ListParagraph"/>
        <w:numPr>
          <w:ilvl w:val="0"/>
          <w:numId w:val="2"/>
        </w:numPr>
        <w:spacing w:after="160" w:line="480" w:lineRule="auto"/>
        <w:jc w:val="both"/>
        <w:rPr>
          <w:b/>
          <w:bCs/>
          <w:lang w:val="en-US"/>
        </w:rPr>
      </w:pPr>
      <w:r w:rsidRPr="00636950">
        <w:rPr>
          <w:b/>
          <w:bCs/>
          <w:lang w:val="en-US"/>
        </w:rPr>
        <w:t>Currency Options</w:t>
      </w:r>
    </w:p>
    <w:p w14:paraId="6D23FB24" w14:textId="77777777" w:rsidR="00471ADC" w:rsidRPr="00946B65" w:rsidRDefault="00471ADC" w:rsidP="00471ADC">
      <w:pPr>
        <w:spacing w:line="480" w:lineRule="auto"/>
        <w:jc w:val="both"/>
      </w:pPr>
      <w:r w:rsidRPr="00946B65">
        <w:t xml:space="preserve">Currency options are another popular method of exchange risk hedging. Currency options provide the options holder the right but not an obligation to purchase or sell a certain amount of foreign exchange at a predetermined rate (strike price) within a specified period </w:t>
      </w:r>
      <w:r w:rsidRPr="00946B65">
        <w:lastRenderedPageBreak/>
        <w:t xml:space="preserve">(expiration date) ((Liu, 2015). These are derivatives based on underlying currency pairs. Currency options are generally categorized into currency call or currency put. </w:t>
      </w:r>
    </w:p>
    <w:p w14:paraId="1866940F" w14:textId="77777777" w:rsidR="00471ADC" w:rsidRPr="00636950" w:rsidRDefault="00471ADC" w:rsidP="00471ADC">
      <w:pPr>
        <w:pStyle w:val="ListParagraph"/>
        <w:numPr>
          <w:ilvl w:val="0"/>
          <w:numId w:val="3"/>
        </w:numPr>
        <w:spacing w:after="160" w:line="480" w:lineRule="auto"/>
        <w:jc w:val="both"/>
        <w:rPr>
          <w:b/>
          <w:bCs/>
          <w:lang w:val="en-US"/>
        </w:rPr>
      </w:pPr>
      <w:r w:rsidRPr="00636950">
        <w:rPr>
          <w:b/>
          <w:bCs/>
          <w:lang w:val="en-US"/>
        </w:rPr>
        <w:t>Currency call</w:t>
      </w:r>
    </w:p>
    <w:p w14:paraId="324AC038" w14:textId="77777777" w:rsidR="00471ADC" w:rsidRPr="00946B65" w:rsidRDefault="00471ADC" w:rsidP="00471ADC">
      <w:pPr>
        <w:spacing w:line="480" w:lineRule="auto"/>
        <w:jc w:val="both"/>
      </w:pPr>
      <w:r w:rsidRPr="00946B65">
        <w:t>A currency call is a financial agreement that gives the holder of the option the right but not an obligation to purchase a specified amount of foreign exchange at a strike price within the expiration date. Currency call is used by corporations when they expect foreign currency to appreciate and benefit from the rise in value.</w:t>
      </w:r>
    </w:p>
    <w:p w14:paraId="78BCE3BB" w14:textId="77777777" w:rsidR="00471ADC" w:rsidRPr="00636950" w:rsidRDefault="00471ADC" w:rsidP="00471ADC">
      <w:pPr>
        <w:pStyle w:val="ListParagraph"/>
        <w:numPr>
          <w:ilvl w:val="0"/>
          <w:numId w:val="4"/>
        </w:numPr>
        <w:spacing w:after="160" w:line="480" w:lineRule="auto"/>
        <w:jc w:val="both"/>
        <w:rPr>
          <w:b/>
          <w:bCs/>
          <w:lang w:val="en-US"/>
        </w:rPr>
      </w:pPr>
      <w:r w:rsidRPr="00636950">
        <w:rPr>
          <w:b/>
          <w:bCs/>
          <w:lang w:val="en-US"/>
        </w:rPr>
        <w:t xml:space="preserve">Currency </w:t>
      </w:r>
      <w:proofErr w:type="gramStart"/>
      <w:r w:rsidRPr="00636950">
        <w:rPr>
          <w:b/>
          <w:bCs/>
          <w:lang w:val="en-US"/>
        </w:rPr>
        <w:t>put</w:t>
      </w:r>
      <w:proofErr w:type="gramEnd"/>
    </w:p>
    <w:p w14:paraId="01797067" w14:textId="77777777" w:rsidR="00471ADC" w:rsidRPr="00946B65" w:rsidRDefault="00471ADC" w:rsidP="00471ADC">
      <w:pPr>
        <w:spacing w:line="480" w:lineRule="auto"/>
        <w:jc w:val="both"/>
      </w:pPr>
      <w:r w:rsidRPr="00946B65">
        <w:t xml:space="preserve">Currency put gives the option holder the right but not an obligation to sell a set quantity of foreign exchange at a strike piece within the expiration date. Currency puts are bought with the intention that the underlying currency will fall in the future. Companies can sell at a better price if the exchange rate of the currency drops below the strike price. </w:t>
      </w:r>
    </w:p>
    <w:p w14:paraId="2AD9CF73" w14:textId="77777777" w:rsidR="00471ADC" w:rsidRPr="00946B65" w:rsidRDefault="00471ADC" w:rsidP="00471ADC">
      <w:pPr>
        <w:spacing w:line="480" w:lineRule="auto"/>
        <w:jc w:val="both"/>
        <w:rPr>
          <w:lang w:val="en-US"/>
        </w:rPr>
      </w:pPr>
      <w:r w:rsidRPr="00946B65">
        <w:t xml:space="preserve">The main advantage of the currency options lies in the flexibility they offer in exercising the contract. A corporation is not obligated to exercise the contract, The Currency option will only be exercised if the movement in the underlying currency is </w:t>
      </w:r>
      <w:proofErr w:type="spellStart"/>
      <w:r w:rsidRPr="00946B65">
        <w:t>unfavorable</w:t>
      </w:r>
      <w:proofErr w:type="spellEnd"/>
      <w:r w:rsidRPr="00946B65">
        <w:t xml:space="preserve"> for the firm to limit the losses. It offers the company an option to benefit from any </w:t>
      </w:r>
      <w:proofErr w:type="spellStart"/>
      <w:r w:rsidRPr="00946B65">
        <w:t>favorable</w:t>
      </w:r>
      <w:proofErr w:type="spellEnd"/>
      <w:r w:rsidRPr="00946B65">
        <w:t xml:space="preserve"> change in the exchange rate. The loss in this situation is the amount of premium paid to purchase the option. However, options are very </w:t>
      </w:r>
      <w:proofErr w:type="gramStart"/>
      <w:r w:rsidRPr="00946B65">
        <w:t>risky</w:t>
      </w:r>
      <w:proofErr w:type="gramEnd"/>
      <w:r w:rsidRPr="00946B65">
        <w:t xml:space="preserve"> and the</w:t>
      </w:r>
      <w:r w:rsidRPr="00946B65">
        <w:rPr>
          <w:lang w:val="en-US"/>
        </w:rPr>
        <w:t xml:space="preserve"> premium paid to buy the options is quite high which depends on the expiration date and strike price. </w:t>
      </w:r>
    </w:p>
    <w:p w14:paraId="00F832D1" w14:textId="77777777" w:rsidR="00471ADC" w:rsidRPr="00E1642F" w:rsidRDefault="00471ADC" w:rsidP="00471ADC">
      <w:pPr>
        <w:pStyle w:val="ListParagraph"/>
        <w:numPr>
          <w:ilvl w:val="0"/>
          <w:numId w:val="2"/>
        </w:numPr>
        <w:spacing w:after="160" w:line="480" w:lineRule="auto"/>
        <w:jc w:val="both"/>
        <w:rPr>
          <w:b/>
          <w:bCs/>
          <w:lang w:val="en-US"/>
        </w:rPr>
      </w:pPr>
      <w:r w:rsidRPr="00E1642F">
        <w:rPr>
          <w:b/>
          <w:bCs/>
          <w:lang w:val="en-US"/>
        </w:rPr>
        <w:t>Currency Swaps</w:t>
      </w:r>
    </w:p>
    <w:p w14:paraId="4CC23835" w14:textId="77777777" w:rsidR="00471ADC" w:rsidRPr="00946B65" w:rsidRDefault="00471ADC" w:rsidP="00471ADC">
      <w:pPr>
        <w:spacing w:line="480" w:lineRule="auto"/>
        <w:jc w:val="both"/>
      </w:pPr>
      <w:r w:rsidRPr="00946B65">
        <w:t xml:space="preserve">Currency swaps a financial agreement between parties located across borders. It involves exchanging principal and interest payments in one currency for equivalent amounts in another currency between two parties. Parties to the contract borrow simultaneously in one currency and lend in another at the beginning of the contract. The spot rate is used to exchange </w:t>
      </w:r>
      <w:r w:rsidRPr="00946B65">
        <w:lastRenderedPageBreak/>
        <w:t>equivalent principal amounts (Hilander, 2014). The interest is paid throughout the duration of the contract at agreed-upon intervals while principal amounts are re-exchanged at the end of the contract either at a predetermined rate or spot rate. It is a flexible technique of risk management as parties to the contract negotiate terms according to their mutual benefits and understanding (</w:t>
      </w:r>
      <w:proofErr w:type="spellStart"/>
      <w:r w:rsidRPr="00946B65">
        <w:t>Bejol</w:t>
      </w:r>
      <w:proofErr w:type="spellEnd"/>
      <w:r w:rsidRPr="00946B65">
        <w:t xml:space="preserve"> &amp; Livingstone, 2018). It also allows companies to keep the translation and borrowing costs at the minimum since no middlemen or agencies are involved. However, there is a possibility that the counterparty may fail to perform their payment obligations, resulting in loss for the other party. </w:t>
      </w:r>
    </w:p>
    <w:p w14:paraId="51F314E5" w14:textId="77777777" w:rsidR="00471ADC" w:rsidRPr="00946B65" w:rsidRDefault="00471ADC" w:rsidP="00471ADC">
      <w:pPr>
        <w:spacing w:line="480" w:lineRule="auto"/>
        <w:jc w:val="both"/>
      </w:pPr>
      <w:r w:rsidRPr="00946B65">
        <w:t xml:space="preserve">2.1.2. </w:t>
      </w:r>
      <w:r w:rsidRPr="00471ADC">
        <w:rPr>
          <w:rFonts w:eastAsiaTheme="minorHAnsi"/>
          <w:b/>
          <w:bCs/>
          <w:kern w:val="2"/>
          <w:lang w:val="en-US" w:eastAsia="en-US"/>
        </w:rPr>
        <w:t>Non-financial hedging strategies</w:t>
      </w:r>
    </w:p>
    <w:p w14:paraId="75757565" w14:textId="77777777" w:rsidR="00471ADC" w:rsidRPr="00946B65" w:rsidRDefault="00471ADC" w:rsidP="00471ADC">
      <w:pPr>
        <w:spacing w:line="480" w:lineRule="auto"/>
        <w:jc w:val="both"/>
      </w:pPr>
      <w:r w:rsidRPr="00946B65">
        <w:t xml:space="preserve">Non-financial hedging strategies do not involve the use of financial instruments for hedging purposes. It generally includes strategies within the company itself to manage risk exposure. </w:t>
      </w:r>
    </w:p>
    <w:p w14:paraId="3625AC96" w14:textId="77777777" w:rsidR="00471ADC" w:rsidRPr="00D97B57" w:rsidRDefault="00471ADC" w:rsidP="00471ADC">
      <w:pPr>
        <w:pStyle w:val="ListParagraph"/>
        <w:numPr>
          <w:ilvl w:val="0"/>
          <w:numId w:val="5"/>
        </w:numPr>
        <w:spacing w:after="160" w:line="480" w:lineRule="auto"/>
        <w:jc w:val="both"/>
        <w:rPr>
          <w:b/>
          <w:bCs/>
          <w:lang w:val="en-US"/>
        </w:rPr>
      </w:pPr>
      <w:r w:rsidRPr="00D97B57">
        <w:rPr>
          <w:b/>
          <w:bCs/>
          <w:lang w:val="en-US"/>
        </w:rPr>
        <w:t>Netting</w:t>
      </w:r>
    </w:p>
    <w:p w14:paraId="5E5ACAEF" w14:textId="77777777" w:rsidR="00471ADC" w:rsidRPr="00946B65" w:rsidRDefault="00471ADC" w:rsidP="00471ADC">
      <w:pPr>
        <w:spacing w:line="480" w:lineRule="auto"/>
        <w:jc w:val="both"/>
      </w:pPr>
      <w:r w:rsidRPr="00946B65">
        <w:t xml:space="preserve">Netting is a process of offsetting exposure in one currency with exposure in the same or another type of currency. Under this method, two or more obligations that need to be settled are combined to arrive at a net figure (Ito et al., 2016). A consolidation of cash flows (payables and receivables) denominated in different currencies takes place within the company to determine the net amount. Transactions among the different business subsidiaries and segments are matched into a single payment. This results in offsetting currency exposures and lowering transactions. It is a cheaper technique since no conversion of currencies takes place. However, for effective netting of a large volume of transactions, it is critical to have a robust centralized, and automated system for matching and netting transactions automatically. </w:t>
      </w:r>
    </w:p>
    <w:p w14:paraId="5C2827DC" w14:textId="77777777" w:rsidR="00471ADC" w:rsidRPr="00132D7F" w:rsidRDefault="00471ADC" w:rsidP="00471ADC">
      <w:pPr>
        <w:pStyle w:val="ListParagraph"/>
        <w:numPr>
          <w:ilvl w:val="0"/>
          <w:numId w:val="5"/>
        </w:numPr>
        <w:spacing w:after="160" w:line="480" w:lineRule="auto"/>
        <w:jc w:val="both"/>
        <w:rPr>
          <w:b/>
          <w:bCs/>
          <w:lang w:val="en-US"/>
        </w:rPr>
      </w:pPr>
      <w:r w:rsidRPr="00132D7F">
        <w:rPr>
          <w:b/>
          <w:bCs/>
          <w:lang w:val="en-US"/>
        </w:rPr>
        <w:t>Matching</w:t>
      </w:r>
    </w:p>
    <w:p w14:paraId="0B8E187D" w14:textId="77777777" w:rsidR="00471ADC" w:rsidRPr="00946B65" w:rsidRDefault="00471ADC" w:rsidP="00471ADC">
      <w:pPr>
        <w:spacing w:line="480" w:lineRule="auto"/>
        <w:jc w:val="both"/>
      </w:pPr>
      <w:r w:rsidRPr="00946B65">
        <w:t xml:space="preserve"> This is the simplest technique of managing foreign exchange risk as it involves the matching of foreign currency inflows and outflows. Under this method, the currency denomination of revenue streams is matched with currency denomination expenses and vice versa. If a </w:t>
      </w:r>
      <w:r w:rsidRPr="00946B65">
        <w:lastRenderedPageBreak/>
        <w:t>corporation earns revenues in one currency and incurs costs in the same currency, it can use the foreign exchange generated through sales to pay off costs incurred in the same currency. For example, a company pays its foreign debt obligations using the foreign currency earned through sales in the same country. This eliminates the need for using contractual financial instruments. Companies can take advantage of their normal operations to manage exposure to exchange rate risks. While netting happens within the company, matching involves third parties too.</w:t>
      </w:r>
    </w:p>
    <w:p w14:paraId="654E26A9" w14:textId="77777777" w:rsidR="00471ADC" w:rsidRPr="00132D7F" w:rsidRDefault="00471ADC" w:rsidP="00471ADC">
      <w:pPr>
        <w:pStyle w:val="ListParagraph"/>
        <w:numPr>
          <w:ilvl w:val="0"/>
          <w:numId w:val="5"/>
        </w:numPr>
        <w:spacing w:after="160" w:line="480" w:lineRule="auto"/>
        <w:jc w:val="both"/>
        <w:rPr>
          <w:b/>
          <w:bCs/>
          <w:lang w:val="en-US"/>
        </w:rPr>
      </w:pPr>
      <w:r w:rsidRPr="00132D7F">
        <w:rPr>
          <w:b/>
          <w:bCs/>
          <w:lang w:val="en-US"/>
        </w:rPr>
        <w:t>Lead &amp;Lag</w:t>
      </w:r>
    </w:p>
    <w:p w14:paraId="19D8564A" w14:textId="77777777" w:rsidR="006D6D4C" w:rsidRDefault="00471ADC" w:rsidP="00471ADC">
      <w:pPr>
        <w:spacing w:line="480" w:lineRule="auto"/>
        <w:jc w:val="both"/>
      </w:pPr>
      <w:r w:rsidRPr="00946B65">
        <w:t xml:space="preserve">Lead &amp;Lag is another important non-financial and internal hedging strategy. It involves changing the date and time of payment and receipts in anticipation of fluctuations in the currency values (Acca, n.d.). For example, if a company expects the underlying currency value to fall, it may make efforts to collect the receivables in the foreign currency at the earliest. On the other hand, if there is an indication that the underlying currency will rise in value, it will prepone the payments in the foreign currency. Lagging is just the opposite of leading. Under lagging if a company anticipates that the value of a currency will rise, it will delay the payments and the collection of receivables in foreign currency to a future date. This technique can be done both between intra-company and intercompany. However, intra-company is more feasible. It is another cost-effective technique for minimizing exposure as no financial instruments or middlemen are involved. </w:t>
      </w:r>
    </w:p>
    <w:p w14:paraId="28761330" w14:textId="77777777" w:rsidR="006D6D4C" w:rsidRDefault="006D6D4C" w:rsidP="00471ADC">
      <w:pPr>
        <w:spacing w:line="480" w:lineRule="auto"/>
        <w:jc w:val="both"/>
      </w:pPr>
    </w:p>
    <w:p w14:paraId="0772CE57" w14:textId="77777777" w:rsidR="006D6D4C" w:rsidRDefault="006D6D4C" w:rsidP="00471ADC">
      <w:pPr>
        <w:spacing w:line="480" w:lineRule="auto"/>
        <w:jc w:val="both"/>
      </w:pPr>
    </w:p>
    <w:p w14:paraId="14A867AC" w14:textId="77777777" w:rsidR="006D6D4C" w:rsidRDefault="006D6D4C" w:rsidP="00471ADC">
      <w:pPr>
        <w:spacing w:line="480" w:lineRule="auto"/>
        <w:jc w:val="both"/>
      </w:pPr>
    </w:p>
    <w:p w14:paraId="147C567F" w14:textId="77777777" w:rsidR="006D6D4C" w:rsidRDefault="006D6D4C" w:rsidP="00471ADC">
      <w:pPr>
        <w:spacing w:line="480" w:lineRule="auto"/>
        <w:jc w:val="both"/>
      </w:pPr>
    </w:p>
    <w:p w14:paraId="39CF4813" w14:textId="77777777" w:rsidR="006D6D4C" w:rsidRDefault="006D6D4C" w:rsidP="00471ADC">
      <w:pPr>
        <w:spacing w:line="480" w:lineRule="auto"/>
        <w:jc w:val="both"/>
      </w:pPr>
    </w:p>
    <w:p w14:paraId="66A0FA22" w14:textId="77777777" w:rsidR="006D6D4C" w:rsidRDefault="006D6D4C" w:rsidP="00471ADC">
      <w:pPr>
        <w:spacing w:line="480" w:lineRule="auto"/>
        <w:jc w:val="both"/>
      </w:pPr>
    </w:p>
    <w:p w14:paraId="022E0487" w14:textId="600CD053" w:rsidR="00471ADC" w:rsidRPr="00946B65" w:rsidRDefault="00471ADC" w:rsidP="00471ADC">
      <w:pPr>
        <w:spacing w:line="480" w:lineRule="auto"/>
        <w:jc w:val="both"/>
      </w:pPr>
      <w:r w:rsidRPr="00946B65">
        <w:lastRenderedPageBreak/>
        <w:t xml:space="preserve"> </w:t>
      </w:r>
    </w:p>
    <w:p w14:paraId="3A706E6F" w14:textId="77777777" w:rsidR="00471ADC" w:rsidRPr="00D97B57" w:rsidRDefault="00471ADC" w:rsidP="00471ADC">
      <w:pPr>
        <w:pStyle w:val="ListParagraph"/>
        <w:numPr>
          <w:ilvl w:val="0"/>
          <w:numId w:val="6"/>
        </w:numPr>
        <w:spacing w:after="160" w:line="480" w:lineRule="auto"/>
        <w:jc w:val="both"/>
        <w:rPr>
          <w:b/>
          <w:bCs/>
          <w:lang w:val="en-US"/>
        </w:rPr>
      </w:pPr>
      <w:r w:rsidRPr="00D97B57">
        <w:rPr>
          <w:b/>
          <w:bCs/>
          <w:lang w:val="en-US"/>
        </w:rPr>
        <w:t>Conclusion</w:t>
      </w:r>
    </w:p>
    <w:p w14:paraId="0649656E" w14:textId="77777777" w:rsidR="00471ADC" w:rsidRPr="00946B65" w:rsidRDefault="00471ADC" w:rsidP="00471ADC">
      <w:pPr>
        <w:spacing w:line="480" w:lineRule="auto"/>
        <w:jc w:val="both"/>
      </w:pPr>
      <w:r w:rsidRPr="00946B65">
        <w:t xml:space="preserve">Currency appreciation and deprecation occur quite frequently in today's globalized world. A corporation may have operations and financial transactions denominated in both the strong and weak currencies. However, movement in any direction in the value against their functional currencies may significantly impact their operations and profitability. Corporations can choose from a wide range of strategies both financial (currency forwards, currency options, swaps) and non-financial strategies (matching, netting, leading, and lagging) to eliminate or minimize exposure to exchange risk rates. It is critical that corporation’s factor in the pros and cons of these strategies as well as their risk management objectives to choose the most effective technique.  </w:t>
      </w:r>
    </w:p>
    <w:p w14:paraId="7E7A3F63" w14:textId="77777777" w:rsidR="00E2335C" w:rsidRDefault="00E2335C" w:rsidP="00E2335C">
      <w:pPr>
        <w:pStyle w:val="ListParagraph"/>
        <w:spacing w:after="160" w:line="480" w:lineRule="auto"/>
        <w:jc w:val="both"/>
        <w:rPr>
          <w:b/>
          <w:bCs/>
          <w:lang w:val="en-US"/>
        </w:rPr>
      </w:pPr>
    </w:p>
    <w:p w14:paraId="255B7968" w14:textId="77777777" w:rsidR="00E2335C" w:rsidRDefault="00E2335C" w:rsidP="00E2335C">
      <w:pPr>
        <w:pStyle w:val="ListParagraph"/>
        <w:spacing w:after="160" w:line="480" w:lineRule="auto"/>
        <w:jc w:val="both"/>
        <w:rPr>
          <w:b/>
          <w:bCs/>
          <w:lang w:val="en-US"/>
        </w:rPr>
      </w:pPr>
    </w:p>
    <w:p w14:paraId="4B8559B5" w14:textId="77777777" w:rsidR="00E2335C" w:rsidRDefault="00E2335C" w:rsidP="00E2335C">
      <w:pPr>
        <w:pStyle w:val="ListParagraph"/>
        <w:spacing w:after="160" w:line="480" w:lineRule="auto"/>
        <w:jc w:val="both"/>
        <w:rPr>
          <w:b/>
          <w:bCs/>
          <w:lang w:val="en-US"/>
        </w:rPr>
      </w:pPr>
    </w:p>
    <w:p w14:paraId="0F31B5EF" w14:textId="77777777" w:rsidR="00E2335C" w:rsidRDefault="00E2335C" w:rsidP="00E2335C">
      <w:pPr>
        <w:pStyle w:val="ListParagraph"/>
        <w:spacing w:after="160" w:line="480" w:lineRule="auto"/>
        <w:jc w:val="both"/>
        <w:rPr>
          <w:b/>
          <w:bCs/>
          <w:lang w:val="en-US"/>
        </w:rPr>
      </w:pPr>
    </w:p>
    <w:p w14:paraId="5C70FBB4" w14:textId="77777777" w:rsidR="00E2335C" w:rsidRDefault="00E2335C" w:rsidP="00E2335C">
      <w:pPr>
        <w:pStyle w:val="ListParagraph"/>
        <w:spacing w:after="160" w:line="480" w:lineRule="auto"/>
        <w:jc w:val="both"/>
        <w:rPr>
          <w:b/>
          <w:bCs/>
          <w:lang w:val="en-US"/>
        </w:rPr>
      </w:pPr>
    </w:p>
    <w:p w14:paraId="2467D422" w14:textId="77777777" w:rsidR="00E2335C" w:rsidRDefault="00E2335C" w:rsidP="00E2335C">
      <w:pPr>
        <w:pStyle w:val="ListParagraph"/>
        <w:spacing w:after="160" w:line="480" w:lineRule="auto"/>
        <w:jc w:val="both"/>
        <w:rPr>
          <w:b/>
          <w:bCs/>
          <w:lang w:val="en-US"/>
        </w:rPr>
      </w:pPr>
    </w:p>
    <w:p w14:paraId="00192F4F" w14:textId="77777777" w:rsidR="00E2335C" w:rsidRDefault="00E2335C" w:rsidP="00E2335C">
      <w:pPr>
        <w:pStyle w:val="ListParagraph"/>
        <w:spacing w:after="160" w:line="480" w:lineRule="auto"/>
        <w:jc w:val="both"/>
        <w:rPr>
          <w:b/>
          <w:bCs/>
          <w:lang w:val="en-US"/>
        </w:rPr>
      </w:pPr>
    </w:p>
    <w:p w14:paraId="545FD41B" w14:textId="77777777" w:rsidR="00E2335C" w:rsidRDefault="00E2335C" w:rsidP="00E2335C">
      <w:pPr>
        <w:pStyle w:val="ListParagraph"/>
        <w:spacing w:after="160" w:line="480" w:lineRule="auto"/>
        <w:jc w:val="both"/>
        <w:rPr>
          <w:b/>
          <w:bCs/>
          <w:lang w:val="en-US"/>
        </w:rPr>
      </w:pPr>
    </w:p>
    <w:p w14:paraId="1E8985A6" w14:textId="77777777" w:rsidR="00E2335C" w:rsidRDefault="00E2335C" w:rsidP="00E2335C">
      <w:pPr>
        <w:pStyle w:val="ListParagraph"/>
        <w:spacing w:after="160" w:line="480" w:lineRule="auto"/>
        <w:jc w:val="both"/>
        <w:rPr>
          <w:b/>
          <w:bCs/>
          <w:lang w:val="en-US"/>
        </w:rPr>
      </w:pPr>
    </w:p>
    <w:p w14:paraId="4B377703" w14:textId="77777777" w:rsidR="00E2335C" w:rsidRDefault="00E2335C" w:rsidP="00E2335C">
      <w:pPr>
        <w:pStyle w:val="ListParagraph"/>
        <w:spacing w:after="160" w:line="480" w:lineRule="auto"/>
        <w:jc w:val="both"/>
        <w:rPr>
          <w:b/>
          <w:bCs/>
          <w:lang w:val="en-US"/>
        </w:rPr>
      </w:pPr>
    </w:p>
    <w:p w14:paraId="349D3126" w14:textId="77777777" w:rsidR="00E2335C" w:rsidRDefault="00E2335C" w:rsidP="00E2335C">
      <w:pPr>
        <w:pStyle w:val="ListParagraph"/>
        <w:spacing w:after="160" w:line="480" w:lineRule="auto"/>
        <w:jc w:val="both"/>
        <w:rPr>
          <w:b/>
          <w:bCs/>
          <w:lang w:val="en-US"/>
        </w:rPr>
      </w:pPr>
    </w:p>
    <w:p w14:paraId="1B8A15B9" w14:textId="77777777" w:rsidR="00E2335C" w:rsidRDefault="00E2335C" w:rsidP="00E2335C">
      <w:pPr>
        <w:pStyle w:val="ListParagraph"/>
        <w:spacing w:after="160" w:line="480" w:lineRule="auto"/>
        <w:jc w:val="both"/>
        <w:rPr>
          <w:b/>
          <w:bCs/>
          <w:lang w:val="en-US"/>
        </w:rPr>
      </w:pPr>
    </w:p>
    <w:p w14:paraId="34F20270" w14:textId="77777777" w:rsidR="00E2335C" w:rsidRDefault="00E2335C" w:rsidP="00E2335C">
      <w:pPr>
        <w:pStyle w:val="ListParagraph"/>
        <w:spacing w:after="160" w:line="480" w:lineRule="auto"/>
        <w:jc w:val="both"/>
        <w:rPr>
          <w:b/>
          <w:bCs/>
          <w:lang w:val="en-US"/>
        </w:rPr>
      </w:pPr>
    </w:p>
    <w:p w14:paraId="13779ADC" w14:textId="77777777" w:rsidR="00E2335C" w:rsidRDefault="00E2335C" w:rsidP="00E2335C">
      <w:pPr>
        <w:pStyle w:val="ListParagraph"/>
        <w:spacing w:after="160" w:line="480" w:lineRule="auto"/>
        <w:jc w:val="both"/>
        <w:rPr>
          <w:b/>
          <w:bCs/>
          <w:lang w:val="en-US"/>
        </w:rPr>
      </w:pPr>
    </w:p>
    <w:p w14:paraId="3FAECCB5" w14:textId="77777777" w:rsidR="00E2335C" w:rsidRDefault="00E2335C" w:rsidP="00E2335C">
      <w:pPr>
        <w:pStyle w:val="ListParagraph"/>
        <w:spacing w:after="160" w:line="480" w:lineRule="auto"/>
        <w:jc w:val="both"/>
        <w:rPr>
          <w:b/>
          <w:bCs/>
          <w:lang w:val="en-US"/>
        </w:rPr>
      </w:pPr>
    </w:p>
    <w:p w14:paraId="27B5C2B0" w14:textId="77777777" w:rsidR="00E2335C" w:rsidRDefault="00E2335C" w:rsidP="00E2335C">
      <w:pPr>
        <w:pStyle w:val="ListParagraph"/>
        <w:spacing w:after="160" w:line="480" w:lineRule="auto"/>
        <w:jc w:val="both"/>
        <w:rPr>
          <w:b/>
          <w:bCs/>
          <w:lang w:val="en-US"/>
        </w:rPr>
      </w:pPr>
    </w:p>
    <w:p w14:paraId="62BF19C7" w14:textId="77777777" w:rsidR="00E2335C" w:rsidRDefault="00E2335C" w:rsidP="00E2335C">
      <w:pPr>
        <w:pStyle w:val="ListParagraph"/>
        <w:spacing w:after="160" w:line="480" w:lineRule="auto"/>
        <w:jc w:val="both"/>
        <w:rPr>
          <w:b/>
          <w:bCs/>
          <w:lang w:val="en-US"/>
        </w:rPr>
      </w:pPr>
    </w:p>
    <w:p w14:paraId="18A1E417" w14:textId="77777777" w:rsidR="00E2335C" w:rsidRDefault="00E2335C" w:rsidP="00E2335C">
      <w:pPr>
        <w:pStyle w:val="ListParagraph"/>
        <w:spacing w:after="160" w:line="480" w:lineRule="auto"/>
        <w:jc w:val="both"/>
        <w:rPr>
          <w:b/>
          <w:bCs/>
          <w:lang w:val="en-US"/>
        </w:rPr>
      </w:pPr>
    </w:p>
    <w:p w14:paraId="5192E889" w14:textId="77777777" w:rsidR="00E2335C" w:rsidRDefault="00E2335C" w:rsidP="00E2335C">
      <w:pPr>
        <w:pStyle w:val="ListParagraph"/>
        <w:spacing w:after="160" w:line="480" w:lineRule="auto"/>
        <w:jc w:val="both"/>
        <w:rPr>
          <w:b/>
          <w:bCs/>
          <w:lang w:val="en-US"/>
        </w:rPr>
      </w:pPr>
    </w:p>
    <w:p w14:paraId="073315DA" w14:textId="77777777" w:rsidR="00E2335C" w:rsidRDefault="00E2335C" w:rsidP="00E2335C">
      <w:pPr>
        <w:pStyle w:val="ListParagraph"/>
        <w:spacing w:after="160" w:line="480" w:lineRule="auto"/>
        <w:jc w:val="both"/>
        <w:rPr>
          <w:b/>
          <w:bCs/>
          <w:lang w:val="en-US"/>
        </w:rPr>
      </w:pPr>
    </w:p>
    <w:p w14:paraId="4026902A" w14:textId="77777777" w:rsidR="00E2335C" w:rsidRDefault="00E2335C" w:rsidP="00E2335C">
      <w:pPr>
        <w:pStyle w:val="ListParagraph"/>
        <w:spacing w:after="160" w:line="480" w:lineRule="auto"/>
        <w:jc w:val="both"/>
        <w:rPr>
          <w:b/>
          <w:bCs/>
          <w:lang w:val="en-US"/>
        </w:rPr>
      </w:pPr>
    </w:p>
    <w:p w14:paraId="48C4F3EB" w14:textId="4F5A0026" w:rsidR="00471ADC" w:rsidRPr="00A43F16" w:rsidRDefault="00471ADC" w:rsidP="00E2335C">
      <w:pPr>
        <w:pStyle w:val="ListParagraph"/>
        <w:spacing w:after="160" w:line="480" w:lineRule="auto"/>
        <w:jc w:val="both"/>
        <w:rPr>
          <w:b/>
          <w:bCs/>
          <w:sz w:val="32"/>
          <w:szCs w:val="32"/>
          <w:lang w:val="en-US"/>
        </w:rPr>
      </w:pPr>
      <w:r w:rsidRPr="00A43F16">
        <w:rPr>
          <w:b/>
          <w:bCs/>
          <w:sz w:val="32"/>
          <w:szCs w:val="32"/>
          <w:lang w:val="en-US"/>
        </w:rPr>
        <w:t>References</w:t>
      </w:r>
      <w:r w:rsidR="00A43F16">
        <w:rPr>
          <w:b/>
          <w:bCs/>
          <w:sz w:val="32"/>
          <w:szCs w:val="32"/>
          <w:lang w:val="en-US"/>
        </w:rPr>
        <w:t xml:space="preserve"> </w:t>
      </w:r>
    </w:p>
    <w:p w14:paraId="46CE58BC" w14:textId="04CC2E4A" w:rsidR="00471ADC" w:rsidRDefault="00471ADC" w:rsidP="00E2335C">
      <w:pPr>
        <w:pStyle w:val="ListParagraph"/>
        <w:numPr>
          <w:ilvl w:val="0"/>
          <w:numId w:val="7"/>
        </w:numPr>
        <w:spacing w:line="276" w:lineRule="auto"/>
        <w:jc w:val="both"/>
      </w:pPr>
      <w:r w:rsidRPr="00946B65">
        <w:t>Acca. (n.d.). Foreign currency risk and its management. Available at: https://www.accaglobal.com/gb/en/student/exam-support-resources/fundamentals-examsstudy-resources/f9/technical-articles/forex.htmlv</w:t>
      </w:r>
    </w:p>
    <w:p w14:paraId="752F0061" w14:textId="77777777" w:rsidR="00471ADC" w:rsidRPr="00946B65" w:rsidRDefault="00471ADC" w:rsidP="00471ADC">
      <w:pPr>
        <w:spacing w:line="276" w:lineRule="auto"/>
        <w:jc w:val="both"/>
      </w:pPr>
    </w:p>
    <w:p w14:paraId="272E9282" w14:textId="6130CB31" w:rsidR="00471ADC" w:rsidRDefault="00471ADC" w:rsidP="00E2335C">
      <w:pPr>
        <w:pStyle w:val="ListParagraph"/>
        <w:numPr>
          <w:ilvl w:val="0"/>
          <w:numId w:val="7"/>
        </w:numPr>
        <w:spacing w:line="480" w:lineRule="auto"/>
        <w:jc w:val="both"/>
      </w:pPr>
      <w:r w:rsidRPr="00946B65">
        <w:t xml:space="preserve">Bank, B., 2016. </w:t>
      </w:r>
      <w:r w:rsidRPr="00E2335C">
        <w:rPr>
          <w:i/>
          <w:iCs/>
        </w:rPr>
        <w:t>Foreign exchange risk management</w:t>
      </w:r>
      <w:r w:rsidRPr="00946B65">
        <w:t>.</w:t>
      </w:r>
    </w:p>
    <w:p w14:paraId="40B75613" w14:textId="615BACD7" w:rsidR="00471ADC" w:rsidRDefault="00471ADC" w:rsidP="00E2335C">
      <w:pPr>
        <w:pStyle w:val="ListParagraph"/>
        <w:numPr>
          <w:ilvl w:val="0"/>
          <w:numId w:val="7"/>
        </w:numPr>
        <w:spacing w:line="276" w:lineRule="auto"/>
        <w:jc w:val="both"/>
      </w:pPr>
      <w:r w:rsidRPr="00946B65">
        <w:t xml:space="preserve">Bartram, S. M. (2019). Corporate hedging and speculation with derivatives. </w:t>
      </w:r>
      <w:r w:rsidRPr="00E2335C">
        <w:rPr>
          <w:i/>
          <w:iCs/>
        </w:rPr>
        <w:t>Journal of Corporate Finance</w:t>
      </w:r>
      <w:r w:rsidRPr="00946B65">
        <w:t>, 57, 9-34</w:t>
      </w:r>
    </w:p>
    <w:p w14:paraId="546DF05E" w14:textId="77777777" w:rsidR="00471ADC" w:rsidRPr="00946B65" w:rsidRDefault="00471ADC" w:rsidP="00471ADC">
      <w:pPr>
        <w:spacing w:line="276" w:lineRule="auto"/>
        <w:jc w:val="both"/>
      </w:pPr>
    </w:p>
    <w:p w14:paraId="18AB1B58" w14:textId="43CE6C11" w:rsidR="00471ADC" w:rsidRPr="00946B65" w:rsidRDefault="00471ADC" w:rsidP="00E2335C">
      <w:pPr>
        <w:pStyle w:val="ListParagraph"/>
        <w:numPr>
          <w:ilvl w:val="0"/>
          <w:numId w:val="7"/>
        </w:numPr>
        <w:spacing w:line="276" w:lineRule="auto"/>
        <w:jc w:val="both"/>
      </w:pPr>
      <w:proofErr w:type="spellStart"/>
      <w:r w:rsidRPr="00946B65">
        <w:t>Bejol</w:t>
      </w:r>
      <w:proofErr w:type="spellEnd"/>
      <w:r w:rsidRPr="00946B65">
        <w:t xml:space="preserve">, P., &amp; Livingstone, N. (2018). Revisiting currency swaps: hedging real estate investments in global city markets. </w:t>
      </w:r>
      <w:r w:rsidRPr="00E2335C">
        <w:rPr>
          <w:i/>
          <w:iCs/>
        </w:rPr>
        <w:t>Journal of Property Investment &amp; Finance</w:t>
      </w:r>
      <w:r w:rsidRPr="00946B65">
        <w:t>, 36(2), 191-209.</w:t>
      </w:r>
    </w:p>
    <w:p w14:paraId="7744C699" w14:textId="77777777" w:rsidR="00471ADC" w:rsidRDefault="00471ADC" w:rsidP="00471ADC">
      <w:pPr>
        <w:spacing w:line="276" w:lineRule="auto"/>
        <w:jc w:val="both"/>
      </w:pPr>
    </w:p>
    <w:p w14:paraId="2483CE4D" w14:textId="7DD220E6" w:rsidR="00471ADC" w:rsidRPr="00946B65" w:rsidRDefault="00471ADC" w:rsidP="00E2335C">
      <w:pPr>
        <w:pStyle w:val="ListParagraph"/>
        <w:numPr>
          <w:ilvl w:val="0"/>
          <w:numId w:val="7"/>
        </w:numPr>
        <w:spacing w:line="276" w:lineRule="auto"/>
        <w:jc w:val="both"/>
      </w:pPr>
      <w:r w:rsidRPr="00FC1C13">
        <w:t xml:space="preserve">Grossman, G.M. and </w:t>
      </w:r>
      <w:proofErr w:type="spellStart"/>
      <w:r w:rsidRPr="00FC1C13">
        <w:t>Helpman</w:t>
      </w:r>
      <w:proofErr w:type="spellEnd"/>
      <w:r w:rsidRPr="00FC1C13">
        <w:t xml:space="preserve">, E., 2015. Globalization and growth. </w:t>
      </w:r>
      <w:r w:rsidRPr="00E2335C">
        <w:rPr>
          <w:i/>
          <w:iCs/>
        </w:rPr>
        <w:t>American Economic Review</w:t>
      </w:r>
      <w:r w:rsidRPr="00FC1C13">
        <w:t xml:space="preserve">, </w:t>
      </w:r>
      <w:r w:rsidRPr="00E2335C">
        <w:rPr>
          <w:i/>
          <w:iCs/>
        </w:rPr>
        <w:t>105</w:t>
      </w:r>
      <w:r w:rsidRPr="00FC1C13">
        <w:t>(5), pp.100-104.</w:t>
      </w:r>
    </w:p>
    <w:p w14:paraId="6F8E170B" w14:textId="77777777" w:rsidR="00471ADC" w:rsidRDefault="00471ADC" w:rsidP="00471ADC">
      <w:pPr>
        <w:spacing w:line="480" w:lineRule="auto"/>
        <w:jc w:val="both"/>
      </w:pPr>
    </w:p>
    <w:p w14:paraId="3916EE3E" w14:textId="03709DD8" w:rsidR="00471ADC" w:rsidRPr="00946B65" w:rsidRDefault="00471ADC" w:rsidP="00E2335C">
      <w:pPr>
        <w:pStyle w:val="ListParagraph"/>
        <w:numPr>
          <w:ilvl w:val="0"/>
          <w:numId w:val="7"/>
        </w:numPr>
        <w:spacing w:line="276" w:lineRule="auto"/>
        <w:jc w:val="both"/>
      </w:pPr>
      <w:r w:rsidRPr="00946B65">
        <w:t xml:space="preserve">Hassan, T. A., &amp; Mano, R. C. (2019). Forward and spot exchange rates in a multi-currency world. </w:t>
      </w:r>
      <w:r w:rsidRPr="00E2335C">
        <w:rPr>
          <w:i/>
          <w:iCs/>
        </w:rPr>
        <w:t>The Quarterly Journal of Economics</w:t>
      </w:r>
      <w:r w:rsidRPr="00946B65">
        <w:t>, 134(1), 397-450</w:t>
      </w:r>
    </w:p>
    <w:p w14:paraId="3FBE9412" w14:textId="77777777" w:rsidR="00471ADC" w:rsidRPr="00946B65" w:rsidRDefault="00471ADC" w:rsidP="00471ADC">
      <w:pPr>
        <w:spacing w:line="480" w:lineRule="auto"/>
        <w:jc w:val="both"/>
      </w:pPr>
    </w:p>
    <w:p w14:paraId="0D433E53" w14:textId="611A5B60" w:rsidR="00471ADC" w:rsidRPr="00946B65" w:rsidRDefault="00471ADC" w:rsidP="00E2335C">
      <w:pPr>
        <w:pStyle w:val="ListParagraph"/>
        <w:numPr>
          <w:ilvl w:val="0"/>
          <w:numId w:val="7"/>
        </w:numPr>
        <w:spacing w:line="276" w:lineRule="auto"/>
        <w:jc w:val="both"/>
      </w:pPr>
      <w:r w:rsidRPr="00946B65">
        <w:t xml:space="preserve">Hilander, I. (2014). Short-term funding in foreign currency by major Swedish banks and their use of the short-term currency swap market. </w:t>
      </w:r>
      <w:proofErr w:type="spellStart"/>
      <w:r w:rsidRPr="00E2335C">
        <w:rPr>
          <w:i/>
          <w:iCs/>
        </w:rPr>
        <w:t>Sveriges</w:t>
      </w:r>
      <w:proofErr w:type="spellEnd"/>
      <w:r w:rsidRPr="00E2335C">
        <w:rPr>
          <w:i/>
          <w:iCs/>
        </w:rPr>
        <w:t xml:space="preserve"> </w:t>
      </w:r>
      <w:proofErr w:type="spellStart"/>
      <w:r w:rsidRPr="00E2335C">
        <w:rPr>
          <w:i/>
          <w:iCs/>
        </w:rPr>
        <w:t>Riksbank</w:t>
      </w:r>
      <w:proofErr w:type="spellEnd"/>
      <w:r w:rsidRPr="00E2335C">
        <w:rPr>
          <w:i/>
          <w:iCs/>
        </w:rPr>
        <w:t xml:space="preserve"> economic review</w:t>
      </w:r>
      <w:r w:rsidRPr="00946B65">
        <w:t>, 1, 1- 23</w:t>
      </w:r>
    </w:p>
    <w:p w14:paraId="67BAAA13" w14:textId="77777777" w:rsidR="00471ADC" w:rsidRPr="00946B65" w:rsidRDefault="00471ADC" w:rsidP="00471ADC">
      <w:pPr>
        <w:spacing w:line="480" w:lineRule="auto"/>
        <w:jc w:val="both"/>
      </w:pPr>
    </w:p>
    <w:p w14:paraId="7F1B9661" w14:textId="1CF8F9D5" w:rsidR="00471ADC" w:rsidRPr="00946B65" w:rsidRDefault="00471ADC" w:rsidP="00E2335C">
      <w:pPr>
        <w:pStyle w:val="ListParagraph"/>
        <w:numPr>
          <w:ilvl w:val="0"/>
          <w:numId w:val="7"/>
        </w:numPr>
        <w:spacing w:line="276" w:lineRule="auto"/>
        <w:jc w:val="both"/>
      </w:pPr>
      <w:r w:rsidRPr="00946B65">
        <w:t xml:space="preserve">Ito, T., </w:t>
      </w:r>
      <w:proofErr w:type="spellStart"/>
      <w:r w:rsidRPr="00946B65">
        <w:t>Koibuchi</w:t>
      </w:r>
      <w:proofErr w:type="spellEnd"/>
      <w:r w:rsidRPr="00946B65">
        <w:t xml:space="preserve">, S., Sato, K. and Shimizu, J., 2016. Exchange rate exposure and risk management: The case of Japanese exporting firms. </w:t>
      </w:r>
      <w:r w:rsidRPr="00E2335C">
        <w:rPr>
          <w:i/>
          <w:iCs/>
        </w:rPr>
        <w:t>Journal of the Japanese and International Economies</w:t>
      </w:r>
      <w:r w:rsidRPr="00946B65">
        <w:t>, 41, pp.17-29.</w:t>
      </w:r>
    </w:p>
    <w:p w14:paraId="606514A0" w14:textId="77777777" w:rsidR="00471ADC" w:rsidRPr="00946B65" w:rsidRDefault="00471ADC" w:rsidP="00471ADC">
      <w:pPr>
        <w:spacing w:line="480" w:lineRule="auto"/>
        <w:jc w:val="both"/>
      </w:pPr>
    </w:p>
    <w:p w14:paraId="20D5350A" w14:textId="71753D3D" w:rsidR="00471ADC" w:rsidRPr="00946B65" w:rsidRDefault="00471ADC" w:rsidP="00E2335C">
      <w:pPr>
        <w:pStyle w:val="ListParagraph"/>
        <w:numPr>
          <w:ilvl w:val="0"/>
          <w:numId w:val="7"/>
        </w:numPr>
        <w:spacing w:line="276" w:lineRule="auto"/>
        <w:jc w:val="both"/>
      </w:pPr>
      <w:r w:rsidRPr="00946B65">
        <w:lastRenderedPageBreak/>
        <w:t xml:space="preserve">Liu, Y., Chen, X., &amp; </w:t>
      </w:r>
      <w:proofErr w:type="spellStart"/>
      <w:r w:rsidRPr="00946B65">
        <w:t>Ralescu</w:t>
      </w:r>
      <w:proofErr w:type="spellEnd"/>
      <w:r w:rsidRPr="00946B65">
        <w:t xml:space="preserve">, D. A. (2015). Uncertain currency model and currency option pricing. </w:t>
      </w:r>
      <w:r w:rsidRPr="00E2335C">
        <w:rPr>
          <w:i/>
          <w:iCs/>
        </w:rPr>
        <w:t>International Journal of Intelligent Systems</w:t>
      </w:r>
      <w:r w:rsidRPr="00946B65">
        <w:t>, 30(1), 40-51</w:t>
      </w:r>
    </w:p>
    <w:p w14:paraId="2E607E3A" w14:textId="77777777" w:rsidR="00471ADC" w:rsidRPr="00946B65" w:rsidRDefault="00471ADC" w:rsidP="00471ADC">
      <w:pPr>
        <w:spacing w:line="480" w:lineRule="auto"/>
        <w:jc w:val="both"/>
      </w:pPr>
    </w:p>
    <w:p w14:paraId="46D73662" w14:textId="4ADD5CAE" w:rsidR="00471ADC" w:rsidRPr="00946B65" w:rsidRDefault="00471ADC" w:rsidP="00E2335C">
      <w:pPr>
        <w:pStyle w:val="ListParagraph"/>
        <w:numPr>
          <w:ilvl w:val="0"/>
          <w:numId w:val="7"/>
        </w:numPr>
        <w:spacing w:line="276" w:lineRule="auto"/>
        <w:jc w:val="both"/>
      </w:pPr>
      <w:r w:rsidRPr="00946B65">
        <w:t xml:space="preserve">Omar, A., </w:t>
      </w:r>
      <w:proofErr w:type="spellStart"/>
      <w:r w:rsidRPr="00946B65">
        <w:t>Taufil</w:t>
      </w:r>
      <w:proofErr w:type="spellEnd"/>
      <w:r w:rsidRPr="00946B65">
        <w:t xml:space="preserve"> Mohd, K.N. and Ahmad, N., 2017. Exposure to foreign exchange rate risk: A review of empirical </w:t>
      </w:r>
      <w:proofErr w:type="gramStart"/>
      <w:r w:rsidRPr="00946B65">
        <w:t>evidences</w:t>
      </w:r>
      <w:proofErr w:type="gramEnd"/>
      <w:r w:rsidRPr="00946B65">
        <w:t xml:space="preserve">. </w:t>
      </w:r>
      <w:r w:rsidRPr="00E2335C">
        <w:rPr>
          <w:i/>
          <w:iCs/>
        </w:rPr>
        <w:t>Journal of Insurance and Financial Management</w:t>
      </w:r>
      <w:r w:rsidRPr="00946B65">
        <w:t xml:space="preserve">, </w:t>
      </w:r>
      <w:r w:rsidRPr="00E2335C">
        <w:rPr>
          <w:i/>
          <w:iCs/>
        </w:rPr>
        <w:t>2</w:t>
      </w:r>
      <w:r w:rsidRPr="00946B65">
        <w:t>(5), pp.79-91.</w:t>
      </w:r>
    </w:p>
    <w:p w14:paraId="14CE59BB" w14:textId="77777777" w:rsidR="00A04DCA" w:rsidRDefault="00A04DCA"/>
    <w:sectPr w:rsidR="00A04DCA" w:rsidSect="009D7C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iberation Sans">
    <w:altName w:val="Arial"/>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25475A"/>
    <w:multiLevelType w:val="hybridMultilevel"/>
    <w:tmpl w:val="46D25BCE"/>
    <w:lvl w:ilvl="0" w:tplc="AE7A1FC4">
      <w:start w:val="1"/>
      <w:numFmt w:val="decimal"/>
      <w:lvlText w:val="%1."/>
      <w:lvlJc w:val="left"/>
      <w:pPr>
        <w:ind w:left="720" w:hanging="360"/>
      </w:pPr>
      <w:rPr>
        <w:rFonts w:hint="default"/>
      </w:rPr>
    </w:lvl>
    <w:lvl w:ilvl="1" w:tplc="10EA2D42" w:tentative="1">
      <w:start w:val="1"/>
      <w:numFmt w:val="lowerLetter"/>
      <w:lvlText w:val="%2."/>
      <w:lvlJc w:val="left"/>
      <w:pPr>
        <w:ind w:left="1440" w:hanging="360"/>
      </w:pPr>
    </w:lvl>
    <w:lvl w:ilvl="2" w:tplc="B0A4FF32" w:tentative="1">
      <w:start w:val="1"/>
      <w:numFmt w:val="lowerRoman"/>
      <w:lvlText w:val="%3."/>
      <w:lvlJc w:val="right"/>
      <w:pPr>
        <w:ind w:left="2160" w:hanging="180"/>
      </w:pPr>
    </w:lvl>
    <w:lvl w:ilvl="3" w:tplc="B3C648F6" w:tentative="1">
      <w:start w:val="1"/>
      <w:numFmt w:val="decimal"/>
      <w:lvlText w:val="%4."/>
      <w:lvlJc w:val="left"/>
      <w:pPr>
        <w:ind w:left="2880" w:hanging="360"/>
      </w:pPr>
    </w:lvl>
    <w:lvl w:ilvl="4" w:tplc="70C00570" w:tentative="1">
      <w:start w:val="1"/>
      <w:numFmt w:val="lowerLetter"/>
      <w:lvlText w:val="%5."/>
      <w:lvlJc w:val="left"/>
      <w:pPr>
        <w:ind w:left="3600" w:hanging="360"/>
      </w:pPr>
    </w:lvl>
    <w:lvl w:ilvl="5" w:tplc="DDF0DA7E" w:tentative="1">
      <w:start w:val="1"/>
      <w:numFmt w:val="lowerRoman"/>
      <w:lvlText w:val="%6."/>
      <w:lvlJc w:val="right"/>
      <w:pPr>
        <w:ind w:left="4320" w:hanging="180"/>
      </w:pPr>
    </w:lvl>
    <w:lvl w:ilvl="6" w:tplc="A66853D2" w:tentative="1">
      <w:start w:val="1"/>
      <w:numFmt w:val="decimal"/>
      <w:lvlText w:val="%7."/>
      <w:lvlJc w:val="left"/>
      <w:pPr>
        <w:ind w:left="5040" w:hanging="360"/>
      </w:pPr>
    </w:lvl>
    <w:lvl w:ilvl="7" w:tplc="050E24BE" w:tentative="1">
      <w:start w:val="1"/>
      <w:numFmt w:val="lowerLetter"/>
      <w:lvlText w:val="%8."/>
      <w:lvlJc w:val="left"/>
      <w:pPr>
        <w:ind w:left="5760" w:hanging="360"/>
      </w:pPr>
    </w:lvl>
    <w:lvl w:ilvl="8" w:tplc="DD0C9A0C" w:tentative="1">
      <w:start w:val="1"/>
      <w:numFmt w:val="lowerRoman"/>
      <w:lvlText w:val="%9."/>
      <w:lvlJc w:val="right"/>
      <w:pPr>
        <w:ind w:left="6480" w:hanging="180"/>
      </w:pPr>
    </w:lvl>
  </w:abstractNum>
  <w:abstractNum w:abstractNumId="1" w15:restartNumberingAfterBreak="0">
    <w:nsid w:val="1EC93C1C"/>
    <w:multiLevelType w:val="hybridMultilevel"/>
    <w:tmpl w:val="943C3E62"/>
    <w:lvl w:ilvl="0" w:tplc="82FEED70">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86E0749"/>
    <w:multiLevelType w:val="hybridMultilevel"/>
    <w:tmpl w:val="6A54AAEA"/>
    <w:lvl w:ilvl="0" w:tplc="40090019">
      <w:start w:val="9"/>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A0C21DF"/>
    <w:multiLevelType w:val="hybridMultilevel"/>
    <w:tmpl w:val="B8F63E02"/>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863517E"/>
    <w:multiLevelType w:val="hybridMultilevel"/>
    <w:tmpl w:val="F3AC9A22"/>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5" w15:restartNumberingAfterBreak="0">
    <w:nsid w:val="537158FF"/>
    <w:multiLevelType w:val="hybridMultilevel"/>
    <w:tmpl w:val="EBB06342"/>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9FC0293"/>
    <w:multiLevelType w:val="hybridMultilevel"/>
    <w:tmpl w:val="D13A379C"/>
    <w:lvl w:ilvl="0" w:tplc="E9805CEA">
      <w:start w:val="2"/>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8959700">
    <w:abstractNumId w:val="0"/>
  </w:num>
  <w:num w:numId="2" w16cid:durableId="1645045198">
    <w:abstractNumId w:val="3"/>
  </w:num>
  <w:num w:numId="3" w16cid:durableId="1050685670">
    <w:abstractNumId w:val="2"/>
  </w:num>
  <w:num w:numId="4" w16cid:durableId="2081828909">
    <w:abstractNumId w:val="6"/>
  </w:num>
  <w:num w:numId="5" w16cid:durableId="894705468">
    <w:abstractNumId w:val="5"/>
  </w:num>
  <w:num w:numId="6" w16cid:durableId="48462437">
    <w:abstractNumId w:val="1"/>
  </w:num>
  <w:num w:numId="7" w16cid:durableId="14550590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471ADC"/>
    <w:rsid w:val="001C248E"/>
    <w:rsid w:val="00471ADC"/>
    <w:rsid w:val="006D6D4C"/>
    <w:rsid w:val="009D7C9C"/>
    <w:rsid w:val="00A04DCA"/>
    <w:rsid w:val="00A43F16"/>
    <w:rsid w:val="00AC331C"/>
    <w:rsid w:val="00E233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70B0C"/>
  <w15:chartTrackingRefBased/>
  <w15:docId w15:val="{5D559275-99F6-4A59-AFE7-955799B28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ADC"/>
    <w:pPr>
      <w:spacing w:after="0" w:line="240" w:lineRule="auto"/>
    </w:pPr>
    <w:rPr>
      <w:rFonts w:ascii="Times New Roman" w:eastAsia="Times New Roman" w:hAnsi="Times New Roman" w:cs="Times New Roman"/>
      <w:sz w:val="24"/>
      <w:szCs w:val="24"/>
      <w:lang w:val="en-IN" w:eastAsia="en-IN"/>
    </w:rPr>
  </w:style>
  <w:style w:type="paragraph" w:styleId="Heading1">
    <w:name w:val="heading 1"/>
    <w:basedOn w:val="Normal"/>
    <w:next w:val="Normal"/>
    <w:link w:val="Heading1Char"/>
    <w:uiPriority w:val="9"/>
    <w:qFormat/>
    <w:rsid w:val="00471AD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471AD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471AD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471AD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471AD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471AD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1AD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1AD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1AD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ADC"/>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471AD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471AD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471AD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471AD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471A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1A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1A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1ADC"/>
    <w:rPr>
      <w:rFonts w:eastAsiaTheme="majorEastAsia" w:cstheme="majorBidi"/>
      <w:color w:val="272727" w:themeColor="text1" w:themeTint="D8"/>
    </w:rPr>
  </w:style>
  <w:style w:type="paragraph" w:styleId="Title">
    <w:name w:val="Title"/>
    <w:basedOn w:val="Normal"/>
    <w:next w:val="Normal"/>
    <w:link w:val="TitleChar"/>
    <w:uiPriority w:val="10"/>
    <w:qFormat/>
    <w:rsid w:val="00471AD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1A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1AD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1A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1AD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71ADC"/>
    <w:rPr>
      <w:i/>
      <w:iCs/>
      <w:color w:val="404040" w:themeColor="text1" w:themeTint="BF"/>
    </w:rPr>
  </w:style>
  <w:style w:type="paragraph" w:styleId="ListParagraph">
    <w:name w:val="List Paragraph"/>
    <w:basedOn w:val="Normal"/>
    <w:uiPriority w:val="34"/>
    <w:qFormat/>
    <w:rsid w:val="00471ADC"/>
    <w:pPr>
      <w:ind w:left="720"/>
      <w:contextualSpacing/>
    </w:pPr>
  </w:style>
  <w:style w:type="character" w:styleId="IntenseEmphasis">
    <w:name w:val="Intense Emphasis"/>
    <w:basedOn w:val="DefaultParagraphFont"/>
    <w:uiPriority w:val="21"/>
    <w:qFormat/>
    <w:rsid w:val="00471ADC"/>
    <w:rPr>
      <w:i/>
      <w:iCs/>
      <w:color w:val="365F91" w:themeColor="accent1" w:themeShade="BF"/>
    </w:rPr>
  </w:style>
  <w:style w:type="paragraph" w:styleId="IntenseQuote">
    <w:name w:val="Intense Quote"/>
    <w:basedOn w:val="Normal"/>
    <w:next w:val="Normal"/>
    <w:link w:val="IntenseQuoteChar"/>
    <w:uiPriority w:val="30"/>
    <w:qFormat/>
    <w:rsid w:val="00471AD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71ADC"/>
    <w:rPr>
      <w:i/>
      <w:iCs/>
      <w:color w:val="365F91" w:themeColor="accent1" w:themeShade="BF"/>
    </w:rPr>
  </w:style>
  <w:style w:type="character" w:styleId="IntenseReference">
    <w:name w:val="Intense Reference"/>
    <w:basedOn w:val="DefaultParagraphFont"/>
    <w:uiPriority w:val="32"/>
    <w:qFormat/>
    <w:rsid w:val="00471ADC"/>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10</Pages>
  <Words>1780</Words>
  <Characters>10148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Aysidora Asenova Stavreva (2030536)</dc:creator>
  <cp:keywords/>
  <dc:description/>
  <cp:lastModifiedBy>Aysidora Asenova Stavreva (2030536)</cp:lastModifiedBy>
  <cp:revision>4</cp:revision>
  <dcterms:created xsi:type="dcterms:W3CDTF">2024-04-01T21:52:00Z</dcterms:created>
  <dcterms:modified xsi:type="dcterms:W3CDTF">2024-04-01T22:31:00Z</dcterms:modified>
</cp:coreProperties>
</file>